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FC853" w14:textId="77777777" w:rsidR="00D80E12" w:rsidRPr="00B36ECC" w:rsidRDefault="008577B0" w:rsidP="008577B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6ECC">
        <w:rPr>
          <w:rFonts w:ascii="Times New Roman" w:hAnsi="Times New Roman" w:cs="Times New Roman"/>
          <w:sz w:val="24"/>
          <w:szCs w:val="24"/>
        </w:rPr>
        <w:t>Carta de Resposta aos Revisores</w:t>
      </w:r>
    </w:p>
    <w:p w14:paraId="1E14DDD7" w14:textId="77777777" w:rsidR="008577B0" w:rsidRPr="00B36ECC" w:rsidRDefault="008577B0" w:rsidP="008577B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8F31BC" w14:textId="77777777" w:rsidR="008577B0" w:rsidRPr="00B36ECC" w:rsidRDefault="008577B0" w:rsidP="008577B0">
      <w:pPr>
        <w:rPr>
          <w:rFonts w:ascii="Times New Roman" w:hAnsi="Times New Roman" w:cs="Times New Roman"/>
          <w:sz w:val="24"/>
          <w:szCs w:val="24"/>
        </w:rPr>
      </w:pPr>
      <w:r w:rsidRPr="00B36ECC">
        <w:rPr>
          <w:rFonts w:ascii="Times New Roman" w:hAnsi="Times New Roman" w:cs="Times New Roman"/>
          <w:sz w:val="24"/>
          <w:szCs w:val="24"/>
        </w:rPr>
        <w:t xml:space="preserve">Comunicamos ao editor que todas as revisões foram implementadas de acordo com o Revisor A, </w:t>
      </w:r>
      <w:proofErr w:type="gramStart"/>
      <w:r w:rsidRPr="00B36ECC">
        <w:rPr>
          <w:rFonts w:ascii="Times New Roman" w:hAnsi="Times New Roman" w:cs="Times New Roman"/>
          <w:sz w:val="24"/>
          <w:szCs w:val="24"/>
        </w:rPr>
        <w:t>enquanto que</w:t>
      </w:r>
      <w:proofErr w:type="gramEnd"/>
      <w:r w:rsidRPr="00B36ECC">
        <w:rPr>
          <w:rFonts w:ascii="Times New Roman" w:hAnsi="Times New Roman" w:cs="Times New Roman"/>
          <w:sz w:val="24"/>
          <w:szCs w:val="24"/>
        </w:rPr>
        <w:t xml:space="preserve"> o revisor C aprovou sem pedido de revisão. A listar as alterações:</w:t>
      </w:r>
    </w:p>
    <w:p w14:paraId="0D73CEB8" w14:textId="77777777" w:rsidR="008577B0" w:rsidRPr="00B36ECC" w:rsidRDefault="008577B0" w:rsidP="008577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ECC">
        <w:rPr>
          <w:rFonts w:ascii="Times New Roman" w:hAnsi="Times New Roman" w:cs="Times New Roman"/>
          <w:sz w:val="24"/>
          <w:szCs w:val="24"/>
        </w:rPr>
        <w:t>Resumo e abstract foram revisados para clarificar os objetivos de pesquisa;</w:t>
      </w:r>
    </w:p>
    <w:p w14:paraId="2ECE1F05" w14:textId="77777777" w:rsidR="008577B0" w:rsidRPr="00B36ECC" w:rsidRDefault="008577B0" w:rsidP="008577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ECC">
        <w:rPr>
          <w:rFonts w:ascii="Times New Roman" w:hAnsi="Times New Roman" w:cs="Times New Roman"/>
          <w:sz w:val="24"/>
          <w:szCs w:val="24"/>
        </w:rPr>
        <w:t xml:space="preserve">O modelo métrico completo foi incluído e modificado, inclusive a modificação da figura do modelo métrico foi trocada por uma figura mais simples e capaz de facilitar a visualização das variáveis latentes, uma vez que o alvo do </w:t>
      </w:r>
      <w:proofErr w:type="spellStart"/>
      <w:r w:rsidRPr="00B36EC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B36ECC">
        <w:rPr>
          <w:rFonts w:ascii="Times New Roman" w:hAnsi="Times New Roman" w:cs="Times New Roman"/>
          <w:sz w:val="24"/>
          <w:szCs w:val="24"/>
        </w:rPr>
        <w:t xml:space="preserve"> não consiste na discussão do modelo métrico completo. Tais alterações estão em vermelho a partir da página 10 do manuscrito.</w:t>
      </w:r>
    </w:p>
    <w:p w14:paraId="3488C2CE" w14:textId="77777777" w:rsidR="008577B0" w:rsidRPr="00B36ECC" w:rsidRDefault="008577B0" w:rsidP="008577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ECC">
        <w:rPr>
          <w:rFonts w:ascii="Times New Roman" w:hAnsi="Times New Roman" w:cs="Times New Roman"/>
          <w:sz w:val="24"/>
          <w:szCs w:val="24"/>
        </w:rPr>
        <w:t xml:space="preserve">Com o objetivo de ampliar a discussão, foram inclusos 4 itens bibliográficos, que são apresentados nas </w:t>
      </w:r>
      <w:proofErr w:type="spellStart"/>
      <w:proofErr w:type="gramStart"/>
      <w:r w:rsidRPr="00B36ECC">
        <w:rPr>
          <w:rFonts w:ascii="Times New Roman" w:hAnsi="Times New Roman" w:cs="Times New Roman"/>
          <w:sz w:val="24"/>
          <w:szCs w:val="24"/>
        </w:rPr>
        <w:t>paginas</w:t>
      </w:r>
      <w:proofErr w:type="spellEnd"/>
      <w:proofErr w:type="gramEnd"/>
      <w:r w:rsidRPr="00B36ECC">
        <w:rPr>
          <w:rFonts w:ascii="Times New Roman" w:hAnsi="Times New Roman" w:cs="Times New Roman"/>
          <w:sz w:val="24"/>
          <w:szCs w:val="24"/>
        </w:rPr>
        <w:t xml:space="preserve"> 13 e 14, sendo os mesmos os seguintes:</w:t>
      </w:r>
    </w:p>
    <w:p w14:paraId="7DA63751" w14:textId="77777777" w:rsidR="008577B0" w:rsidRPr="00B36ECC" w:rsidRDefault="008577B0" w:rsidP="008577B0">
      <w:pPr>
        <w:pStyle w:val="PargrafodaList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Howell, R. A. (2013). It’s not (just) “the environment, stupid!” Values, motivations, and routes to engagement of people adopting lower-carbon lifestyles.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Global Environmental </w:t>
      </w:r>
      <w:proofErr w:type="spellStart"/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Change</w:t>
      </w:r>
      <w:proofErr w:type="spellEnd"/>
      <w:r w:rsidRPr="00B36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23</w:t>
      </w:r>
      <w:r w:rsidRPr="00B36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(1), 281–290. </w:t>
      </w:r>
      <w:hyperlink r:id="rId5" w:history="1">
        <w:r w:rsidRPr="00B36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https://doi.org/10.1016/j.gloenvcha.2012.10.015</w:t>
        </w:r>
      </w:hyperlink>
    </w:p>
    <w:p w14:paraId="6CA52080" w14:textId="77777777" w:rsidR="008577B0" w:rsidRPr="00B36ECC" w:rsidRDefault="008577B0" w:rsidP="008577B0">
      <w:pPr>
        <w:pStyle w:val="PargrafodaList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Huang, Y.-C., &amp; Liu, C.-H. S. (2017). Moderating and mediating roles of environmental concern and ecotourism experience for revisit intention.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International Journal of Contemporary Hospitality Management</w:t>
      </w: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29</w:t>
      </w: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(7), 1854–1872. </w:t>
      </w:r>
      <w:hyperlink r:id="rId6" w:history="1">
        <w:r w:rsidRPr="00B36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BR"/>
          </w:rPr>
          <w:t>https://doi.org/10.1108/IJCHM-12-2015-0677</w:t>
        </w:r>
      </w:hyperlink>
    </w:p>
    <w:p w14:paraId="15DCB4EE" w14:textId="77777777" w:rsidR="008577B0" w:rsidRPr="00B36ECC" w:rsidRDefault="008577B0" w:rsidP="008577B0">
      <w:pPr>
        <w:pStyle w:val="PargrafodaList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Markowitz, E. M., Goldberg, L. R., Ashton, M. C., &amp; Lee, K. (2012). Profiling the “Pro-Environmental Individual”: A Personality Perspective: Personality and Pro-Environmental Action. </w:t>
      </w:r>
      <w:proofErr w:type="spellStart"/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Journal</w:t>
      </w:r>
      <w:proofErr w:type="spellEnd"/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of</w:t>
      </w:r>
      <w:proofErr w:type="spellEnd"/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Personality</w:t>
      </w:r>
      <w:proofErr w:type="spellEnd"/>
      <w:r w:rsidRPr="00B36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80</w:t>
      </w:r>
      <w:r w:rsidRPr="00B36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(1), 81–111. </w:t>
      </w:r>
      <w:hyperlink r:id="rId7" w:history="1">
        <w:r w:rsidRPr="00B36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https://doi.org/10.1111/j.1467-6494.2011.00721.x</w:t>
        </w:r>
      </w:hyperlink>
    </w:p>
    <w:p w14:paraId="4F15CDA0" w14:textId="77777777" w:rsidR="008577B0" w:rsidRPr="00B36ECC" w:rsidRDefault="008577B0" w:rsidP="008577B0">
      <w:pPr>
        <w:pStyle w:val="PargrafodaList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Turaga</w:t>
      </w:r>
      <w:proofErr w:type="spellEnd"/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R. M. R., </w:t>
      </w:r>
      <w:proofErr w:type="spellStart"/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Howarth</w:t>
      </w:r>
      <w:proofErr w:type="spellEnd"/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R. B., &amp; Borsuk, M. E. (2010). Pro-environmental behavior: Rational choice meets moral motivation.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Annals of the New York Academy of Sciences</w:t>
      </w: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B36E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1185</w:t>
      </w:r>
      <w:r w:rsidRPr="00B36EC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(1), 211–224. </w:t>
      </w:r>
      <w:hyperlink r:id="rId8" w:history="1">
        <w:r w:rsidRPr="00B36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BR"/>
          </w:rPr>
          <w:t>https://doi.org/10.1111/j.1749-6632.2009.05163.x</w:t>
        </w:r>
      </w:hyperlink>
    </w:p>
    <w:p w14:paraId="127E51B0" w14:textId="77777777" w:rsidR="00B36ECC" w:rsidRDefault="008577B0" w:rsidP="00B36ECC">
      <w:pPr>
        <w:pStyle w:val="PargrafodaLista"/>
        <w:ind w:left="1068" w:firstLine="0"/>
        <w:rPr>
          <w:rFonts w:ascii="Times New Roman" w:hAnsi="Times New Roman" w:cs="Times New Roman"/>
          <w:sz w:val="24"/>
          <w:szCs w:val="24"/>
        </w:rPr>
      </w:pPr>
      <w:r w:rsidRPr="00B36ECC">
        <w:rPr>
          <w:rFonts w:ascii="Times New Roman" w:hAnsi="Times New Roman" w:cs="Times New Roman"/>
          <w:sz w:val="24"/>
          <w:szCs w:val="24"/>
        </w:rPr>
        <w:t xml:space="preserve">Alertamos a equipe editorial de que todas as alterações </w:t>
      </w:r>
      <w:proofErr w:type="gramStart"/>
      <w:r w:rsidRPr="00B36ECC">
        <w:rPr>
          <w:rFonts w:ascii="Times New Roman" w:hAnsi="Times New Roman" w:cs="Times New Roman"/>
          <w:sz w:val="24"/>
          <w:szCs w:val="24"/>
        </w:rPr>
        <w:t>encontram-se</w:t>
      </w:r>
      <w:proofErr w:type="gramEnd"/>
      <w:r w:rsidRPr="00B36ECC">
        <w:rPr>
          <w:rFonts w:ascii="Times New Roman" w:hAnsi="Times New Roman" w:cs="Times New Roman"/>
          <w:sz w:val="24"/>
          <w:szCs w:val="24"/>
        </w:rPr>
        <w:t xml:space="preserve"> em vermelho.</w:t>
      </w:r>
    </w:p>
    <w:p w14:paraId="13108942" w14:textId="77777777" w:rsidR="00B36ECC" w:rsidRPr="00B36ECC" w:rsidRDefault="008577B0" w:rsidP="00B36ECC">
      <w:pPr>
        <w:pStyle w:val="PargrafodaLista"/>
        <w:ind w:left="1068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6ECC">
        <w:rPr>
          <w:rFonts w:ascii="Times New Roman" w:hAnsi="Times New Roman" w:cs="Times New Roman"/>
          <w:sz w:val="24"/>
          <w:szCs w:val="24"/>
        </w:rPr>
        <w:t>Atenciosamente</w:t>
      </w:r>
      <w:r w:rsidR="00B36ECC" w:rsidRPr="00B36ECC">
        <w:rPr>
          <w:rFonts w:ascii="Times New Roman" w:hAnsi="Times New Roman" w:cs="Times New Roman"/>
          <w:sz w:val="24"/>
          <w:szCs w:val="24"/>
        </w:rPr>
        <w:t>.</w:t>
      </w:r>
    </w:p>
    <w:sectPr w:rsidR="00B36ECC" w:rsidRPr="00B36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009"/>
    <w:multiLevelType w:val="hybridMultilevel"/>
    <w:tmpl w:val="BA0E24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D6DB9"/>
    <w:multiLevelType w:val="hybridMultilevel"/>
    <w:tmpl w:val="59DCB01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B0"/>
    <w:rsid w:val="00135319"/>
    <w:rsid w:val="002509FD"/>
    <w:rsid w:val="008577B0"/>
    <w:rsid w:val="00B265D6"/>
    <w:rsid w:val="00B36ECC"/>
    <w:rsid w:val="00D80E12"/>
    <w:rsid w:val="00FA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CEC31"/>
  <w15:chartTrackingRefBased/>
  <w15:docId w15:val="{EF3FB808-FB37-4BE9-8B83-1B95E50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7B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57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749-6632.2009.05163.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j.1467-6494.2011.00721.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08/IJCHM-12-2015-0677" TargetMode="External"/><Relationship Id="rId5" Type="http://schemas.openxmlformats.org/officeDocument/2006/relationships/hyperlink" Target="https://doi.org/10.1016/j.gloenvcha.2012.10.0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Pires</dc:creator>
  <cp:keywords/>
  <dc:description/>
  <cp:lastModifiedBy>Pedro Pires</cp:lastModifiedBy>
  <cp:revision>2</cp:revision>
  <dcterms:created xsi:type="dcterms:W3CDTF">2019-08-28T14:36:00Z</dcterms:created>
  <dcterms:modified xsi:type="dcterms:W3CDTF">2019-08-28T14:36:00Z</dcterms:modified>
</cp:coreProperties>
</file>