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08" w:rsidRDefault="000116E3" w:rsidP="009C476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C00E5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179B7">
        <w:rPr>
          <w:rFonts w:ascii="Times New Roman" w:hAnsi="Times New Roman" w:cs="Times New Roman"/>
          <w:b/>
          <w:sz w:val="24"/>
          <w:szCs w:val="24"/>
        </w:rPr>
        <w:t xml:space="preserve">ocurrencia de </w:t>
      </w:r>
      <w:r w:rsidR="00C00E53">
        <w:rPr>
          <w:rFonts w:ascii="Times New Roman" w:hAnsi="Times New Roman" w:cs="Times New Roman"/>
          <w:b/>
          <w:sz w:val="24"/>
          <w:szCs w:val="24"/>
        </w:rPr>
        <w:t>violencia de gé</w:t>
      </w:r>
      <w:r w:rsidR="00B55759">
        <w:rPr>
          <w:rFonts w:ascii="Times New Roman" w:hAnsi="Times New Roman" w:cs="Times New Roman"/>
          <w:b/>
          <w:sz w:val="24"/>
          <w:szCs w:val="24"/>
        </w:rPr>
        <w:t xml:space="preserve">nero </w:t>
      </w:r>
      <w:r w:rsidR="007179B7">
        <w:rPr>
          <w:rFonts w:ascii="Times New Roman" w:hAnsi="Times New Roman" w:cs="Times New Roman"/>
          <w:b/>
          <w:sz w:val="24"/>
          <w:szCs w:val="24"/>
        </w:rPr>
        <w:t xml:space="preserve">en el entorno cercano </w:t>
      </w:r>
      <w:r w:rsidR="00B55759">
        <w:rPr>
          <w:rFonts w:ascii="Times New Roman" w:hAnsi="Times New Roman" w:cs="Times New Roman"/>
          <w:b/>
          <w:sz w:val="24"/>
          <w:szCs w:val="24"/>
        </w:rPr>
        <w:t>como factor de riesgo de</w:t>
      </w:r>
      <w:r w:rsidR="00FE0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E53">
        <w:rPr>
          <w:rFonts w:ascii="Times New Roman" w:hAnsi="Times New Roman" w:cs="Times New Roman"/>
          <w:b/>
          <w:sz w:val="24"/>
          <w:szCs w:val="24"/>
        </w:rPr>
        <w:t xml:space="preserve">violencia </w:t>
      </w:r>
      <w:r w:rsidR="00BC080D">
        <w:rPr>
          <w:rFonts w:ascii="Times New Roman" w:hAnsi="Times New Roman" w:cs="Times New Roman"/>
          <w:b/>
          <w:sz w:val="24"/>
          <w:szCs w:val="24"/>
        </w:rPr>
        <w:t>en el noviazgo</w:t>
      </w:r>
    </w:p>
    <w:p w:rsidR="009C476C" w:rsidRPr="003D13A6" w:rsidRDefault="000F30D1" w:rsidP="003D13A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0F30D1">
        <w:rPr>
          <w:rFonts w:ascii="Times New Roman" w:hAnsi="Times New Roman" w:cs="Times New Roman"/>
          <w:b/>
          <w:sz w:val="24"/>
          <w:szCs w:val="24"/>
          <w:lang w:val="en-US"/>
        </w:rPr>
        <w:t>he occurrence of gender-based violence as a risk factor of dating violence</w:t>
      </w:r>
    </w:p>
    <w:p w:rsidR="00177A08" w:rsidRDefault="00177A08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08">
        <w:rPr>
          <w:rFonts w:ascii="Times New Roman" w:hAnsi="Times New Roman" w:cs="Times New Roman"/>
          <w:b/>
          <w:sz w:val="24"/>
          <w:szCs w:val="24"/>
        </w:rPr>
        <w:t>RESUMEN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05CE6">
        <w:rPr>
          <w:rFonts w:ascii="Times New Roman" w:hAnsi="Times New Roman" w:cs="Times New Roman"/>
          <w:sz w:val="24"/>
          <w:szCs w:val="24"/>
        </w:rPr>
        <w:t xml:space="preserve"> </w:t>
      </w:r>
      <w:r w:rsidR="009B3E06">
        <w:rPr>
          <w:rFonts w:ascii="Times New Roman" w:hAnsi="Times New Roman" w:cs="Times New Roman"/>
          <w:sz w:val="24"/>
          <w:szCs w:val="24"/>
        </w:rPr>
        <w:t>El objetiv</w:t>
      </w:r>
      <w:r w:rsidR="00465020">
        <w:rPr>
          <w:rFonts w:ascii="Times New Roman" w:hAnsi="Times New Roman" w:cs="Times New Roman"/>
          <w:sz w:val="24"/>
          <w:szCs w:val="24"/>
        </w:rPr>
        <w:t>o del estudio es analizar si la ocurrencia de</w:t>
      </w:r>
      <w:r w:rsidR="009B3E06">
        <w:rPr>
          <w:rFonts w:ascii="Times New Roman" w:hAnsi="Times New Roman" w:cs="Times New Roman"/>
          <w:sz w:val="24"/>
          <w:szCs w:val="24"/>
        </w:rPr>
        <w:t xml:space="preserve"> situaciones de violencia de gén</w:t>
      </w:r>
      <w:r w:rsidR="003D5EB7">
        <w:rPr>
          <w:rFonts w:ascii="Times New Roman" w:hAnsi="Times New Roman" w:cs="Times New Roman"/>
          <w:sz w:val="24"/>
          <w:szCs w:val="24"/>
        </w:rPr>
        <w:t>ero en el entorno cercano tiene</w:t>
      </w:r>
      <w:r w:rsidR="009B3E06">
        <w:rPr>
          <w:rFonts w:ascii="Times New Roman" w:hAnsi="Times New Roman" w:cs="Times New Roman"/>
          <w:sz w:val="24"/>
          <w:szCs w:val="24"/>
        </w:rPr>
        <w:t xml:space="preserve"> alguna influencia en la perpetración y en la victimización de violencia en el noviazgo. La muestra está compuesta por 443 estudiantes de diferentes universidades </w:t>
      </w:r>
      <w:r w:rsidR="00064C6E">
        <w:rPr>
          <w:rFonts w:ascii="Times New Roman" w:hAnsi="Times New Roman" w:cs="Times New Roman"/>
          <w:sz w:val="24"/>
          <w:szCs w:val="24"/>
        </w:rPr>
        <w:t>colombianas</w:t>
      </w:r>
      <w:r w:rsidR="009B3E06">
        <w:rPr>
          <w:rFonts w:ascii="Times New Roman" w:hAnsi="Times New Roman" w:cs="Times New Roman"/>
          <w:sz w:val="24"/>
          <w:szCs w:val="24"/>
        </w:rPr>
        <w:t xml:space="preserve">, con una edad media de 20.64 años (DT = 3.911). Los resultados reportan que </w:t>
      </w:r>
      <w:r w:rsidR="00064C6E">
        <w:rPr>
          <w:rFonts w:ascii="Times New Roman" w:hAnsi="Times New Roman" w:cs="Times New Roman"/>
          <w:sz w:val="24"/>
          <w:szCs w:val="24"/>
        </w:rPr>
        <w:t>la</w:t>
      </w:r>
      <w:r w:rsidR="009B3E06">
        <w:rPr>
          <w:rFonts w:ascii="Times New Roman" w:hAnsi="Times New Roman" w:cs="Times New Roman"/>
          <w:sz w:val="24"/>
          <w:szCs w:val="24"/>
        </w:rPr>
        <w:t xml:space="preserve"> violencia de género en el entorno </w:t>
      </w:r>
      <w:r w:rsidR="00064C6E">
        <w:rPr>
          <w:rFonts w:ascii="Times New Roman" w:hAnsi="Times New Roman" w:cs="Times New Roman"/>
          <w:sz w:val="24"/>
          <w:szCs w:val="24"/>
        </w:rPr>
        <w:t>influye</w:t>
      </w:r>
      <w:r w:rsidR="009B3E06">
        <w:rPr>
          <w:rFonts w:ascii="Times New Roman" w:hAnsi="Times New Roman" w:cs="Times New Roman"/>
          <w:sz w:val="24"/>
          <w:szCs w:val="24"/>
        </w:rPr>
        <w:t xml:space="preserve"> en la prevalencia del maltrato en las relaciones de pareja; las personas en cuyo entorno ha tenido lugar algún caso de violencia de género tienen un mayor riesgo de ser víctimas y agresores. </w:t>
      </w:r>
      <w:r w:rsidR="00BC080D">
        <w:rPr>
          <w:rFonts w:ascii="Times New Roman" w:hAnsi="Times New Roman" w:cs="Times New Roman"/>
          <w:sz w:val="24"/>
          <w:szCs w:val="24"/>
        </w:rPr>
        <w:t>En conclusión, l</w:t>
      </w:r>
      <w:r w:rsidR="009B3E06">
        <w:rPr>
          <w:rFonts w:ascii="Times New Roman" w:hAnsi="Times New Roman" w:cs="Times New Roman"/>
          <w:sz w:val="24"/>
          <w:szCs w:val="24"/>
        </w:rPr>
        <w:t>a exposición a la violencia</w:t>
      </w:r>
      <w:r w:rsidR="002F3623">
        <w:rPr>
          <w:rFonts w:ascii="Times New Roman" w:hAnsi="Times New Roman" w:cs="Times New Roman"/>
          <w:sz w:val="24"/>
          <w:szCs w:val="24"/>
        </w:rPr>
        <w:t xml:space="preserve"> de género</w:t>
      </w:r>
      <w:r w:rsidR="009B3E06">
        <w:rPr>
          <w:rFonts w:ascii="Times New Roman" w:hAnsi="Times New Roman" w:cs="Times New Roman"/>
          <w:sz w:val="24"/>
          <w:szCs w:val="24"/>
        </w:rPr>
        <w:t xml:space="preserve"> </w:t>
      </w:r>
      <w:r w:rsidR="00064C6E">
        <w:rPr>
          <w:rFonts w:ascii="Times New Roman" w:hAnsi="Times New Roman" w:cs="Times New Roman"/>
          <w:sz w:val="24"/>
          <w:szCs w:val="24"/>
        </w:rPr>
        <w:t>puede influir en su</w:t>
      </w:r>
      <w:r w:rsidR="002F3623">
        <w:rPr>
          <w:rFonts w:ascii="Times New Roman" w:hAnsi="Times New Roman" w:cs="Times New Roman"/>
          <w:sz w:val="24"/>
          <w:szCs w:val="24"/>
        </w:rPr>
        <w:t xml:space="preserve"> normalización </w:t>
      </w:r>
      <w:r w:rsidR="00465020">
        <w:rPr>
          <w:rFonts w:ascii="Times New Roman" w:hAnsi="Times New Roman" w:cs="Times New Roman"/>
          <w:sz w:val="24"/>
          <w:szCs w:val="24"/>
        </w:rPr>
        <w:t xml:space="preserve">y </w:t>
      </w:r>
      <w:r w:rsidR="00064C6E">
        <w:rPr>
          <w:rFonts w:ascii="Times New Roman" w:hAnsi="Times New Roman" w:cs="Times New Roman"/>
          <w:sz w:val="24"/>
          <w:szCs w:val="24"/>
        </w:rPr>
        <w:t xml:space="preserve">en su </w:t>
      </w:r>
      <w:r w:rsidR="00465020">
        <w:rPr>
          <w:rFonts w:ascii="Times New Roman" w:hAnsi="Times New Roman" w:cs="Times New Roman"/>
          <w:sz w:val="24"/>
          <w:szCs w:val="24"/>
        </w:rPr>
        <w:t>aparición</w:t>
      </w:r>
      <w:r w:rsidR="002F3623">
        <w:rPr>
          <w:rFonts w:ascii="Times New Roman" w:hAnsi="Times New Roman" w:cs="Times New Roman"/>
          <w:sz w:val="24"/>
          <w:szCs w:val="24"/>
        </w:rPr>
        <w:t xml:space="preserve"> en las relaciones de noviazgo</w:t>
      </w:r>
      <w:r w:rsidR="00BC08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A08" w:rsidRDefault="00177A08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08">
        <w:rPr>
          <w:rFonts w:ascii="Times New Roman" w:hAnsi="Times New Roman" w:cs="Times New Roman"/>
          <w:b/>
          <w:sz w:val="24"/>
          <w:szCs w:val="24"/>
        </w:rPr>
        <w:t>PALABRAS CLAVE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080D">
        <w:rPr>
          <w:rFonts w:ascii="Times New Roman" w:hAnsi="Times New Roman" w:cs="Times New Roman"/>
          <w:sz w:val="24"/>
          <w:szCs w:val="24"/>
        </w:rPr>
        <w:t xml:space="preserve"> violencia de pareja; factores de riesgo; violencia de género;</w:t>
      </w:r>
      <w:r w:rsidR="00FE05CA">
        <w:rPr>
          <w:rFonts w:ascii="Times New Roman" w:hAnsi="Times New Roman" w:cs="Times New Roman"/>
          <w:sz w:val="24"/>
          <w:szCs w:val="24"/>
        </w:rPr>
        <w:t xml:space="preserve"> transmisión intergeneracional; Colombia. </w:t>
      </w:r>
    </w:p>
    <w:p w:rsidR="000F30D1" w:rsidRPr="000F30D1" w:rsidRDefault="00177A08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30D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0F30D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C080D" w:rsidRPr="000F3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0D1" w:rsidRPr="000F30D1">
        <w:rPr>
          <w:rFonts w:ascii="Times New Roman" w:hAnsi="Times New Roman" w:cs="Times New Roman"/>
          <w:sz w:val="24"/>
          <w:szCs w:val="24"/>
          <w:lang w:val="en-US"/>
        </w:rPr>
        <w:t xml:space="preserve">The main aim of this research is to analyse if gender violence situations in the near context have any influence on the perpetration and victimization of dating violence. </w:t>
      </w:r>
      <w:r w:rsidR="000F30D1" w:rsidRPr="000F30D1">
        <w:rPr>
          <w:rFonts w:ascii="Times New Roman" w:hAnsi="Times New Roman" w:cs="Times New Roman"/>
          <w:sz w:val="24"/>
          <w:szCs w:val="24"/>
          <w:lang w:val="en-GB"/>
        </w:rPr>
        <w:t xml:space="preserve">The study sample consists of </w:t>
      </w:r>
      <w:r w:rsidR="000F30D1" w:rsidRPr="000F30D1">
        <w:rPr>
          <w:rFonts w:ascii="Times New Roman" w:hAnsi="Times New Roman" w:cs="Times New Roman"/>
          <w:sz w:val="24"/>
          <w:szCs w:val="24"/>
          <w:lang w:val="en-US"/>
        </w:rPr>
        <w:t>443 students of different Colombian universities and their mean age is 20.64 years old (SD = 3.911). The results show that the situations of gender-based violence in the near context are associated to prevalence and frequency of partner abuse. People who lived in situations in which gender-based violence took place have a greater risk of being victims and aggressors in their current relationships. In conclusion, the occurrence of gender-based violence may influence the normalization of dating violence.</w:t>
      </w:r>
    </w:p>
    <w:p w:rsidR="00177A08" w:rsidRDefault="00177A08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80D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0F30D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C080D" w:rsidRPr="000F30D1">
        <w:rPr>
          <w:rFonts w:ascii="Times New Roman" w:hAnsi="Times New Roman" w:cs="Times New Roman"/>
          <w:sz w:val="24"/>
          <w:szCs w:val="24"/>
          <w:lang w:val="en-US"/>
        </w:rPr>
        <w:t>dating violence; risk factors; gender-based violence; intergenerational</w:t>
      </w:r>
      <w:r w:rsidR="00FE05CA" w:rsidRPr="000F30D1">
        <w:rPr>
          <w:rFonts w:ascii="Times New Roman" w:hAnsi="Times New Roman" w:cs="Times New Roman"/>
          <w:sz w:val="24"/>
          <w:szCs w:val="24"/>
          <w:lang w:val="en-US"/>
        </w:rPr>
        <w:t xml:space="preserve"> transmission; Colombia.</w:t>
      </w:r>
      <w:r w:rsidR="00FE0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06BE" w:rsidRDefault="00D706BE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06BE" w:rsidRDefault="00D706BE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3A6" w:rsidRDefault="003D13A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7A08" w:rsidRPr="00177A08" w:rsidRDefault="00177A08" w:rsidP="009C476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08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AD05CA" w:rsidRDefault="009F4E1F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violencia que tiene lugar en parejas jóvenes (</w:t>
      </w:r>
      <w:r w:rsidRPr="009F4E1F">
        <w:rPr>
          <w:rFonts w:ascii="Times New Roman" w:hAnsi="Times New Roman" w:cs="Times New Roman"/>
          <w:i/>
          <w:sz w:val="24"/>
          <w:szCs w:val="24"/>
        </w:rPr>
        <w:t>dating violence</w:t>
      </w:r>
      <w:r>
        <w:rPr>
          <w:rFonts w:ascii="Times New Roman" w:hAnsi="Times New Roman" w:cs="Times New Roman"/>
          <w:sz w:val="24"/>
          <w:szCs w:val="24"/>
        </w:rPr>
        <w:t>) se suele producir durante el noviazgo (García-Carpintero</w:t>
      </w:r>
      <w:r w:rsidRPr="009F4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Rodríguez-Santero</w:t>
      </w:r>
      <w:r w:rsidRPr="009F4E1F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Porcel-Gálvez, 2018).</w:t>
      </w:r>
      <w:r w:rsidR="00C02BA9">
        <w:rPr>
          <w:rFonts w:ascii="Times New Roman" w:hAnsi="Times New Roman" w:cs="Times New Roman"/>
          <w:sz w:val="24"/>
          <w:szCs w:val="24"/>
        </w:rPr>
        <w:t xml:space="preserve"> Esta se suele analizar de acuerdo a dos roles: victimización (rol de víctima) y perpetración (rol de victimario) (Moral y Ramos, 2016). </w:t>
      </w:r>
      <w:r>
        <w:rPr>
          <w:rFonts w:ascii="Times New Roman" w:hAnsi="Times New Roman" w:cs="Times New Roman"/>
          <w:sz w:val="24"/>
          <w:szCs w:val="24"/>
        </w:rPr>
        <w:t>El estudio de las conductas violentas en las p</w:t>
      </w:r>
      <w:r w:rsidR="00894047">
        <w:rPr>
          <w:rFonts w:ascii="Times New Roman" w:hAnsi="Times New Roman" w:cs="Times New Roman"/>
          <w:sz w:val="24"/>
          <w:szCs w:val="24"/>
        </w:rPr>
        <w:t>rimeras relaciones de pareja ha</w:t>
      </w:r>
      <w:r>
        <w:rPr>
          <w:rFonts w:ascii="Times New Roman" w:hAnsi="Times New Roman" w:cs="Times New Roman"/>
          <w:sz w:val="24"/>
          <w:szCs w:val="24"/>
        </w:rPr>
        <w:t xml:space="preserve"> centrado la atención de diferentes investigaciones</w:t>
      </w:r>
      <w:r w:rsidR="00F824BA">
        <w:rPr>
          <w:rFonts w:ascii="Times New Roman" w:hAnsi="Times New Roman" w:cs="Times New Roman"/>
          <w:sz w:val="24"/>
          <w:szCs w:val="24"/>
        </w:rPr>
        <w:t xml:space="preserve"> en los últimos años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E1F">
        <w:rPr>
          <w:rFonts w:ascii="Times New Roman" w:hAnsi="Times New Roman" w:cs="Times New Roman"/>
          <w:sz w:val="24"/>
          <w:szCs w:val="24"/>
        </w:rPr>
        <w:t>(Muñoz-Rivas, Andreu, Graña, O’Leary y González, 2007</w:t>
      </w:r>
      <w:r w:rsidR="00F824BA">
        <w:rPr>
          <w:rFonts w:ascii="Times New Roman" w:hAnsi="Times New Roman" w:cs="Times New Roman"/>
          <w:sz w:val="24"/>
          <w:szCs w:val="24"/>
        </w:rPr>
        <w:t>;</w:t>
      </w:r>
      <w:r w:rsidR="00F824BA" w:rsidRPr="00F824BA">
        <w:t xml:space="preserve"> </w:t>
      </w:r>
      <w:r w:rsidR="00F824BA" w:rsidRPr="00F824BA">
        <w:rPr>
          <w:rFonts w:ascii="Times New Roman" w:hAnsi="Times New Roman" w:cs="Times New Roman"/>
          <w:sz w:val="24"/>
          <w:szCs w:val="24"/>
        </w:rPr>
        <w:t>Pradas y Perles, 2012</w:t>
      </w:r>
      <w:r w:rsidR="00894047">
        <w:rPr>
          <w:rFonts w:ascii="Times New Roman" w:hAnsi="Times New Roman" w:cs="Times New Roman"/>
          <w:sz w:val="24"/>
          <w:szCs w:val="24"/>
        </w:rPr>
        <w:t xml:space="preserve">), lo que podría deberse a que está aumentando la sensibilidad al respecto. </w:t>
      </w:r>
      <w:r w:rsidR="00AD05CA">
        <w:rPr>
          <w:rFonts w:ascii="Times New Roman" w:hAnsi="Times New Roman" w:cs="Times New Roman"/>
          <w:sz w:val="24"/>
          <w:szCs w:val="24"/>
        </w:rPr>
        <w:t xml:space="preserve">No obstante, aunque se han realizado grandes avances en el estudio de las causas de la violencia de pareja, </w:t>
      </w:r>
      <w:r w:rsidR="008A4B0B">
        <w:rPr>
          <w:rFonts w:ascii="Times New Roman" w:hAnsi="Times New Roman" w:cs="Times New Roman"/>
          <w:sz w:val="24"/>
          <w:szCs w:val="24"/>
        </w:rPr>
        <w:t>todavía</w:t>
      </w:r>
      <w:r w:rsidR="008A4B0B" w:rsidRPr="008A4B0B">
        <w:rPr>
          <w:rFonts w:ascii="Times New Roman" w:hAnsi="Times New Roman" w:cs="Times New Roman"/>
          <w:sz w:val="24"/>
          <w:szCs w:val="24"/>
        </w:rPr>
        <w:t xml:space="preserve"> se requiere de un mayor número de investigaciones </w:t>
      </w:r>
      <w:r w:rsidR="00AD05CA">
        <w:rPr>
          <w:rFonts w:ascii="Times New Roman" w:hAnsi="Times New Roman" w:cs="Times New Roman"/>
          <w:sz w:val="24"/>
          <w:szCs w:val="24"/>
        </w:rPr>
        <w:t>(</w:t>
      </w:r>
      <w:r w:rsidR="00AD05CA" w:rsidRPr="00AD05CA">
        <w:rPr>
          <w:rFonts w:ascii="Times New Roman" w:hAnsi="Times New Roman" w:cs="Times New Roman"/>
          <w:sz w:val="24"/>
          <w:szCs w:val="24"/>
        </w:rPr>
        <w:t xml:space="preserve">Reyes, Foshee, </w:t>
      </w:r>
      <w:r w:rsidR="00AD05CA">
        <w:rPr>
          <w:rFonts w:ascii="Times New Roman" w:hAnsi="Times New Roman" w:cs="Times New Roman"/>
          <w:sz w:val="24"/>
          <w:szCs w:val="24"/>
        </w:rPr>
        <w:t xml:space="preserve">Chen y </w:t>
      </w:r>
      <w:r w:rsidR="00AD05CA" w:rsidRPr="00AD05CA">
        <w:rPr>
          <w:rFonts w:ascii="Times New Roman" w:hAnsi="Times New Roman" w:cs="Times New Roman"/>
          <w:sz w:val="24"/>
          <w:szCs w:val="24"/>
        </w:rPr>
        <w:t>Ennett</w:t>
      </w:r>
      <w:r w:rsidR="00AD05CA">
        <w:rPr>
          <w:rFonts w:ascii="Times New Roman" w:hAnsi="Times New Roman" w:cs="Times New Roman"/>
          <w:sz w:val="24"/>
          <w:szCs w:val="24"/>
        </w:rPr>
        <w:t xml:space="preserve">, 2017). </w:t>
      </w:r>
    </w:p>
    <w:p w:rsidR="009D2E8A" w:rsidRDefault="008A4B0B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C46F9">
        <w:rPr>
          <w:rFonts w:ascii="Times New Roman" w:hAnsi="Times New Roman" w:cs="Times New Roman"/>
          <w:sz w:val="24"/>
          <w:szCs w:val="24"/>
        </w:rPr>
        <w:t xml:space="preserve">n estudio realizado </w:t>
      </w:r>
      <w:r>
        <w:rPr>
          <w:rFonts w:ascii="Times New Roman" w:hAnsi="Times New Roman" w:cs="Times New Roman"/>
          <w:sz w:val="24"/>
          <w:szCs w:val="24"/>
        </w:rPr>
        <w:t xml:space="preserve">en Colombia </w:t>
      </w:r>
      <w:r w:rsidR="000C46F9">
        <w:rPr>
          <w:rFonts w:ascii="Times New Roman" w:hAnsi="Times New Roman" w:cs="Times New Roman"/>
          <w:sz w:val="24"/>
          <w:szCs w:val="24"/>
        </w:rPr>
        <w:t>con jóvenes de entre 15 y 20 años encontró que un alto porcentaje de participantes (87.9%) había ejercido alguna forma de maltrato contra su pareja: maltrato físico (42.2%), maltrato psicológico (84.9%), maltrato emocional (38.2%), maltrato sexual (22.3%) y maltrato económico (11.7%) (</w:t>
      </w:r>
      <w:r w:rsidR="000C46F9" w:rsidRPr="00512FB5">
        <w:rPr>
          <w:rFonts w:ascii="Times New Roman" w:hAnsi="Times New Roman" w:cs="Times New Roman"/>
          <w:sz w:val="24"/>
          <w:szCs w:val="24"/>
        </w:rPr>
        <w:t xml:space="preserve">Rey-Anacona, </w:t>
      </w:r>
      <w:r w:rsidR="000C46F9">
        <w:rPr>
          <w:rFonts w:ascii="Times New Roman" w:hAnsi="Times New Roman" w:cs="Times New Roman"/>
          <w:sz w:val="24"/>
          <w:szCs w:val="24"/>
        </w:rPr>
        <w:t>Mateus-Cubides y</w:t>
      </w:r>
      <w:r w:rsidR="000C46F9" w:rsidRPr="00512FB5">
        <w:rPr>
          <w:rFonts w:ascii="Times New Roman" w:hAnsi="Times New Roman" w:cs="Times New Roman"/>
          <w:sz w:val="24"/>
          <w:szCs w:val="24"/>
        </w:rPr>
        <w:t xml:space="preserve"> Bayona-Arévalo,</w:t>
      </w:r>
      <w:r w:rsidR="000C46F9">
        <w:rPr>
          <w:rFonts w:ascii="Times New Roman" w:hAnsi="Times New Roman" w:cs="Times New Roman"/>
          <w:sz w:val="24"/>
          <w:szCs w:val="24"/>
        </w:rPr>
        <w:t xml:space="preserve"> 2010). Ante los altos porcentajes de prevalencia y las consecuencias negativas de la violencia de pareja, es incuestionable la importancia de analizar los factores que p</w:t>
      </w:r>
      <w:r w:rsidR="00EF3961">
        <w:rPr>
          <w:rFonts w:ascii="Times New Roman" w:hAnsi="Times New Roman" w:cs="Times New Roman"/>
          <w:sz w:val="24"/>
          <w:szCs w:val="24"/>
        </w:rPr>
        <w:t>uede</w:t>
      </w:r>
      <w:r w:rsidR="000C46F9">
        <w:rPr>
          <w:rFonts w:ascii="Times New Roman" w:hAnsi="Times New Roman" w:cs="Times New Roman"/>
          <w:sz w:val="24"/>
          <w:szCs w:val="24"/>
        </w:rPr>
        <w:t>n incrementar o reducir su ocurrencia (Lohman, Neppl</w:t>
      </w:r>
      <w:r w:rsidR="000C46F9" w:rsidRPr="000C46F9">
        <w:rPr>
          <w:rFonts w:ascii="Times New Roman" w:hAnsi="Times New Roman" w:cs="Times New Roman"/>
          <w:sz w:val="24"/>
          <w:szCs w:val="24"/>
        </w:rPr>
        <w:t>, Senia</w:t>
      </w:r>
      <w:r w:rsidR="000C46F9">
        <w:rPr>
          <w:rFonts w:ascii="Times New Roman" w:hAnsi="Times New Roman" w:cs="Times New Roman"/>
          <w:sz w:val="24"/>
          <w:szCs w:val="24"/>
        </w:rPr>
        <w:t xml:space="preserve"> y </w:t>
      </w:r>
      <w:r w:rsidR="000C46F9" w:rsidRPr="000C46F9">
        <w:rPr>
          <w:rFonts w:ascii="Times New Roman" w:hAnsi="Times New Roman" w:cs="Times New Roman"/>
          <w:sz w:val="24"/>
          <w:szCs w:val="24"/>
        </w:rPr>
        <w:t>Schofield</w:t>
      </w:r>
      <w:r w:rsidR="000C46F9">
        <w:rPr>
          <w:rFonts w:ascii="Times New Roman" w:hAnsi="Times New Roman" w:cs="Times New Roman"/>
          <w:sz w:val="24"/>
          <w:szCs w:val="24"/>
        </w:rPr>
        <w:t xml:space="preserve">, 2013). </w:t>
      </w:r>
    </w:p>
    <w:p w:rsidR="009B6411" w:rsidRDefault="008529B4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exposición a un entorno en el que tengan lugar diferentes formas de violencia puede ser un factor de riesgo de la violencia en el noviazgo. </w:t>
      </w:r>
      <w:r w:rsidR="00817777">
        <w:rPr>
          <w:rFonts w:ascii="Times New Roman" w:hAnsi="Times New Roman" w:cs="Times New Roman"/>
          <w:sz w:val="24"/>
          <w:szCs w:val="24"/>
        </w:rPr>
        <w:t xml:space="preserve">Los niños y niñas aprenden a relacionarse con el mundo a partir de las experiencias vividas en su entorno más próximo (Patró y Limiñana, 2005). </w:t>
      </w:r>
      <w:r w:rsidR="00065012">
        <w:rPr>
          <w:rFonts w:ascii="Times New Roman" w:hAnsi="Times New Roman" w:cs="Times New Roman"/>
          <w:sz w:val="24"/>
          <w:szCs w:val="24"/>
        </w:rPr>
        <w:t>González-Ortega, Echeburúa y de Corral (2008) enumeran diferentes indicadores de riesgo en agresores y víctimas de violencia en parejas jóvenes, entre los que destacan las experiencias previas de violencia</w:t>
      </w:r>
      <w:r w:rsidR="00817777">
        <w:rPr>
          <w:rFonts w:ascii="Times New Roman" w:hAnsi="Times New Roman" w:cs="Times New Roman"/>
          <w:sz w:val="24"/>
          <w:szCs w:val="24"/>
        </w:rPr>
        <w:t xml:space="preserve">, </w:t>
      </w:r>
      <w:r w:rsidR="009B6411">
        <w:rPr>
          <w:rFonts w:ascii="Times New Roman" w:hAnsi="Times New Roman" w:cs="Times New Roman"/>
          <w:sz w:val="24"/>
          <w:szCs w:val="24"/>
        </w:rPr>
        <w:t>bien como víctima o como testigo</w:t>
      </w:r>
      <w:r w:rsidR="00065012">
        <w:rPr>
          <w:rFonts w:ascii="Times New Roman" w:hAnsi="Times New Roman" w:cs="Times New Roman"/>
          <w:sz w:val="24"/>
          <w:szCs w:val="24"/>
        </w:rPr>
        <w:t xml:space="preserve">. </w:t>
      </w:r>
      <w:r w:rsidR="0040415B">
        <w:rPr>
          <w:rFonts w:ascii="Times New Roman" w:hAnsi="Times New Roman" w:cs="Times New Roman"/>
          <w:sz w:val="24"/>
          <w:szCs w:val="24"/>
        </w:rPr>
        <w:t>Es</w:t>
      </w:r>
      <w:r w:rsidR="00D747BE">
        <w:rPr>
          <w:rFonts w:ascii="Times New Roman" w:hAnsi="Times New Roman" w:cs="Times New Roman"/>
          <w:sz w:val="24"/>
          <w:szCs w:val="24"/>
        </w:rPr>
        <w:t>tudios</w:t>
      </w:r>
      <w:r w:rsidR="0040415B">
        <w:rPr>
          <w:rFonts w:ascii="Times New Roman" w:hAnsi="Times New Roman" w:cs="Times New Roman"/>
          <w:sz w:val="24"/>
          <w:szCs w:val="24"/>
        </w:rPr>
        <w:t xml:space="preserve"> realizados con población joven</w:t>
      </w:r>
      <w:r w:rsidR="00E40207">
        <w:rPr>
          <w:rFonts w:ascii="Times New Roman" w:hAnsi="Times New Roman" w:cs="Times New Roman"/>
          <w:sz w:val="24"/>
          <w:szCs w:val="24"/>
        </w:rPr>
        <w:t xml:space="preserve"> y adolescente</w:t>
      </w:r>
      <w:r w:rsidR="00D747BE">
        <w:rPr>
          <w:rFonts w:ascii="Times New Roman" w:hAnsi="Times New Roman" w:cs="Times New Roman"/>
          <w:sz w:val="24"/>
          <w:szCs w:val="24"/>
        </w:rPr>
        <w:t xml:space="preserve"> </w:t>
      </w:r>
      <w:r w:rsidR="003308A6">
        <w:rPr>
          <w:rFonts w:ascii="Times New Roman" w:hAnsi="Times New Roman" w:cs="Times New Roman"/>
          <w:sz w:val="24"/>
          <w:szCs w:val="24"/>
        </w:rPr>
        <w:t xml:space="preserve">reportan altas tasas de violencia de pareja entre quienes han estado expuestos a violencia de género contra sus madres (Foshee et al., 2016) y constatan que </w:t>
      </w:r>
      <w:r>
        <w:rPr>
          <w:rFonts w:ascii="Times New Roman" w:hAnsi="Times New Roman" w:cs="Times New Roman"/>
          <w:sz w:val="24"/>
          <w:szCs w:val="24"/>
        </w:rPr>
        <w:t xml:space="preserve">la socialización en </w:t>
      </w:r>
      <w:r w:rsidR="00F77B84">
        <w:rPr>
          <w:rFonts w:ascii="Times New Roman" w:hAnsi="Times New Roman" w:cs="Times New Roman"/>
          <w:sz w:val="24"/>
          <w:szCs w:val="24"/>
        </w:rPr>
        <w:t xml:space="preserve">un contexto familiar violento es un predictor de la violencia </w:t>
      </w:r>
      <w:r w:rsidR="00387666">
        <w:rPr>
          <w:rFonts w:ascii="Times New Roman" w:hAnsi="Times New Roman" w:cs="Times New Roman"/>
          <w:sz w:val="24"/>
          <w:szCs w:val="24"/>
        </w:rPr>
        <w:t>en futuras relaciones de pareja</w:t>
      </w:r>
      <w:r w:rsidR="00F77B84">
        <w:rPr>
          <w:rFonts w:ascii="Times New Roman" w:hAnsi="Times New Roman" w:cs="Times New Roman"/>
          <w:sz w:val="24"/>
          <w:szCs w:val="24"/>
        </w:rPr>
        <w:t xml:space="preserve"> </w:t>
      </w:r>
      <w:r w:rsidR="00F77B84" w:rsidRPr="00D747BE">
        <w:rPr>
          <w:rFonts w:ascii="Times New Roman" w:hAnsi="Times New Roman" w:cs="Times New Roman"/>
          <w:sz w:val="24"/>
          <w:szCs w:val="24"/>
        </w:rPr>
        <w:t>(González y Santana, 2001</w:t>
      </w:r>
      <w:r w:rsidR="008A4B0B">
        <w:rPr>
          <w:rFonts w:ascii="Times New Roman" w:hAnsi="Times New Roman" w:cs="Times New Roman"/>
          <w:sz w:val="24"/>
          <w:szCs w:val="24"/>
        </w:rPr>
        <w:t xml:space="preserve">; </w:t>
      </w:r>
      <w:r w:rsidR="00C12D29" w:rsidRPr="00C12D29">
        <w:rPr>
          <w:rFonts w:ascii="Times New Roman" w:hAnsi="Times New Roman" w:cs="Times New Roman"/>
          <w:sz w:val="24"/>
          <w:szCs w:val="24"/>
        </w:rPr>
        <w:t>Autor</w:t>
      </w:r>
      <w:r w:rsidR="00C12D29">
        <w:rPr>
          <w:rFonts w:ascii="Times New Roman" w:hAnsi="Times New Roman" w:cs="Times New Roman"/>
          <w:sz w:val="24"/>
          <w:szCs w:val="24"/>
        </w:rPr>
        <w:t>, en prensa</w:t>
      </w:r>
      <w:r w:rsidR="00F77B84" w:rsidRPr="00D747BE">
        <w:rPr>
          <w:rFonts w:ascii="Times New Roman" w:hAnsi="Times New Roman" w:cs="Times New Roman"/>
          <w:sz w:val="24"/>
          <w:szCs w:val="24"/>
        </w:rPr>
        <w:t>)</w:t>
      </w:r>
      <w:r w:rsidR="003308A6">
        <w:rPr>
          <w:rFonts w:ascii="Times New Roman" w:hAnsi="Times New Roman" w:cs="Times New Roman"/>
          <w:sz w:val="24"/>
          <w:szCs w:val="24"/>
        </w:rPr>
        <w:t xml:space="preserve">. </w:t>
      </w:r>
      <w:r w:rsidR="003918C6">
        <w:rPr>
          <w:rFonts w:ascii="Times New Roman" w:hAnsi="Times New Roman" w:cs="Times New Roman"/>
          <w:sz w:val="24"/>
          <w:szCs w:val="24"/>
        </w:rPr>
        <w:t>Por lo tanto</w:t>
      </w:r>
      <w:r w:rsidR="003308A6">
        <w:rPr>
          <w:rFonts w:ascii="Times New Roman" w:hAnsi="Times New Roman" w:cs="Times New Roman"/>
          <w:sz w:val="24"/>
          <w:szCs w:val="24"/>
        </w:rPr>
        <w:t xml:space="preserve">, </w:t>
      </w:r>
      <w:r w:rsidR="00F44333">
        <w:rPr>
          <w:rFonts w:ascii="Times New Roman" w:hAnsi="Times New Roman" w:cs="Times New Roman"/>
          <w:sz w:val="24"/>
          <w:szCs w:val="24"/>
        </w:rPr>
        <w:t xml:space="preserve">es posible que </w:t>
      </w:r>
      <w:r w:rsidR="003308A6">
        <w:rPr>
          <w:rFonts w:ascii="Times New Roman" w:hAnsi="Times New Roman" w:cs="Times New Roman"/>
          <w:sz w:val="24"/>
          <w:szCs w:val="24"/>
        </w:rPr>
        <w:t>l</w:t>
      </w:r>
      <w:r w:rsidR="009B6411">
        <w:rPr>
          <w:rFonts w:ascii="Times New Roman" w:hAnsi="Times New Roman" w:cs="Times New Roman"/>
          <w:sz w:val="24"/>
          <w:szCs w:val="24"/>
        </w:rPr>
        <w:t>a exposición a la vi</w:t>
      </w:r>
      <w:r w:rsidR="00F44333">
        <w:rPr>
          <w:rFonts w:ascii="Times New Roman" w:hAnsi="Times New Roman" w:cs="Times New Roman"/>
          <w:sz w:val="24"/>
          <w:szCs w:val="24"/>
        </w:rPr>
        <w:t>olencia de género repercuta en e</w:t>
      </w:r>
      <w:r w:rsidR="009B6411">
        <w:rPr>
          <w:rFonts w:ascii="Times New Roman" w:hAnsi="Times New Roman" w:cs="Times New Roman"/>
          <w:sz w:val="24"/>
          <w:szCs w:val="24"/>
        </w:rPr>
        <w:t>l aprendizaje y</w:t>
      </w:r>
      <w:r w:rsidR="00F44333">
        <w:rPr>
          <w:rFonts w:ascii="Times New Roman" w:hAnsi="Times New Roman" w:cs="Times New Roman"/>
          <w:sz w:val="24"/>
          <w:szCs w:val="24"/>
        </w:rPr>
        <w:t xml:space="preserve"> en</w:t>
      </w:r>
      <w:r w:rsidR="003308A6">
        <w:rPr>
          <w:rFonts w:ascii="Times New Roman" w:hAnsi="Times New Roman" w:cs="Times New Roman"/>
          <w:sz w:val="24"/>
          <w:szCs w:val="24"/>
        </w:rPr>
        <w:t xml:space="preserve"> la</w:t>
      </w:r>
      <w:r w:rsidR="009B6411">
        <w:rPr>
          <w:rFonts w:ascii="Times New Roman" w:hAnsi="Times New Roman" w:cs="Times New Roman"/>
          <w:sz w:val="24"/>
          <w:szCs w:val="24"/>
        </w:rPr>
        <w:t xml:space="preserve"> legitimación de las conductas violentas contra la pareja (Patró y Limiñana, 2005). </w:t>
      </w:r>
    </w:p>
    <w:p w:rsidR="000E33C1" w:rsidRDefault="00664D16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esto, el objetivo de la presente investigación es </w:t>
      </w:r>
      <w:r w:rsidRPr="00664D16">
        <w:rPr>
          <w:rFonts w:ascii="Times New Roman" w:hAnsi="Times New Roman" w:cs="Times New Roman"/>
          <w:sz w:val="24"/>
          <w:szCs w:val="24"/>
        </w:rPr>
        <w:t xml:space="preserve">analizar la relación entre la ocurrencia de violencia de género en el entorno cercano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64D16">
        <w:rPr>
          <w:rFonts w:ascii="Times New Roman" w:hAnsi="Times New Roman" w:cs="Times New Roman"/>
          <w:sz w:val="24"/>
          <w:szCs w:val="24"/>
        </w:rPr>
        <w:t xml:space="preserve"> la perpetración y victimización de violencia de pareja</w:t>
      </w:r>
    </w:p>
    <w:p w:rsidR="00E3375B" w:rsidRPr="00505D21" w:rsidRDefault="00E3375B" w:rsidP="009C476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D21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E3375B" w:rsidRDefault="00E3375B" w:rsidP="009C476C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0260">
        <w:rPr>
          <w:rFonts w:ascii="Times New Roman" w:hAnsi="Times New Roman" w:cs="Times New Roman"/>
          <w:b/>
          <w:i/>
          <w:sz w:val="24"/>
          <w:szCs w:val="24"/>
        </w:rPr>
        <w:t xml:space="preserve">Participantes </w:t>
      </w:r>
    </w:p>
    <w:p w:rsidR="00E3375B" w:rsidRDefault="00E3375B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investigación han participado 443 estudiantes de tres universidades colombianas: </w:t>
      </w:r>
      <w:r w:rsidRPr="007C2D6F">
        <w:rPr>
          <w:rFonts w:ascii="Times New Roman" w:hAnsi="Times New Roman" w:cs="Times New Roman"/>
          <w:sz w:val="24"/>
          <w:szCs w:val="24"/>
        </w:rPr>
        <w:t>Universidad Nacional de Colombia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2D6F">
        <w:rPr>
          <w:rFonts w:ascii="Times New Roman" w:hAnsi="Times New Roman" w:cs="Times New Roman"/>
          <w:sz w:val="24"/>
          <w:szCs w:val="24"/>
        </w:rPr>
        <w:t xml:space="preserve">Universidad </w:t>
      </w:r>
      <w:r w:rsidRPr="001C0FF6">
        <w:rPr>
          <w:rFonts w:ascii="Times New Roman" w:hAnsi="Times New Roman" w:cs="Times New Roman"/>
          <w:sz w:val="24"/>
          <w:szCs w:val="24"/>
        </w:rPr>
        <w:t>Pedagógica Nacional de Colombia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FF6">
        <w:rPr>
          <w:rFonts w:ascii="Times New Roman" w:hAnsi="Times New Roman" w:cs="Times New Roman"/>
          <w:sz w:val="24"/>
          <w:szCs w:val="24"/>
        </w:rPr>
        <w:t>Universidad Dis</w:t>
      </w:r>
      <w:r>
        <w:rPr>
          <w:rFonts w:ascii="Times New Roman" w:hAnsi="Times New Roman" w:cs="Times New Roman"/>
          <w:sz w:val="24"/>
          <w:szCs w:val="24"/>
        </w:rPr>
        <w:t>trital Francisco José de Caldas</w:t>
      </w:r>
      <w:r w:rsidRPr="001C0F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28.4% son hombres y el 71.6% mujeres, con una edad media de 20.64 años (DT = 3.911). En la Tabla 1 se resumen las características de los y las participantes en el estudio. </w:t>
      </w:r>
    </w:p>
    <w:p w:rsidR="005B4F51" w:rsidRDefault="00E3375B" w:rsidP="009C476C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E6EB2">
        <w:rPr>
          <w:rFonts w:ascii="Times New Roman" w:hAnsi="Times New Roman" w:cs="Times New Roman"/>
          <w:sz w:val="24"/>
          <w:szCs w:val="24"/>
        </w:rPr>
        <w:t>Tabla 1</w:t>
      </w:r>
    </w:p>
    <w:p w:rsidR="00E3375B" w:rsidRPr="00994493" w:rsidRDefault="00E3375B" w:rsidP="009C476C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49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Características de la muestra 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969"/>
        <w:gridCol w:w="1276"/>
        <w:gridCol w:w="1418"/>
        <w:gridCol w:w="1842"/>
      </w:tblGrid>
      <w:tr w:rsidR="00E3375B" w:rsidRPr="009C476C" w:rsidTr="00EF3961">
        <w:trPr>
          <w:cnfStyle w:val="100000000000"/>
          <w:trHeight w:val="340"/>
          <w:tblHeader/>
        </w:trPr>
        <w:tc>
          <w:tcPr>
            <w:cnfStyle w:val="001000000000"/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spacing w:before="240"/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Media (DT)</w:t>
            </w: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Género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Masculino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28.4%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Femenino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71.6%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Edad media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20.64 (3.911)</w:t>
            </w: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Situación sentimental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Con pareja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54.4%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Sin pareja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45.6%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Edad a la que se tuvo pareja por 1ª vez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15.48 (2.173)</w:t>
            </w: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Estilo educativo de la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Democrático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39.3%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Autoritario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38.1%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Permisivo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22.6%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Situación económica de la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Trabaja uno de los padres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37.5%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Trabajan ambos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55.5%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trHeight w:val="340"/>
        </w:trPr>
        <w:tc>
          <w:tcPr>
            <w:cnfStyle w:val="001000000000"/>
            <w:tcW w:w="3969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Trabajan otros familiares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3.6%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75B" w:rsidRPr="009C476C" w:rsidTr="00EF3961">
        <w:trPr>
          <w:cnfStyle w:val="000000100000"/>
          <w:trHeight w:val="340"/>
        </w:trPr>
        <w:tc>
          <w:tcPr>
            <w:cnfStyle w:val="001000000000"/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left="318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 w:val="0"/>
                <w:sz w:val="20"/>
                <w:szCs w:val="20"/>
              </w:rPr>
              <w:t>No trabaja ninguno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3.4%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75B" w:rsidRPr="009C476C" w:rsidRDefault="00E3375B" w:rsidP="009C476C">
            <w:pPr>
              <w:ind w:right="-1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75B" w:rsidRPr="00F30260" w:rsidRDefault="00E3375B" w:rsidP="009C476C">
      <w:pPr>
        <w:spacing w:before="240" w:after="0" w:line="240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0260">
        <w:rPr>
          <w:rFonts w:ascii="Times New Roman" w:hAnsi="Times New Roman" w:cs="Times New Roman"/>
          <w:b/>
          <w:i/>
          <w:sz w:val="24"/>
          <w:szCs w:val="24"/>
        </w:rPr>
        <w:t>Procedimiento</w:t>
      </w:r>
    </w:p>
    <w:p w:rsidR="00E3375B" w:rsidRDefault="00E3375B" w:rsidP="009C476C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equipo de investigación elaboró un informe con los objetivos del estudio y se puso en contacto con las universidades. La información se recabó a través de un cuestionario </w:t>
      </w:r>
      <w:r w:rsidRPr="004E3F65">
        <w:rPr>
          <w:rFonts w:ascii="Times New Roman" w:hAnsi="Times New Roman" w:cs="Times New Roman"/>
          <w:sz w:val="24"/>
          <w:szCs w:val="24"/>
        </w:rPr>
        <w:t>autoaplicado</w:t>
      </w:r>
      <w:r w:rsidR="00FE05CA">
        <w:rPr>
          <w:rFonts w:ascii="Times New Roman" w:hAnsi="Times New Roman" w:cs="Times New Roman"/>
          <w:sz w:val="24"/>
          <w:szCs w:val="24"/>
        </w:rPr>
        <w:t xml:space="preserve"> compuesto por diferentes instrumentos y escalas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7F50">
        <w:rPr>
          <w:rFonts w:ascii="Times New Roman" w:hAnsi="Times New Roman" w:cs="Times New Roman"/>
          <w:sz w:val="24"/>
          <w:szCs w:val="24"/>
        </w:rPr>
        <w:t xml:space="preserve">Se informó a los </w:t>
      </w:r>
      <w:r>
        <w:rPr>
          <w:rFonts w:ascii="Times New Roman" w:hAnsi="Times New Roman" w:cs="Times New Roman"/>
          <w:sz w:val="24"/>
          <w:szCs w:val="24"/>
        </w:rPr>
        <w:t xml:space="preserve">y las </w:t>
      </w:r>
      <w:r w:rsidR="00C87F50">
        <w:rPr>
          <w:rFonts w:ascii="Times New Roman" w:hAnsi="Times New Roman" w:cs="Times New Roman"/>
          <w:sz w:val="24"/>
          <w:szCs w:val="24"/>
        </w:rPr>
        <w:t>participantes</w:t>
      </w:r>
      <w:r>
        <w:rPr>
          <w:rFonts w:ascii="Times New Roman" w:hAnsi="Times New Roman" w:cs="Times New Roman"/>
          <w:sz w:val="24"/>
          <w:szCs w:val="24"/>
        </w:rPr>
        <w:t xml:space="preserve"> de las características de la investigación</w:t>
      </w:r>
      <w:r w:rsidR="00C87F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quienes decidieron participar, lo hicieron de forma voluntaria</w:t>
      </w:r>
      <w:r w:rsidR="00FE05CA">
        <w:rPr>
          <w:rFonts w:ascii="Times New Roman" w:hAnsi="Times New Roman" w:cs="Times New Roman"/>
          <w:sz w:val="24"/>
          <w:szCs w:val="24"/>
        </w:rPr>
        <w:t xml:space="preserve"> y anónima.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75B" w:rsidRDefault="00E3375B" w:rsidP="009C476C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0260">
        <w:rPr>
          <w:rFonts w:ascii="Times New Roman" w:hAnsi="Times New Roman" w:cs="Times New Roman"/>
          <w:b/>
          <w:i/>
          <w:sz w:val="24"/>
          <w:szCs w:val="24"/>
        </w:rPr>
        <w:t>Instrumento</w:t>
      </w:r>
    </w:p>
    <w:p w:rsidR="00E3375B" w:rsidRDefault="00E3375B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instrumento estuvo compuesto por los siguientes apartados: </w:t>
      </w:r>
    </w:p>
    <w:p w:rsidR="00E3375B" w:rsidRDefault="00E3375B" w:rsidP="009C476C">
      <w:pPr>
        <w:pStyle w:val="Prrafodelista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79D5">
        <w:rPr>
          <w:rFonts w:ascii="Times New Roman" w:hAnsi="Times New Roman" w:cs="Times New Roman"/>
          <w:i/>
          <w:sz w:val="24"/>
          <w:szCs w:val="24"/>
        </w:rPr>
        <w:t>Características sociodemográficas</w:t>
      </w:r>
      <w:r>
        <w:rPr>
          <w:rFonts w:ascii="Times New Roman" w:hAnsi="Times New Roman" w:cs="Times New Roman"/>
          <w:sz w:val="24"/>
          <w:szCs w:val="24"/>
        </w:rPr>
        <w:t>: sexo,</w:t>
      </w:r>
      <w:r w:rsidRPr="00F30260">
        <w:rPr>
          <w:rFonts w:ascii="Times New Roman" w:hAnsi="Times New Roman" w:cs="Times New Roman"/>
          <w:sz w:val="24"/>
          <w:szCs w:val="24"/>
        </w:rPr>
        <w:t xml:space="preserve"> edad, </w:t>
      </w:r>
      <w:r w:rsidR="00FE05CA">
        <w:rPr>
          <w:rFonts w:ascii="Times New Roman" w:hAnsi="Times New Roman" w:cs="Times New Roman"/>
          <w:sz w:val="24"/>
          <w:szCs w:val="24"/>
        </w:rPr>
        <w:t xml:space="preserve">clase social, </w:t>
      </w:r>
      <w:r w:rsidRPr="00F30260">
        <w:rPr>
          <w:rFonts w:ascii="Times New Roman" w:hAnsi="Times New Roman" w:cs="Times New Roman"/>
          <w:sz w:val="24"/>
          <w:szCs w:val="24"/>
        </w:rPr>
        <w:t>situación sentimental</w:t>
      </w:r>
      <w:r>
        <w:rPr>
          <w:rFonts w:ascii="Times New Roman" w:hAnsi="Times New Roman" w:cs="Times New Roman"/>
          <w:sz w:val="24"/>
          <w:szCs w:val="24"/>
        </w:rPr>
        <w:t xml:space="preserve">, orientación política, religiosidad, etc. </w:t>
      </w:r>
      <w:r w:rsidR="00FE0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75B" w:rsidRDefault="00E3375B" w:rsidP="009C476C">
      <w:pPr>
        <w:pStyle w:val="Prrafodelista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5A3">
        <w:rPr>
          <w:rFonts w:ascii="Times New Roman" w:hAnsi="Times New Roman" w:cs="Times New Roman"/>
          <w:i/>
          <w:sz w:val="24"/>
          <w:szCs w:val="24"/>
        </w:rPr>
        <w:t xml:space="preserve">Versión modificada de la Conflicts Tactics Scale </w:t>
      </w:r>
      <w:r w:rsidRPr="0079147C">
        <w:rPr>
          <w:rFonts w:ascii="Times New Roman" w:hAnsi="Times New Roman" w:cs="Times New Roman"/>
          <w:sz w:val="24"/>
          <w:szCs w:val="24"/>
        </w:rPr>
        <w:t xml:space="preserve">(M-CTS). </w:t>
      </w:r>
      <w:r>
        <w:rPr>
          <w:rFonts w:ascii="Times New Roman" w:hAnsi="Times New Roman" w:cs="Times New Roman"/>
          <w:sz w:val="24"/>
          <w:szCs w:val="24"/>
        </w:rPr>
        <w:t xml:space="preserve">Se utilizó la versión </w:t>
      </w:r>
      <w:r w:rsidRPr="009345A3">
        <w:rPr>
          <w:rFonts w:ascii="Times New Roman" w:hAnsi="Times New Roman" w:cs="Times New Roman"/>
          <w:sz w:val="24"/>
          <w:szCs w:val="24"/>
        </w:rPr>
        <w:t xml:space="preserve">adaptada al castellano y validada con población joven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345A3">
        <w:rPr>
          <w:rFonts w:ascii="Times New Roman" w:hAnsi="Times New Roman" w:cs="Times New Roman"/>
          <w:sz w:val="24"/>
          <w:szCs w:val="24"/>
        </w:rPr>
        <w:t>Muñoz-Rivas e</w:t>
      </w:r>
      <w:r>
        <w:rPr>
          <w:rFonts w:ascii="Times New Roman" w:hAnsi="Times New Roman" w:cs="Times New Roman"/>
          <w:sz w:val="24"/>
          <w:szCs w:val="24"/>
        </w:rPr>
        <w:t xml:space="preserve">t al., </w:t>
      </w:r>
      <w:r w:rsidRPr="009345A3">
        <w:rPr>
          <w:rFonts w:ascii="Times New Roman" w:hAnsi="Times New Roman" w:cs="Times New Roman"/>
          <w:sz w:val="24"/>
          <w:szCs w:val="24"/>
        </w:rPr>
        <w:t xml:space="preserve">2007). </w:t>
      </w:r>
      <w:r>
        <w:rPr>
          <w:rFonts w:ascii="Times New Roman" w:hAnsi="Times New Roman" w:cs="Times New Roman"/>
          <w:sz w:val="24"/>
          <w:szCs w:val="24"/>
        </w:rPr>
        <w:t>Esta escala está compuesta por</w:t>
      </w:r>
      <w:r w:rsidRPr="009345A3">
        <w:rPr>
          <w:rFonts w:ascii="Times New Roman" w:hAnsi="Times New Roman" w:cs="Times New Roman"/>
          <w:sz w:val="24"/>
          <w:szCs w:val="24"/>
        </w:rPr>
        <w:t xml:space="preserve"> 18 ítems bidireccionales (agresor y víctima) y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9345A3">
        <w:rPr>
          <w:rFonts w:ascii="Times New Roman" w:hAnsi="Times New Roman" w:cs="Times New Roman"/>
          <w:sz w:val="24"/>
          <w:szCs w:val="24"/>
        </w:rPr>
        <w:t xml:space="preserve"> articulada e</w:t>
      </w:r>
      <w:r w:rsidR="00F44333">
        <w:rPr>
          <w:rFonts w:ascii="Times New Roman" w:hAnsi="Times New Roman" w:cs="Times New Roman"/>
          <w:sz w:val="24"/>
          <w:szCs w:val="24"/>
        </w:rPr>
        <w:t>n un formato de respuesta tipo L</w:t>
      </w:r>
      <w:r w:rsidRPr="009345A3">
        <w:rPr>
          <w:rFonts w:ascii="Times New Roman" w:hAnsi="Times New Roman" w:cs="Times New Roman"/>
          <w:sz w:val="24"/>
          <w:szCs w:val="24"/>
        </w:rPr>
        <w:t>ikert</w:t>
      </w:r>
      <w:r>
        <w:rPr>
          <w:rFonts w:ascii="Times New Roman" w:hAnsi="Times New Roman" w:cs="Times New Roman"/>
          <w:sz w:val="24"/>
          <w:szCs w:val="24"/>
        </w:rPr>
        <w:t xml:space="preserve"> de 1 (</w:t>
      </w:r>
      <w:r w:rsidRPr="009345A3">
        <w:rPr>
          <w:rFonts w:ascii="Times New Roman" w:hAnsi="Times New Roman" w:cs="Times New Roman"/>
          <w:sz w:val="24"/>
          <w:szCs w:val="24"/>
        </w:rPr>
        <w:t>nunca</w:t>
      </w:r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Pr="009345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45A3">
        <w:rPr>
          <w:rFonts w:ascii="Times New Roman" w:hAnsi="Times New Roman" w:cs="Times New Roman"/>
          <w:sz w:val="24"/>
          <w:szCs w:val="24"/>
        </w:rPr>
        <w:t>muy a menudo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45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escala se divide en cuatro dimensiones: argumentación, agresión psicológica, agresión física media y agresión física grave. En este estudio se han utilizado las tres últimas, esto es, las relativas a la violencia en las relaciones de pareja.</w:t>
      </w:r>
      <w:r w:rsidRPr="00934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coeficientes de fiabilidad obtenidos han sido adecuados: </w:t>
      </w:r>
      <w:r w:rsidRPr="009345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9345A3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5B4F51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escala de</w:t>
      </w:r>
      <w:r w:rsidRPr="009345A3">
        <w:rPr>
          <w:rFonts w:ascii="Times New Roman" w:hAnsi="Times New Roman" w:cs="Times New Roman"/>
          <w:sz w:val="24"/>
          <w:szCs w:val="24"/>
        </w:rPr>
        <w:t xml:space="preserve"> </w:t>
      </w:r>
      <w:r w:rsidRPr="0079147C">
        <w:rPr>
          <w:rFonts w:ascii="Times New Roman" w:hAnsi="Times New Roman" w:cs="Times New Roman"/>
          <w:sz w:val="24"/>
          <w:szCs w:val="24"/>
        </w:rPr>
        <w:t>agresores</w:t>
      </w:r>
      <w:r w:rsidRPr="009345A3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.86</w:t>
      </w:r>
      <w:r w:rsidRPr="009345A3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5B4F51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 xml:space="preserve">escala de </w:t>
      </w:r>
      <w:r w:rsidRPr="0079147C">
        <w:rPr>
          <w:rFonts w:ascii="Times New Roman" w:hAnsi="Times New Roman" w:cs="Times New Roman"/>
          <w:sz w:val="24"/>
          <w:szCs w:val="24"/>
        </w:rPr>
        <w:t>víctimas</w:t>
      </w:r>
      <w:r w:rsidRPr="009345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75B" w:rsidRPr="00927CCD" w:rsidRDefault="00195754" w:rsidP="009C476C">
      <w:pPr>
        <w:pStyle w:val="Prrafodelista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CCD">
        <w:rPr>
          <w:rFonts w:ascii="Times New Roman" w:hAnsi="Times New Roman" w:cs="Times New Roman"/>
          <w:i/>
          <w:sz w:val="24"/>
          <w:szCs w:val="24"/>
        </w:rPr>
        <w:lastRenderedPageBreak/>
        <w:t>V</w:t>
      </w:r>
      <w:r w:rsidR="00E3375B" w:rsidRPr="00927CCD">
        <w:rPr>
          <w:rFonts w:ascii="Times New Roman" w:hAnsi="Times New Roman" w:cs="Times New Roman"/>
          <w:i/>
          <w:sz w:val="24"/>
          <w:szCs w:val="24"/>
        </w:rPr>
        <w:t>iolencia de género</w:t>
      </w:r>
      <w:r w:rsidRPr="00927CCD">
        <w:rPr>
          <w:rFonts w:ascii="Times New Roman" w:hAnsi="Times New Roman" w:cs="Times New Roman"/>
          <w:i/>
          <w:sz w:val="24"/>
          <w:szCs w:val="24"/>
        </w:rPr>
        <w:t xml:space="preserve"> en el entorno cercano</w:t>
      </w:r>
      <w:r w:rsidR="00E3375B" w:rsidRPr="00927CCD">
        <w:rPr>
          <w:rFonts w:ascii="Times New Roman" w:hAnsi="Times New Roman" w:cs="Times New Roman"/>
          <w:sz w:val="24"/>
          <w:szCs w:val="24"/>
        </w:rPr>
        <w:t>. La información acerca de esta cuestión se recogió a través de una pregunta elaborada para tal fin (</w:t>
      </w:r>
      <w:r w:rsidR="00E3375B" w:rsidRPr="00927CCD">
        <w:rPr>
          <w:rFonts w:ascii="Times New Roman" w:hAnsi="Times New Roman" w:cs="Times New Roman"/>
          <w:i/>
          <w:sz w:val="24"/>
          <w:szCs w:val="24"/>
        </w:rPr>
        <w:t>ad hoc</w:t>
      </w:r>
      <w:r w:rsidR="00E3375B" w:rsidRPr="00927CCD">
        <w:rPr>
          <w:rFonts w:ascii="Times New Roman" w:hAnsi="Times New Roman" w:cs="Times New Roman"/>
          <w:sz w:val="24"/>
          <w:szCs w:val="24"/>
        </w:rPr>
        <w:t>): “¿Alguien de tu entorno cercano ha sufrido violencia de género?”. El rango de respuesta fue dicotómico (Sí/No). El 67.9% de lo</w:t>
      </w:r>
      <w:r w:rsidR="00927CCD" w:rsidRPr="00927CCD">
        <w:rPr>
          <w:rFonts w:ascii="Times New Roman" w:hAnsi="Times New Roman" w:cs="Times New Roman"/>
          <w:sz w:val="24"/>
          <w:szCs w:val="24"/>
        </w:rPr>
        <w:t>s y las participantes expuso</w:t>
      </w:r>
      <w:r w:rsidR="00E3375B" w:rsidRPr="00927CCD">
        <w:rPr>
          <w:rFonts w:ascii="Times New Roman" w:hAnsi="Times New Roman" w:cs="Times New Roman"/>
          <w:sz w:val="24"/>
          <w:szCs w:val="24"/>
        </w:rPr>
        <w:t xml:space="preserve"> que alguie</w:t>
      </w:r>
      <w:r w:rsidR="005B4F51" w:rsidRPr="00927CCD">
        <w:rPr>
          <w:rFonts w:ascii="Times New Roman" w:hAnsi="Times New Roman" w:cs="Times New Roman"/>
          <w:sz w:val="24"/>
          <w:szCs w:val="24"/>
        </w:rPr>
        <w:t>n de su entorno había sufrido</w:t>
      </w:r>
      <w:r w:rsidR="00E3375B" w:rsidRPr="00927CCD">
        <w:rPr>
          <w:rFonts w:ascii="Times New Roman" w:hAnsi="Times New Roman" w:cs="Times New Roman"/>
          <w:sz w:val="24"/>
          <w:szCs w:val="24"/>
        </w:rPr>
        <w:t xml:space="preserve"> violencia de género.</w:t>
      </w:r>
      <w:r w:rsidR="00927CCD" w:rsidRPr="00927CCD">
        <w:rPr>
          <w:rFonts w:ascii="Times New Roman" w:hAnsi="Times New Roman" w:cs="Times New Roman"/>
          <w:sz w:val="24"/>
          <w:szCs w:val="24"/>
        </w:rPr>
        <w:t xml:space="preserve"> </w:t>
      </w:r>
      <w:r w:rsidR="00E53BDD">
        <w:rPr>
          <w:rFonts w:ascii="Times New Roman" w:hAnsi="Times New Roman" w:cs="Times New Roman"/>
          <w:sz w:val="24"/>
          <w:szCs w:val="24"/>
        </w:rPr>
        <w:t>Además, b</w:t>
      </w:r>
      <w:r w:rsidR="00927CCD" w:rsidRPr="00927CCD">
        <w:rPr>
          <w:rFonts w:ascii="Times New Roman" w:hAnsi="Times New Roman" w:cs="Times New Roman"/>
          <w:sz w:val="24"/>
          <w:szCs w:val="24"/>
        </w:rPr>
        <w:t xml:space="preserve">uena parte de la muestra manifiesta que su madre (41.3%) o una mujer conocida (61.2%) han sido víctimas de agresiones físicas o psicológicas. </w:t>
      </w:r>
      <w:r w:rsidR="00E3375B" w:rsidRPr="00927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75B" w:rsidRPr="006841C5" w:rsidRDefault="00E3375B" w:rsidP="009C476C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1C5">
        <w:rPr>
          <w:rFonts w:ascii="Times New Roman" w:hAnsi="Times New Roman" w:cs="Times New Roman"/>
          <w:b/>
          <w:i/>
          <w:sz w:val="24"/>
          <w:szCs w:val="24"/>
        </w:rPr>
        <w:t>Análisis</w:t>
      </w:r>
    </w:p>
    <w:p w:rsidR="00E3375B" w:rsidRDefault="00E3375B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utilizó</w:t>
      </w:r>
      <w:r w:rsidRPr="00FA44D2">
        <w:rPr>
          <w:rFonts w:ascii="Times New Roman" w:hAnsi="Times New Roman" w:cs="Times New Roman"/>
          <w:sz w:val="24"/>
          <w:szCs w:val="24"/>
        </w:rPr>
        <w:t xml:space="preserve"> el programa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estadístico </w:t>
      </w:r>
      <w:r w:rsidRPr="00FA44D2">
        <w:rPr>
          <w:rFonts w:ascii="Times New Roman" w:hAnsi="Times New Roman" w:cs="Times New Roman"/>
          <w:sz w:val="24"/>
          <w:szCs w:val="24"/>
        </w:rPr>
        <w:t>SPSS (IBM SPSS Statistics 22.0)</w:t>
      </w:r>
      <w:r>
        <w:rPr>
          <w:rFonts w:ascii="Times New Roman" w:hAnsi="Times New Roman" w:cs="Times New Roman"/>
          <w:sz w:val="24"/>
          <w:szCs w:val="24"/>
        </w:rPr>
        <w:t xml:space="preserve"> para el procesamiento de los datos. Para calcular la prevalencia de la violencia en las relaciones de pareja, se recodificaron las variables del M-CTS y se agruparon los valores de respuesta en dos categorías: nunca (valor 1) y alguna vez (valores 2, 3, 4 y 5). La frecuencia de la violencia se calculó mediante la media y la desviación típica. Para calcular las diferencias entre grupos, se utilizaron los estadísticos </w:t>
      </w:r>
      <w:r w:rsidRPr="00C51BAA">
        <w:rPr>
          <w:rFonts w:ascii="Times New Roman" w:hAnsi="Times New Roman" w:cs="Times New Roman"/>
          <w:sz w:val="24"/>
          <w:szCs w:val="24"/>
        </w:rPr>
        <w:t>Chi-cuadrado y T de Student</w:t>
      </w:r>
      <w:r w:rsidRPr="00C51BAA">
        <w:rPr>
          <w:rFonts w:ascii="Times New Roman" w:hAnsi="Times New Roman" w:cs="Times New Roman"/>
          <w:sz w:val="24"/>
          <w:szCs w:val="24"/>
          <w:lang w:val="es-ES_tradnl"/>
        </w:rPr>
        <w:t xml:space="preserve"> para muestras independientes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FA44D2">
        <w:rPr>
          <w:rFonts w:ascii="Times New Roman" w:hAnsi="Times New Roman" w:cs="Times New Roman"/>
          <w:sz w:val="24"/>
          <w:szCs w:val="24"/>
        </w:rPr>
        <w:t>Para considerar un resultado estadística</w:t>
      </w:r>
      <w:r>
        <w:rPr>
          <w:rFonts w:ascii="Times New Roman" w:hAnsi="Times New Roman" w:cs="Times New Roman"/>
          <w:sz w:val="24"/>
          <w:szCs w:val="24"/>
        </w:rPr>
        <w:t>mente significativo se adoptó un</w:t>
      </w:r>
      <w:r w:rsidRPr="00FA44D2">
        <w:rPr>
          <w:rFonts w:ascii="Times New Roman" w:hAnsi="Times New Roman" w:cs="Times New Roman"/>
          <w:sz w:val="24"/>
          <w:szCs w:val="24"/>
        </w:rPr>
        <w:t>a probabilidad de cometer un error tipo I de p ≤ .05</w:t>
      </w:r>
      <w:r>
        <w:rPr>
          <w:rFonts w:ascii="Times New Roman" w:hAnsi="Times New Roman" w:cs="Times New Roman"/>
          <w:sz w:val="24"/>
          <w:szCs w:val="24"/>
        </w:rPr>
        <w:t xml:space="preserve">. El análisis del riesgo </w:t>
      </w:r>
      <w:r w:rsidR="005B4F51">
        <w:rPr>
          <w:rFonts w:ascii="Times New Roman" w:hAnsi="Times New Roman" w:cs="Times New Roman"/>
          <w:sz w:val="24"/>
          <w:szCs w:val="24"/>
        </w:rPr>
        <w:t xml:space="preserve">se realizó mediante Odds ratio, </w:t>
      </w:r>
      <w:r w:rsidR="00F44333">
        <w:rPr>
          <w:rFonts w:ascii="Times New Roman" w:hAnsi="Times New Roman" w:cs="Times New Roman"/>
          <w:sz w:val="24"/>
          <w:szCs w:val="24"/>
        </w:rPr>
        <w:t>con</w:t>
      </w:r>
      <w:r w:rsidR="005B4F51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intervalo de confianza </w:t>
      </w:r>
      <w:r w:rsidR="005B4F51">
        <w:rPr>
          <w:rFonts w:ascii="Times New Roman" w:hAnsi="Times New Roman" w:cs="Times New Roman"/>
          <w:sz w:val="24"/>
          <w:szCs w:val="24"/>
        </w:rPr>
        <w:t>del 95%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75B" w:rsidRPr="00505D21" w:rsidRDefault="00E3375B" w:rsidP="009C476C">
      <w:pPr>
        <w:spacing w:before="24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D21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664D16" w:rsidRDefault="00E3375B" w:rsidP="009C476C">
      <w:pPr>
        <w:spacing w:before="24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prevalencia del maltrato en las relaciones de pareja se ve</w:t>
      </w:r>
      <w:r w:rsidR="00905C42">
        <w:rPr>
          <w:rFonts w:ascii="Times New Roman" w:hAnsi="Times New Roman" w:cs="Times New Roman"/>
          <w:sz w:val="24"/>
          <w:szCs w:val="24"/>
        </w:rPr>
        <w:t>ría</w:t>
      </w:r>
      <w:r>
        <w:rPr>
          <w:rFonts w:ascii="Times New Roman" w:hAnsi="Times New Roman" w:cs="Times New Roman"/>
          <w:sz w:val="24"/>
          <w:szCs w:val="24"/>
        </w:rPr>
        <w:t xml:space="preserve"> afectada por la </w:t>
      </w:r>
      <w:r w:rsidR="00FE05CA">
        <w:rPr>
          <w:rFonts w:ascii="Times New Roman" w:hAnsi="Times New Roman" w:cs="Times New Roman"/>
          <w:sz w:val="24"/>
          <w:szCs w:val="24"/>
        </w:rPr>
        <w:t>ocurrencia de</w:t>
      </w:r>
      <w:r>
        <w:rPr>
          <w:rFonts w:ascii="Times New Roman" w:hAnsi="Times New Roman" w:cs="Times New Roman"/>
          <w:sz w:val="24"/>
          <w:szCs w:val="24"/>
        </w:rPr>
        <w:t xml:space="preserve"> violencia de género en el entorno cercano (véase Tabla 2). Las personas en cuyo entorno se han dado casos de violencia de género tienen un mayor riesgo de ser víctimas y/o agresores en sus actuales relaciones de pareja. </w:t>
      </w:r>
      <w:r w:rsidR="00BC58D7">
        <w:rPr>
          <w:rFonts w:ascii="Times New Roman" w:hAnsi="Times New Roman" w:cs="Times New Roman"/>
          <w:sz w:val="24"/>
          <w:szCs w:val="24"/>
        </w:rPr>
        <w:t>Por un lado, en cuanto a la victimización, e</w:t>
      </w:r>
      <w:r w:rsidR="00C25276">
        <w:rPr>
          <w:rFonts w:ascii="Times New Roman" w:hAnsi="Times New Roman" w:cs="Times New Roman"/>
          <w:sz w:val="24"/>
          <w:szCs w:val="24"/>
        </w:rPr>
        <w:t xml:space="preserve">stas personas han sufrido en mayor proporción agresiones psicológicas –como insultos, maldiciones y otras palabras para </w:t>
      </w:r>
      <w:r w:rsidR="000F30D1">
        <w:rPr>
          <w:rFonts w:ascii="Times New Roman" w:hAnsi="Times New Roman" w:cs="Times New Roman"/>
          <w:sz w:val="24"/>
          <w:szCs w:val="24"/>
        </w:rPr>
        <w:t>molestar</w:t>
      </w:r>
      <w:r w:rsidR="00C25276">
        <w:rPr>
          <w:rFonts w:ascii="Times New Roman" w:hAnsi="Times New Roman" w:cs="Times New Roman"/>
          <w:sz w:val="24"/>
          <w:szCs w:val="24"/>
        </w:rPr>
        <w:t>– y agresiones físicas –como empujones, inmovilizaciones físicas, bofetadas, golpes y mordiscos–</w:t>
      </w:r>
      <w:r w:rsidR="00195754">
        <w:rPr>
          <w:rFonts w:ascii="Times New Roman" w:hAnsi="Times New Roman" w:cs="Times New Roman"/>
          <w:sz w:val="24"/>
          <w:szCs w:val="24"/>
        </w:rPr>
        <w:t xml:space="preserve"> por parte de su pareja</w:t>
      </w:r>
      <w:r w:rsidR="00BC58D7">
        <w:rPr>
          <w:rFonts w:ascii="Times New Roman" w:hAnsi="Times New Roman" w:cs="Times New Roman"/>
          <w:sz w:val="24"/>
          <w:szCs w:val="24"/>
        </w:rPr>
        <w:t xml:space="preserve"> y</w:t>
      </w:r>
      <w:r w:rsidR="00195754">
        <w:rPr>
          <w:rFonts w:ascii="Times New Roman" w:hAnsi="Times New Roman" w:cs="Times New Roman"/>
          <w:sz w:val="24"/>
          <w:szCs w:val="24"/>
        </w:rPr>
        <w:t xml:space="preserve"> </w:t>
      </w:r>
      <w:r w:rsidR="00BC58D7">
        <w:rPr>
          <w:rFonts w:ascii="Times New Roman" w:hAnsi="Times New Roman" w:cs="Times New Roman"/>
          <w:sz w:val="24"/>
          <w:szCs w:val="24"/>
        </w:rPr>
        <w:t>tienen un mayor riesgo de ser víctimas</w:t>
      </w:r>
      <w:r w:rsidR="00195754">
        <w:rPr>
          <w:rFonts w:ascii="Times New Roman" w:hAnsi="Times New Roman" w:cs="Times New Roman"/>
          <w:sz w:val="24"/>
          <w:szCs w:val="24"/>
        </w:rPr>
        <w:t xml:space="preserve"> (OR, IC 95%)</w:t>
      </w:r>
      <w:r w:rsidR="00C25276">
        <w:rPr>
          <w:rFonts w:ascii="Times New Roman" w:hAnsi="Times New Roman" w:cs="Times New Roman"/>
          <w:sz w:val="24"/>
          <w:szCs w:val="24"/>
        </w:rPr>
        <w:t xml:space="preserve">. </w:t>
      </w:r>
      <w:r w:rsidR="00BC58D7">
        <w:rPr>
          <w:rFonts w:ascii="Times New Roman" w:hAnsi="Times New Roman" w:cs="Times New Roman"/>
          <w:sz w:val="24"/>
          <w:szCs w:val="24"/>
        </w:rPr>
        <w:t>Por otro lado, e</w:t>
      </w:r>
      <w:r w:rsidR="00905C42">
        <w:rPr>
          <w:rFonts w:ascii="Times New Roman" w:hAnsi="Times New Roman" w:cs="Times New Roman"/>
          <w:sz w:val="24"/>
          <w:szCs w:val="24"/>
        </w:rPr>
        <w:t>n cuanto a la</w:t>
      </w:r>
      <w:r w:rsidR="007950D8">
        <w:rPr>
          <w:rFonts w:ascii="Times New Roman" w:hAnsi="Times New Roman" w:cs="Times New Roman"/>
          <w:sz w:val="24"/>
          <w:szCs w:val="24"/>
        </w:rPr>
        <w:t xml:space="preserve"> </w:t>
      </w:r>
      <w:r w:rsidR="005F240F">
        <w:rPr>
          <w:rFonts w:ascii="Times New Roman" w:hAnsi="Times New Roman" w:cs="Times New Roman"/>
          <w:sz w:val="24"/>
          <w:szCs w:val="24"/>
        </w:rPr>
        <w:t>perpetración</w:t>
      </w:r>
      <w:r w:rsidR="007950D8">
        <w:rPr>
          <w:rFonts w:ascii="Times New Roman" w:hAnsi="Times New Roman" w:cs="Times New Roman"/>
          <w:sz w:val="24"/>
          <w:szCs w:val="24"/>
        </w:rPr>
        <w:t xml:space="preserve"> o</w:t>
      </w:r>
      <w:r w:rsidR="00905C42">
        <w:rPr>
          <w:rFonts w:ascii="Times New Roman" w:hAnsi="Times New Roman" w:cs="Times New Roman"/>
          <w:sz w:val="24"/>
          <w:szCs w:val="24"/>
        </w:rPr>
        <w:t xml:space="preserve"> violencia ejercida contra la pareja, nuevamente se dan diferencias estadísticamente signi</w:t>
      </w:r>
      <w:r w:rsidR="00112AB9">
        <w:rPr>
          <w:rFonts w:ascii="Times New Roman" w:hAnsi="Times New Roman" w:cs="Times New Roman"/>
          <w:sz w:val="24"/>
          <w:szCs w:val="24"/>
        </w:rPr>
        <w:t>ficativas</w:t>
      </w:r>
      <w:r w:rsidR="00195754">
        <w:rPr>
          <w:rFonts w:ascii="Times New Roman" w:hAnsi="Times New Roman" w:cs="Times New Roman"/>
          <w:sz w:val="24"/>
          <w:szCs w:val="24"/>
        </w:rPr>
        <w:t xml:space="preserve"> en la muestra de estudio</w:t>
      </w:r>
      <w:r w:rsidR="00112AB9">
        <w:rPr>
          <w:rFonts w:ascii="Times New Roman" w:hAnsi="Times New Roman" w:cs="Times New Roman"/>
          <w:sz w:val="24"/>
          <w:szCs w:val="24"/>
        </w:rPr>
        <w:t xml:space="preserve">. Las personas </w:t>
      </w:r>
      <w:r w:rsidR="00D9131E">
        <w:rPr>
          <w:rFonts w:ascii="Times New Roman" w:hAnsi="Times New Roman" w:cs="Times New Roman"/>
          <w:sz w:val="24"/>
          <w:szCs w:val="24"/>
        </w:rPr>
        <w:t>que informan de violencia de género en su entorno cercano</w:t>
      </w:r>
      <w:r w:rsidR="00BC58D7">
        <w:rPr>
          <w:rFonts w:ascii="Times New Roman" w:hAnsi="Times New Roman" w:cs="Times New Roman"/>
          <w:sz w:val="24"/>
          <w:szCs w:val="24"/>
        </w:rPr>
        <w:t>, en comparación con las que no,</w:t>
      </w:r>
      <w:r w:rsidR="00112AB9">
        <w:rPr>
          <w:rFonts w:ascii="Times New Roman" w:hAnsi="Times New Roman" w:cs="Times New Roman"/>
          <w:sz w:val="24"/>
          <w:szCs w:val="24"/>
        </w:rPr>
        <w:t xml:space="preserve"> </w:t>
      </w:r>
      <w:r w:rsidR="00BC58D7">
        <w:rPr>
          <w:rFonts w:ascii="Times New Roman" w:hAnsi="Times New Roman" w:cs="Times New Roman"/>
          <w:sz w:val="24"/>
          <w:szCs w:val="24"/>
        </w:rPr>
        <w:t>reportan una mayor prevalencia y un mayor riesgo de ejercer</w:t>
      </w:r>
      <w:r w:rsidR="00112AB9">
        <w:rPr>
          <w:rFonts w:ascii="Times New Roman" w:hAnsi="Times New Roman" w:cs="Times New Roman"/>
          <w:sz w:val="24"/>
          <w:szCs w:val="24"/>
        </w:rPr>
        <w:t xml:space="preserve"> </w:t>
      </w:r>
      <w:r w:rsidR="00BC58D7">
        <w:rPr>
          <w:rFonts w:ascii="Times New Roman" w:hAnsi="Times New Roman" w:cs="Times New Roman"/>
          <w:sz w:val="24"/>
          <w:szCs w:val="24"/>
        </w:rPr>
        <w:t>agresiones psicológicas –insultar o maldecir– y agresiones físicas medias –empujar o agarrar–</w:t>
      </w:r>
      <w:r w:rsidR="00664D16">
        <w:rPr>
          <w:rFonts w:ascii="Times New Roman" w:hAnsi="Times New Roman" w:cs="Times New Roman"/>
          <w:sz w:val="24"/>
          <w:szCs w:val="24"/>
        </w:rPr>
        <w:t xml:space="preserve"> contra su pareja</w:t>
      </w:r>
      <w:r w:rsidR="006D5341">
        <w:rPr>
          <w:rFonts w:ascii="Times New Roman" w:hAnsi="Times New Roman" w:cs="Times New Roman"/>
          <w:sz w:val="24"/>
          <w:szCs w:val="24"/>
        </w:rPr>
        <w:t>.</w:t>
      </w:r>
      <w:r w:rsidR="00D9131E">
        <w:rPr>
          <w:rFonts w:ascii="Times New Roman" w:hAnsi="Times New Roman" w:cs="Times New Roman"/>
          <w:sz w:val="24"/>
          <w:szCs w:val="24"/>
        </w:rPr>
        <w:t xml:space="preserve"> </w:t>
      </w:r>
      <w:r w:rsidR="00664D16">
        <w:rPr>
          <w:rFonts w:ascii="Times New Roman" w:hAnsi="Times New Roman" w:cs="Times New Roman"/>
          <w:sz w:val="24"/>
          <w:szCs w:val="24"/>
        </w:rPr>
        <w:t xml:space="preserve">No obstante, </w:t>
      </w:r>
      <w:r w:rsidR="00664D16" w:rsidRPr="00664D16">
        <w:rPr>
          <w:rFonts w:ascii="Times New Roman" w:hAnsi="Times New Roman" w:cs="Times New Roman"/>
          <w:sz w:val="24"/>
          <w:szCs w:val="24"/>
        </w:rPr>
        <w:t>los datos parecen indicar que hay una mayor relación entre la</w:t>
      </w:r>
      <w:r w:rsidR="00664D16">
        <w:rPr>
          <w:rFonts w:ascii="Times New Roman" w:hAnsi="Times New Roman" w:cs="Times New Roman"/>
          <w:sz w:val="24"/>
          <w:szCs w:val="24"/>
        </w:rPr>
        <w:t xml:space="preserve"> ocurrencia de</w:t>
      </w:r>
      <w:r w:rsidR="00664D16" w:rsidRPr="00664D16">
        <w:rPr>
          <w:rFonts w:ascii="Times New Roman" w:hAnsi="Times New Roman" w:cs="Times New Roman"/>
          <w:sz w:val="24"/>
          <w:szCs w:val="24"/>
        </w:rPr>
        <w:t xml:space="preserve"> violencia de género en</w:t>
      </w:r>
      <w:r w:rsidR="00664D16">
        <w:rPr>
          <w:rFonts w:ascii="Times New Roman" w:hAnsi="Times New Roman" w:cs="Times New Roman"/>
          <w:sz w:val="24"/>
          <w:szCs w:val="24"/>
        </w:rPr>
        <w:t xml:space="preserve"> el entorno y la victimización.</w:t>
      </w:r>
    </w:p>
    <w:p w:rsidR="005B4F51" w:rsidRDefault="0008778B" w:rsidP="009C476C">
      <w:pPr>
        <w:spacing w:before="24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6DB7">
        <w:rPr>
          <w:rFonts w:ascii="Times New Roman" w:hAnsi="Times New Roman" w:cs="Times New Roman"/>
          <w:sz w:val="24"/>
          <w:szCs w:val="24"/>
        </w:rPr>
        <w:t xml:space="preserve">Tabla </w:t>
      </w:r>
      <w:r w:rsidR="00BF18D4">
        <w:rPr>
          <w:rFonts w:ascii="Times New Roman" w:hAnsi="Times New Roman" w:cs="Times New Roman"/>
          <w:sz w:val="24"/>
          <w:szCs w:val="24"/>
        </w:rPr>
        <w:t>2</w:t>
      </w:r>
    </w:p>
    <w:p w:rsidR="0008778B" w:rsidRPr="00040066" w:rsidRDefault="00E3375B" w:rsidP="009C476C">
      <w:pPr>
        <w:spacing w:before="24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Prevalencia de la </w:t>
      </w:r>
      <w:r w:rsidR="00195754">
        <w:rPr>
          <w:rFonts w:ascii="Times New Roman" w:hAnsi="Times New Roman" w:cs="Times New Roman"/>
          <w:i/>
          <w:sz w:val="24"/>
          <w:szCs w:val="24"/>
        </w:rPr>
        <w:t>perpetración</w:t>
      </w:r>
      <w:r w:rsidR="00376DB7" w:rsidRPr="00376DB7">
        <w:rPr>
          <w:rFonts w:ascii="Times New Roman" w:hAnsi="Times New Roman" w:cs="Times New Roman"/>
          <w:i/>
          <w:sz w:val="24"/>
          <w:szCs w:val="24"/>
        </w:rPr>
        <w:t xml:space="preserve"> y</w:t>
      </w:r>
      <w:r>
        <w:rPr>
          <w:rFonts w:ascii="Times New Roman" w:hAnsi="Times New Roman" w:cs="Times New Roman"/>
          <w:i/>
          <w:sz w:val="24"/>
          <w:szCs w:val="24"/>
        </w:rPr>
        <w:t xml:space="preserve"> de</w:t>
      </w:r>
      <w:r w:rsidR="00376DB7" w:rsidRPr="00376D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="00376DB7" w:rsidRPr="00376DB7">
        <w:rPr>
          <w:rFonts w:ascii="Times New Roman" w:hAnsi="Times New Roman" w:cs="Times New Roman"/>
          <w:i/>
          <w:sz w:val="24"/>
          <w:szCs w:val="24"/>
        </w:rPr>
        <w:t xml:space="preserve">victimización en las relaciones de pareja según </w:t>
      </w:r>
      <w:r w:rsidR="00195754">
        <w:rPr>
          <w:rFonts w:ascii="Times New Roman" w:hAnsi="Times New Roman" w:cs="Times New Roman"/>
          <w:i/>
          <w:sz w:val="24"/>
          <w:szCs w:val="24"/>
        </w:rPr>
        <w:t xml:space="preserve">ocurrencia de </w:t>
      </w:r>
      <w:r w:rsidR="00376DB7" w:rsidRPr="00376DB7">
        <w:rPr>
          <w:rFonts w:ascii="Times New Roman" w:hAnsi="Times New Roman" w:cs="Times New Roman"/>
          <w:i/>
          <w:sz w:val="24"/>
          <w:szCs w:val="24"/>
        </w:rPr>
        <w:t>violencia de género</w:t>
      </w:r>
      <w:r w:rsidR="00195754">
        <w:rPr>
          <w:rFonts w:ascii="Times New Roman" w:hAnsi="Times New Roman" w:cs="Times New Roman"/>
          <w:i/>
          <w:sz w:val="24"/>
          <w:szCs w:val="24"/>
        </w:rPr>
        <w:t xml:space="preserve"> en el entorno cercano</w:t>
      </w:r>
      <w:r w:rsidR="00040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830" w:type="pct"/>
        <w:tblInd w:w="-421" w:type="dxa"/>
        <w:tblLayout w:type="fixed"/>
        <w:tblLook w:val="0000"/>
      </w:tblPr>
      <w:tblGrid>
        <w:gridCol w:w="1685"/>
        <w:gridCol w:w="979"/>
        <w:gridCol w:w="980"/>
        <w:gridCol w:w="752"/>
        <w:gridCol w:w="569"/>
        <w:gridCol w:w="956"/>
        <w:gridCol w:w="992"/>
        <w:gridCol w:w="992"/>
        <w:gridCol w:w="708"/>
        <w:gridCol w:w="565"/>
        <w:gridCol w:w="990"/>
      </w:tblGrid>
      <w:tr w:rsidR="00376DB7" w:rsidRPr="00085AE9" w:rsidTr="00FE6A9B">
        <w:trPr>
          <w:trHeight w:hRule="exact" w:val="553"/>
          <w:tblHeader/>
        </w:trPr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83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6DB7" w:rsidRPr="00085AE9" w:rsidRDefault="00DD2998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Violencia sufrida por parte de la pareja o ex pareja</w:t>
            </w:r>
          </w:p>
        </w:tc>
        <w:tc>
          <w:tcPr>
            <w:tcW w:w="2089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B7" w:rsidRPr="00085AE9" w:rsidRDefault="00DD2998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Violencia ejercida contra la pareja o ex pareja</w:t>
            </w:r>
          </w:p>
        </w:tc>
      </w:tr>
      <w:tr w:rsidR="00376DB7" w:rsidRPr="00085AE9" w:rsidTr="00FE6A9B">
        <w:trPr>
          <w:trHeight w:hRule="exact" w:val="553"/>
          <w:tblHeader/>
        </w:trPr>
        <w:tc>
          <w:tcPr>
            <w:tcW w:w="828" w:type="pct"/>
            <w:shd w:val="clear" w:color="auto" w:fill="auto"/>
            <w:vAlign w:val="bottom"/>
          </w:tcPr>
          <w:p w:rsidR="00376DB7" w:rsidRPr="00085AE9" w:rsidRDefault="00376DB7" w:rsidP="005B4F5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63" w:type="pct"/>
            <w:gridSpan w:val="2"/>
            <w:tcBorders>
              <w:left w:val="nil"/>
            </w:tcBorders>
            <w:vAlign w:val="center"/>
          </w:tcPr>
          <w:p w:rsidR="00376DB7" w:rsidRPr="00085AE9" w:rsidRDefault="00905C42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05C42">
              <w:rPr>
                <w:rFonts w:ascii="Times New Roman" w:hAnsi="Times New Roman" w:cs="Times New Roman"/>
                <w:b/>
                <w:sz w:val="14"/>
                <w:szCs w:val="14"/>
              </w:rPr>
              <w:t>¿Alguien de t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u entorno cercano ha sufrido </w:t>
            </w:r>
            <w:r w:rsidRPr="00905C42">
              <w:rPr>
                <w:rFonts w:ascii="Times New Roman" w:hAnsi="Times New Roman" w:cs="Times New Roman"/>
                <w:b/>
                <w:sz w:val="14"/>
                <w:szCs w:val="14"/>
              </w:rPr>
              <w:t>violencia de género?</w:t>
            </w:r>
          </w:p>
        </w:tc>
        <w:tc>
          <w:tcPr>
            <w:tcW w:w="370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sym w:font="Symbol" w:char="F063"/>
            </w: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pct"/>
            <w:vMerge w:val="restar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OR</w:t>
            </w:r>
          </w:p>
        </w:tc>
        <w:tc>
          <w:tcPr>
            <w:tcW w:w="470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IC 95%</w:t>
            </w:r>
          </w:p>
        </w:tc>
        <w:tc>
          <w:tcPr>
            <w:tcW w:w="976" w:type="pct"/>
            <w:gridSpan w:val="2"/>
            <w:tcBorders>
              <w:left w:val="single" w:sz="4" w:space="0" w:color="auto"/>
            </w:tcBorders>
            <w:vAlign w:val="center"/>
          </w:tcPr>
          <w:p w:rsidR="00376DB7" w:rsidRPr="00085AE9" w:rsidRDefault="00905C42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05C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¿Alguien de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tu entorno cercano ha sufrido</w:t>
            </w:r>
            <w:r w:rsidRPr="00905C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violencia de género?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8" w:type="pct"/>
            <w:vMerge w:val="restart"/>
            <w:tcBorders>
              <w:left w:val="nil"/>
              <w:right w:val="nil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sym w:font="Symbol" w:char="F063"/>
            </w: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8" w:type="pct"/>
            <w:vMerge w:val="restar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OR</w:t>
            </w:r>
          </w:p>
        </w:tc>
        <w:tc>
          <w:tcPr>
            <w:tcW w:w="488" w:type="pct"/>
            <w:vMerge w:val="restar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IC 95%</w:t>
            </w:r>
          </w:p>
        </w:tc>
      </w:tr>
      <w:tr w:rsidR="00376DB7" w:rsidRPr="00085AE9" w:rsidTr="00FE6A9B">
        <w:trPr>
          <w:trHeight w:hRule="exact" w:val="476"/>
          <w:tblHeader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DB7" w:rsidRPr="00085AE9" w:rsidRDefault="00376DB7" w:rsidP="005B4F51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81" w:type="pct"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Sí </w:t>
            </w:r>
          </w:p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(n = 281)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No </w:t>
            </w:r>
          </w:p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(n = 136)</w:t>
            </w: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Sí </w:t>
            </w:r>
          </w:p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(n = 281)</w:t>
            </w:r>
          </w:p>
        </w:tc>
        <w:tc>
          <w:tcPr>
            <w:tcW w:w="487" w:type="pct"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No </w:t>
            </w:r>
          </w:p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(n = 136)</w:t>
            </w:r>
          </w:p>
        </w:tc>
        <w:tc>
          <w:tcPr>
            <w:tcW w:w="34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8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Agresión psicológica: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Insultar o maldecir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48% (134)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34.6% (47)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6.746**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1.750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1.145– </w:t>
            </w: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2.675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51.6% (145)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38.5% (52)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6.261*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1.702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1.120 – 2.585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Negarse a hablar de un tema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79.5% (221)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77.8% (105)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.161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1.108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.672 – 1.825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74.3% (208)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70.6% (96)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.636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1.204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.763 – 1.899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Marcharse molesto de la habitación o casa 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68.7% (191)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59.6% (81)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3.390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1.491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.974 – 2.283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75.6% (211)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68.4% (93)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2.449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1.435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 xml:space="preserve">.912 – 2.257 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Llorar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78.8% (219)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72.1% (98)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2.297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1.439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.898 – 2.308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87.5% (244)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80.1% (109)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3.843*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1.727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.996 –2.995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Decir algo para fastidiar o “picar”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84.5% (234)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76.5% (104)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3.934*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1.674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1.003– 2.796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82.4% (229)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75% (102)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3.098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1.558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.949 – 2.558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Agresión física media: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 xml:space="preserve">Amenazar con golpear 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12.6% (35)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6.6% (9)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3.470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2.041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.951 – 4.379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12.2% (34)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9.6% (13)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.648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1.318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.671 – 2.589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Sujetar físicamente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35.1% (97)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25% (34)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4.324*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1.626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1.026 –</w:t>
            </w: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2.576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28.3% (78)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23.5% (32)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1.042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1.280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.796 – 2.059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Lanzar algún objeto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10.5% (29)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5.9% (8)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2.353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1.871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.831 – 4.211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8.7% (24)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5.1% (7)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1.625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1.748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.734 – 4.165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Golpear, patear o lanzar algún objeto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10.8% (30)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5.9% (8)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2.673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1.943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.866 – 4.362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9.3% (26)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8.1% (11)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.171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1.168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.559 – 2.440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Empujar o agarrar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25.5% (71)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12.6% (17)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9.084**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2.381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1.339 –</w:t>
            </w: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4.233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26.7% (74)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16.2% (22)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5.678*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1.889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1.114 – 3.204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Abofetear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11.5% (32)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3.7% (5)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6.887**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3.408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1.297 –</w:t>
            </w: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8.955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11.1% (31)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8.8% (12)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.515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1.292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.641 – 2.602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Golpear o morder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20.5% (57)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10.3% (14)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6.699**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2.248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1.203 –</w:t>
            </w: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4.199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18.7% (52)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13.3% (18)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1.863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1.496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.837 – 2.673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b/>
                <w:sz w:val="14"/>
                <w:szCs w:val="14"/>
              </w:rPr>
              <w:t>Agresión física grave: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Ahogar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3.6% (10)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2.2% (3)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.581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1.654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.448 – 6.112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1.1% (3)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1.5% (2)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.120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.728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.120 – 4.410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Dar una paliza</w:t>
            </w:r>
          </w:p>
        </w:tc>
        <w:tc>
          <w:tcPr>
            <w:tcW w:w="481" w:type="pct"/>
            <w:tcBorders>
              <w:left w:val="nil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2.2% (6)</w:t>
            </w:r>
          </w:p>
        </w:tc>
        <w:tc>
          <w:tcPr>
            <w:tcW w:w="481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1.5% (2)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.232</w:t>
            </w:r>
          </w:p>
        </w:tc>
        <w:tc>
          <w:tcPr>
            <w:tcW w:w="28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1.483</w:t>
            </w:r>
          </w:p>
        </w:tc>
        <w:tc>
          <w:tcPr>
            <w:tcW w:w="470" w:type="pct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.295 – 7.448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1.1% (3)</w:t>
            </w:r>
          </w:p>
        </w:tc>
        <w:tc>
          <w:tcPr>
            <w:tcW w:w="487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1.5% (2)</w:t>
            </w:r>
          </w:p>
        </w:tc>
        <w:tc>
          <w:tcPr>
            <w:tcW w:w="34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.120</w:t>
            </w:r>
          </w:p>
        </w:tc>
        <w:tc>
          <w:tcPr>
            <w:tcW w:w="27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.728</w:t>
            </w:r>
          </w:p>
        </w:tc>
        <w:tc>
          <w:tcPr>
            <w:tcW w:w="488" w:type="pct"/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.120 – 4.410</w:t>
            </w:r>
          </w:p>
        </w:tc>
      </w:tr>
      <w:tr w:rsidR="00376DB7" w:rsidRPr="00085AE9" w:rsidTr="00376DB7">
        <w:trPr>
          <w:trHeight w:val="340"/>
        </w:trPr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Amenazar con un cuchillo o arma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1.1% (3)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1.5% (2)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.120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.728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376DB7" w:rsidRPr="00085AE9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5AE9">
              <w:rPr>
                <w:rFonts w:ascii="Times New Roman" w:hAnsi="Times New Roman" w:cs="Times New Roman"/>
                <w:sz w:val="14"/>
                <w:szCs w:val="14"/>
              </w:rPr>
              <w:t>.120 – 4.410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1.1% (3)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1.5% (2)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.126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.723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376DB7" w:rsidRPr="00376DB7" w:rsidRDefault="00376DB7" w:rsidP="005B4F51">
            <w:pPr>
              <w:pStyle w:val="Sinespaciad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6DB7">
              <w:rPr>
                <w:rFonts w:ascii="Times New Roman" w:hAnsi="Times New Roman" w:cs="Times New Roman"/>
                <w:sz w:val="14"/>
                <w:szCs w:val="14"/>
              </w:rPr>
              <w:t>.119 – 4.378</w:t>
            </w:r>
          </w:p>
        </w:tc>
      </w:tr>
    </w:tbl>
    <w:p w:rsidR="0008778B" w:rsidRPr="009C476C" w:rsidRDefault="00262D7E" w:rsidP="009C4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>Nota: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815F3E" w:rsidRPr="009C476C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3"/>
      </w:r>
      <w:r w:rsidR="00815F3E" w:rsidRPr="009C476C">
        <w:rPr>
          <w:rFonts w:ascii="Times New Roman" w:hAnsi="Times New Roman" w:cs="Times New Roman"/>
          <w:bCs/>
          <w:sz w:val="24"/>
          <w:szCs w:val="24"/>
        </w:rPr>
        <w:t>2</w:t>
      </w:r>
      <w:r w:rsidR="00815F3E" w:rsidRPr="009C476C">
        <w:rPr>
          <w:rFonts w:ascii="Times New Roman" w:hAnsi="Times New Roman" w:cs="Times New Roman"/>
          <w:sz w:val="24"/>
          <w:szCs w:val="24"/>
        </w:rPr>
        <w:t xml:space="preserve"> = Chi-cuadrado; OR = odds ratio; IC 95% = intervalo de confianza OR del 95%; Significación: </w:t>
      </w:r>
      <w:r w:rsidR="0008778B" w:rsidRPr="009C476C">
        <w:rPr>
          <w:rFonts w:ascii="Times New Roman" w:hAnsi="Times New Roman" w:cs="Times New Roman"/>
          <w:sz w:val="24"/>
          <w:szCs w:val="24"/>
        </w:rPr>
        <w:t xml:space="preserve">*p </w:t>
      </w:r>
      <w:r w:rsidR="0008778B"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="0008778B" w:rsidRPr="009C476C">
        <w:rPr>
          <w:rFonts w:ascii="Times New Roman" w:hAnsi="Times New Roman" w:cs="Times New Roman"/>
          <w:sz w:val="24"/>
          <w:szCs w:val="24"/>
        </w:rPr>
        <w:t xml:space="preserve"> .05; **p </w:t>
      </w:r>
      <w:r w:rsidR="0008778B"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="0008778B" w:rsidRPr="009C476C">
        <w:rPr>
          <w:rFonts w:ascii="Times New Roman" w:hAnsi="Times New Roman" w:cs="Times New Roman"/>
          <w:sz w:val="24"/>
          <w:szCs w:val="24"/>
        </w:rPr>
        <w:t xml:space="preserve"> .01; ***p </w:t>
      </w:r>
      <w:r w:rsidR="0008778B"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="00815F3E" w:rsidRPr="009C476C">
        <w:rPr>
          <w:rFonts w:ascii="Times New Roman" w:hAnsi="Times New Roman" w:cs="Times New Roman"/>
          <w:sz w:val="24"/>
          <w:szCs w:val="24"/>
        </w:rPr>
        <w:t xml:space="preserve"> .001. </w:t>
      </w:r>
    </w:p>
    <w:p w:rsidR="004673E2" w:rsidRPr="009C476C" w:rsidRDefault="00252EAA" w:rsidP="009C476C">
      <w:pPr>
        <w:pStyle w:val="Sinespaciado"/>
        <w:spacing w:before="2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>Teniendo en cuenta que la escala utilizada (M-CTS)</w:t>
      </w:r>
      <w:r w:rsidR="00335D56" w:rsidRPr="009C476C">
        <w:rPr>
          <w:rFonts w:ascii="Times New Roman" w:hAnsi="Times New Roman" w:cs="Times New Roman"/>
          <w:sz w:val="24"/>
          <w:szCs w:val="24"/>
        </w:rPr>
        <w:t xml:space="preserve"> mide el número de veces que ha tenido lugar cada conducta violenta (1, </w:t>
      </w:r>
      <w:r w:rsidRPr="009C476C">
        <w:rPr>
          <w:rFonts w:ascii="Times New Roman" w:hAnsi="Times New Roman" w:cs="Times New Roman"/>
          <w:sz w:val="24"/>
          <w:szCs w:val="24"/>
        </w:rPr>
        <w:t>nunca</w:t>
      </w:r>
      <w:r w:rsidR="00335D56" w:rsidRPr="009C476C">
        <w:rPr>
          <w:rFonts w:ascii="Times New Roman" w:hAnsi="Times New Roman" w:cs="Times New Roman"/>
          <w:sz w:val="24"/>
          <w:szCs w:val="24"/>
        </w:rPr>
        <w:t xml:space="preserve">; 2, rara vez; 3, algunas vez; 4, a menudo; </w:t>
      </w:r>
      <w:r w:rsidRPr="009C476C">
        <w:rPr>
          <w:rFonts w:ascii="Times New Roman" w:hAnsi="Times New Roman" w:cs="Times New Roman"/>
          <w:sz w:val="24"/>
          <w:szCs w:val="24"/>
        </w:rPr>
        <w:t>5</w:t>
      </w:r>
      <w:r w:rsidR="00335D56" w:rsidRPr="009C476C">
        <w:rPr>
          <w:rFonts w:ascii="Times New Roman" w:hAnsi="Times New Roman" w:cs="Times New Roman"/>
          <w:sz w:val="24"/>
          <w:szCs w:val="24"/>
        </w:rPr>
        <w:t xml:space="preserve">, </w:t>
      </w:r>
      <w:r w:rsidRPr="009C476C">
        <w:rPr>
          <w:rFonts w:ascii="Times New Roman" w:hAnsi="Times New Roman" w:cs="Times New Roman"/>
          <w:sz w:val="24"/>
          <w:szCs w:val="24"/>
        </w:rPr>
        <w:t>muy a menudo)</w:t>
      </w:r>
      <w:r w:rsidR="00335D56" w:rsidRPr="009C476C">
        <w:rPr>
          <w:rFonts w:ascii="Times New Roman" w:hAnsi="Times New Roman" w:cs="Times New Roman"/>
          <w:sz w:val="24"/>
          <w:szCs w:val="24"/>
        </w:rPr>
        <w:t>, se ha estudiado la frecuencia de cada una de las formas de agresión</w:t>
      </w:r>
      <w:r w:rsidR="004673E2" w:rsidRPr="009C476C">
        <w:rPr>
          <w:rFonts w:ascii="Times New Roman" w:hAnsi="Times New Roman" w:cs="Times New Roman"/>
          <w:sz w:val="24"/>
          <w:szCs w:val="24"/>
        </w:rPr>
        <w:t xml:space="preserve"> y victimización</w:t>
      </w:r>
      <w:r w:rsidR="00335D56" w:rsidRPr="009C476C">
        <w:rPr>
          <w:rFonts w:ascii="Times New Roman" w:hAnsi="Times New Roman" w:cs="Times New Roman"/>
          <w:sz w:val="24"/>
          <w:szCs w:val="24"/>
        </w:rPr>
        <w:t xml:space="preserve">: psicológica, física media, física grave y total. En la Tabla 3 se recogen las diferencias entre quienes han estado expuestos a la violencia de género 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y quienes no. Las personas </w:t>
      </w:r>
      <w:r w:rsidR="00D9131E" w:rsidRPr="009C476C">
        <w:rPr>
          <w:rFonts w:ascii="Times New Roman" w:hAnsi="Times New Roman" w:cs="Times New Roman"/>
          <w:sz w:val="24"/>
          <w:szCs w:val="24"/>
        </w:rPr>
        <w:t xml:space="preserve">en cuyo entorno se han dado casos de violencia de género 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son, con mayor frecuencia, </w:t>
      </w:r>
      <w:r w:rsidR="000F30D1" w:rsidRPr="009C476C">
        <w:rPr>
          <w:rFonts w:ascii="Times New Roman" w:hAnsi="Times New Roman" w:cs="Times New Roman"/>
          <w:sz w:val="24"/>
          <w:szCs w:val="24"/>
        </w:rPr>
        <w:t>perpetradoras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 de maltrato psicológico y víctimas de maltrato psicológico y físico medio. Los resultados también reportan </w:t>
      </w:r>
      <w:r w:rsidR="000F30D1" w:rsidRPr="009C476C">
        <w:rPr>
          <w:rFonts w:ascii="Times New Roman" w:hAnsi="Times New Roman" w:cs="Times New Roman"/>
          <w:sz w:val="24"/>
          <w:szCs w:val="24"/>
        </w:rPr>
        <w:t xml:space="preserve">diferencias 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estadísticamente significativas en el total de la escala de </w:t>
      </w:r>
      <w:r w:rsidR="00195754" w:rsidRPr="009C476C">
        <w:rPr>
          <w:rFonts w:ascii="Times New Roman" w:hAnsi="Times New Roman" w:cs="Times New Roman"/>
          <w:sz w:val="24"/>
          <w:szCs w:val="24"/>
        </w:rPr>
        <w:t>perpetración</w:t>
      </w:r>
      <w:r w:rsidR="00BF18D4" w:rsidRPr="009C476C">
        <w:rPr>
          <w:rFonts w:ascii="Times New Roman" w:hAnsi="Times New Roman" w:cs="Times New Roman"/>
          <w:sz w:val="24"/>
          <w:szCs w:val="24"/>
        </w:rPr>
        <w:t xml:space="preserve"> y</w:t>
      </w:r>
      <w:r w:rsidR="00D9131E" w:rsidRPr="009C476C">
        <w:rPr>
          <w:rFonts w:ascii="Times New Roman" w:hAnsi="Times New Roman" w:cs="Times New Roman"/>
          <w:sz w:val="24"/>
          <w:szCs w:val="24"/>
        </w:rPr>
        <w:t xml:space="preserve"> de la escala de victimización.</w:t>
      </w:r>
    </w:p>
    <w:p w:rsidR="005B4F51" w:rsidRPr="009C476C" w:rsidRDefault="003B5FCC" w:rsidP="009C476C">
      <w:pPr>
        <w:pStyle w:val="Sinespaciado"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Tabla </w:t>
      </w:r>
      <w:r w:rsidR="00DD2998" w:rsidRPr="009C476C">
        <w:rPr>
          <w:rFonts w:ascii="Times New Roman" w:hAnsi="Times New Roman" w:cs="Times New Roman"/>
          <w:sz w:val="24"/>
          <w:szCs w:val="24"/>
        </w:rPr>
        <w:t>3</w:t>
      </w:r>
    </w:p>
    <w:p w:rsidR="00A06418" w:rsidRPr="009C476C" w:rsidRDefault="006D5341" w:rsidP="009C476C">
      <w:pPr>
        <w:pStyle w:val="Sinespaciado"/>
        <w:spacing w:before="24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C476C">
        <w:rPr>
          <w:rFonts w:ascii="Times New Roman" w:hAnsi="Times New Roman" w:cs="Times New Roman"/>
          <w:i/>
          <w:sz w:val="24"/>
          <w:szCs w:val="24"/>
        </w:rPr>
        <w:t xml:space="preserve">Frecuencia de la </w:t>
      </w:r>
      <w:r w:rsidR="00195754" w:rsidRPr="009C476C">
        <w:rPr>
          <w:rFonts w:ascii="Times New Roman" w:hAnsi="Times New Roman" w:cs="Times New Roman"/>
          <w:i/>
          <w:sz w:val="24"/>
          <w:szCs w:val="24"/>
        </w:rPr>
        <w:t>perpetración</w:t>
      </w:r>
      <w:r w:rsidRPr="009C476C">
        <w:rPr>
          <w:rFonts w:ascii="Times New Roman" w:hAnsi="Times New Roman" w:cs="Times New Roman"/>
          <w:i/>
          <w:sz w:val="24"/>
          <w:szCs w:val="24"/>
        </w:rPr>
        <w:t xml:space="preserve"> y de la victimización en las relaciones de pareja </w:t>
      </w:r>
      <w:r w:rsidR="00195754" w:rsidRPr="009C476C">
        <w:rPr>
          <w:rFonts w:ascii="Times New Roman" w:hAnsi="Times New Roman" w:cs="Times New Roman"/>
          <w:i/>
          <w:sz w:val="24"/>
          <w:szCs w:val="24"/>
        </w:rPr>
        <w:t xml:space="preserve">según ocurrencia de violencia de género en el entorno cercano </w:t>
      </w:r>
    </w:p>
    <w:tbl>
      <w:tblPr>
        <w:tblW w:w="8505" w:type="dxa"/>
        <w:tblInd w:w="108" w:type="dxa"/>
        <w:tblLayout w:type="fixed"/>
        <w:tblLook w:val="0000"/>
      </w:tblPr>
      <w:tblGrid>
        <w:gridCol w:w="2268"/>
        <w:gridCol w:w="851"/>
        <w:gridCol w:w="1134"/>
        <w:gridCol w:w="1559"/>
        <w:gridCol w:w="1559"/>
        <w:gridCol w:w="1134"/>
      </w:tblGrid>
      <w:tr w:rsidR="00AF63DC" w:rsidRPr="009C476C" w:rsidTr="00905C42">
        <w:trPr>
          <w:trHeight w:hRule="exact" w:val="593"/>
          <w:tblHeader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3DC" w:rsidRPr="009C476C" w:rsidRDefault="00AF63DC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F63DC" w:rsidRPr="009C476C" w:rsidRDefault="00AF63DC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63DC" w:rsidRPr="009C476C" w:rsidRDefault="00AF63DC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:rsidR="00AF63DC" w:rsidRPr="009C476C" w:rsidRDefault="00AF63DC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M (DT)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AF63DC" w:rsidRPr="009C476C" w:rsidRDefault="00905C42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¿Alguien de tu entorno cercano ha sufrido violencia de género?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3DC" w:rsidRPr="009C476C" w:rsidRDefault="00AF63DC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</w:tr>
      <w:tr w:rsidR="004452B9" w:rsidRPr="009C476C" w:rsidTr="00905C42">
        <w:trPr>
          <w:trHeight w:hRule="exact" w:val="295"/>
          <w:tblHeader/>
        </w:trPr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52B9" w:rsidRPr="009C476C" w:rsidRDefault="004452B9" w:rsidP="009C4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4452B9" w:rsidRPr="009C476C" w:rsidRDefault="004452B9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452B9" w:rsidRPr="009C476C" w:rsidRDefault="004452B9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452B9" w:rsidRPr="009C476C" w:rsidRDefault="004452B9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Sí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52B9" w:rsidRPr="009C476C" w:rsidRDefault="004452B9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52B9" w:rsidRPr="009C476C" w:rsidRDefault="004452B9" w:rsidP="009C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t>Agresión: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psicológica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.635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2.35 (.68)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2.41 (.68)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2.22 (.68)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2.760**</w:t>
            </w: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física media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.885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1.22 (.46)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1.23 (.42)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1.20 (.54)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.715</w:t>
            </w: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física grave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.900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1.03 (.27)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1.02 (.19)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1.04 (.38)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-.761</w:t>
            </w: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 xml:space="preserve">Total agresión 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.805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1.56 (.39)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1.59 (.37)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1.51 (.43)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1.958*</w:t>
            </w: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Victimización: 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psicológica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.707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2.28 (.74)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2.35 (.75)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2.13 (.70)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2.900**</w:t>
            </w:r>
          </w:p>
        </w:tc>
      </w:tr>
      <w:tr w:rsidR="004452B9" w:rsidRPr="009C476C" w:rsidTr="00905C42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física media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.906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1.26 (.55)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1.30 (.59)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1.17 (.45)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2.532*</w:t>
            </w:r>
          </w:p>
        </w:tc>
      </w:tr>
      <w:tr w:rsidR="004452B9" w:rsidRPr="009C476C" w:rsidTr="00905C42">
        <w:trPr>
          <w:trHeight w:hRule="exact" w:val="328"/>
        </w:trPr>
        <w:tc>
          <w:tcPr>
            <w:tcW w:w="2268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Violencia física grave</w:t>
            </w:r>
          </w:p>
        </w:tc>
        <w:tc>
          <w:tcPr>
            <w:tcW w:w="851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.832</w:t>
            </w:r>
          </w:p>
        </w:tc>
        <w:tc>
          <w:tcPr>
            <w:tcW w:w="1134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1.04 (.26)</w:t>
            </w:r>
          </w:p>
        </w:tc>
        <w:tc>
          <w:tcPr>
            <w:tcW w:w="1559" w:type="dxa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1.04 (.23)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1.04 (.33)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-.031</w:t>
            </w:r>
          </w:p>
        </w:tc>
      </w:tr>
      <w:tr w:rsidR="004452B9" w:rsidRPr="009C476C" w:rsidTr="00905C42">
        <w:trPr>
          <w:trHeight w:hRule="exact" w:val="33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 xml:space="preserve">Total victimización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.864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1.55 (.47)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1.60 (.48)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1.46 (.44)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2B9" w:rsidRPr="009C476C" w:rsidRDefault="004452B9" w:rsidP="009C476C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C">
              <w:rPr>
                <w:rFonts w:ascii="Times New Roman" w:hAnsi="Times New Roman" w:cs="Times New Roman"/>
                <w:sz w:val="20"/>
                <w:szCs w:val="20"/>
              </w:rPr>
              <w:t>2.923**</w:t>
            </w:r>
          </w:p>
        </w:tc>
      </w:tr>
    </w:tbl>
    <w:p w:rsidR="00BF18D4" w:rsidRPr="009C476C" w:rsidRDefault="00BF18D4" w:rsidP="009C4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Nota: *p </w:t>
      </w:r>
      <w:r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Pr="009C476C">
        <w:rPr>
          <w:rFonts w:ascii="Times New Roman" w:hAnsi="Times New Roman" w:cs="Times New Roman"/>
          <w:sz w:val="24"/>
          <w:szCs w:val="24"/>
        </w:rPr>
        <w:t xml:space="preserve"> .05; **p </w:t>
      </w:r>
      <w:r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Pr="009C476C">
        <w:rPr>
          <w:rFonts w:ascii="Times New Roman" w:hAnsi="Times New Roman" w:cs="Times New Roman"/>
          <w:sz w:val="24"/>
          <w:szCs w:val="24"/>
        </w:rPr>
        <w:t xml:space="preserve"> .01; ***p </w:t>
      </w:r>
      <w:r w:rsidRPr="009C476C">
        <w:rPr>
          <w:rFonts w:ascii="Times New Roman" w:hAnsi="Times New Roman" w:cs="Times New Roman"/>
          <w:sz w:val="24"/>
          <w:szCs w:val="24"/>
          <w:lang w:val="en-GB"/>
        </w:rPr>
        <w:sym w:font="Symbol" w:char="F0A3"/>
      </w:r>
      <w:r w:rsidRPr="009C476C">
        <w:rPr>
          <w:rFonts w:ascii="Times New Roman" w:hAnsi="Times New Roman" w:cs="Times New Roman"/>
          <w:sz w:val="24"/>
          <w:szCs w:val="24"/>
        </w:rPr>
        <w:t xml:space="preserve"> .001 </w:t>
      </w:r>
    </w:p>
    <w:p w:rsidR="00177A08" w:rsidRPr="009C476C" w:rsidRDefault="00177A08" w:rsidP="009C476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76C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E80995" w:rsidRPr="009C476C" w:rsidRDefault="00216EB5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Entre los objetivos de la Agenda 2030 para el Desarrollo Sostenible (Naciones Unidas, 2015), se encuentra la eliminación de todas las formas de violencia contra las mujeres y las niñas. </w:t>
      </w:r>
      <w:r w:rsidR="007028E2" w:rsidRPr="009C476C">
        <w:rPr>
          <w:rFonts w:ascii="Times New Roman" w:hAnsi="Times New Roman" w:cs="Times New Roman"/>
          <w:sz w:val="24"/>
          <w:szCs w:val="24"/>
        </w:rPr>
        <w:t>La violencia de género es un problema grave y frecuente en Colombia (Pineda y Otero, 2004)</w:t>
      </w:r>
      <w:r w:rsidR="00C00E53" w:rsidRPr="009C476C">
        <w:rPr>
          <w:rFonts w:ascii="Times New Roman" w:hAnsi="Times New Roman" w:cs="Times New Roman"/>
          <w:sz w:val="24"/>
          <w:szCs w:val="24"/>
        </w:rPr>
        <w:t>, por lo que su eliminación y prevención debe ser un objetivo prioritario</w:t>
      </w:r>
      <w:r w:rsidR="007028E2" w:rsidRPr="009C476C">
        <w:rPr>
          <w:rFonts w:ascii="Times New Roman" w:hAnsi="Times New Roman" w:cs="Times New Roman"/>
          <w:sz w:val="24"/>
          <w:szCs w:val="24"/>
        </w:rPr>
        <w:t>.</w:t>
      </w:r>
      <w:r w:rsidR="00825ABC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Pr="009C476C">
        <w:rPr>
          <w:rFonts w:ascii="Times New Roman" w:hAnsi="Times New Roman" w:cs="Times New Roman"/>
          <w:sz w:val="24"/>
          <w:szCs w:val="24"/>
        </w:rPr>
        <w:t>Los resultados</w:t>
      </w:r>
      <w:r w:rsidR="00C00E53" w:rsidRPr="009C476C">
        <w:rPr>
          <w:rFonts w:ascii="Times New Roman" w:hAnsi="Times New Roman" w:cs="Times New Roman"/>
          <w:sz w:val="24"/>
          <w:szCs w:val="24"/>
        </w:rPr>
        <w:t xml:space="preserve"> de este trabajo</w:t>
      </w:r>
      <w:r w:rsidRPr="009C476C">
        <w:rPr>
          <w:rFonts w:ascii="Times New Roman" w:hAnsi="Times New Roman" w:cs="Times New Roman"/>
          <w:sz w:val="24"/>
          <w:szCs w:val="24"/>
        </w:rPr>
        <w:t xml:space="preserve"> reportan que </w:t>
      </w:r>
      <w:r w:rsidR="00195754" w:rsidRPr="009C476C">
        <w:rPr>
          <w:rFonts w:ascii="Times New Roman" w:hAnsi="Times New Roman" w:cs="Times New Roman"/>
          <w:sz w:val="24"/>
          <w:szCs w:val="24"/>
        </w:rPr>
        <w:t xml:space="preserve">la ocurrencia de este tipo de violencia </w:t>
      </w:r>
      <w:r w:rsidR="00E80995" w:rsidRPr="009C476C">
        <w:rPr>
          <w:rFonts w:ascii="Times New Roman" w:hAnsi="Times New Roman" w:cs="Times New Roman"/>
          <w:sz w:val="24"/>
          <w:szCs w:val="24"/>
        </w:rPr>
        <w:t xml:space="preserve">en el entorno cercano influye en la prevalencia y en la frecuencia del maltrato en las relaciones de noviazgo; las personas en cuyo entorno ha tenido lugar algún caso de violencia de género tienen un mayor riesgo de ser víctimas y/o agresores en sus actuales relaciones de pareja. </w:t>
      </w:r>
      <w:r w:rsidR="00C335ED" w:rsidRPr="009C476C">
        <w:rPr>
          <w:rFonts w:ascii="Times New Roman" w:hAnsi="Times New Roman" w:cs="Times New Roman"/>
          <w:sz w:val="24"/>
          <w:szCs w:val="24"/>
        </w:rPr>
        <w:t xml:space="preserve">La exposición a la violencia en la familia de origen se ha asociado más con la agresión que con la victimización (Calvete y Orue, 2013); sin embargo, los resultados del presente estudio reportan una mayor asociación con la victimización. </w:t>
      </w:r>
      <w:r w:rsidR="0044520F" w:rsidRPr="009C476C">
        <w:rPr>
          <w:rFonts w:ascii="Times New Roman" w:hAnsi="Times New Roman" w:cs="Times New Roman"/>
          <w:sz w:val="24"/>
          <w:szCs w:val="24"/>
        </w:rPr>
        <w:t>La exposición a la violencia de género tiene como efecto la interiorización y el aprendizaje de las conductas violentas como método de resolución de conflictos (</w:t>
      </w:r>
      <w:r w:rsidR="001162E7" w:rsidRPr="009C476C">
        <w:rPr>
          <w:rFonts w:ascii="Times New Roman" w:hAnsi="Times New Roman" w:cs="Times New Roman"/>
          <w:sz w:val="24"/>
          <w:szCs w:val="24"/>
        </w:rPr>
        <w:t>González-Ortega et al., 2008; Patró y Limiñana, 2005</w:t>
      </w:r>
      <w:r w:rsidR="0044520F" w:rsidRPr="009C476C">
        <w:rPr>
          <w:rFonts w:ascii="Times New Roman" w:hAnsi="Times New Roman" w:cs="Times New Roman"/>
          <w:sz w:val="24"/>
          <w:szCs w:val="24"/>
        </w:rPr>
        <w:t>). El aprendizaje de la</w:t>
      </w:r>
      <w:r w:rsidR="00664D16" w:rsidRPr="009C476C">
        <w:rPr>
          <w:rFonts w:ascii="Times New Roman" w:hAnsi="Times New Roman" w:cs="Times New Roman"/>
          <w:sz w:val="24"/>
          <w:szCs w:val="24"/>
        </w:rPr>
        <w:t>s actitudes violent</w:t>
      </w:r>
      <w:r w:rsidR="001162E7" w:rsidRPr="009C476C">
        <w:rPr>
          <w:rFonts w:ascii="Times New Roman" w:hAnsi="Times New Roman" w:cs="Times New Roman"/>
          <w:sz w:val="24"/>
          <w:szCs w:val="24"/>
        </w:rPr>
        <w:t>as podría explicar las diferencias halladas tanto en la agresión como en la victimización, siendo las personas que informan de violencia de género en su entorno quienes más agresiones han sufrido</w:t>
      </w:r>
      <w:r w:rsidR="0052145B" w:rsidRPr="009C476C">
        <w:rPr>
          <w:rFonts w:ascii="Times New Roman" w:hAnsi="Times New Roman" w:cs="Times New Roman"/>
          <w:sz w:val="24"/>
          <w:szCs w:val="24"/>
        </w:rPr>
        <w:t xml:space="preserve"> por parte de su pareja (insultos, maldiciones, otras palabras para </w:t>
      </w:r>
      <w:r w:rsidR="000F30D1" w:rsidRPr="009C476C">
        <w:rPr>
          <w:rFonts w:ascii="Times New Roman" w:hAnsi="Times New Roman" w:cs="Times New Roman"/>
          <w:sz w:val="24"/>
          <w:szCs w:val="24"/>
        </w:rPr>
        <w:t>molestar</w:t>
      </w:r>
      <w:r w:rsidR="0052145B" w:rsidRPr="009C476C">
        <w:rPr>
          <w:rFonts w:ascii="Times New Roman" w:hAnsi="Times New Roman" w:cs="Times New Roman"/>
          <w:sz w:val="24"/>
          <w:szCs w:val="24"/>
        </w:rPr>
        <w:t>, empujones, inmovilizaciones físicas, bofetadas, golpes y mordiscos)</w:t>
      </w:r>
      <w:r w:rsidR="001162E7" w:rsidRPr="009C476C">
        <w:rPr>
          <w:rFonts w:ascii="Times New Roman" w:hAnsi="Times New Roman" w:cs="Times New Roman"/>
          <w:sz w:val="24"/>
          <w:szCs w:val="24"/>
        </w:rPr>
        <w:t xml:space="preserve"> y</w:t>
      </w:r>
      <w:r w:rsidR="0052145B" w:rsidRPr="009C476C">
        <w:rPr>
          <w:rFonts w:ascii="Times New Roman" w:hAnsi="Times New Roman" w:cs="Times New Roman"/>
          <w:sz w:val="24"/>
          <w:szCs w:val="24"/>
        </w:rPr>
        <w:t xml:space="preserve"> quienes más agresiones han</w:t>
      </w:r>
      <w:r w:rsidR="001162E7" w:rsidRPr="009C476C">
        <w:rPr>
          <w:rFonts w:ascii="Times New Roman" w:hAnsi="Times New Roman" w:cs="Times New Roman"/>
          <w:sz w:val="24"/>
          <w:szCs w:val="24"/>
        </w:rPr>
        <w:t xml:space="preserve"> ejercido contra </w:t>
      </w:r>
      <w:r w:rsidR="0052145B" w:rsidRPr="009C476C">
        <w:rPr>
          <w:rFonts w:ascii="Times New Roman" w:hAnsi="Times New Roman" w:cs="Times New Roman"/>
          <w:sz w:val="24"/>
          <w:szCs w:val="24"/>
        </w:rPr>
        <w:t>esta (insultos, maldiciones, empujones y agarrones</w:t>
      </w:r>
      <w:r w:rsidR="000F30D1" w:rsidRPr="009C476C">
        <w:rPr>
          <w:rFonts w:ascii="Times New Roman" w:hAnsi="Times New Roman" w:cs="Times New Roman"/>
          <w:sz w:val="24"/>
          <w:szCs w:val="24"/>
        </w:rPr>
        <w:t>)</w:t>
      </w:r>
      <w:r w:rsidR="00E42FA3" w:rsidRPr="009C476C">
        <w:rPr>
          <w:rFonts w:ascii="Times New Roman" w:hAnsi="Times New Roman" w:cs="Times New Roman"/>
          <w:sz w:val="24"/>
          <w:szCs w:val="24"/>
        </w:rPr>
        <w:t>. L</w:t>
      </w:r>
      <w:r w:rsidR="00172CB6" w:rsidRPr="009C476C">
        <w:rPr>
          <w:rFonts w:ascii="Times New Roman" w:hAnsi="Times New Roman" w:cs="Times New Roman"/>
          <w:sz w:val="24"/>
          <w:szCs w:val="24"/>
        </w:rPr>
        <w:t>a teoría del aprendizaje social</w:t>
      </w:r>
      <w:r w:rsidR="005F240F" w:rsidRPr="009C476C">
        <w:rPr>
          <w:rFonts w:ascii="Times New Roman" w:hAnsi="Times New Roman" w:cs="Times New Roman"/>
          <w:sz w:val="24"/>
          <w:szCs w:val="24"/>
        </w:rPr>
        <w:t xml:space="preserve"> –junto a otros elementos–</w:t>
      </w:r>
      <w:r w:rsidR="00172CB6" w:rsidRPr="009C476C">
        <w:rPr>
          <w:rFonts w:ascii="Times New Roman" w:hAnsi="Times New Roman" w:cs="Times New Roman"/>
          <w:sz w:val="24"/>
          <w:szCs w:val="24"/>
        </w:rPr>
        <w:t xml:space="preserve"> explicaría la transmisión intergeneracional de la violencia</w:t>
      </w:r>
      <w:r w:rsidR="00E42FA3" w:rsidRPr="009C476C">
        <w:rPr>
          <w:rFonts w:ascii="Times New Roman" w:hAnsi="Times New Roman" w:cs="Times New Roman"/>
          <w:sz w:val="24"/>
          <w:szCs w:val="24"/>
        </w:rPr>
        <w:t xml:space="preserve"> (Rey-Anacona, 2008</w:t>
      </w:r>
      <w:r w:rsidR="00664D16" w:rsidRPr="009C476C">
        <w:rPr>
          <w:rFonts w:ascii="Times New Roman" w:hAnsi="Times New Roman" w:cs="Times New Roman"/>
          <w:sz w:val="24"/>
          <w:szCs w:val="24"/>
        </w:rPr>
        <w:t xml:space="preserve">; </w:t>
      </w:r>
      <w:r w:rsidR="00C12D29" w:rsidRPr="009C476C">
        <w:rPr>
          <w:rFonts w:ascii="Times New Roman" w:hAnsi="Times New Roman" w:cs="Times New Roman"/>
          <w:sz w:val="24"/>
          <w:szCs w:val="24"/>
        </w:rPr>
        <w:t>Autor</w:t>
      </w:r>
      <w:r w:rsidR="00664D16" w:rsidRPr="009C476C">
        <w:rPr>
          <w:rFonts w:ascii="Times New Roman" w:hAnsi="Times New Roman" w:cs="Times New Roman"/>
          <w:sz w:val="24"/>
          <w:szCs w:val="24"/>
        </w:rPr>
        <w:t>, en prensa</w:t>
      </w:r>
      <w:r w:rsidR="00E42FA3" w:rsidRPr="009C476C">
        <w:rPr>
          <w:rFonts w:ascii="Times New Roman" w:hAnsi="Times New Roman" w:cs="Times New Roman"/>
          <w:sz w:val="24"/>
          <w:szCs w:val="24"/>
        </w:rPr>
        <w:t>),</w:t>
      </w:r>
      <w:r w:rsidR="005F240F" w:rsidRPr="009C476C">
        <w:rPr>
          <w:rFonts w:ascii="Times New Roman" w:hAnsi="Times New Roman" w:cs="Times New Roman"/>
          <w:sz w:val="24"/>
          <w:szCs w:val="24"/>
        </w:rPr>
        <w:t xml:space="preserve"> de modo que la </w:t>
      </w:r>
      <w:r w:rsidR="00E42FA3" w:rsidRPr="009C476C">
        <w:rPr>
          <w:rFonts w:ascii="Times New Roman" w:hAnsi="Times New Roman" w:cs="Times New Roman"/>
          <w:sz w:val="24"/>
          <w:szCs w:val="24"/>
        </w:rPr>
        <w:t xml:space="preserve">ocurrencia de violencia de género en el entorno cercano </w:t>
      </w:r>
      <w:r w:rsidR="005F240F" w:rsidRPr="009C476C">
        <w:rPr>
          <w:rFonts w:ascii="Times New Roman" w:hAnsi="Times New Roman" w:cs="Times New Roman"/>
          <w:sz w:val="24"/>
          <w:szCs w:val="24"/>
        </w:rPr>
        <w:t>supondría un factor de riesgo para la victimización y la perpetración de v</w:t>
      </w:r>
      <w:r w:rsidR="00E42FA3" w:rsidRPr="009C476C">
        <w:rPr>
          <w:rFonts w:ascii="Times New Roman" w:hAnsi="Times New Roman" w:cs="Times New Roman"/>
          <w:sz w:val="24"/>
          <w:szCs w:val="24"/>
        </w:rPr>
        <w:t xml:space="preserve">iolencia en la relaciones de noviazgo. </w:t>
      </w:r>
    </w:p>
    <w:p w:rsidR="009B3E06" w:rsidRPr="009C476C" w:rsidRDefault="0052145B" w:rsidP="009C47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Estudios longitudinales han encontrado que la violencia, incluso si se producen cambios de pareja, es un patrón </w:t>
      </w:r>
      <w:r w:rsidR="00F06061" w:rsidRPr="009C476C">
        <w:rPr>
          <w:rFonts w:ascii="Times New Roman" w:hAnsi="Times New Roman" w:cs="Times New Roman"/>
          <w:sz w:val="24"/>
          <w:szCs w:val="24"/>
        </w:rPr>
        <w:t xml:space="preserve">de comportamiento </w:t>
      </w:r>
      <w:r w:rsidRPr="009C476C">
        <w:rPr>
          <w:rFonts w:ascii="Times New Roman" w:hAnsi="Times New Roman" w:cs="Times New Roman"/>
          <w:sz w:val="24"/>
          <w:szCs w:val="24"/>
        </w:rPr>
        <w:t xml:space="preserve">que se </w:t>
      </w:r>
      <w:r w:rsidR="00F06061" w:rsidRPr="009C476C">
        <w:rPr>
          <w:rFonts w:ascii="Times New Roman" w:hAnsi="Times New Roman" w:cs="Times New Roman"/>
          <w:sz w:val="24"/>
          <w:szCs w:val="24"/>
        </w:rPr>
        <w:t>recrea o repite</w:t>
      </w:r>
      <w:r w:rsidRPr="009C476C">
        <w:rPr>
          <w:rFonts w:ascii="Times New Roman" w:hAnsi="Times New Roman" w:cs="Times New Roman"/>
          <w:sz w:val="24"/>
          <w:szCs w:val="24"/>
        </w:rPr>
        <w:t xml:space="preserve"> en relaciones </w:t>
      </w:r>
      <w:r w:rsidR="00664D16" w:rsidRPr="009C476C">
        <w:rPr>
          <w:rFonts w:ascii="Times New Roman" w:hAnsi="Times New Roman" w:cs="Times New Roman"/>
          <w:sz w:val="24"/>
          <w:szCs w:val="24"/>
        </w:rPr>
        <w:t>posteriores</w:t>
      </w:r>
      <w:r w:rsidRPr="009C476C">
        <w:rPr>
          <w:rFonts w:ascii="Times New Roman" w:hAnsi="Times New Roman" w:cs="Times New Roman"/>
          <w:sz w:val="24"/>
          <w:szCs w:val="24"/>
        </w:rPr>
        <w:t xml:space="preserve"> (Lohman et al., 2013). Es decir, las personas que inician una relación violenta suelen rep</w:t>
      </w:r>
      <w:r w:rsidR="00F06061" w:rsidRPr="009C476C">
        <w:rPr>
          <w:rFonts w:ascii="Times New Roman" w:hAnsi="Times New Roman" w:cs="Times New Roman"/>
          <w:sz w:val="24"/>
          <w:szCs w:val="24"/>
        </w:rPr>
        <w:t xml:space="preserve">roducir las conductas aprendidas a lo largo del tiempo. Teniendo en cuenta que las experiencias de violencia </w:t>
      </w:r>
      <w:r w:rsidR="007179B7" w:rsidRPr="009C476C">
        <w:rPr>
          <w:rFonts w:ascii="Times New Roman" w:hAnsi="Times New Roman" w:cs="Times New Roman"/>
          <w:sz w:val="24"/>
          <w:szCs w:val="24"/>
        </w:rPr>
        <w:t>en el noviazgo se relacionan con</w:t>
      </w:r>
      <w:r w:rsidR="00F06061" w:rsidRPr="009C476C">
        <w:rPr>
          <w:rFonts w:ascii="Times New Roman" w:hAnsi="Times New Roman" w:cs="Times New Roman"/>
          <w:sz w:val="24"/>
          <w:szCs w:val="24"/>
        </w:rPr>
        <w:t xml:space="preserve"> la aparición de violencia en relaciones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de la vida adulta</w:t>
      </w:r>
      <w:r w:rsidR="00F06061" w:rsidRPr="009C476C">
        <w:rPr>
          <w:rFonts w:ascii="Times New Roman" w:hAnsi="Times New Roman" w:cs="Times New Roman"/>
          <w:sz w:val="24"/>
          <w:szCs w:val="24"/>
        </w:rPr>
        <w:t xml:space="preserve"> (González-Ortega et al., 2008; Rey-Anacona, 2008</w:t>
      </w:r>
      <w:r w:rsidR="007179B7" w:rsidRPr="009C476C">
        <w:rPr>
          <w:rFonts w:ascii="Times New Roman" w:hAnsi="Times New Roman" w:cs="Times New Roman"/>
          <w:sz w:val="24"/>
          <w:szCs w:val="24"/>
        </w:rPr>
        <w:t>),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 se hace totalmente necesaria la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prevención tomando en consideración lo</w:t>
      </w:r>
      <w:r w:rsidR="00F06061" w:rsidRPr="009C476C">
        <w:rPr>
          <w:rFonts w:ascii="Times New Roman" w:hAnsi="Times New Roman" w:cs="Times New Roman"/>
          <w:sz w:val="24"/>
          <w:szCs w:val="24"/>
        </w:rPr>
        <w:t xml:space="preserve">s </w:t>
      </w:r>
      <w:r w:rsidR="00D71C81" w:rsidRPr="009C476C">
        <w:rPr>
          <w:rFonts w:ascii="Times New Roman" w:hAnsi="Times New Roman" w:cs="Times New Roman"/>
          <w:sz w:val="24"/>
          <w:szCs w:val="24"/>
        </w:rPr>
        <w:t>principales</w:t>
      </w:r>
      <w:r w:rsidR="00422EBA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7179B7" w:rsidRPr="009C476C">
        <w:rPr>
          <w:rFonts w:ascii="Times New Roman" w:hAnsi="Times New Roman" w:cs="Times New Roman"/>
          <w:sz w:val="24"/>
          <w:szCs w:val="24"/>
        </w:rPr>
        <w:t>factores de riesgo</w:t>
      </w:r>
      <w:r w:rsidR="00077054" w:rsidRPr="009C476C">
        <w:rPr>
          <w:rFonts w:ascii="Times New Roman" w:hAnsi="Times New Roman" w:cs="Times New Roman"/>
          <w:sz w:val="24"/>
          <w:szCs w:val="24"/>
        </w:rPr>
        <w:t>.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077054" w:rsidRPr="009C476C">
        <w:rPr>
          <w:rFonts w:ascii="Times New Roman" w:hAnsi="Times New Roman" w:cs="Times New Roman"/>
          <w:sz w:val="24"/>
          <w:szCs w:val="24"/>
        </w:rPr>
        <w:t>En este sentido, l</w:t>
      </w:r>
      <w:r w:rsidR="00F06061" w:rsidRPr="009C476C">
        <w:rPr>
          <w:rFonts w:ascii="Times New Roman" w:hAnsi="Times New Roman" w:cs="Times New Roman"/>
          <w:sz w:val="24"/>
          <w:szCs w:val="24"/>
        </w:rPr>
        <w:t>a</w:t>
      </w:r>
      <w:r w:rsidR="00422EBA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violencia de género, que </w:t>
      </w:r>
      <w:r w:rsidR="00835D56" w:rsidRPr="009C476C">
        <w:rPr>
          <w:rFonts w:ascii="Times New Roman" w:hAnsi="Times New Roman" w:cs="Times New Roman"/>
          <w:sz w:val="24"/>
          <w:szCs w:val="24"/>
        </w:rPr>
        <w:t>tiene un impacto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directo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E42FA3" w:rsidRPr="009C476C">
        <w:rPr>
          <w:rFonts w:ascii="Times New Roman" w:hAnsi="Times New Roman" w:cs="Times New Roman"/>
          <w:sz w:val="24"/>
          <w:szCs w:val="24"/>
        </w:rPr>
        <w:t>en la salud física y psíquica de las mujeres</w:t>
      </w:r>
      <w:r w:rsidR="00077054" w:rsidRPr="009C476C">
        <w:rPr>
          <w:rFonts w:ascii="Times New Roman" w:hAnsi="Times New Roman" w:cs="Times New Roman"/>
          <w:sz w:val="24"/>
          <w:szCs w:val="24"/>
        </w:rPr>
        <w:t xml:space="preserve"> víctimas</w:t>
      </w:r>
      <w:r w:rsidR="00E42FA3" w:rsidRPr="009C476C">
        <w:rPr>
          <w:rFonts w:ascii="Times New Roman" w:hAnsi="Times New Roman" w:cs="Times New Roman"/>
          <w:sz w:val="24"/>
          <w:szCs w:val="24"/>
        </w:rPr>
        <w:t xml:space="preserve"> (</w:t>
      </w:r>
      <w:r w:rsidR="00077054" w:rsidRPr="009C476C">
        <w:rPr>
          <w:rFonts w:ascii="Times New Roman" w:hAnsi="Times New Roman" w:cs="Times New Roman"/>
          <w:sz w:val="24"/>
          <w:szCs w:val="24"/>
        </w:rPr>
        <w:t>Plazaola-Castaño y Ruiz, 2004</w:t>
      </w:r>
      <w:r w:rsidR="00E42FA3" w:rsidRPr="009C476C">
        <w:rPr>
          <w:rFonts w:ascii="Times New Roman" w:hAnsi="Times New Roman" w:cs="Times New Roman"/>
          <w:sz w:val="24"/>
          <w:szCs w:val="24"/>
        </w:rPr>
        <w:t>)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, podría tener </w:t>
      </w:r>
      <w:r w:rsidR="003D5EB7" w:rsidRPr="009C476C">
        <w:rPr>
          <w:rFonts w:ascii="Times New Roman" w:hAnsi="Times New Roman" w:cs="Times New Roman"/>
          <w:sz w:val="24"/>
          <w:szCs w:val="24"/>
        </w:rPr>
        <w:t xml:space="preserve">también </w:t>
      </w:r>
      <w:r w:rsidR="007179B7" w:rsidRPr="009C476C">
        <w:rPr>
          <w:rFonts w:ascii="Times New Roman" w:hAnsi="Times New Roman" w:cs="Times New Roman"/>
          <w:sz w:val="24"/>
          <w:szCs w:val="24"/>
        </w:rPr>
        <w:t>un impacto en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 las personas del entorno cercano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D71C81" w:rsidRPr="009C476C">
        <w:rPr>
          <w:rFonts w:ascii="Times New Roman" w:hAnsi="Times New Roman" w:cs="Times New Roman"/>
          <w:sz w:val="24"/>
          <w:szCs w:val="24"/>
        </w:rPr>
        <w:t>(normalización de la violencia,</w:t>
      </w:r>
      <w:r w:rsidR="007179B7" w:rsidRPr="009C476C">
        <w:rPr>
          <w:rFonts w:ascii="Times New Roman" w:hAnsi="Times New Roman" w:cs="Times New Roman"/>
          <w:sz w:val="24"/>
          <w:szCs w:val="24"/>
        </w:rPr>
        <w:t xml:space="preserve"> </w:t>
      </w:r>
      <w:r w:rsidR="00D71C81" w:rsidRPr="009C476C">
        <w:rPr>
          <w:rFonts w:ascii="Times New Roman" w:hAnsi="Times New Roman" w:cs="Times New Roman"/>
          <w:sz w:val="24"/>
          <w:szCs w:val="24"/>
        </w:rPr>
        <w:t>justificación de su uso en las relaciones de pareja, mayor prevalencia de la victimización y de la perpetración, etc.)</w:t>
      </w:r>
      <w:r w:rsidR="00835D56" w:rsidRPr="009C476C">
        <w:rPr>
          <w:rFonts w:ascii="Times New Roman" w:hAnsi="Times New Roman" w:cs="Times New Roman"/>
          <w:sz w:val="24"/>
          <w:szCs w:val="24"/>
        </w:rPr>
        <w:t>. Los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 programas de prevención de la violencia 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en </w:t>
      </w:r>
      <w:r w:rsidR="00D71C81" w:rsidRPr="009C476C">
        <w:rPr>
          <w:rFonts w:ascii="Times New Roman" w:hAnsi="Times New Roman" w:cs="Times New Roman"/>
          <w:sz w:val="24"/>
          <w:szCs w:val="24"/>
        </w:rPr>
        <w:t>el noviazgo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 deberían 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incorporar la perspectiva de género y 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tener en </w:t>
      </w:r>
      <w:r w:rsidR="00835D56" w:rsidRPr="009C476C">
        <w:rPr>
          <w:rFonts w:ascii="Times New Roman" w:hAnsi="Times New Roman" w:cs="Times New Roman"/>
          <w:sz w:val="24"/>
          <w:szCs w:val="24"/>
        </w:rPr>
        <w:lastRenderedPageBreak/>
        <w:t xml:space="preserve">cuenta </w:t>
      </w:r>
      <w:r w:rsidR="00D71C81" w:rsidRPr="009C476C">
        <w:rPr>
          <w:rFonts w:ascii="Times New Roman" w:hAnsi="Times New Roman" w:cs="Times New Roman"/>
          <w:sz w:val="24"/>
          <w:szCs w:val="24"/>
        </w:rPr>
        <w:t>el papel del aprendizaje social</w:t>
      </w:r>
      <w:r w:rsidR="00835D56" w:rsidRPr="009C476C">
        <w:rPr>
          <w:rFonts w:ascii="Times New Roman" w:hAnsi="Times New Roman" w:cs="Times New Roman"/>
          <w:sz w:val="24"/>
          <w:szCs w:val="24"/>
        </w:rPr>
        <w:t>, evitando de esta manera la reproducción de la</w:t>
      </w:r>
      <w:r w:rsidR="00D71C81" w:rsidRPr="009C476C">
        <w:rPr>
          <w:rFonts w:ascii="Times New Roman" w:hAnsi="Times New Roman" w:cs="Times New Roman"/>
          <w:sz w:val="24"/>
          <w:szCs w:val="24"/>
        </w:rPr>
        <w:t>s conductas violentas</w:t>
      </w:r>
      <w:r w:rsidR="00835D56" w:rsidRPr="009C476C">
        <w:rPr>
          <w:rFonts w:ascii="Times New Roman" w:hAnsi="Times New Roman" w:cs="Times New Roman"/>
          <w:sz w:val="24"/>
          <w:szCs w:val="24"/>
        </w:rPr>
        <w:t>. T</w:t>
      </w:r>
      <w:r w:rsidR="005D59EB" w:rsidRPr="009C476C">
        <w:rPr>
          <w:rFonts w:ascii="Times New Roman" w:hAnsi="Times New Roman" w:cs="Times New Roman"/>
          <w:sz w:val="24"/>
          <w:szCs w:val="24"/>
        </w:rPr>
        <w:t>al y como exponen González y Santana (2001</w:t>
      </w:r>
      <w:r w:rsidR="00D73C0F" w:rsidRPr="009C476C">
        <w:rPr>
          <w:rFonts w:ascii="Times New Roman" w:hAnsi="Times New Roman" w:cs="Times New Roman"/>
          <w:sz w:val="24"/>
          <w:szCs w:val="24"/>
        </w:rPr>
        <w:t>), la exposición a un contexto familiar violento</w:t>
      </w:r>
      <w:r w:rsidR="005D59EB" w:rsidRPr="009C476C">
        <w:rPr>
          <w:rFonts w:ascii="Times New Roman" w:hAnsi="Times New Roman" w:cs="Times New Roman"/>
          <w:sz w:val="24"/>
          <w:szCs w:val="24"/>
        </w:rPr>
        <w:t xml:space="preserve"> no conduce </w:t>
      </w:r>
      <w:r w:rsidR="00D73C0F" w:rsidRPr="009C476C">
        <w:rPr>
          <w:rFonts w:ascii="Times New Roman" w:hAnsi="Times New Roman" w:cs="Times New Roman"/>
          <w:sz w:val="24"/>
          <w:szCs w:val="24"/>
        </w:rPr>
        <w:t>de forma irremediable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 a su</w:t>
      </w:r>
      <w:r w:rsidR="005D59EB" w:rsidRPr="009C476C">
        <w:rPr>
          <w:rFonts w:ascii="Times New Roman" w:hAnsi="Times New Roman" w:cs="Times New Roman"/>
          <w:sz w:val="24"/>
          <w:szCs w:val="24"/>
        </w:rPr>
        <w:t xml:space="preserve"> reproducción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; la sensibilización y la prevención juegan un papel </w:t>
      </w:r>
      <w:r w:rsidR="00D71C81" w:rsidRPr="009C476C">
        <w:rPr>
          <w:rFonts w:ascii="Times New Roman" w:hAnsi="Times New Roman" w:cs="Times New Roman"/>
          <w:sz w:val="24"/>
          <w:szCs w:val="24"/>
        </w:rPr>
        <w:t>determinante</w:t>
      </w:r>
      <w:r w:rsidR="00835D56" w:rsidRPr="009C476C">
        <w:rPr>
          <w:rFonts w:ascii="Times New Roman" w:hAnsi="Times New Roman" w:cs="Times New Roman"/>
          <w:sz w:val="24"/>
          <w:szCs w:val="24"/>
        </w:rPr>
        <w:t xml:space="preserve">. </w:t>
      </w:r>
      <w:r w:rsidR="00D71C81" w:rsidRPr="009C4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A08" w:rsidRPr="009C476C" w:rsidRDefault="00177A08" w:rsidP="009C476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76C"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C12D29" w:rsidRPr="009C476C" w:rsidRDefault="00C12D29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>Autor (en prensa).</w:t>
      </w:r>
    </w:p>
    <w:p w:rsidR="004C04D4" w:rsidRPr="009C476C" w:rsidRDefault="004C04D4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Calvete, E. y Orue, I. (2013). 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Cognitive Mechanisms of the Transmission of Violence: Exploring Gender Differences among Adolescents Exposed to Family Violence. </w:t>
      </w:r>
      <w:r w:rsidRPr="009C476C">
        <w:rPr>
          <w:rFonts w:ascii="Times New Roman" w:hAnsi="Times New Roman" w:cs="Times New Roman"/>
          <w:i/>
          <w:sz w:val="24"/>
          <w:szCs w:val="24"/>
          <w:lang w:val="en-US"/>
        </w:rPr>
        <w:t>Journal of Family Violence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, 28 (1), 73–84. DOI: </w:t>
      </w:r>
      <w:hyperlink r:id="rId7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https://doi.org/10.1007/s10896-012-9472-y</w:t>
        </w:r>
      </w:hyperlink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D73C0F" w:rsidRPr="009C476C" w:rsidRDefault="00D73C0F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Foshee, V. A., Reyes, H. L. M., Chen, M. S., Ennett, S. T., Basile, K. C., DeGue, S., Vivolo-Kantor, A. M., Moracco, K. E. y Bowling, J. M. (2016). Shared Risk Factors for the Perpetration of Physical Dating Violence, Bullying, and Sexual Harassment Among Adolescents Exposed to Domestic Violence. </w:t>
      </w:r>
      <w:r w:rsidRPr="009C476C">
        <w:rPr>
          <w:rFonts w:ascii="Times New Roman" w:hAnsi="Times New Roman" w:cs="Times New Roman"/>
          <w:i/>
          <w:sz w:val="24"/>
          <w:szCs w:val="24"/>
          <w:lang w:val="en-US"/>
        </w:rPr>
        <w:t>Journal of Youth and Adolescence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, 45 (4), 672-686. DOI: </w:t>
      </w:r>
      <w:hyperlink r:id="rId8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https://doi.org/10.1007/s10964-015-0404-z</w:t>
        </w:r>
      </w:hyperlink>
      <w:r w:rsidRPr="009C47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F4E1F" w:rsidRPr="009C476C" w:rsidRDefault="009F4E1F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García-Carpintero, M. A., Rodríguez-Santero, J. y Porcel-Gálvez, A. M. (2018). Diseño y validación de la escala para la detección de violencia en el noviazgo en jóvenes en la Universidad de Sevilla. </w:t>
      </w:r>
      <w:r w:rsidRPr="009C476C">
        <w:rPr>
          <w:rFonts w:ascii="Times New Roman" w:hAnsi="Times New Roman" w:cs="Times New Roman"/>
          <w:i/>
          <w:sz w:val="24"/>
          <w:szCs w:val="24"/>
        </w:rPr>
        <w:t>Gaceta Sanitaria</w:t>
      </w:r>
      <w:r w:rsidRPr="009C476C">
        <w:rPr>
          <w:rFonts w:ascii="Times New Roman" w:hAnsi="Times New Roman" w:cs="Times New Roman"/>
          <w:sz w:val="24"/>
          <w:szCs w:val="24"/>
        </w:rPr>
        <w:t xml:space="preserve">, 32 (2), 121-128. DOI: </w:t>
      </w:r>
      <w:hyperlink r:id="rId9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https://doi.org/10.1016/j.gaceta.2017.09.006</w:t>
        </w:r>
      </w:hyperlink>
      <w:r w:rsidRPr="009C4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C0F" w:rsidRPr="009C476C" w:rsidRDefault="00D73C0F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González-Ortega, I., Echeburúa, E. y de Corral, P. (2008). Variables significativas en las relaciones violentas en parejas jóvenes: una revisión. </w:t>
      </w:r>
      <w:r w:rsidRPr="009C476C">
        <w:rPr>
          <w:rFonts w:ascii="Times New Roman" w:hAnsi="Times New Roman" w:cs="Times New Roman"/>
          <w:i/>
          <w:sz w:val="24"/>
          <w:szCs w:val="24"/>
        </w:rPr>
        <w:t>Behavioral Psychology</w:t>
      </w:r>
      <w:r w:rsidRPr="009C476C">
        <w:rPr>
          <w:rFonts w:ascii="Times New Roman" w:hAnsi="Times New Roman" w:cs="Times New Roman"/>
          <w:sz w:val="24"/>
          <w:szCs w:val="24"/>
        </w:rPr>
        <w:t xml:space="preserve">, 16 (2), 207-225. </w:t>
      </w:r>
    </w:p>
    <w:p w:rsidR="00A13683" w:rsidRPr="009C476C" w:rsidRDefault="00A13683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González, R. y Santana, J. D. (2001). La violencia en parejas jóvenes. </w:t>
      </w:r>
      <w:r w:rsidRPr="009C476C">
        <w:rPr>
          <w:rFonts w:ascii="Times New Roman" w:hAnsi="Times New Roman" w:cs="Times New Roman"/>
          <w:i/>
          <w:sz w:val="24"/>
          <w:szCs w:val="24"/>
          <w:lang w:val="en-US"/>
        </w:rPr>
        <w:t>Psicothema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, 13 (1), 127-131. </w:t>
      </w:r>
      <w:r w:rsidR="00D73C0F"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47BE" w:rsidRPr="009C476C" w:rsidRDefault="00D747BE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Lohman, B. J., Neppl, T. K., Senia, J. M. y Schofield, T. J. (2013). Understanding Adolescent and Family Influences on Intimate Partner Psychological Violence During Emerging Adulthood and Adulthood. </w:t>
      </w:r>
      <w:r w:rsidRPr="009C476C">
        <w:rPr>
          <w:rFonts w:ascii="Times New Roman" w:hAnsi="Times New Roman" w:cs="Times New Roman"/>
          <w:i/>
          <w:sz w:val="24"/>
          <w:szCs w:val="24"/>
          <w:lang w:val="en-US"/>
        </w:rPr>
        <w:t>Journal of Youth and Adolescence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, 42 (4), 500–517. DOI: </w:t>
      </w:r>
      <w:hyperlink r:id="rId10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https://doi.org/10.1007/s10964-013-9923-7</w:t>
        </w:r>
      </w:hyperlink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02BA9" w:rsidRPr="009C476C" w:rsidRDefault="00C02BA9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Moral, J. y Ramos, S. (2016). Ajuste diádico, victimización y perpetración en mujeres y hombres mexicanos. </w:t>
      </w:r>
      <w:r w:rsidRPr="009C476C">
        <w:rPr>
          <w:rFonts w:ascii="Times New Roman" w:hAnsi="Times New Roman" w:cs="Times New Roman"/>
          <w:i/>
          <w:sz w:val="24"/>
          <w:szCs w:val="24"/>
        </w:rPr>
        <w:t>PSYKHE</w:t>
      </w:r>
      <w:r w:rsidRPr="009C476C">
        <w:rPr>
          <w:rFonts w:ascii="Times New Roman" w:hAnsi="Times New Roman" w:cs="Times New Roman"/>
          <w:sz w:val="24"/>
          <w:szCs w:val="24"/>
        </w:rPr>
        <w:t xml:space="preserve">, 25 (1), 1-18. DOI: </w:t>
      </w:r>
      <w:hyperlink r:id="rId11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http://dx.doi.org/10.7764/psykhe.25.1.845</w:t>
        </w:r>
      </w:hyperlink>
      <w:r w:rsidRPr="009C4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59D" w:rsidRPr="009C476C" w:rsidRDefault="00D1559D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Muñoz-Rivas, M. J., Andreu, J. M., Graña, J. L., O’Leary, D. K. y González, M. P. (2007). Validación de la versión modificada de la Conflicts Tactics Scale (M-CTS) en población juvenil española. </w:t>
      </w:r>
      <w:r w:rsidRPr="009C476C">
        <w:rPr>
          <w:rFonts w:ascii="Times New Roman" w:hAnsi="Times New Roman" w:cs="Times New Roman"/>
          <w:i/>
          <w:sz w:val="24"/>
          <w:szCs w:val="24"/>
        </w:rPr>
        <w:t xml:space="preserve">Psicothema, </w:t>
      </w:r>
      <w:r w:rsidRPr="009C476C">
        <w:rPr>
          <w:rFonts w:ascii="Times New Roman" w:hAnsi="Times New Roman" w:cs="Times New Roman"/>
          <w:sz w:val="24"/>
          <w:szCs w:val="24"/>
        </w:rPr>
        <w:t xml:space="preserve">19 (4), 693-698. </w:t>
      </w:r>
    </w:p>
    <w:p w:rsidR="00825ABC" w:rsidRPr="009C476C" w:rsidRDefault="00825ABC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>Naciones Unidas (2015). Transformar nuestro mundo: la Agenda 2030 para el Desarrollo Sostenible</w:t>
      </w:r>
      <w:r w:rsidR="0078079E">
        <w:rPr>
          <w:rFonts w:ascii="Times New Roman" w:hAnsi="Times New Roman" w:cs="Times New Roman"/>
          <w:sz w:val="24"/>
          <w:szCs w:val="24"/>
        </w:rPr>
        <w:t>. Recuperado</w:t>
      </w:r>
      <w:r w:rsidRPr="009C476C">
        <w:rPr>
          <w:rFonts w:ascii="Times New Roman" w:hAnsi="Times New Roman" w:cs="Times New Roman"/>
          <w:sz w:val="24"/>
          <w:szCs w:val="24"/>
        </w:rPr>
        <w:t xml:space="preserve"> de: </w:t>
      </w:r>
      <w:hyperlink r:id="rId12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</w:rPr>
          <w:t>https://undocs.org/es/A/RES/70/1</w:t>
        </w:r>
      </w:hyperlink>
      <w:r w:rsidRPr="009C47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777" w:rsidRPr="009C476C" w:rsidRDefault="00817777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Patró, R. y Limiñana, R. M. (2005). Víctimas de violencia familiar: Consecuencias psicológicas en hijos de mujeres maltratadas. </w:t>
      </w:r>
      <w:r w:rsidRPr="009C476C">
        <w:rPr>
          <w:rFonts w:ascii="Times New Roman" w:hAnsi="Times New Roman" w:cs="Times New Roman"/>
          <w:i/>
          <w:sz w:val="24"/>
          <w:szCs w:val="24"/>
        </w:rPr>
        <w:t>Anales de Psicología</w:t>
      </w:r>
      <w:r w:rsidRPr="009C476C">
        <w:rPr>
          <w:rFonts w:ascii="Times New Roman" w:hAnsi="Times New Roman" w:cs="Times New Roman"/>
          <w:sz w:val="24"/>
          <w:szCs w:val="24"/>
        </w:rPr>
        <w:t xml:space="preserve">, 21 (1), 11-17. </w:t>
      </w:r>
    </w:p>
    <w:p w:rsidR="007028E2" w:rsidRPr="009C476C" w:rsidRDefault="007028E2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lastRenderedPageBreak/>
        <w:t xml:space="preserve">Pineda, J. y Otero, L. (2004). Género, violencia intrafamiliar e intervención pública en Colombia. </w:t>
      </w:r>
      <w:r w:rsidRPr="009C476C">
        <w:rPr>
          <w:rFonts w:ascii="Times New Roman" w:hAnsi="Times New Roman" w:cs="Times New Roman"/>
          <w:i/>
          <w:sz w:val="24"/>
          <w:szCs w:val="24"/>
        </w:rPr>
        <w:t>Revista de estudios sociales</w:t>
      </w:r>
      <w:r w:rsidRPr="009C476C">
        <w:rPr>
          <w:rFonts w:ascii="Times New Roman" w:hAnsi="Times New Roman" w:cs="Times New Roman"/>
          <w:sz w:val="24"/>
          <w:szCs w:val="24"/>
        </w:rPr>
        <w:t xml:space="preserve">, (17), 19-31. </w:t>
      </w:r>
    </w:p>
    <w:p w:rsidR="00077054" w:rsidRPr="009C476C" w:rsidRDefault="00077054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Plazaola-Castaño, J. y Ruiz, I. (2004). Violencia contra la mujer en la pareja y consecuencias en la salud física y psíquica. </w:t>
      </w:r>
      <w:r w:rsidRPr="009C476C">
        <w:rPr>
          <w:rFonts w:ascii="Times New Roman" w:hAnsi="Times New Roman" w:cs="Times New Roman"/>
          <w:i/>
          <w:sz w:val="24"/>
          <w:szCs w:val="24"/>
        </w:rPr>
        <w:t>Medicina Clínica, 122</w:t>
      </w:r>
      <w:r w:rsidRPr="009C476C">
        <w:rPr>
          <w:rFonts w:ascii="Times New Roman" w:hAnsi="Times New Roman" w:cs="Times New Roman"/>
          <w:sz w:val="24"/>
          <w:szCs w:val="24"/>
        </w:rPr>
        <w:t xml:space="preserve"> (12), 461-467. DOI: </w:t>
      </w:r>
      <w:hyperlink r:id="rId13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https://doi.org/10.1016/S0025-7753(04)74273-6</w:t>
        </w:r>
      </w:hyperlink>
      <w:r w:rsidRPr="009C47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A37EA" w:rsidRPr="009C476C" w:rsidRDefault="000A37EA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Pradas, E. y Perles, F. (2012). Resolución de conflictos de pareja en adolescentes, sexismo y dependencia emocional. </w:t>
      </w:r>
      <w:r w:rsidRPr="009C476C">
        <w:rPr>
          <w:rFonts w:ascii="Times New Roman" w:hAnsi="Times New Roman" w:cs="Times New Roman"/>
          <w:i/>
          <w:sz w:val="24"/>
          <w:szCs w:val="24"/>
        </w:rPr>
        <w:t>Quaderns de Psicologia</w:t>
      </w:r>
      <w:r w:rsidRPr="009C476C">
        <w:rPr>
          <w:rFonts w:ascii="Times New Roman" w:hAnsi="Times New Roman" w:cs="Times New Roman"/>
          <w:sz w:val="24"/>
          <w:szCs w:val="24"/>
        </w:rPr>
        <w:t xml:space="preserve">, 14 (1), 45-60. </w:t>
      </w:r>
    </w:p>
    <w:p w:rsidR="008B58C9" w:rsidRPr="009C476C" w:rsidRDefault="008B58C9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Rey-Anacona, C. A. (2008). Prevalencia, factores de riesgo y problemáticas asociadas con la violencia en el noviazgo: una revisión de la literatura. </w:t>
      </w:r>
      <w:r w:rsidRPr="009C476C">
        <w:rPr>
          <w:rFonts w:ascii="Times New Roman" w:hAnsi="Times New Roman" w:cs="Times New Roman"/>
          <w:i/>
          <w:sz w:val="24"/>
          <w:szCs w:val="24"/>
        </w:rPr>
        <w:t>Avances en Psicología Latinoamericana</w:t>
      </w:r>
      <w:r w:rsidRPr="009C476C">
        <w:rPr>
          <w:rFonts w:ascii="Times New Roman" w:hAnsi="Times New Roman" w:cs="Times New Roman"/>
          <w:sz w:val="24"/>
          <w:szCs w:val="24"/>
        </w:rPr>
        <w:t xml:space="preserve">, 26 (2), 227-241. </w:t>
      </w:r>
    </w:p>
    <w:p w:rsidR="00AD05CA" w:rsidRPr="009C476C" w:rsidRDefault="00512FB5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Rey-Anacona, C. A., Mateus-Cubides, A. M. y Bayona-Arévalo, P. A. (2010). Malos tratos ejercidos por adolescentes durante el noviazgo: diferencias por sexo. </w:t>
      </w:r>
      <w:r w:rsidRPr="009C476C">
        <w:rPr>
          <w:rFonts w:ascii="Times New Roman" w:hAnsi="Times New Roman" w:cs="Times New Roman"/>
          <w:i/>
          <w:sz w:val="24"/>
          <w:szCs w:val="24"/>
        </w:rPr>
        <w:t>Revista Mexicana de Psicología</w:t>
      </w:r>
      <w:r w:rsidRPr="009C476C">
        <w:rPr>
          <w:rFonts w:ascii="Times New Roman" w:hAnsi="Times New Roman" w:cs="Times New Roman"/>
          <w:sz w:val="24"/>
          <w:szCs w:val="24"/>
        </w:rPr>
        <w:t xml:space="preserve">, 27 (2), 169-181. </w:t>
      </w:r>
    </w:p>
    <w:p w:rsidR="005B4F51" w:rsidRPr="009C476C" w:rsidRDefault="00AD05CA" w:rsidP="009C476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76C">
        <w:rPr>
          <w:rFonts w:ascii="Times New Roman" w:hAnsi="Times New Roman" w:cs="Times New Roman"/>
          <w:sz w:val="24"/>
          <w:szCs w:val="24"/>
        </w:rPr>
        <w:t xml:space="preserve">Reyes, H. L. M., Foshee, V. A., Chen, M. S. y Ennett, S. T. (2017). 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>Patterns of Dating Violence Victimization and Perpetration among Latino Youth</w:t>
      </w:r>
      <w:r w:rsidRPr="009C476C">
        <w:rPr>
          <w:rFonts w:ascii="Times New Roman" w:hAnsi="Times New Roman" w:cs="Times New Roman"/>
          <w:i/>
          <w:sz w:val="24"/>
          <w:szCs w:val="24"/>
          <w:lang w:val="en-US"/>
        </w:rPr>
        <w:t>. Journal of Youth and Adolescence</w:t>
      </w:r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, 46 (8), 1727-1742. DOI: </w:t>
      </w:r>
      <w:hyperlink r:id="rId14" w:history="1">
        <w:r w:rsidRPr="009C476C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https://doi.org/10.1007/s10964-016-0621-0</w:t>
        </w:r>
      </w:hyperlink>
      <w:r w:rsidRPr="009C47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5B4F51" w:rsidRPr="009C476C" w:rsidSect="000B06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BD" w:rsidRDefault="008A0DBD" w:rsidP="00177A08">
      <w:pPr>
        <w:pStyle w:val="Sinespaciado"/>
      </w:pPr>
      <w:r>
        <w:separator/>
      </w:r>
    </w:p>
  </w:endnote>
  <w:endnote w:type="continuationSeparator" w:id="1">
    <w:p w:rsidR="008A0DBD" w:rsidRDefault="008A0DBD" w:rsidP="00177A08">
      <w:pPr>
        <w:pStyle w:val="Sinespaci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BD" w:rsidRDefault="008A0DBD" w:rsidP="00177A08">
      <w:pPr>
        <w:pStyle w:val="Sinespaciado"/>
      </w:pPr>
      <w:r>
        <w:separator/>
      </w:r>
    </w:p>
  </w:footnote>
  <w:footnote w:type="continuationSeparator" w:id="1">
    <w:p w:rsidR="008A0DBD" w:rsidRDefault="008A0DBD" w:rsidP="00177A08">
      <w:pPr>
        <w:pStyle w:val="Sinespaciad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A6" w:rsidRDefault="003D13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CDC"/>
    <w:multiLevelType w:val="hybridMultilevel"/>
    <w:tmpl w:val="ED1CC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8E8"/>
    <w:multiLevelType w:val="hybridMultilevel"/>
    <w:tmpl w:val="34E8F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36538"/>
    <w:multiLevelType w:val="hybridMultilevel"/>
    <w:tmpl w:val="34E8F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0220"/>
    <w:rsid w:val="0000586E"/>
    <w:rsid w:val="000116E3"/>
    <w:rsid w:val="00022AAF"/>
    <w:rsid w:val="000242DC"/>
    <w:rsid w:val="000265EA"/>
    <w:rsid w:val="00037E92"/>
    <w:rsid w:val="00040066"/>
    <w:rsid w:val="00040FEB"/>
    <w:rsid w:val="00064C6E"/>
    <w:rsid w:val="00064D27"/>
    <w:rsid w:val="00065012"/>
    <w:rsid w:val="0007146A"/>
    <w:rsid w:val="00072E95"/>
    <w:rsid w:val="00074131"/>
    <w:rsid w:val="000746FC"/>
    <w:rsid w:val="00077054"/>
    <w:rsid w:val="00077A23"/>
    <w:rsid w:val="00077DE9"/>
    <w:rsid w:val="000808F2"/>
    <w:rsid w:val="00085AE9"/>
    <w:rsid w:val="0008778B"/>
    <w:rsid w:val="00092B84"/>
    <w:rsid w:val="000A37EA"/>
    <w:rsid w:val="000A521B"/>
    <w:rsid w:val="000B06DF"/>
    <w:rsid w:val="000C10CA"/>
    <w:rsid w:val="000C11A8"/>
    <w:rsid w:val="000C46F9"/>
    <w:rsid w:val="000D4530"/>
    <w:rsid w:val="000D7FB9"/>
    <w:rsid w:val="000E21E5"/>
    <w:rsid w:val="000E33C1"/>
    <w:rsid w:val="000E5EE5"/>
    <w:rsid w:val="000E7C26"/>
    <w:rsid w:val="000F30D1"/>
    <w:rsid w:val="000F3914"/>
    <w:rsid w:val="000F3C0B"/>
    <w:rsid w:val="00102AF8"/>
    <w:rsid w:val="00104AC5"/>
    <w:rsid w:val="00112AB9"/>
    <w:rsid w:val="00113914"/>
    <w:rsid w:val="001162E7"/>
    <w:rsid w:val="00143E61"/>
    <w:rsid w:val="00160883"/>
    <w:rsid w:val="00163B44"/>
    <w:rsid w:val="001652B7"/>
    <w:rsid w:val="001729EC"/>
    <w:rsid w:val="00172CB6"/>
    <w:rsid w:val="00175623"/>
    <w:rsid w:val="00177A08"/>
    <w:rsid w:val="001809A5"/>
    <w:rsid w:val="00181A98"/>
    <w:rsid w:val="00181BBD"/>
    <w:rsid w:val="00183847"/>
    <w:rsid w:val="00187AF6"/>
    <w:rsid w:val="00195754"/>
    <w:rsid w:val="001A2B07"/>
    <w:rsid w:val="001A75C1"/>
    <w:rsid w:val="001B1FA7"/>
    <w:rsid w:val="001C3D07"/>
    <w:rsid w:val="001D3574"/>
    <w:rsid w:val="001E1ACB"/>
    <w:rsid w:val="001E3F04"/>
    <w:rsid w:val="001F6A9C"/>
    <w:rsid w:val="00214993"/>
    <w:rsid w:val="00216EB5"/>
    <w:rsid w:val="002203AE"/>
    <w:rsid w:val="00221124"/>
    <w:rsid w:val="00221E3A"/>
    <w:rsid w:val="00231B8F"/>
    <w:rsid w:val="00242960"/>
    <w:rsid w:val="00252EAA"/>
    <w:rsid w:val="00262D7E"/>
    <w:rsid w:val="002772F8"/>
    <w:rsid w:val="002A2012"/>
    <w:rsid w:val="002C2CB8"/>
    <w:rsid w:val="002E0801"/>
    <w:rsid w:val="002F3623"/>
    <w:rsid w:val="002F5B49"/>
    <w:rsid w:val="00300764"/>
    <w:rsid w:val="00302C19"/>
    <w:rsid w:val="00305930"/>
    <w:rsid w:val="003112EE"/>
    <w:rsid w:val="003131B1"/>
    <w:rsid w:val="003134AF"/>
    <w:rsid w:val="00320BDD"/>
    <w:rsid w:val="00327A07"/>
    <w:rsid w:val="003308A6"/>
    <w:rsid w:val="003316BC"/>
    <w:rsid w:val="00332D4B"/>
    <w:rsid w:val="00335D56"/>
    <w:rsid w:val="00341181"/>
    <w:rsid w:val="00355674"/>
    <w:rsid w:val="00360F35"/>
    <w:rsid w:val="003611FD"/>
    <w:rsid w:val="003613A4"/>
    <w:rsid w:val="00370CD4"/>
    <w:rsid w:val="00373A2F"/>
    <w:rsid w:val="00374C98"/>
    <w:rsid w:val="00376DB7"/>
    <w:rsid w:val="00380CB4"/>
    <w:rsid w:val="00380E57"/>
    <w:rsid w:val="00384959"/>
    <w:rsid w:val="00385737"/>
    <w:rsid w:val="00387666"/>
    <w:rsid w:val="00391308"/>
    <w:rsid w:val="003918C6"/>
    <w:rsid w:val="003A1083"/>
    <w:rsid w:val="003B4D26"/>
    <w:rsid w:val="003B5FCC"/>
    <w:rsid w:val="003C6D0D"/>
    <w:rsid w:val="003D13A6"/>
    <w:rsid w:val="003D5EB7"/>
    <w:rsid w:val="003E27EB"/>
    <w:rsid w:val="003E54E7"/>
    <w:rsid w:val="003F162D"/>
    <w:rsid w:val="004011D8"/>
    <w:rsid w:val="00402E38"/>
    <w:rsid w:val="0040415B"/>
    <w:rsid w:val="00405CE6"/>
    <w:rsid w:val="0041041C"/>
    <w:rsid w:val="004127D4"/>
    <w:rsid w:val="00422EBA"/>
    <w:rsid w:val="004249CD"/>
    <w:rsid w:val="00430354"/>
    <w:rsid w:val="004336AB"/>
    <w:rsid w:val="00434262"/>
    <w:rsid w:val="0044520F"/>
    <w:rsid w:val="004452B9"/>
    <w:rsid w:val="004533FB"/>
    <w:rsid w:val="0045670B"/>
    <w:rsid w:val="00464102"/>
    <w:rsid w:val="00465020"/>
    <w:rsid w:val="004673E2"/>
    <w:rsid w:val="004732BA"/>
    <w:rsid w:val="00476D31"/>
    <w:rsid w:val="00484C49"/>
    <w:rsid w:val="004873E4"/>
    <w:rsid w:val="004A1F03"/>
    <w:rsid w:val="004A781E"/>
    <w:rsid w:val="004C04D4"/>
    <w:rsid w:val="004C4AC2"/>
    <w:rsid w:val="004C5169"/>
    <w:rsid w:val="004C558A"/>
    <w:rsid w:val="004E4432"/>
    <w:rsid w:val="004F2375"/>
    <w:rsid w:val="004F2B88"/>
    <w:rsid w:val="00500F9D"/>
    <w:rsid w:val="005041B5"/>
    <w:rsid w:val="00505D21"/>
    <w:rsid w:val="0050620A"/>
    <w:rsid w:val="00507A86"/>
    <w:rsid w:val="00510F71"/>
    <w:rsid w:val="00512FB5"/>
    <w:rsid w:val="00517B9B"/>
    <w:rsid w:val="00517C97"/>
    <w:rsid w:val="00517F4B"/>
    <w:rsid w:val="0052145B"/>
    <w:rsid w:val="005240F3"/>
    <w:rsid w:val="00524828"/>
    <w:rsid w:val="00545D1E"/>
    <w:rsid w:val="00553A16"/>
    <w:rsid w:val="005637BC"/>
    <w:rsid w:val="00567BDF"/>
    <w:rsid w:val="005727D9"/>
    <w:rsid w:val="0057660E"/>
    <w:rsid w:val="00577C1D"/>
    <w:rsid w:val="00584A6A"/>
    <w:rsid w:val="005A7AB3"/>
    <w:rsid w:val="005B3E1C"/>
    <w:rsid w:val="005B4F51"/>
    <w:rsid w:val="005C42BD"/>
    <w:rsid w:val="005C770D"/>
    <w:rsid w:val="005D59EB"/>
    <w:rsid w:val="005E2330"/>
    <w:rsid w:val="005E5F67"/>
    <w:rsid w:val="005E7868"/>
    <w:rsid w:val="005F1670"/>
    <w:rsid w:val="005F1C73"/>
    <w:rsid w:val="005F240F"/>
    <w:rsid w:val="005F322D"/>
    <w:rsid w:val="00610663"/>
    <w:rsid w:val="00614BDE"/>
    <w:rsid w:val="0061756B"/>
    <w:rsid w:val="00650C20"/>
    <w:rsid w:val="00652C87"/>
    <w:rsid w:val="00660D6B"/>
    <w:rsid w:val="00661789"/>
    <w:rsid w:val="00664D16"/>
    <w:rsid w:val="00677697"/>
    <w:rsid w:val="00682241"/>
    <w:rsid w:val="006841C5"/>
    <w:rsid w:val="00685D0A"/>
    <w:rsid w:val="00687E04"/>
    <w:rsid w:val="006976C6"/>
    <w:rsid w:val="00697CDA"/>
    <w:rsid w:val="006A643B"/>
    <w:rsid w:val="006B59A1"/>
    <w:rsid w:val="006B5AF9"/>
    <w:rsid w:val="006C0988"/>
    <w:rsid w:val="006C353E"/>
    <w:rsid w:val="006D4689"/>
    <w:rsid w:val="006D5341"/>
    <w:rsid w:val="006E3131"/>
    <w:rsid w:val="006E3780"/>
    <w:rsid w:val="006F07F7"/>
    <w:rsid w:val="006F6A5F"/>
    <w:rsid w:val="007028E2"/>
    <w:rsid w:val="00706AAF"/>
    <w:rsid w:val="0071027F"/>
    <w:rsid w:val="007179B7"/>
    <w:rsid w:val="007241B1"/>
    <w:rsid w:val="00727DB7"/>
    <w:rsid w:val="007623BE"/>
    <w:rsid w:val="00765783"/>
    <w:rsid w:val="00776AFF"/>
    <w:rsid w:val="0078079E"/>
    <w:rsid w:val="007834B7"/>
    <w:rsid w:val="0078729F"/>
    <w:rsid w:val="0079147C"/>
    <w:rsid w:val="007950D8"/>
    <w:rsid w:val="007B08A6"/>
    <w:rsid w:val="007B1A44"/>
    <w:rsid w:val="007B23A7"/>
    <w:rsid w:val="007B576A"/>
    <w:rsid w:val="007C5079"/>
    <w:rsid w:val="007C7000"/>
    <w:rsid w:val="007C770D"/>
    <w:rsid w:val="007D69C1"/>
    <w:rsid w:val="007E1A7B"/>
    <w:rsid w:val="007F0092"/>
    <w:rsid w:val="007F6E1E"/>
    <w:rsid w:val="0080347F"/>
    <w:rsid w:val="00804A4E"/>
    <w:rsid w:val="00810BCD"/>
    <w:rsid w:val="0081501F"/>
    <w:rsid w:val="00815F3E"/>
    <w:rsid w:val="00817777"/>
    <w:rsid w:val="00823FBD"/>
    <w:rsid w:val="00825ABC"/>
    <w:rsid w:val="00833B5E"/>
    <w:rsid w:val="00835D56"/>
    <w:rsid w:val="00836071"/>
    <w:rsid w:val="00837C5B"/>
    <w:rsid w:val="008529B4"/>
    <w:rsid w:val="0085648E"/>
    <w:rsid w:val="00867F62"/>
    <w:rsid w:val="008761AC"/>
    <w:rsid w:val="00881E63"/>
    <w:rsid w:val="008935AE"/>
    <w:rsid w:val="00894047"/>
    <w:rsid w:val="008A0DBD"/>
    <w:rsid w:val="008A4AB3"/>
    <w:rsid w:val="008A4B0B"/>
    <w:rsid w:val="008A7462"/>
    <w:rsid w:val="008B03F0"/>
    <w:rsid w:val="008B58C9"/>
    <w:rsid w:val="008B69CC"/>
    <w:rsid w:val="008C2009"/>
    <w:rsid w:val="008E0188"/>
    <w:rsid w:val="008E1C67"/>
    <w:rsid w:val="008F52EE"/>
    <w:rsid w:val="008F606A"/>
    <w:rsid w:val="00905066"/>
    <w:rsid w:val="00905C42"/>
    <w:rsid w:val="009109CC"/>
    <w:rsid w:val="00923484"/>
    <w:rsid w:val="00927CCD"/>
    <w:rsid w:val="009345A3"/>
    <w:rsid w:val="00951336"/>
    <w:rsid w:val="0095455F"/>
    <w:rsid w:val="009561D4"/>
    <w:rsid w:val="00964F6D"/>
    <w:rsid w:val="00970F88"/>
    <w:rsid w:val="00975345"/>
    <w:rsid w:val="009804CC"/>
    <w:rsid w:val="00990B7A"/>
    <w:rsid w:val="009930E4"/>
    <w:rsid w:val="0099609E"/>
    <w:rsid w:val="00996DE1"/>
    <w:rsid w:val="009A557F"/>
    <w:rsid w:val="009A6818"/>
    <w:rsid w:val="009B3E06"/>
    <w:rsid w:val="009B6411"/>
    <w:rsid w:val="009C476C"/>
    <w:rsid w:val="009D2E8A"/>
    <w:rsid w:val="009E141C"/>
    <w:rsid w:val="009E3390"/>
    <w:rsid w:val="009F44E8"/>
    <w:rsid w:val="009F4E1F"/>
    <w:rsid w:val="00A01811"/>
    <w:rsid w:val="00A06418"/>
    <w:rsid w:val="00A10614"/>
    <w:rsid w:val="00A13683"/>
    <w:rsid w:val="00A25E9B"/>
    <w:rsid w:val="00A30D49"/>
    <w:rsid w:val="00A43B48"/>
    <w:rsid w:val="00A47203"/>
    <w:rsid w:val="00A5123B"/>
    <w:rsid w:val="00A532DC"/>
    <w:rsid w:val="00A6047A"/>
    <w:rsid w:val="00A63948"/>
    <w:rsid w:val="00A67223"/>
    <w:rsid w:val="00A6753A"/>
    <w:rsid w:val="00A7479F"/>
    <w:rsid w:val="00A76959"/>
    <w:rsid w:val="00A92006"/>
    <w:rsid w:val="00A957D0"/>
    <w:rsid w:val="00AC7D4E"/>
    <w:rsid w:val="00AD01DC"/>
    <w:rsid w:val="00AD05CA"/>
    <w:rsid w:val="00AD1855"/>
    <w:rsid w:val="00AE327E"/>
    <w:rsid w:val="00AF147D"/>
    <w:rsid w:val="00AF1997"/>
    <w:rsid w:val="00AF63DC"/>
    <w:rsid w:val="00AF720C"/>
    <w:rsid w:val="00B06AEC"/>
    <w:rsid w:val="00B16111"/>
    <w:rsid w:val="00B1671A"/>
    <w:rsid w:val="00B178DC"/>
    <w:rsid w:val="00B202BF"/>
    <w:rsid w:val="00B34D4D"/>
    <w:rsid w:val="00B53390"/>
    <w:rsid w:val="00B55759"/>
    <w:rsid w:val="00B70FFE"/>
    <w:rsid w:val="00B7605F"/>
    <w:rsid w:val="00B823BA"/>
    <w:rsid w:val="00B828C5"/>
    <w:rsid w:val="00B910E9"/>
    <w:rsid w:val="00B93A89"/>
    <w:rsid w:val="00BA1700"/>
    <w:rsid w:val="00BA7998"/>
    <w:rsid w:val="00BB4B74"/>
    <w:rsid w:val="00BB75FC"/>
    <w:rsid w:val="00BC080D"/>
    <w:rsid w:val="00BC2106"/>
    <w:rsid w:val="00BC55F2"/>
    <w:rsid w:val="00BC58D7"/>
    <w:rsid w:val="00BD121C"/>
    <w:rsid w:val="00BD3B88"/>
    <w:rsid w:val="00BE699B"/>
    <w:rsid w:val="00BE6E61"/>
    <w:rsid w:val="00BF18D4"/>
    <w:rsid w:val="00C00E53"/>
    <w:rsid w:val="00C02BA9"/>
    <w:rsid w:val="00C04177"/>
    <w:rsid w:val="00C12BDC"/>
    <w:rsid w:val="00C12D29"/>
    <w:rsid w:val="00C2204E"/>
    <w:rsid w:val="00C246C4"/>
    <w:rsid w:val="00C25276"/>
    <w:rsid w:val="00C335ED"/>
    <w:rsid w:val="00C354F9"/>
    <w:rsid w:val="00C35FA3"/>
    <w:rsid w:val="00C40CAD"/>
    <w:rsid w:val="00C45926"/>
    <w:rsid w:val="00C53DC0"/>
    <w:rsid w:val="00C55D8E"/>
    <w:rsid w:val="00C57FF9"/>
    <w:rsid w:val="00C67A9D"/>
    <w:rsid w:val="00C805FE"/>
    <w:rsid w:val="00C87F50"/>
    <w:rsid w:val="00CA56F9"/>
    <w:rsid w:val="00CA65E7"/>
    <w:rsid w:val="00CB18AF"/>
    <w:rsid w:val="00CB6EF5"/>
    <w:rsid w:val="00CC65A8"/>
    <w:rsid w:val="00CD5E18"/>
    <w:rsid w:val="00CF3468"/>
    <w:rsid w:val="00CF5BBA"/>
    <w:rsid w:val="00D14776"/>
    <w:rsid w:val="00D1559D"/>
    <w:rsid w:val="00D1680E"/>
    <w:rsid w:val="00D27E9D"/>
    <w:rsid w:val="00D30520"/>
    <w:rsid w:val="00D322A7"/>
    <w:rsid w:val="00D50AA6"/>
    <w:rsid w:val="00D619FE"/>
    <w:rsid w:val="00D630B1"/>
    <w:rsid w:val="00D706BE"/>
    <w:rsid w:val="00D70FFD"/>
    <w:rsid w:val="00D71C81"/>
    <w:rsid w:val="00D73C0F"/>
    <w:rsid w:val="00D747BE"/>
    <w:rsid w:val="00D7667E"/>
    <w:rsid w:val="00D9131E"/>
    <w:rsid w:val="00D91579"/>
    <w:rsid w:val="00D978E0"/>
    <w:rsid w:val="00DC1912"/>
    <w:rsid w:val="00DC591A"/>
    <w:rsid w:val="00DC7FD4"/>
    <w:rsid w:val="00DD2998"/>
    <w:rsid w:val="00DD7335"/>
    <w:rsid w:val="00DE348E"/>
    <w:rsid w:val="00DF63B6"/>
    <w:rsid w:val="00E002B9"/>
    <w:rsid w:val="00E01095"/>
    <w:rsid w:val="00E0240D"/>
    <w:rsid w:val="00E15EEF"/>
    <w:rsid w:val="00E25BBE"/>
    <w:rsid w:val="00E3375B"/>
    <w:rsid w:val="00E40207"/>
    <w:rsid w:val="00E42FA3"/>
    <w:rsid w:val="00E44960"/>
    <w:rsid w:val="00E50220"/>
    <w:rsid w:val="00E53BDD"/>
    <w:rsid w:val="00E626C5"/>
    <w:rsid w:val="00E6480E"/>
    <w:rsid w:val="00E731EE"/>
    <w:rsid w:val="00E80995"/>
    <w:rsid w:val="00E83414"/>
    <w:rsid w:val="00E84F17"/>
    <w:rsid w:val="00E86A5D"/>
    <w:rsid w:val="00E87B3E"/>
    <w:rsid w:val="00E903EE"/>
    <w:rsid w:val="00E92797"/>
    <w:rsid w:val="00E92B9D"/>
    <w:rsid w:val="00EA71B3"/>
    <w:rsid w:val="00EB5A24"/>
    <w:rsid w:val="00EE5A02"/>
    <w:rsid w:val="00EF3961"/>
    <w:rsid w:val="00EF61C5"/>
    <w:rsid w:val="00EF62C7"/>
    <w:rsid w:val="00F03F7D"/>
    <w:rsid w:val="00F05247"/>
    <w:rsid w:val="00F06061"/>
    <w:rsid w:val="00F06DBB"/>
    <w:rsid w:val="00F11F9B"/>
    <w:rsid w:val="00F178EB"/>
    <w:rsid w:val="00F17EF3"/>
    <w:rsid w:val="00F22EB4"/>
    <w:rsid w:val="00F2420F"/>
    <w:rsid w:val="00F273CB"/>
    <w:rsid w:val="00F3636C"/>
    <w:rsid w:val="00F40F63"/>
    <w:rsid w:val="00F44333"/>
    <w:rsid w:val="00F7266E"/>
    <w:rsid w:val="00F77B84"/>
    <w:rsid w:val="00F824BA"/>
    <w:rsid w:val="00F83A13"/>
    <w:rsid w:val="00F865FF"/>
    <w:rsid w:val="00F90FCF"/>
    <w:rsid w:val="00F94579"/>
    <w:rsid w:val="00F97E61"/>
    <w:rsid w:val="00FA44D2"/>
    <w:rsid w:val="00FB52CF"/>
    <w:rsid w:val="00FB66BB"/>
    <w:rsid w:val="00FB6C15"/>
    <w:rsid w:val="00FC0B6F"/>
    <w:rsid w:val="00FE05CA"/>
    <w:rsid w:val="00FE2600"/>
    <w:rsid w:val="00FE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220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E502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link w:val="SinespaciadoCar"/>
    <w:uiPriority w:val="1"/>
    <w:qFormat/>
    <w:rsid w:val="00517F4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17F4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9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92006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77A0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7A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D1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13A6"/>
  </w:style>
  <w:style w:type="paragraph" w:styleId="Piedepgina">
    <w:name w:val="footer"/>
    <w:basedOn w:val="Normal"/>
    <w:link w:val="PiedepginaCar"/>
    <w:uiPriority w:val="99"/>
    <w:semiHidden/>
    <w:unhideWhenUsed/>
    <w:rsid w:val="003D1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1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964-015-0404-z" TargetMode="External"/><Relationship Id="rId13" Type="http://schemas.openxmlformats.org/officeDocument/2006/relationships/hyperlink" Target="https://doi.org/10.1016/S0025-7753(04)74273-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07/s10896-012-9472-y" TargetMode="External"/><Relationship Id="rId12" Type="http://schemas.openxmlformats.org/officeDocument/2006/relationships/hyperlink" Target="https://undocs.org/es/A/RES/70/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7764/psykhe.25.1.84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07/s10964-013-9923-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gaceta.2017.09.006" TargetMode="External"/><Relationship Id="rId14" Type="http://schemas.openxmlformats.org/officeDocument/2006/relationships/hyperlink" Target="https://doi.org/10.1007/s10964-016-0621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3211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2018-10-08T14:37:00Z</dcterms:created>
  <dcterms:modified xsi:type="dcterms:W3CDTF">2018-10-08T14:50:00Z</dcterms:modified>
</cp:coreProperties>
</file>