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B8" w:rsidRPr="00F560F0" w:rsidRDefault="00CD1CB8" w:rsidP="00507AAC">
      <w:pPr>
        <w:spacing w:line="240" w:lineRule="auto"/>
        <w:jc w:val="both"/>
        <w:rPr>
          <w:rFonts w:ascii="Times New Roman" w:hAnsi="Times New Roman" w:cs="Times New Roman"/>
          <w:b/>
          <w:sz w:val="24"/>
          <w:szCs w:val="24"/>
        </w:rPr>
      </w:pPr>
      <w:r w:rsidRPr="00C537BB">
        <w:rPr>
          <w:rFonts w:ascii="Times New Roman" w:hAnsi="Times New Roman" w:cs="Times New Roman"/>
          <w:b/>
          <w:sz w:val="24"/>
          <w:szCs w:val="24"/>
        </w:rPr>
        <w:t>Neurofeedback en fibromialgia para el tratamiento de la depresión y</w:t>
      </w:r>
      <w:r w:rsidRPr="00F560F0">
        <w:rPr>
          <w:rFonts w:ascii="Times New Roman" w:hAnsi="Times New Roman" w:cs="Times New Roman"/>
          <w:b/>
          <w:sz w:val="24"/>
          <w:szCs w:val="24"/>
        </w:rPr>
        <w:t xml:space="preserve"> la ansiedad</w:t>
      </w:r>
      <w:r w:rsidR="00492D94" w:rsidRPr="00F560F0">
        <w:rPr>
          <w:rFonts w:ascii="Times New Roman" w:hAnsi="Times New Roman" w:cs="Times New Roman"/>
          <w:b/>
          <w:sz w:val="24"/>
          <w:szCs w:val="24"/>
        </w:rPr>
        <w:t>.</w:t>
      </w:r>
    </w:p>
    <w:p w:rsidR="008A1083" w:rsidRPr="00084958" w:rsidRDefault="008A1083" w:rsidP="00507AAC">
      <w:pPr>
        <w:spacing w:line="240" w:lineRule="auto"/>
        <w:ind w:firstLine="709"/>
        <w:jc w:val="both"/>
        <w:rPr>
          <w:rFonts w:ascii="Times New Roman" w:hAnsi="Times New Roman" w:cs="Times New Roman"/>
          <w:b/>
          <w:sz w:val="24"/>
          <w:szCs w:val="24"/>
        </w:rPr>
      </w:pPr>
      <w:r w:rsidRPr="00084958">
        <w:rPr>
          <w:rFonts w:ascii="Times New Roman" w:hAnsi="Times New Roman" w:cs="Times New Roman"/>
          <w:b/>
          <w:sz w:val="24"/>
          <w:szCs w:val="24"/>
        </w:rPr>
        <w:t>Resumen:</w:t>
      </w:r>
    </w:p>
    <w:p w:rsidR="005F68A3" w:rsidRPr="00084958" w:rsidRDefault="00D62DA2" w:rsidP="00507AA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Este trabajo versa sobre</w:t>
      </w:r>
      <w:r w:rsidR="004E136A" w:rsidRPr="00084958">
        <w:rPr>
          <w:rFonts w:ascii="Times New Roman" w:hAnsi="Times New Roman" w:cs="Times New Roman"/>
          <w:sz w:val="24"/>
          <w:szCs w:val="24"/>
        </w:rPr>
        <w:t xml:space="preserve"> neurofeedback en </w:t>
      </w:r>
      <w:r w:rsidR="002D2C42" w:rsidRPr="00084958">
        <w:rPr>
          <w:rFonts w:ascii="Times New Roman" w:hAnsi="Times New Roman" w:cs="Times New Roman"/>
          <w:sz w:val="24"/>
          <w:szCs w:val="24"/>
        </w:rPr>
        <w:t>pacientes</w:t>
      </w:r>
      <w:r w:rsidR="004E136A" w:rsidRPr="00084958">
        <w:rPr>
          <w:rFonts w:ascii="Times New Roman" w:hAnsi="Times New Roman" w:cs="Times New Roman"/>
          <w:sz w:val="24"/>
          <w:szCs w:val="24"/>
        </w:rPr>
        <w:t xml:space="preserve"> con </w:t>
      </w:r>
      <w:r w:rsidR="005F68A3" w:rsidRPr="00084958">
        <w:rPr>
          <w:rFonts w:ascii="Times New Roman" w:hAnsi="Times New Roman" w:cs="Times New Roman"/>
          <w:sz w:val="24"/>
          <w:szCs w:val="24"/>
        </w:rPr>
        <w:t xml:space="preserve">fibromialgia. Este síndrome aglutina una gran cantidad de síntomas diversos, que abarcan desde el dolor crónico, fatiga </w:t>
      </w:r>
      <w:r w:rsidR="00A319E1">
        <w:rPr>
          <w:rFonts w:ascii="Times New Roman" w:hAnsi="Times New Roman" w:cs="Times New Roman"/>
          <w:sz w:val="24"/>
          <w:szCs w:val="24"/>
        </w:rPr>
        <w:t>y cansancio crónico</w:t>
      </w:r>
      <w:r w:rsidR="005F68A3" w:rsidRPr="00084958">
        <w:rPr>
          <w:rFonts w:ascii="Times New Roman" w:hAnsi="Times New Roman" w:cs="Times New Roman"/>
          <w:sz w:val="24"/>
          <w:szCs w:val="24"/>
        </w:rPr>
        <w:t xml:space="preserve">, problemas </w:t>
      </w:r>
      <w:r>
        <w:rPr>
          <w:rFonts w:ascii="Times New Roman" w:hAnsi="Times New Roman" w:cs="Times New Roman"/>
          <w:sz w:val="24"/>
          <w:szCs w:val="24"/>
        </w:rPr>
        <w:t>atencionales</w:t>
      </w:r>
      <w:r w:rsidR="00A319E1">
        <w:rPr>
          <w:rFonts w:ascii="Times New Roman" w:hAnsi="Times New Roman" w:cs="Times New Roman"/>
          <w:sz w:val="24"/>
          <w:szCs w:val="24"/>
        </w:rPr>
        <w:t>, de memoria</w:t>
      </w:r>
      <w:r w:rsidR="005F68A3" w:rsidRPr="00084958">
        <w:rPr>
          <w:rFonts w:ascii="Times New Roman" w:hAnsi="Times New Roman" w:cs="Times New Roman"/>
          <w:sz w:val="24"/>
          <w:szCs w:val="24"/>
        </w:rPr>
        <w:t xml:space="preserve"> y de sueño. A pesar de que es un síndrome idiopático múltiples estudios apuntan a que su origen está relacionado con el Síndrome de Sensibilización Central (SSC).</w:t>
      </w:r>
      <w:r w:rsidR="00342FCF" w:rsidRPr="00084958">
        <w:rPr>
          <w:rFonts w:ascii="Times New Roman" w:hAnsi="Times New Roman" w:cs="Times New Roman"/>
          <w:sz w:val="24"/>
          <w:szCs w:val="24"/>
        </w:rPr>
        <w:t xml:space="preserve">  Como intervención realizamos un entrenamiento mediante neurofeedback </w:t>
      </w:r>
      <w:r w:rsidR="00FA3038">
        <w:rPr>
          <w:rFonts w:ascii="Times New Roman" w:hAnsi="Times New Roman" w:cs="Times New Roman"/>
          <w:sz w:val="24"/>
          <w:szCs w:val="24"/>
        </w:rPr>
        <w:t xml:space="preserve">cuyo propósito es </w:t>
      </w:r>
      <w:r w:rsidR="00342FCF" w:rsidRPr="00084958">
        <w:rPr>
          <w:rFonts w:ascii="Times New Roman" w:hAnsi="Times New Roman" w:cs="Times New Roman"/>
          <w:sz w:val="24"/>
          <w:szCs w:val="24"/>
        </w:rPr>
        <w:t>mejora</w:t>
      </w:r>
      <w:r w:rsidR="00FA3038">
        <w:rPr>
          <w:rFonts w:ascii="Times New Roman" w:hAnsi="Times New Roman" w:cs="Times New Roman"/>
          <w:sz w:val="24"/>
          <w:szCs w:val="24"/>
        </w:rPr>
        <w:t>r</w:t>
      </w:r>
      <w:r w:rsidR="00342FCF" w:rsidRPr="00084958">
        <w:rPr>
          <w:rFonts w:ascii="Times New Roman" w:hAnsi="Times New Roman" w:cs="Times New Roman"/>
          <w:sz w:val="24"/>
          <w:szCs w:val="24"/>
        </w:rPr>
        <w:t xml:space="preserve"> las variables ansiedad y depresión</w:t>
      </w:r>
      <w:r w:rsidR="000A1DE8">
        <w:rPr>
          <w:rFonts w:ascii="Times New Roman" w:hAnsi="Times New Roman" w:cs="Times New Roman"/>
          <w:sz w:val="24"/>
          <w:szCs w:val="24"/>
        </w:rPr>
        <w:t xml:space="preserve"> en fibromialgia</w:t>
      </w:r>
      <w:r w:rsidR="00342FCF" w:rsidRPr="00084958">
        <w:rPr>
          <w:rFonts w:ascii="Times New Roman" w:hAnsi="Times New Roman" w:cs="Times New Roman"/>
          <w:sz w:val="24"/>
          <w:szCs w:val="24"/>
        </w:rPr>
        <w:t xml:space="preserve">. Utilizamos un protocolo estandarizado de ritmos </w:t>
      </w:r>
      <w:proofErr w:type="spellStart"/>
      <w:r w:rsidR="00342FCF" w:rsidRPr="00084958">
        <w:rPr>
          <w:rFonts w:ascii="Times New Roman" w:hAnsi="Times New Roman" w:cs="Times New Roman"/>
          <w:sz w:val="24"/>
          <w:szCs w:val="24"/>
        </w:rPr>
        <w:t>sensoriomotores</w:t>
      </w:r>
      <w:proofErr w:type="spellEnd"/>
      <w:r w:rsidR="00342FCF" w:rsidRPr="00084958">
        <w:rPr>
          <w:rFonts w:ascii="Times New Roman" w:hAnsi="Times New Roman" w:cs="Times New Roman"/>
          <w:sz w:val="24"/>
          <w:szCs w:val="24"/>
        </w:rPr>
        <w:t xml:space="preserve"> (SMR)</w:t>
      </w:r>
      <w:r>
        <w:rPr>
          <w:rFonts w:ascii="Times New Roman" w:hAnsi="Times New Roman" w:cs="Times New Roman"/>
          <w:sz w:val="24"/>
          <w:szCs w:val="24"/>
        </w:rPr>
        <w:t xml:space="preserve"> ya que</w:t>
      </w:r>
      <w:r w:rsidR="00342FCF" w:rsidRPr="00084958">
        <w:rPr>
          <w:rFonts w:ascii="Times New Roman" w:hAnsi="Times New Roman" w:cs="Times New Roman"/>
          <w:sz w:val="24"/>
          <w:szCs w:val="24"/>
        </w:rPr>
        <w:t xml:space="preserve"> el entrenamiento de </w:t>
      </w:r>
      <w:r w:rsidR="00C07A96" w:rsidRPr="00084958">
        <w:rPr>
          <w:rFonts w:ascii="Times New Roman" w:hAnsi="Times New Roman" w:cs="Times New Roman"/>
          <w:sz w:val="24"/>
          <w:szCs w:val="24"/>
        </w:rPr>
        <w:t>estas ondas</w:t>
      </w:r>
      <w:r w:rsidR="00342FCF" w:rsidRPr="00084958">
        <w:rPr>
          <w:rFonts w:ascii="Times New Roman" w:hAnsi="Times New Roman" w:cs="Times New Roman"/>
          <w:sz w:val="24"/>
          <w:szCs w:val="24"/>
        </w:rPr>
        <w:t xml:space="preserve"> r</w:t>
      </w:r>
      <w:r w:rsidR="00C07A96">
        <w:rPr>
          <w:rFonts w:ascii="Times New Roman" w:hAnsi="Times New Roman" w:cs="Times New Roman"/>
          <w:sz w:val="24"/>
          <w:szCs w:val="24"/>
        </w:rPr>
        <w:t>epercuten en el sistema dopaminé</w:t>
      </w:r>
      <w:r w:rsidR="00342FCF" w:rsidRPr="00084958">
        <w:rPr>
          <w:rFonts w:ascii="Times New Roman" w:hAnsi="Times New Roman" w:cs="Times New Roman"/>
          <w:sz w:val="24"/>
          <w:szCs w:val="24"/>
        </w:rPr>
        <w:t>rgico que a su vez está relacionado con la facilitación de las emociones positivas</w:t>
      </w:r>
      <w:r w:rsidR="005F68A3" w:rsidRPr="00084958">
        <w:rPr>
          <w:rFonts w:ascii="Times New Roman" w:hAnsi="Times New Roman" w:cs="Times New Roman"/>
          <w:sz w:val="24"/>
          <w:szCs w:val="24"/>
        </w:rPr>
        <w:t xml:space="preserve">. Los resultados muestran que </w:t>
      </w:r>
      <w:r w:rsidR="00654E03" w:rsidRPr="00084958">
        <w:rPr>
          <w:rFonts w:ascii="Times New Roman" w:hAnsi="Times New Roman" w:cs="Times New Roman"/>
          <w:sz w:val="24"/>
          <w:szCs w:val="24"/>
        </w:rPr>
        <w:t>el neurofeedback mejora los trasto</w:t>
      </w:r>
      <w:r>
        <w:rPr>
          <w:rFonts w:ascii="Times New Roman" w:hAnsi="Times New Roman" w:cs="Times New Roman"/>
          <w:sz w:val="24"/>
          <w:szCs w:val="24"/>
        </w:rPr>
        <w:t xml:space="preserve">rnos de depresión y ansiedad en </w:t>
      </w:r>
      <w:r w:rsidR="00654E03" w:rsidRPr="00084958">
        <w:rPr>
          <w:rFonts w:ascii="Times New Roman" w:hAnsi="Times New Roman" w:cs="Times New Roman"/>
          <w:sz w:val="24"/>
          <w:szCs w:val="24"/>
        </w:rPr>
        <w:t>fibromialgia</w:t>
      </w:r>
      <w:r w:rsidR="00BF0BBB" w:rsidRPr="00084958">
        <w:rPr>
          <w:rFonts w:ascii="Times New Roman" w:hAnsi="Times New Roman" w:cs="Times New Roman"/>
          <w:sz w:val="24"/>
          <w:szCs w:val="24"/>
        </w:rPr>
        <w:t>.</w:t>
      </w:r>
    </w:p>
    <w:p w:rsidR="008A1083" w:rsidRPr="00084958" w:rsidRDefault="008A1083" w:rsidP="00507AAC">
      <w:pPr>
        <w:spacing w:line="240" w:lineRule="auto"/>
        <w:ind w:firstLine="709"/>
        <w:rPr>
          <w:rFonts w:ascii="Times New Roman" w:hAnsi="Times New Roman" w:cs="Times New Roman"/>
          <w:sz w:val="24"/>
          <w:szCs w:val="24"/>
        </w:rPr>
      </w:pPr>
      <w:r w:rsidRPr="00084958">
        <w:rPr>
          <w:rFonts w:ascii="Times New Roman" w:hAnsi="Times New Roman" w:cs="Times New Roman"/>
          <w:b/>
          <w:sz w:val="24"/>
          <w:szCs w:val="24"/>
        </w:rPr>
        <w:t>Palabras clave</w:t>
      </w:r>
      <w:r w:rsidRPr="00084958">
        <w:rPr>
          <w:rFonts w:ascii="Times New Roman" w:hAnsi="Times New Roman" w:cs="Times New Roman"/>
          <w:sz w:val="24"/>
          <w:szCs w:val="24"/>
        </w:rPr>
        <w:t xml:space="preserve">: </w:t>
      </w:r>
      <w:r w:rsidR="00C72A80">
        <w:rPr>
          <w:rFonts w:ascii="Times New Roman" w:hAnsi="Times New Roman" w:cs="Times New Roman"/>
          <w:sz w:val="24"/>
          <w:szCs w:val="24"/>
        </w:rPr>
        <w:t xml:space="preserve">fibromialgia, </w:t>
      </w:r>
      <w:r w:rsidR="00F560F0" w:rsidRPr="00084958">
        <w:rPr>
          <w:rFonts w:ascii="Times New Roman" w:hAnsi="Times New Roman" w:cs="Times New Roman"/>
          <w:sz w:val="24"/>
          <w:szCs w:val="24"/>
        </w:rPr>
        <w:t>síndromes somáticos</w:t>
      </w:r>
      <w:r w:rsidR="00A319E1">
        <w:rPr>
          <w:rFonts w:ascii="Times New Roman" w:hAnsi="Times New Roman" w:cs="Times New Roman"/>
          <w:sz w:val="24"/>
          <w:szCs w:val="24"/>
        </w:rPr>
        <w:t>,</w:t>
      </w:r>
      <w:r w:rsidR="00F560F0">
        <w:rPr>
          <w:rFonts w:ascii="Times New Roman" w:hAnsi="Times New Roman" w:cs="Times New Roman"/>
          <w:sz w:val="24"/>
          <w:szCs w:val="24"/>
        </w:rPr>
        <w:t xml:space="preserve"> señales eléctricas, sensibilización, </w:t>
      </w:r>
      <w:r w:rsidR="00F560F0" w:rsidRPr="00084958">
        <w:rPr>
          <w:rFonts w:ascii="Times New Roman" w:hAnsi="Times New Roman" w:cs="Times New Roman"/>
          <w:sz w:val="24"/>
          <w:szCs w:val="24"/>
        </w:rPr>
        <w:t>ratio SMR/Theta</w:t>
      </w:r>
    </w:p>
    <w:p w:rsidR="000A1DE8" w:rsidRDefault="000A1DE8" w:rsidP="00507AAC">
      <w:pPr>
        <w:spacing w:line="240" w:lineRule="auto"/>
        <w:ind w:firstLine="708"/>
        <w:jc w:val="both"/>
        <w:rPr>
          <w:rFonts w:ascii="Times New Roman" w:hAnsi="Times New Roman" w:cs="Times New Roman"/>
          <w:b/>
          <w:sz w:val="24"/>
          <w:szCs w:val="24"/>
        </w:rPr>
      </w:pPr>
    </w:p>
    <w:p w:rsidR="00C72A80" w:rsidRDefault="00C72A80"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507AAC" w:rsidRDefault="00507AAC" w:rsidP="00507AAC">
      <w:pPr>
        <w:spacing w:line="240" w:lineRule="auto"/>
        <w:ind w:firstLine="708"/>
        <w:jc w:val="both"/>
        <w:rPr>
          <w:rFonts w:ascii="Times New Roman" w:hAnsi="Times New Roman" w:cs="Times New Roman"/>
          <w:b/>
          <w:sz w:val="24"/>
          <w:szCs w:val="24"/>
        </w:rPr>
      </w:pPr>
    </w:p>
    <w:p w:rsidR="006215A7" w:rsidRDefault="006215A7" w:rsidP="00507AAC">
      <w:pPr>
        <w:spacing w:line="240" w:lineRule="auto"/>
        <w:ind w:firstLine="708"/>
        <w:jc w:val="both"/>
        <w:rPr>
          <w:rFonts w:ascii="Times New Roman" w:hAnsi="Times New Roman" w:cs="Times New Roman"/>
          <w:b/>
          <w:sz w:val="24"/>
          <w:szCs w:val="24"/>
        </w:rPr>
      </w:pPr>
    </w:p>
    <w:p w:rsidR="00F560F0" w:rsidRPr="00C07A96" w:rsidRDefault="00F560F0" w:rsidP="00507AAC">
      <w:pPr>
        <w:spacing w:line="240" w:lineRule="auto"/>
        <w:ind w:firstLine="708"/>
        <w:jc w:val="both"/>
        <w:rPr>
          <w:rFonts w:ascii="Times New Roman" w:hAnsi="Times New Roman" w:cs="Times New Roman"/>
          <w:b/>
          <w:sz w:val="24"/>
          <w:szCs w:val="24"/>
          <w:lang w:val="en-US"/>
        </w:rPr>
      </w:pPr>
      <w:proofErr w:type="gramStart"/>
      <w:r w:rsidRPr="00C07A96">
        <w:rPr>
          <w:rFonts w:ascii="Times New Roman" w:hAnsi="Times New Roman" w:cs="Times New Roman"/>
          <w:b/>
          <w:sz w:val="24"/>
          <w:szCs w:val="24"/>
          <w:lang w:val="en-US"/>
        </w:rPr>
        <w:t>Neurofeedback in fibromyalgia for the treatment of depression and anxiety.</w:t>
      </w:r>
      <w:proofErr w:type="gramEnd"/>
    </w:p>
    <w:p w:rsidR="008A1083" w:rsidRPr="00C07A96" w:rsidRDefault="008A1083" w:rsidP="00507AAC">
      <w:pPr>
        <w:spacing w:line="240" w:lineRule="auto"/>
        <w:ind w:firstLine="709"/>
        <w:jc w:val="both"/>
        <w:rPr>
          <w:rFonts w:ascii="Times New Roman" w:hAnsi="Times New Roman" w:cs="Times New Roman"/>
          <w:b/>
          <w:sz w:val="24"/>
          <w:szCs w:val="24"/>
          <w:lang w:val="en-US"/>
        </w:rPr>
      </w:pPr>
      <w:r w:rsidRPr="00C07A96">
        <w:rPr>
          <w:rFonts w:ascii="Times New Roman" w:hAnsi="Times New Roman" w:cs="Times New Roman"/>
          <w:b/>
          <w:sz w:val="24"/>
          <w:szCs w:val="24"/>
          <w:lang w:val="en-US"/>
        </w:rPr>
        <w:t>Summary:</w:t>
      </w:r>
    </w:p>
    <w:p w:rsidR="00782BE9" w:rsidRPr="00C07A96" w:rsidRDefault="00782BE9" w:rsidP="00507AAC">
      <w:pPr>
        <w:spacing w:line="240" w:lineRule="auto"/>
        <w:ind w:firstLine="709"/>
        <w:jc w:val="both"/>
        <w:rPr>
          <w:rFonts w:ascii="Times New Roman" w:hAnsi="Times New Roman" w:cs="Times New Roman"/>
          <w:sz w:val="24"/>
          <w:szCs w:val="24"/>
          <w:lang w:val="en-US"/>
        </w:rPr>
      </w:pPr>
      <w:r w:rsidRPr="00C07A96">
        <w:rPr>
          <w:rFonts w:ascii="Times New Roman" w:hAnsi="Times New Roman" w:cs="Times New Roman"/>
          <w:sz w:val="24"/>
          <w:szCs w:val="24"/>
          <w:lang w:val="en-US"/>
        </w:rPr>
        <w:t>In the present work we found a study on neurofeedback in patients with fibromyalgia syndrome. This syndrome brings together a large number of very diverse symptoms, ranging from chronic pain</w:t>
      </w:r>
      <w:r w:rsidR="008A63D0" w:rsidRPr="00C07A96">
        <w:rPr>
          <w:rFonts w:ascii="Times New Roman" w:hAnsi="Times New Roman" w:cs="Times New Roman"/>
          <w:sz w:val="24"/>
          <w:szCs w:val="24"/>
          <w:lang w:val="en-US"/>
        </w:rPr>
        <w:t>, chronic fatigue to</w:t>
      </w:r>
      <w:r w:rsidRPr="00C07A96">
        <w:rPr>
          <w:rFonts w:ascii="Times New Roman" w:hAnsi="Times New Roman" w:cs="Times New Roman"/>
          <w:sz w:val="24"/>
          <w:szCs w:val="24"/>
          <w:lang w:val="en-US"/>
        </w:rPr>
        <w:t xml:space="preserve"> sleep problems. Although it is an idiopathic syndrome, multiple studies suggest that its origin is related to the Central Sensitization Syndrome (SSC). We conducted a training through neurofeedback whose purpose is to improve the variables anxiety and depression. We use a standardized protocol of sensorimotor rhythms (SMR) that can improve the stability of the cerebral cortex, the training of these waves affect the dopaminergic system which in turn is related to the facilitation of positive emotions. The results show that neurofeedback improves </w:t>
      </w:r>
      <w:r w:rsidR="008A63D0" w:rsidRPr="00C07A96">
        <w:rPr>
          <w:rFonts w:ascii="Times New Roman" w:hAnsi="Times New Roman" w:cs="Times New Roman"/>
          <w:sz w:val="24"/>
          <w:szCs w:val="24"/>
          <w:lang w:val="en-US"/>
        </w:rPr>
        <w:t xml:space="preserve">significantly </w:t>
      </w:r>
      <w:r w:rsidRPr="00C07A96">
        <w:rPr>
          <w:rFonts w:ascii="Times New Roman" w:hAnsi="Times New Roman" w:cs="Times New Roman"/>
          <w:sz w:val="24"/>
          <w:szCs w:val="24"/>
          <w:lang w:val="en-US"/>
        </w:rPr>
        <w:t>depression and anxiety disorders.</w:t>
      </w:r>
    </w:p>
    <w:p w:rsidR="00782BE9" w:rsidRPr="00C07A96" w:rsidRDefault="00782BE9" w:rsidP="00507AAC">
      <w:pPr>
        <w:spacing w:line="240" w:lineRule="auto"/>
        <w:ind w:firstLine="709"/>
        <w:jc w:val="both"/>
        <w:rPr>
          <w:rFonts w:ascii="Times New Roman" w:hAnsi="Times New Roman" w:cs="Times New Roman"/>
          <w:b/>
          <w:sz w:val="24"/>
          <w:szCs w:val="24"/>
          <w:lang w:val="en-US"/>
        </w:rPr>
      </w:pPr>
    </w:p>
    <w:p w:rsidR="00C537BB" w:rsidRPr="00C07A96" w:rsidRDefault="008A1083" w:rsidP="00507AAC">
      <w:pPr>
        <w:spacing w:line="240" w:lineRule="auto"/>
        <w:ind w:firstLine="709"/>
        <w:rPr>
          <w:rFonts w:ascii="Times New Roman" w:hAnsi="Times New Roman" w:cs="Times New Roman"/>
          <w:sz w:val="24"/>
          <w:szCs w:val="24"/>
          <w:lang w:val="en-US"/>
        </w:rPr>
      </w:pPr>
      <w:r w:rsidRPr="00C07A96">
        <w:rPr>
          <w:rFonts w:ascii="Times New Roman" w:hAnsi="Times New Roman" w:cs="Times New Roman"/>
          <w:b/>
          <w:sz w:val="24"/>
          <w:szCs w:val="24"/>
          <w:lang w:val="en-US"/>
        </w:rPr>
        <w:t>Key words</w:t>
      </w:r>
      <w:r w:rsidRPr="00C07A96">
        <w:rPr>
          <w:rFonts w:ascii="Times New Roman" w:hAnsi="Times New Roman" w:cs="Times New Roman"/>
          <w:sz w:val="24"/>
          <w:szCs w:val="24"/>
          <w:lang w:val="en-US"/>
        </w:rPr>
        <w:t>:</w:t>
      </w:r>
      <w:r w:rsidR="00C72A80" w:rsidRPr="00C72A80">
        <w:rPr>
          <w:rFonts w:ascii="Times New Roman" w:hAnsi="Times New Roman" w:cs="Times New Roman"/>
          <w:b/>
          <w:sz w:val="24"/>
          <w:szCs w:val="24"/>
          <w:lang w:val="en-US"/>
        </w:rPr>
        <w:t xml:space="preserve"> </w:t>
      </w:r>
      <w:r w:rsidR="00C72A80" w:rsidRPr="00C72A80">
        <w:rPr>
          <w:rFonts w:ascii="Times New Roman" w:hAnsi="Times New Roman" w:cs="Times New Roman"/>
          <w:sz w:val="24"/>
          <w:szCs w:val="24"/>
          <w:lang w:val="en-US"/>
        </w:rPr>
        <w:t>fibromyalgia,</w:t>
      </w:r>
      <w:r w:rsidRPr="00C07A96">
        <w:rPr>
          <w:rFonts w:ascii="Times New Roman" w:hAnsi="Times New Roman" w:cs="Times New Roman"/>
          <w:sz w:val="24"/>
          <w:szCs w:val="24"/>
          <w:lang w:val="en-US"/>
        </w:rPr>
        <w:t xml:space="preserve"> </w:t>
      </w:r>
      <w:r w:rsidR="00782BE9" w:rsidRPr="00C07A96">
        <w:rPr>
          <w:rFonts w:ascii="Times New Roman" w:hAnsi="Times New Roman" w:cs="Times New Roman"/>
          <w:sz w:val="24"/>
          <w:szCs w:val="24"/>
          <w:lang w:val="en-US"/>
        </w:rPr>
        <w:t>somatic syndromes, electrical signals, sensitization, SMR / Theta ratio</w:t>
      </w:r>
    </w:p>
    <w:p w:rsidR="000A1DE8" w:rsidRPr="00C07A96" w:rsidRDefault="000A1DE8" w:rsidP="00507AAC">
      <w:pPr>
        <w:spacing w:line="240" w:lineRule="auto"/>
        <w:ind w:firstLine="709"/>
        <w:rPr>
          <w:rFonts w:ascii="Times New Roman" w:hAnsi="Times New Roman" w:cs="Times New Roman"/>
          <w:sz w:val="24"/>
          <w:szCs w:val="24"/>
          <w:lang w:val="en-US"/>
        </w:rPr>
      </w:pPr>
    </w:p>
    <w:p w:rsidR="000A1DE8" w:rsidRPr="00C07A96" w:rsidRDefault="000A1DE8" w:rsidP="00507AAC">
      <w:pPr>
        <w:spacing w:line="240" w:lineRule="auto"/>
        <w:ind w:firstLine="709"/>
        <w:rPr>
          <w:rFonts w:ascii="Times New Roman" w:hAnsi="Times New Roman" w:cs="Times New Roman"/>
          <w:sz w:val="24"/>
          <w:szCs w:val="24"/>
          <w:lang w:val="en-US"/>
        </w:rPr>
      </w:pPr>
    </w:p>
    <w:p w:rsidR="000A1DE8" w:rsidRPr="00C07A96" w:rsidRDefault="000A1DE8" w:rsidP="00507AAC">
      <w:pPr>
        <w:spacing w:line="240" w:lineRule="auto"/>
        <w:ind w:firstLine="709"/>
        <w:rPr>
          <w:rFonts w:ascii="Times New Roman" w:hAnsi="Times New Roman" w:cs="Times New Roman"/>
          <w:sz w:val="24"/>
          <w:szCs w:val="24"/>
          <w:lang w:val="en-US"/>
        </w:rPr>
      </w:pPr>
    </w:p>
    <w:p w:rsidR="000A1DE8" w:rsidRPr="00C07A96" w:rsidRDefault="000A1DE8" w:rsidP="00507AAC">
      <w:pPr>
        <w:spacing w:line="240" w:lineRule="auto"/>
        <w:ind w:firstLine="709"/>
        <w:rPr>
          <w:rFonts w:ascii="Times New Roman" w:hAnsi="Times New Roman" w:cs="Times New Roman"/>
          <w:sz w:val="24"/>
          <w:szCs w:val="24"/>
          <w:lang w:val="en-US"/>
        </w:rPr>
      </w:pPr>
    </w:p>
    <w:p w:rsidR="000A1DE8" w:rsidRDefault="000A1DE8"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Default="00507AAC" w:rsidP="00507AAC">
      <w:pPr>
        <w:spacing w:line="240" w:lineRule="auto"/>
        <w:ind w:firstLine="709"/>
        <w:rPr>
          <w:rFonts w:ascii="Times New Roman" w:hAnsi="Times New Roman" w:cs="Times New Roman"/>
          <w:sz w:val="24"/>
          <w:szCs w:val="24"/>
          <w:lang w:val="en-US"/>
        </w:rPr>
      </w:pPr>
    </w:p>
    <w:p w:rsidR="00507AAC" w:rsidRPr="00C07A96" w:rsidRDefault="00507AAC" w:rsidP="00507AAC">
      <w:pPr>
        <w:spacing w:line="240" w:lineRule="auto"/>
        <w:ind w:firstLine="709"/>
        <w:rPr>
          <w:rFonts w:ascii="Times New Roman" w:hAnsi="Times New Roman" w:cs="Times New Roman"/>
          <w:sz w:val="24"/>
          <w:szCs w:val="24"/>
          <w:lang w:val="en-US"/>
        </w:rPr>
      </w:pPr>
    </w:p>
    <w:p w:rsidR="00A319E1" w:rsidRDefault="00A319E1" w:rsidP="00507AAC">
      <w:pPr>
        <w:spacing w:line="240" w:lineRule="auto"/>
        <w:ind w:firstLine="709"/>
        <w:rPr>
          <w:rFonts w:ascii="Times New Roman" w:hAnsi="Times New Roman" w:cs="Times New Roman"/>
          <w:sz w:val="24"/>
          <w:szCs w:val="24"/>
          <w:lang w:val="en-US"/>
        </w:rPr>
      </w:pPr>
    </w:p>
    <w:p w:rsidR="00C72A80" w:rsidRPr="00C07A96" w:rsidRDefault="00C72A80" w:rsidP="00507AAC">
      <w:pPr>
        <w:spacing w:line="240" w:lineRule="auto"/>
        <w:ind w:firstLine="709"/>
        <w:rPr>
          <w:rFonts w:ascii="Times New Roman" w:hAnsi="Times New Roman" w:cs="Times New Roman"/>
          <w:sz w:val="24"/>
          <w:szCs w:val="24"/>
          <w:lang w:val="en-US"/>
        </w:rPr>
      </w:pPr>
    </w:p>
    <w:p w:rsidR="008A1083" w:rsidRPr="00084958" w:rsidRDefault="008A1083" w:rsidP="00507AAC">
      <w:pPr>
        <w:spacing w:line="240" w:lineRule="auto"/>
        <w:ind w:firstLine="709"/>
        <w:jc w:val="both"/>
        <w:rPr>
          <w:rFonts w:ascii="Times New Roman" w:hAnsi="Times New Roman" w:cs="Times New Roman"/>
          <w:b/>
          <w:sz w:val="24"/>
          <w:szCs w:val="24"/>
        </w:rPr>
      </w:pPr>
      <w:r w:rsidRPr="00084958">
        <w:rPr>
          <w:rFonts w:ascii="Times New Roman" w:hAnsi="Times New Roman" w:cs="Times New Roman"/>
          <w:b/>
          <w:sz w:val="24"/>
          <w:szCs w:val="24"/>
        </w:rPr>
        <w:t>Introducción</w:t>
      </w:r>
    </w:p>
    <w:p w:rsidR="002215CD" w:rsidRPr="00084958" w:rsidRDefault="002215CD"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La fibromialgia es un síndrome generalizado asociado con múltiples síntomas que abarcan desde problemas del sueño, fatiga o cansancio crónico, alteraciones en la cognición y una ga</w:t>
      </w:r>
      <w:r w:rsidR="009A6ABC">
        <w:rPr>
          <w:rFonts w:ascii="Times New Roman" w:hAnsi="Times New Roman" w:cs="Times New Roman"/>
          <w:sz w:val="24"/>
          <w:szCs w:val="24"/>
        </w:rPr>
        <w:t>ma amplia de síntomas somáticos.</w:t>
      </w:r>
      <w:r w:rsidRPr="00084958">
        <w:rPr>
          <w:rFonts w:ascii="Times New Roman" w:hAnsi="Times New Roman" w:cs="Times New Roman"/>
          <w:sz w:val="24"/>
          <w:szCs w:val="24"/>
        </w:rPr>
        <w:t xml:space="preserve"> Su principal característica es dolor músculo-esquelético difuso, de origen no articular y crónico que se manifiesta en puntos corporales específicos (</w:t>
      </w:r>
      <w:proofErr w:type="spellStart"/>
      <w:r w:rsidRPr="00084958">
        <w:rPr>
          <w:rFonts w:ascii="Times New Roman" w:hAnsi="Times New Roman" w:cs="Times New Roman"/>
          <w:sz w:val="24"/>
          <w:szCs w:val="24"/>
        </w:rPr>
        <w:t>Garg</w:t>
      </w:r>
      <w:proofErr w:type="spellEnd"/>
      <w:r w:rsidR="00E634E7">
        <w:rPr>
          <w:rFonts w:ascii="Times New Roman" w:hAnsi="Times New Roman" w:cs="Times New Roman"/>
          <w:sz w:val="24"/>
          <w:szCs w:val="24"/>
        </w:rPr>
        <w:t xml:space="preserve"> </w:t>
      </w:r>
      <w:r w:rsidRPr="00084958">
        <w:rPr>
          <w:rFonts w:ascii="Times New Roman" w:hAnsi="Times New Roman" w:cs="Times New Roman"/>
          <w:sz w:val="24"/>
          <w:szCs w:val="24"/>
        </w:rPr>
        <w:t>&amp;</w:t>
      </w:r>
      <w:r w:rsidR="00E634E7">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Deodhar</w:t>
      </w:r>
      <w:proofErr w:type="spellEnd"/>
      <w:r w:rsidRPr="00084958">
        <w:rPr>
          <w:rFonts w:ascii="Times New Roman" w:hAnsi="Times New Roman" w:cs="Times New Roman"/>
          <w:sz w:val="24"/>
          <w:szCs w:val="24"/>
        </w:rPr>
        <w:t>, 2012).</w:t>
      </w:r>
    </w:p>
    <w:p w:rsidR="002215CD" w:rsidRPr="00084958" w:rsidRDefault="002215CD"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A pesar de las numerosas investigaciones que se han realizado sobre este trastorno, no se conoce la causa exacta. No hay ningún biomarcador ni prueba diagnóstica que la corrobore, por lo tanto, se realizaron acuerdos entre expertos para que su criterio diagnostico se basara en unas evaluaciones de exámenes físicos, antecedentes sanitarios y pruebas de laboratorio que descarten el diagnóstico diferencial (</w:t>
      </w:r>
      <w:proofErr w:type="spellStart"/>
      <w:r w:rsidRPr="00084958">
        <w:rPr>
          <w:rFonts w:ascii="Times New Roman" w:hAnsi="Times New Roman" w:cs="Times New Roman"/>
          <w:sz w:val="24"/>
          <w:szCs w:val="24"/>
        </w:rPr>
        <w:t>Fitzcharle</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Shir</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Ablin</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Buskila</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Amital</w:t>
      </w:r>
      <w:proofErr w:type="spellEnd"/>
      <w:r w:rsidR="00E634E7">
        <w:rPr>
          <w:rFonts w:ascii="Times New Roman" w:hAnsi="Times New Roman" w:cs="Times New Roman"/>
          <w:sz w:val="24"/>
          <w:szCs w:val="24"/>
        </w:rPr>
        <w:t xml:space="preserve"> </w:t>
      </w:r>
      <w:r w:rsidRPr="00084958">
        <w:rPr>
          <w:rFonts w:ascii="Times New Roman" w:hAnsi="Times New Roman" w:cs="Times New Roman"/>
          <w:sz w:val="24"/>
          <w:szCs w:val="24"/>
        </w:rPr>
        <w:t>&amp;</w:t>
      </w:r>
      <w:r w:rsidR="00E634E7">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Henningsen</w:t>
      </w:r>
      <w:proofErr w:type="spellEnd"/>
      <w:r w:rsidRPr="00084958">
        <w:rPr>
          <w:rFonts w:ascii="Times New Roman" w:hAnsi="Times New Roman" w:cs="Times New Roman"/>
          <w:sz w:val="24"/>
          <w:szCs w:val="24"/>
        </w:rPr>
        <w:t xml:space="preserve">, 2013; </w:t>
      </w:r>
      <w:proofErr w:type="spellStart"/>
      <w:r w:rsidRPr="00084958">
        <w:rPr>
          <w:rFonts w:ascii="Times New Roman" w:hAnsi="Times New Roman" w:cs="Times New Roman"/>
          <w:sz w:val="24"/>
          <w:szCs w:val="24"/>
        </w:rPr>
        <w:t>Fitzcharles</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Ste</w:t>
      </w:r>
      <w:proofErr w:type="spellEnd"/>
      <w:r w:rsidRPr="00084958">
        <w:rPr>
          <w:rFonts w:ascii="Times New Roman" w:hAnsi="Times New Roman" w:cs="Times New Roman"/>
          <w:sz w:val="24"/>
          <w:szCs w:val="24"/>
        </w:rPr>
        <w:t xml:space="preserve">-Marie, </w:t>
      </w:r>
      <w:proofErr w:type="spellStart"/>
      <w:r w:rsidRPr="00084958">
        <w:rPr>
          <w:rFonts w:ascii="Times New Roman" w:hAnsi="Times New Roman" w:cs="Times New Roman"/>
          <w:sz w:val="24"/>
          <w:szCs w:val="24"/>
        </w:rPr>
        <w:t>Goldenberg</w:t>
      </w:r>
      <w:proofErr w:type="spellEnd"/>
      <w:r w:rsidRPr="00084958">
        <w:rPr>
          <w:rFonts w:ascii="Times New Roman" w:hAnsi="Times New Roman" w:cs="Times New Roman"/>
          <w:sz w:val="24"/>
          <w:szCs w:val="24"/>
        </w:rPr>
        <w:t xml:space="preserve">, Pereira, </w:t>
      </w:r>
      <w:proofErr w:type="spellStart"/>
      <w:r w:rsidRPr="00084958">
        <w:rPr>
          <w:rFonts w:ascii="Times New Roman" w:hAnsi="Times New Roman" w:cs="Times New Roman"/>
          <w:sz w:val="24"/>
          <w:szCs w:val="24"/>
        </w:rPr>
        <w:t>Abbey</w:t>
      </w:r>
      <w:proofErr w:type="spellEnd"/>
      <w:r w:rsidR="00E634E7">
        <w:rPr>
          <w:rFonts w:ascii="Times New Roman" w:hAnsi="Times New Roman" w:cs="Times New Roman"/>
          <w:sz w:val="24"/>
          <w:szCs w:val="24"/>
        </w:rPr>
        <w:t xml:space="preserve"> </w:t>
      </w:r>
      <w:r w:rsidRPr="00084958">
        <w:rPr>
          <w:rFonts w:ascii="Times New Roman" w:hAnsi="Times New Roman" w:cs="Times New Roman"/>
          <w:sz w:val="24"/>
          <w:szCs w:val="24"/>
        </w:rPr>
        <w:t>&amp;</w:t>
      </w:r>
      <w:r w:rsidR="00E634E7">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Choiniere</w:t>
      </w:r>
      <w:proofErr w:type="spellEnd"/>
      <w:r w:rsidRPr="00084958">
        <w:rPr>
          <w:rFonts w:ascii="Times New Roman" w:hAnsi="Times New Roman" w:cs="Times New Roman"/>
          <w:sz w:val="24"/>
          <w:szCs w:val="24"/>
        </w:rPr>
        <w:t>, 2013).</w:t>
      </w:r>
    </w:p>
    <w:p w:rsidR="002215CD" w:rsidRPr="00084958" w:rsidRDefault="002215CD"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Las hipótesis más extendidas actualmente, con respecto a la fibromialgia y demás síndromes somáticos funcionales son, que se producen por un “síndrome de sensibilización central” (SSC) (</w:t>
      </w:r>
      <w:r w:rsidR="00663C5A">
        <w:rPr>
          <w:rFonts w:ascii="Times New Roman" w:hAnsi="Times New Roman" w:cs="Times New Roman"/>
          <w:sz w:val="24"/>
          <w:szCs w:val="24"/>
        </w:rPr>
        <w:t xml:space="preserve">Boomershine, </w:t>
      </w:r>
      <w:r w:rsidR="00F046AC">
        <w:rPr>
          <w:rFonts w:ascii="Times New Roman" w:hAnsi="Times New Roman" w:cs="Times New Roman"/>
          <w:sz w:val="24"/>
          <w:szCs w:val="24"/>
        </w:rPr>
        <w:t>201; Yunus, 2012</w:t>
      </w:r>
      <w:r w:rsidRPr="00084958">
        <w:rPr>
          <w:rFonts w:ascii="Times New Roman" w:hAnsi="Times New Roman" w:cs="Times New Roman"/>
          <w:sz w:val="24"/>
          <w:szCs w:val="24"/>
        </w:rPr>
        <w:t xml:space="preserve">). La argumentación principal es que el cerebro al experimentar el dolor, lo potencia y mantiene llegando a crear una situación permanente. Las técnicas actuales no han conseguido interrumpir el proceso de sensibilización. Las zonas que pueden presentan esta sensibilización son las zonastalámicas o del córtex sensorial, motivo por el cual el proceso también es llamado sensibilización central suprasegmental. Este mecanismo según investigaciones se encuentra detrás de otros síndromes somáticos o los síntomas dolorosos, </w:t>
      </w:r>
      <w:r w:rsidR="00F1769E" w:rsidRPr="00084958">
        <w:rPr>
          <w:rFonts w:ascii="Times New Roman" w:hAnsi="Times New Roman" w:cs="Times New Roman"/>
          <w:sz w:val="24"/>
          <w:szCs w:val="24"/>
        </w:rPr>
        <w:t>así como en</w:t>
      </w:r>
      <w:r w:rsidRPr="00084958">
        <w:rPr>
          <w:rFonts w:ascii="Times New Roman" w:hAnsi="Times New Roman" w:cs="Times New Roman"/>
          <w:sz w:val="24"/>
          <w:szCs w:val="24"/>
        </w:rPr>
        <w:t xml:space="preserve"> la depresión La alteración de los mecanismos inhibitorios, en especial la desactivación de éstos, puede considerarse como un hecho que debemos  tener en cuenta a la hora de explicar la </w:t>
      </w:r>
      <w:r w:rsidRPr="00663C5A">
        <w:rPr>
          <w:rFonts w:ascii="Times New Roman" w:hAnsi="Times New Roman" w:cs="Times New Roman"/>
          <w:sz w:val="24"/>
          <w:szCs w:val="24"/>
        </w:rPr>
        <w:t>patología</w:t>
      </w:r>
      <w:r w:rsidR="00663C5A" w:rsidRPr="00084958">
        <w:rPr>
          <w:rFonts w:ascii="Times New Roman" w:hAnsi="Times New Roman" w:cs="Times New Roman"/>
          <w:sz w:val="24"/>
          <w:szCs w:val="24"/>
        </w:rPr>
        <w:t>(Stahl, 2012).</w:t>
      </w:r>
    </w:p>
    <w:p w:rsidR="002215CD" w:rsidRPr="00084958" w:rsidRDefault="002215CD"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A pesar de que no se sabe con exactitud el origen de la fibromialgia, los cambios que se producen en el Sistema Nervioso Central tienen un papel muy importante en el desarrollo de la fibromialgia por lo que si se observan variaciones en los ritmos cerebrales que se repiten en todos los pacientes se pueden hallar evidencias de actividad neurofisiológica disfuncional en un grupo concreto y utilizar esa información para desarrollar un tratamiento (Menche, 2011).</w:t>
      </w:r>
    </w:p>
    <w:p w:rsidR="00F1769E" w:rsidRPr="00084958" w:rsidRDefault="00F1769E"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Una de las mayores ventajas que presenta el neurofeedback, ante otro tipo de tratamientos para tratar la fibromialgia es que permite intervenir directamente a nivel cortical reorganizando las señales eléctricas para conseguir una desensibilización central y proporcionando un alivio en los síntomas (Jensen</w:t>
      </w:r>
      <w:r w:rsidR="008E7FC2" w:rsidRPr="00084958">
        <w:rPr>
          <w:rFonts w:ascii="Times New Roman" w:hAnsi="Times New Roman" w:cs="Times New Roman"/>
          <w:sz w:val="24"/>
          <w:szCs w:val="24"/>
        </w:rPr>
        <w:t>,</w:t>
      </w:r>
      <w:r w:rsidR="00FC4B5C">
        <w:rPr>
          <w:rFonts w:ascii="Times New Roman" w:hAnsi="Times New Roman" w:cs="Times New Roman"/>
          <w:sz w:val="24"/>
          <w:szCs w:val="24"/>
        </w:rPr>
        <w:t xml:space="preserve"> </w:t>
      </w:r>
      <w:proofErr w:type="spellStart"/>
      <w:r w:rsidR="00B06CF8" w:rsidRPr="00084958">
        <w:rPr>
          <w:rFonts w:ascii="Times New Roman" w:hAnsi="Times New Roman" w:cs="Times New Roman"/>
          <w:iCs/>
          <w:sz w:val="24"/>
          <w:szCs w:val="24"/>
        </w:rPr>
        <w:t>Hakimian</w:t>
      </w:r>
      <w:bookmarkStart w:id="0" w:name="_GoBack"/>
      <w:bookmarkEnd w:id="0"/>
      <w:proofErr w:type="spellEnd"/>
      <w:r w:rsidR="00B06CF8" w:rsidRPr="00084958">
        <w:rPr>
          <w:rFonts w:ascii="Times New Roman" w:hAnsi="Times New Roman" w:cs="Times New Roman"/>
          <w:iCs/>
          <w:sz w:val="24"/>
          <w:szCs w:val="24"/>
        </w:rPr>
        <w:t xml:space="preserve">, </w:t>
      </w:r>
      <w:proofErr w:type="spellStart"/>
      <w:r w:rsidR="00B06CF8" w:rsidRPr="00084958">
        <w:rPr>
          <w:rFonts w:ascii="Times New Roman" w:hAnsi="Times New Roman" w:cs="Times New Roman"/>
          <w:iCs/>
          <w:sz w:val="24"/>
          <w:szCs w:val="24"/>
        </w:rPr>
        <w:t>Sherlin</w:t>
      </w:r>
      <w:proofErr w:type="spellEnd"/>
      <w:r w:rsidR="008E7FC2" w:rsidRPr="00084958">
        <w:rPr>
          <w:rFonts w:ascii="Times New Roman" w:hAnsi="Times New Roman" w:cs="Times New Roman"/>
          <w:iCs/>
          <w:sz w:val="24"/>
          <w:szCs w:val="24"/>
        </w:rPr>
        <w:t>, &amp;</w:t>
      </w:r>
      <w:r w:rsidR="00FC4B5C">
        <w:rPr>
          <w:rFonts w:ascii="Times New Roman" w:hAnsi="Times New Roman" w:cs="Times New Roman"/>
          <w:iCs/>
          <w:sz w:val="24"/>
          <w:szCs w:val="24"/>
        </w:rPr>
        <w:t xml:space="preserve"> </w:t>
      </w:r>
      <w:proofErr w:type="spellStart"/>
      <w:r w:rsidR="008E7FC2" w:rsidRPr="00084958">
        <w:rPr>
          <w:rFonts w:ascii="Times New Roman" w:hAnsi="Times New Roman" w:cs="Times New Roman"/>
          <w:iCs/>
          <w:sz w:val="24"/>
          <w:szCs w:val="24"/>
        </w:rPr>
        <w:t>Fregni</w:t>
      </w:r>
      <w:proofErr w:type="spellEnd"/>
      <w:r w:rsidRPr="00084958">
        <w:rPr>
          <w:rFonts w:ascii="Times New Roman" w:hAnsi="Times New Roman" w:cs="Times New Roman"/>
          <w:sz w:val="24"/>
          <w:szCs w:val="24"/>
        </w:rPr>
        <w:t>, 2008).</w:t>
      </w:r>
    </w:p>
    <w:p w:rsidR="002D4C1E" w:rsidRPr="00084958" w:rsidRDefault="006E43E5" w:rsidP="00507AAC">
      <w:pPr>
        <w:spacing w:line="240"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Kayiran</w:t>
      </w:r>
      <w:proofErr w:type="spellEnd"/>
      <w:r>
        <w:rPr>
          <w:rFonts w:ascii="Times New Roman" w:hAnsi="Times New Roman" w:cs="Times New Roman"/>
          <w:sz w:val="24"/>
          <w:szCs w:val="24"/>
        </w:rPr>
        <w:t>,</w:t>
      </w:r>
      <w:r w:rsidR="00FC4B5C">
        <w:rPr>
          <w:rFonts w:ascii="Times New Roman" w:hAnsi="Times New Roman" w:cs="Times New Roman"/>
          <w:sz w:val="24"/>
          <w:szCs w:val="24"/>
        </w:rPr>
        <w:t xml:space="preserve"> </w:t>
      </w:r>
      <w:proofErr w:type="spellStart"/>
      <w:r w:rsidRPr="00C07A96">
        <w:rPr>
          <w:rFonts w:ascii="Times New Roman" w:hAnsi="Times New Roman" w:cs="Times New Roman"/>
          <w:iCs/>
          <w:sz w:val="24"/>
          <w:szCs w:val="24"/>
        </w:rPr>
        <w:t>Dursun</w:t>
      </w:r>
      <w:proofErr w:type="spellEnd"/>
      <w:r w:rsidRPr="00C07A96">
        <w:rPr>
          <w:rFonts w:ascii="Times New Roman" w:hAnsi="Times New Roman" w:cs="Times New Roman"/>
          <w:iCs/>
          <w:sz w:val="24"/>
          <w:szCs w:val="24"/>
        </w:rPr>
        <w:t xml:space="preserve">, </w:t>
      </w:r>
      <w:proofErr w:type="spellStart"/>
      <w:r w:rsidRPr="00C07A96">
        <w:rPr>
          <w:rFonts w:ascii="Times New Roman" w:hAnsi="Times New Roman" w:cs="Times New Roman"/>
          <w:iCs/>
          <w:sz w:val="24"/>
          <w:szCs w:val="24"/>
        </w:rPr>
        <w:t>Dursun</w:t>
      </w:r>
      <w:proofErr w:type="spellEnd"/>
      <w:r w:rsidRPr="00C07A96">
        <w:rPr>
          <w:rFonts w:ascii="Times New Roman" w:hAnsi="Times New Roman" w:cs="Times New Roman"/>
          <w:iCs/>
          <w:sz w:val="24"/>
          <w:szCs w:val="24"/>
        </w:rPr>
        <w:t xml:space="preserve">, </w:t>
      </w:r>
      <w:proofErr w:type="spellStart"/>
      <w:r w:rsidRPr="00C07A96">
        <w:rPr>
          <w:rFonts w:ascii="Times New Roman" w:hAnsi="Times New Roman" w:cs="Times New Roman"/>
          <w:iCs/>
          <w:sz w:val="24"/>
          <w:szCs w:val="24"/>
        </w:rPr>
        <w:t>Ermutlu</w:t>
      </w:r>
      <w:proofErr w:type="spellEnd"/>
      <w:r w:rsidRPr="00C07A96">
        <w:rPr>
          <w:rFonts w:ascii="Times New Roman" w:hAnsi="Times New Roman" w:cs="Times New Roman"/>
          <w:iCs/>
          <w:sz w:val="24"/>
          <w:szCs w:val="24"/>
        </w:rPr>
        <w:t xml:space="preserve">, y </w:t>
      </w:r>
      <w:proofErr w:type="spellStart"/>
      <w:r w:rsidRPr="00C07A96">
        <w:rPr>
          <w:rFonts w:ascii="Times New Roman" w:hAnsi="Times New Roman" w:cs="Times New Roman"/>
          <w:iCs/>
          <w:sz w:val="24"/>
          <w:szCs w:val="24"/>
        </w:rPr>
        <w:t>Karamürsel</w:t>
      </w:r>
      <w:proofErr w:type="spellEnd"/>
      <w:r w:rsidR="006A39E9">
        <w:rPr>
          <w:rFonts w:ascii="Times New Roman" w:hAnsi="Times New Roman" w:cs="Times New Roman"/>
          <w:iCs/>
          <w:sz w:val="24"/>
          <w:szCs w:val="24"/>
        </w:rPr>
        <w:t xml:space="preserve"> </w:t>
      </w:r>
      <w:r>
        <w:rPr>
          <w:rFonts w:ascii="Times New Roman" w:hAnsi="Times New Roman" w:cs="Times New Roman"/>
          <w:sz w:val="24"/>
          <w:szCs w:val="24"/>
        </w:rPr>
        <w:t>(2</w:t>
      </w:r>
      <w:r w:rsidR="002D4C1E" w:rsidRPr="00084958">
        <w:rPr>
          <w:rFonts w:ascii="Times New Roman" w:hAnsi="Times New Roman" w:cs="Times New Roman"/>
          <w:sz w:val="24"/>
          <w:szCs w:val="24"/>
        </w:rPr>
        <w:t>010) realizaron un estudio pacientes con fibromialgia, mediante el entrenamiento de los ritmos sensoriomotores para favorecer los mecanismos inhibitorios del sistema nervioso central. Se observó una disminución significativa en la relación Theta/SMR al final del tratamiento, en comparación con la línea base y la mejora en de los test de control de variables psicológicas.</w:t>
      </w:r>
    </w:p>
    <w:p w:rsidR="002D4C1E" w:rsidRPr="00084958" w:rsidRDefault="002D4C1E" w:rsidP="00507AAC">
      <w:pPr>
        <w:spacing w:line="240" w:lineRule="auto"/>
        <w:ind w:firstLine="709"/>
        <w:contextualSpacing/>
        <w:jc w:val="both"/>
        <w:rPr>
          <w:rFonts w:ascii="Times New Roman" w:hAnsi="Times New Roman" w:cs="Times New Roman"/>
          <w:sz w:val="24"/>
          <w:szCs w:val="24"/>
        </w:rPr>
      </w:pPr>
      <w:proofErr w:type="spellStart"/>
      <w:r w:rsidRPr="00084958">
        <w:rPr>
          <w:rFonts w:ascii="Times New Roman" w:hAnsi="Times New Roman" w:cs="Times New Roman"/>
          <w:sz w:val="24"/>
          <w:szCs w:val="24"/>
        </w:rPr>
        <w:t>Pavlenko</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Chernyi</w:t>
      </w:r>
      <w:proofErr w:type="spellEnd"/>
      <w:r w:rsidRPr="00084958">
        <w:rPr>
          <w:rFonts w:ascii="Times New Roman" w:hAnsi="Times New Roman" w:cs="Times New Roman"/>
          <w:sz w:val="24"/>
          <w:szCs w:val="24"/>
        </w:rPr>
        <w:t xml:space="preserve"> y </w:t>
      </w:r>
      <w:proofErr w:type="spellStart"/>
      <w:r w:rsidRPr="00084958">
        <w:rPr>
          <w:rFonts w:ascii="Times New Roman" w:hAnsi="Times New Roman" w:cs="Times New Roman"/>
          <w:sz w:val="24"/>
          <w:szCs w:val="24"/>
        </w:rPr>
        <w:t>Goudkina</w:t>
      </w:r>
      <w:proofErr w:type="spellEnd"/>
      <w:r w:rsidRPr="00084958">
        <w:rPr>
          <w:rFonts w:ascii="Times New Roman" w:hAnsi="Times New Roman" w:cs="Times New Roman"/>
          <w:sz w:val="24"/>
          <w:szCs w:val="24"/>
        </w:rPr>
        <w:t xml:space="preserve"> (2009) realizaron estudios mediante el entrenamiento de los ritmos </w:t>
      </w:r>
      <w:proofErr w:type="spellStart"/>
      <w:r w:rsidRPr="00084958">
        <w:rPr>
          <w:rFonts w:ascii="Times New Roman" w:hAnsi="Times New Roman" w:cs="Times New Roman"/>
          <w:sz w:val="24"/>
          <w:szCs w:val="24"/>
        </w:rPr>
        <w:t>sensoriomotores</w:t>
      </w:r>
      <w:proofErr w:type="spellEnd"/>
      <w:r w:rsidRPr="00084958">
        <w:rPr>
          <w:rFonts w:ascii="Times New Roman" w:hAnsi="Times New Roman" w:cs="Times New Roman"/>
          <w:sz w:val="24"/>
          <w:szCs w:val="24"/>
        </w:rPr>
        <w:t xml:space="preserve"> (SMR) (12-15 </w:t>
      </w:r>
      <w:proofErr w:type="spellStart"/>
      <w:r w:rsidRPr="00084958">
        <w:rPr>
          <w:rFonts w:ascii="Times New Roman" w:hAnsi="Times New Roman" w:cs="Times New Roman"/>
          <w:sz w:val="24"/>
          <w:szCs w:val="24"/>
        </w:rPr>
        <w:t>hz</w:t>
      </w:r>
      <w:proofErr w:type="spellEnd"/>
      <w:r w:rsidRPr="00084958">
        <w:rPr>
          <w:rFonts w:ascii="Times New Roman" w:hAnsi="Times New Roman" w:cs="Times New Roman"/>
          <w:sz w:val="24"/>
          <w:szCs w:val="24"/>
        </w:rPr>
        <w:t xml:space="preserve">) y propusieron que podría ser eficaz para la estabilidad emocional, ya que estos ritmos, tienen repercusión en el sistema </w:t>
      </w:r>
      <w:proofErr w:type="spellStart"/>
      <w:r w:rsidRPr="00084958">
        <w:rPr>
          <w:rFonts w:ascii="Times New Roman" w:hAnsi="Times New Roman" w:cs="Times New Roman"/>
          <w:sz w:val="24"/>
          <w:szCs w:val="24"/>
        </w:rPr>
        <w:t>dopaminergico</w:t>
      </w:r>
      <w:proofErr w:type="spellEnd"/>
      <w:r w:rsidRPr="00084958">
        <w:rPr>
          <w:rFonts w:ascii="Times New Roman" w:hAnsi="Times New Roman" w:cs="Times New Roman"/>
          <w:sz w:val="24"/>
          <w:szCs w:val="24"/>
        </w:rPr>
        <w:t xml:space="preserve"> (DA) en el </w:t>
      </w:r>
      <w:proofErr w:type="spellStart"/>
      <w:r w:rsidRPr="00084958">
        <w:rPr>
          <w:rFonts w:ascii="Times New Roman" w:hAnsi="Times New Roman" w:cs="Times New Roman"/>
          <w:sz w:val="24"/>
          <w:szCs w:val="24"/>
        </w:rPr>
        <w:t>tegmentum</w:t>
      </w:r>
      <w:proofErr w:type="spellEnd"/>
      <w:r w:rsidRPr="00084958">
        <w:rPr>
          <w:rFonts w:ascii="Times New Roman" w:hAnsi="Times New Roman" w:cs="Times New Roman"/>
          <w:sz w:val="24"/>
          <w:szCs w:val="24"/>
        </w:rPr>
        <w:t xml:space="preserve"> ventral. La estabilidad emocional y el afecto positivo podrían modificarse mediante el entrenamiento de los ritmos sensoriomotores ya que esto repercuten en el sistema </w:t>
      </w:r>
      <w:proofErr w:type="spellStart"/>
      <w:r w:rsidRPr="00084958">
        <w:rPr>
          <w:rFonts w:ascii="Times New Roman" w:hAnsi="Times New Roman" w:cs="Times New Roman"/>
          <w:sz w:val="24"/>
          <w:szCs w:val="24"/>
        </w:rPr>
        <w:t>dopaminergico</w:t>
      </w:r>
      <w:proofErr w:type="spellEnd"/>
      <w:r w:rsidRPr="00084958">
        <w:rPr>
          <w:rFonts w:ascii="Times New Roman" w:hAnsi="Times New Roman" w:cs="Times New Roman"/>
          <w:sz w:val="24"/>
          <w:szCs w:val="24"/>
        </w:rPr>
        <w:t xml:space="preserve"> que a su vez está </w:t>
      </w:r>
      <w:r w:rsidRPr="00084958">
        <w:rPr>
          <w:rFonts w:ascii="Times New Roman" w:hAnsi="Times New Roman" w:cs="Times New Roman"/>
          <w:sz w:val="24"/>
          <w:szCs w:val="24"/>
        </w:rPr>
        <w:lastRenderedPageBreak/>
        <w:t>relacionado con la facilitación de las emociones positivas y el mantenimiento de las conductas de aproximación.</w:t>
      </w:r>
    </w:p>
    <w:p w:rsidR="00B06CF8" w:rsidRDefault="00342FCF"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Según </w:t>
      </w:r>
      <w:proofErr w:type="spellStart"/>
      <w:r w:rsidRPr="00084958">
        <w:rPr>
          <w:rFonts w:ascii="Times New Roman" w:hAnsi="Times New Roman" w:cs="Times New Roman"/>
          <w:sz w:val="24"/>
          <w:szCs w:val="24"/>
        </w:rPr>
        <w:t>Sterman</w:t>
      </w:r>
      <w:proofErr w:type="spellEnd"/>
      <w:r w:rsidRPr="00084958">
        <w:rPr>
          <w:rFonts w:ascii="Times New Roman" w:hAnsi="Times New Roman" w:cs="Times New Roman"/>
          <w:sz w:val="24"/>
          <w:szCs w:val="24"/>
        </w:rPr>
        <w:t xml:space="preserve"> (2000), el entrenamiento de los SMR puede mejorar la estabilidad de la corteza. Sin ir más allá, las investigaciones sobre el entrenamiento mediante </w:t>
      </w:r>
      <w:proofErr w:type="spellStart"/>
      <w:r w:rsidRPr="00084958">
        <w:rPr>
          <w:rFonts w:ascii="Times New Roman" w:hAnsi="Times New Roman" w:cs="Times New Roman"/>
          <w:sz w:val="24"/>
          <w:szCs w:val="24"/>
        </w:rPr>
        <w:t>biofeedback</w:t>
      </w:r>
      <w:proofErr w:type="spellEnd"/>
      <w:r w:rsidRPr="00084958">
        <w:rPr>
          <w:rFonts w:ascii="Times New Roman" w:hAnsi="Times New Roman" w:cs="Times New Roman"/>
          <w:sz w:val="24"/>
          <w:szCs w:val="24"/>
        </w:rPr>
        <w:t xml:space="preserve"> para reducir el impulso simpático y por ende, estabilizar el eje adrenal-hipotalámico-límbico-cortical, ha dado muy buenos resultados.  Los ritmos sensoriomotores se usan para la atención relajada y cuerpo tranquilo.  Con el incremento de los SMR la persona se vuelve más relajada.</w:t>
      </w:r>
    </w:p>
    <w:p w:rsidR="00507AAC" w:rsidRDefault="00507AAC" w:rsidP="00507AAC">
      <w:pPr>
        <w:spacing w:line="240" w:lineRule="auto"/>
        <w:ind w:firstLine="709"/>
        <w:contextualSpacing/>
        <w:jc w:val="both"/>
        <w:rPr>
          <w:rFonts w:ascii="Times New Roman" w:hAnsi="Times New Roman" w:cs="Times New Roman"/>
          <w:sz w:val="24"/>
          <w:szCs w:val="24"/>
        </w:rPr>
      </w:pPr>
    </w:p>
    <w:p w:rsidR="00CD1CB8" w:rsidRDefault="00CD1CB8" w:rsidP="00507AA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Por todos estos antecedentes se planeó el siguiente objetivo y las siguientes hipótesis:</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8A1083" w:rsidRPr="00084958" w:rsidRDefault="00E57000" w:rsidP="00507AAC">
      <w:pPr>
        <w:spacing w:line="240" w:lineRule="auto"/>
        <w:ind w:firstLine="709"/>
        <w:contextualSpacing/>
        <w:jc w:val="both"/>
        <w:rPr>
          <w:rFonts w:ascii="Times New Roman" w:hAnsi="Times New Roman" w:cs="Times New Roman"/>
          <w:b/>
          <w:sz w:val="24"/>
          <w:szCs w:val="24"/>
        </w:rPr>
      </w:pPr>
      <w:r w:rsidRPr="00084958">
        <w:rPr>
          <w:rFonts w:ascii="Times New Roman" w:hAnsi="Times New Roman" w:cs="Times New Roman"/>
          <w:b/>
          <w:sz w:val="24"/>
          <w:szCs w:val="24"/>
        </w:rPr>
        <w:t>Objetivo</w:t>
      </w:r>
    </w:p>
    <w:p w:rsidR="00171D5A" w:rsidRPr="00084958" w:rsidRDefault="002215CD"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 Evaluar cómo el condicionamiento instrumental generado por el neurofeedback repercute en los trastornos psicológicos de Depresión y Ansiedad en pacientes con fibromialgia.</w:t>
      </w:r>
    </w:p>
    <w:p w:rsidR="008A1083" w:rsidRPr="00084958" w:rsidRDefault="008A1083" w:rsidP="00507AAC">
      <w:pPr>
        <w:spacing w:line="240" w:lineRule="auto"/>
        <w:ind w:firstLine="709"/>
        <w:contextualSpacing/>
        <w:jc w:val="both"/>
        <w:rPr>
          <w:rFonts w:ascii="Times New Roman" w:hAnsi="Times New Roman" w:cs="Times New Roman"/>
          <w:b/>
          <w:sz w:val="24"/>
          <w:szCs w:val="24"/>
        </w:rPr>
      </w:pPr>
      <w:r w:rsidRPr="00084958">
        <w:rPr>
          <w:rFonts w:ascii="Times New Roman" w:hAnsi="Times New Roman" w:cs="Times New Roman"/>
          <w:b/>
          <w:sz w:val="24"/>
          <w:szCs w:val="24"/>
        </w:rPr>
        <w:t>Hipótesis</w:t>
      </w:r>
    </w:p>
    <w:p w:rsidR="00C07661" w:rsidRPr="00084958" w:rsidRDefault="00C07661" w:rsidP="00507AAC">
      <w:pPr>
        <w:spacing w:line="240" w:lineRule="auto"/>
        <w:ind w:firstLine="709"/>
        <w:contextualSpacing/>
        <w:rPr>
          <w:rFonts w:ascii="Times New Roman" w:hAnsi="Times New Roman" w:cs="Times New Roman"/>
          <w:b/>
          <w:sz w:val="24"/>
          <w:szCs w:val="24"/>
        </w:rPr>
      </w:pPr>
      <w:r w:rsidRPr="00084958">
        <w:rPr>
          <w:rFonts w:ascii="Times New Roman" w:hAnsi="Times New Roman" w:cs="Times New Roman"/>
          <w:b/>
          <w:sz w:val="24"/>
          <w:szCs w:val="24"/>
        </w:rPr>
        <w:t>Hipótesis 1</w:t>
      </w:r>
      <w:r w:rsidRPr="00084958">
        <w:rPr>
          <w:rFonts w:ascii="Times New Roman" w:hAnsi="Times New Roman" w:cs="Times New Roman"/>
          <w:sz w:val="24"/>
          <w:szCs w:val="24"/>
        </w:rPr>
        <w:t>: El neurofeedback (Protocolo SMR) mejora la depresión de los pacientes con fibromialgia.</w:t>
      </w:r>
    </w:p>
    <w:p w:rsidR="00C07661" w:rsidRPr="00084958" w:rsidRDefault="00C07661"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b/>
          <w:sz w:val="24"/>
          <w:szCs w:val="24"/>
        </w:rPr>
        <w:t>Hipótesis 2:</w:t>
      </w:r>
      <w:r w:rsidRPr="00084958">
        <w:rPr>
          <w:rFonts w:ascii="Times New Roman" w:hAnsi="Times New Roman" w:cs="Times New Roman"/>
          <w:sz w:val="24"/>
          <w:szCs w:val="24"/>
        </w:rPr>
        <w:t xml:space="preserve"> Estudiar la ansiedad en relación a la aplicación del neurofeedback (Protocolo SMR) en pacientes con fibromialgia.</w:t>
      </w:r>
    </w:p>
    <w:p w:rsidR="00C07661" w:rsidRPr="00084958" w:rsidRDefault="00C07661"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Contrastamos empíricamente esta hipótesis a través de las siguientes </w:t>
      </w:r>
      <w:proofErr w:type="spellStart"/>
      <w:r w:rsidRPr="00084958">
        <w:rPr>
          <w:rFonts w:ascii="Times New Roman" w:hAnsi="Times New Roman" w:cs="Times New Roman"/>
          <w:sz w:val="24"/>
          <w:szCs w:val="24"/>
        </w:rPr>
        <w:t>subhipótesis</w:t>
      </w:r>
      <w:proofErr w:type="spellEnd"/>
      <w:r w:rsidRPr="00084958">
        <w:rPr>
          <w:rFonts w:ascii="Times New Roman" w:hAnsi="Times New Roman" w:cs="Times New Roman"/>
          <w:sz w:val="24"/>
          <w:szCs w:val="24"/>
        </w:rPr>
        <w:t>.</w:t>
      </w:r>
    </w:p>
    <w:p w:rsidR="00C07661" w:rsidRPr="00084958" w:rsidRDefault="00C07661"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b/>
          <w:sz w:val="24"/>
          <w:szCs w:val="24"/>
        </w:rPr>
        <w:t>Hipótesis 2.1:</w:t>
      </w:r>
      <w:r w:rsidRPr="00084958">
        <w:rPr>
          <w:rFonts w:ascii="Times New Roman" w:hAnsi="Times New Roman" w:cs="Times New Roman"/>
          <w:sz w:val="24"/>
          <w:szCs w:val="24"/>
        </w:rPr>
        <w:t xml:space="preserve"> El neurofeedback (Protocolo SMR) mejora la ansiedad estado de los pacientes con fibromialgia.</w:t>
      </w:r>
    </w:p>
    <w:p w:rsidR="008A1083" w:rsidRPr="00084958" w:rsidRDefault="00C07661"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b/>
          <w:sz w:val="24"/>
          <w:szCs w:val="24"/>
        </w:rPr>
        <w:t>Hipótesis 2.2:</w:t>
      </w:r>
      <w:r w:rsidRPr="00084958">
        <w:rPr>
          <w:rFonts w:ascii="Times New Roman" w:hAnsi="Times New Roman" w:cs="Times New Roman"/>
          <w:sz w:val="24"/>
          <w:szCs w:val="24"/>
        </w:rPr>
        <w:t xml:space="preserve"> El neurofeedback (Protocolo SMR) mejora la ansiedad rasgo de los pacientes con fibromialgia.</w:t>
      </w:r>
    </w:p>
    <w:p w:rsidR="00E74735" w:rsidRDefault="00E74735" w:rsidP="00507AAC">
      <w:pPr>
        <w:spacing w:line="240" w:lineRule="auto"/>
        <w:ind w:firstLine="709"/>
        <w:contextualSpacing/>
        <w:jc w:val="both"/>
        <w:rPr>
          <w:rFonts w:ascii="Times New Roman" w:hAnsi="Times New Roman" w:cs="Times New Roman"/>
          <w:b/>
          <w:sz w:val="24"/>
          <w:szCs w:val="24"/>
        </w:rPr>
      </w:pPr>
    </w:p>
    <w:p w:rsidR="00E74735" w:rsidRDefault="00E74735" w:rsidP="00507AAC">
      <w:pPr>
        <w:spacing w:line="240" w:lineRule="auto"/>
        <w:ind w:firstLine="709"/>
        <w:contextualSpacing/>
        <w:jc w:val="both"/>
        <w:rPr>
          <w:rFonts w:ascii="Times New Roman" w:hAnsi="Times New Roman" w:cs="Times New Roman"/>
          <w:b/>
          <w:sz w:val="24"/>
          <w:szCs w:val="24"/>
        </w:rPr>
      </w:pPr>
    </w:p>
    <w:p w:rsidR="008A1083" w:rsidRDefault="008A1083" w:rsidP="00507AAC">
      <w:pPr>
        <w:spacing w:line="240" w:lineRule="auto"/>
        <w:ind w:firstLine="709"/>
        <w:contextualSpacing/>
        <w:jc w:val="both"/>
        <w:rPr>
          <w:rFonts w:ascii="Times New Roman" w:hAnsi="Times New Roman" w:cs="Times New Roman"/>
          <w:b/>
          <w:sz w:val="24"/>
          <w:szCs w:val="24"/>
        </w:rPr>
      </w:pPr>
      <w:r w:rsidRPr="00084958">
        <w:rPr>
          <w:rFonts w:ascii="Times New Roman" w:hAnsi="Times New Roman" w:cs="Times New Roman"/>
          <w:b/>
          <w:sz w:val="24"/>
          <w:szCs w:val="24"/>
        </w:rPr>
        <w:t>Métodos</w:t>
      </w:r>
    </w:p>
    <w:p w:rsidR="00507AAC" w:rsidRPr="00084958" w:rsidRDefault="00507AAC" w:rsidP="00507AAC">
      <w:pPr>
        <w:spacing w:line="240" w:lineRule="auto"/>
        <w:ind w:firstLine="709"/>
        <w:contextualSpacing/>
        <w:jc w:val="both"/>
        <w:rPr>
          <w:rFonts w:ascii="Times New Roman" w:hAnsi="Times New Roman" w:cs="Times New Roman"/>
          <w:b/>
          <w:sz w:val="24"/>
          <w:szCs w:val="24"/>
        </w:rPr>
      </w:pPr>
    </w:p>
    <w:p w:rsidR="008A1083" w:rsidRPr="00084958" w:rsidRDefault="008A1083" w:rsidP="00507AAC">
      <w:pPr>
        <w:spacing w:line="240" w:lineRule="auto"/>
        <w:ind w:firstLine="709"/>
        <w:contextualSpacing/>
        <w:jc w:val="both"/>
        <w:rPr>
          <w:rFonts w:ascii="Times New Roman" w:eastAsiaTheme="minorHAnsi" w:hAnsi="Times New Roman" w:cs="Times New Roman"/>
          <w:b/>
          <w:sz w:val="24"/>
          <w:szCs w:val="24"/>
        </w:rPr>
      </w:pPr>
      <w:r w:rsidRPr="00084958">
        <w:rPr>
          <w:rFonts w:ascii="Times New Roman" w:hAnsi="Times New Roman" w:cs="Times New Roman"/>
          <w:b/>
          <w:sz w:val="24"/>
          <w:szCs w:val="24"/>
        </w:rPr>
        <w:t>Participantes</w:t>
      </w:r>
    </w:p>
    <w:p w:rsidR="008A1083" w:rsidRDefault="008A1083" w:rsidP="00507AAC">
      <w:pPr>
        <w:pStyle w:val="Prrafodelista"/>
        <w:spacing w:line="240" w:lineRule="auto"/>
        <w:ind w:left="0"/>
        <w:jc w:val="both"/>
        <w:rPr>
          <w:rFonts w:ascii="Times New Roman" w:hAnsi="Times New Roman" w:cs="Times New Roman"/>
          <w:sz w:val="24"/>
          <w:szCs w:val="24"/>
        </w:rPr>
      </w:pPr>
      <w:r w:rsidRPr="00084958">
        <w:rPr>
          <w:rFonts w:ascii="Times New Roman" w:hAnsi="Times New Roman" w:cs="Times New Roman"/>
          <w:sz w:val="24"/>
          <w:szCs w:val="24"/>
        </w:rPr>
        <w:t>El estudio se realizó con 40 participantes remitidos de diversas asociaciones de fibromialgia, de los cuales 36 fueron mujeres y 4 hombres con una edad comprendida entre los 31 y los 70 años de los cuales 14 sujetos se encontraban entre 31/51 años, 23 entre los 51/65 años y 3 eran mayores de 65 años. El nivel educativo de los participantes resultó homogéneo 12 de educación infantil, 6 de educación primaria, 15 de COU/ESO, 15 de bachillerato y 7 con formación universitaria. De la totalidad de los sujetos 20 no han estado de baja médica, 7 se encontraban en el momento del estudio de baja médica y 13 habían estado de baja médica con anterioridad. La selección de la muestra estuvo marcada por los criterios de inclusión y exclusión.</w:t>
      </w:r>
    </w:p>
    <w:p w:rsidR="00507AAC" w:rsidRPr="00084958" w:rsidRDefault="00507AAC" w:rsidP="00507AAC">
      <w:pPr>
        <w:pStyle w:val="Prrafodelista"/>
        <w:spacing w:line="240" w:lineRule="auto"/>
        <w:ind w:left="0"/>
        <w:jc w:val="both"/>
        <w:rPr>
          <w:rFonts w:ascii="Times New Roman" w:hAnsi="Times New Roman" w:cs="Times New Roman"/>
          <w:sz w:val="24"/>
          <w:szCs w:val="24"/>
        </w:rPr>
      </w:pPr>
    </w:p>
    <w:p w:rsidR="008A1083" w:rsidRPr="00507AAC" w:rsidRDefault="008A1083" w:rsidP="00507AAC">
      <w:pPr>
        <w:pStyle w:val="Prrafodelista"/>
        <w:numPr>
          <w:ilvl w:val="0"/>
          <w:numId w:val="1"/>
        </w:numPr>
        <w:spacing w:line="240" w:lineRule="auto"/>
        <w:ind w:firstLine="709"/>
        <w:jc w:val="both"/>
        <w:rPr>
          <w:rFonts w:ascii="Times New Roman" w:hAnsi="Times New Roman" w:cs="Times New Roman"/>
          <w:sz w:val="24"/>
          <w:szCs w:val="24"/>
        </w:rPr>
      </w:pPr>
      <w:r w:rsidRPr="00084958">
        <w:rPr>
          <w:rFonts w:ascii="Times New Roman" w:hAnsi="Times New Roman" w:cs="Times New Roman"/>
          <w:sz w:val="24"/>
          <w:szCs w:val="24"/>
          <w:lang w:val="en-US"/>
        </w:rPr>
        <w:t xml:space="preserve">Los </w:t>
      </w:r>
      <w:proofErr w:type="spellStart"/>
      <w:r w:rsidRPr="00084958">
        <w:rPr>
          <w:rFonts w:ascii="Times New Roman" w:hAnsi="Times New Roman" w:cs="Times New Roman"/>
          <w:sz w:val="24"/>
          <w:szCs w:val="24"/>
          <w:lang w:val="en-US"/>
        </w:rPr>
        <w:t>criterios</w:t>
      </w:r>
      <w:proofErr w:type="spellEnd"/>
      <w:r w:rsidRPr="00084958">
        <w:rPr>
          <w:rFonts w:ascii="Times New Roman" w:hAnsi="Times New Roman" w:cs="Times New Roman"/>
          <w:sz w:val="24"/>
          <w:szCs w:val="24"/>
          <w:lang w:val="en-US"/>
        </w:rPr>
        <w:t xml:space="preserve"> de </w:t>
      </w:r>
      <w:proofErr w:type="spellStart"/>
      <w:r w:rsidRPr="00084958">
        <w:rPr>
          <w:rFonts w:ascii="Times New Roman" w:hAnsi="Times New Roman" w:cs="Times New Roman"/>
          <w:sz w:val="24"/>
          <w:szCs w:val="24"/>
          <w:lang w:val="en-US"/>
        </w:rPr>
        <w:t>inclusión</w:t>
      </w:r>
      <w:proofErr w:type="spellEnd"/>
      <w:r w:rsidRPr="00084958">
        <w:rPr>
          <w:rFonts w:ascii="Times New Roman" w:hAnsi="Times New Roman" w:cs="Times New Roman"/>
          <w:sz w:val="24"/>
          <w:szCs w:val="24"/>
          <w:lang w:val="en-US"/>
        </w:rPr>
        <w:t>:</w:t>
      </w:r>
    </w:p>
    <w:p w:rsidR="00507AAC" w:rsidRPr="00084958" w:rsidRDefault="00507AAC" w:rsidP="00507AAC">
      <w:pPr>
        <w:pStyle w:val="Prrafodelista"/>
        <w:spacing w:line="240" w:lineRule="auto"/>
        <w:ind w:left="1429" w:firstLine="0"/>
        <w:jc w:val="both"/>
        <w:rPr>
          <w:rFonts w:ascii="Times New Roman" w:hAnsi="Times New Roman" w:cs="Times New Roman"/>
          <w:sz w:val="24"/>
          <w:szCs w:val="24"/>
        </w:rPr>
      </w:pPr>
    </w:p>
    <w:p w:rsidR="008A1083" w:rsidRPr="00084958" w:rsidRDefault="008A1083" w:rsidP="00507AAC">
      <w:pPr>
        <w:pStyle w:val="Prrafodelista"/>
        <w:numPr>
          <w:ilvl w:val="0"/>
          <w:numId w:val="2"/>
        </w:numPr>
        <w:spacing w:line="240" w:lineRule="auto"/>
        <w:ind w:firstLine="709"/>
        <w:jc w:val="both"/>
        <w:rPr>
          <w:rFonts w:ascii="Times New Roman" w:hAnsi="Times New Roman" w:cs="Times New Roman"/>
          <w:sz w:val="24"/>
          <w:szCs w:val="24"/>
        </w:rPr>
      </w:pPr>
      <w:r w:rsidRPr="00084958">
        <w:rPr>
          <w:rFonts w:ascii="Times New Roman" w:hAnsi="Times New Roman" w:cs="Times New Roman"/>
          <w:sz w:val="24"/>
          <w:szCs w:val="24"/>
        </w:rPr>
        <w:t xml:space="preserve">Tener entre 16 años o más. Si el paciente es menor deberá presentar la  autorización de un tutor. </w:t>
      </w:r>
    </w:p>
    <w:p w:rsidR="008A1083" w:rsidRPr="00084958" w:rsidRDefault="00D92FBC" w:rsidP="00507AAC">
      <w:pPr>
        <w:pStyle w:val="Prrafodelista"/>
        <w:numPr>
          <w:ilvl w:val="0"/>
          <w:numId w:val="2"/>
        </w:numPr>
        <w:spacing w:line="240" w:lineRule="auto"/>
        <w:ind w:firstLine="709"/>
        <w:jc w:val="both"/>
        <w:rPr>
          <w:rFonts w:ascii="Times New Roman" w:hAnsi="Times New Roman" w:cs="Times New Roman"/>
          <w:sz w:val="24"/>
          <w:szCs w:val="24"/>
        </w:rPr>
      </w:pPr>
      <w:r w:rsidRPr="00084958">
        <w:rPr>
          <w:rFonts w:ascii="Times New Roman" w:hAnsi="Times New Roman" w:cs="Times New Roman"/>
          <w:sz w:val="24"/>
          <w:szCs w:val="24"/>
        </w:rPr>
        <w:t>Estar diagnosticado de fibromialgia</w:t>
      </w:r>
      <w:r w:rsidR="008A1083" w:rsidRPr="00084958">
        <w:rPr>
          <w:rFonts w:ascii="Times New Roman" w:hAnsi="Times New Roman" w:cs="Times New Roman"/>
          <w:sz w:val="24"/>
          <w:szCs w:val="24"/>
        </w:rPr>
        <w:t xml:space="preserve"> bajo los criterios de la ACR (American College of Rheumatology).</w:t>
      </w:r>
    </w:p>
    <w:p w:rsidR="008A1083" w:rsidRPr="00084958" w:rsidRDefault="008A1083" w:rsidP="00507AAC">
      <w:pPr>
        <w:pStyle w:val="Prrafodelista"/>
        <w:numPr>
          <w:ilvl w:val="0"/>
          <w:numId w:val="2"/>
        </w:numPr>
        <w:spacing w:line="240" w:lineRule="auto"/>
        <w:ind w:firstLine="709"/>
        <w:jc w:val="both"/>
        <w:rPr>
          <w:rFonts w:ascii="Times New Roman" w:hAnsi="Times New Roman" w:cs="Times New Roman"/>
          <w:sz w:val="24"/>
          <w:szCs w:val="24"/>
        </w:rPr>
      </w:pPr>
      <w:r w:rsidRPr="00084958">
        <w:rPr>
          <w:rFonts w:ascii="Times New Roman" w:hAnsi="Times New Roman" w:cs="Times New Roman"/>
          <w:sz w:val="24"/>
          <w:szCs w:val="24"/>
        </w:rPr>
        <w:t>No tener otros problemas de salud como problemas coronarios, diabetes mellitus, padecer o haber padecido cáncer o alcoholismo.</w:t>
      </w:r>
    </w:p>
    <w:p w:rsidR="008A1083" w:rsidRPr="00084958" w:rsidRDefault="008A1083" w:rsidP="00507AAC">
      <w:pPr>
        <w:pStyle w:val="Prrafodelista"/>
        <w:spacing w:line="240" w:lineRule="auto"/>
        <w:ind w:left="0"/>
        <w:jc w:val="both"/>
        <w:rPr>
          <w:rFonts w:ascii="Times New Roman" w:hAnsi="Times New Roman" w:cs="Times New Roman"/>
          <w:b/>
          <w:sz w:val="24"/>
          <w:szCs w:val="24"/>
        </w:rPr>
      </w:pPr>
      <w:r w:rsidRPr="00084958">
        <w:rPr>
          <w:rFonts w:ascii="Times New Roman" w:hAnsi="Times New Roman" w:cs="Times New Roman"/>
          <w:b/>
          <w:sz w:val="24"/>
          <w:szCs w:val="24"/>
        </w:rPr>
        <w:lastRenderedPageBreak/>
        <w:t>Instrumentos</w:t>
      </w:r>
    </w:p>
    <w:p w:rsidR="008A1083"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La información se obtuvo mediante una entrevista con los participantes donde cumplimentaron los instrumentos seleccionados.</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C07661" w:rsidRDefault="00C07661"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El cuestionario utilizado para medir la depresión en este estudio es el </w:t>
      </w:r>
      <w:r w:rsidRPr="00084958">
        <w:rPr>
          <w:rFonts w:ascii="Times New Roman" w:hAnsi="Times New Roman" w:cs="Times New Roman"/>
          <w:b/>
          <w:sz w:val="24"/>
          <w:szCs w:val="24"/>
        </w:rPr>
        <w:t>BDI</w:t>
      </w:r>
      <w:r w:rsidRPr="00084958">
        <w:rPr>
          <w:rFonts w:ascii="Times New Roman" w:hAnsi="Times New Roman" w:cs="Times New Roman"/>
          <w:sz w:val="24"/>
          <w:szCs w:val="24"/>
        </w:rPr>
        <w:t xml:space="preserve"> (Inventario de Depresión de Beck). La versión original la elaboró Beck en 1961 (Beck, Ward, </w:t>
      </w:r>
      <w:proofErr w:type="spellStart"/>
      <w:r w:rsidRPr="00084958">
        <w:rPr>
          <w:rFonts w:ascii="Times New Roman" w:hAnsi="Times New Roman" w:cs="Times New Roman"/>
          <w:sz w:val="24"/>
          <w:szCs w:val="24"/>
        </w:rPr>
        <w:t>Mendelson</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Mock</w:t>
      </w:r>
      <w:proofErr w:type="spellEnd"/>
      <w:r w:rsidR="006D5536">
        <w:rPr>
          <w:rFonts w:ascii="Times New Roman" w:hAnsi="Times New Roman" w:cs="Times New Roman"/>
          <w:sz w:val="24"/>
          <w:szCs w:val="24"/>
        </w:rPr>
        <w:t xml:space="preserve"> </w:t>
      </w:r>
      <w:r w:rsidRPr="00084958">
        <w:rPr>
          <w:rFonts w:ascii="Times New Roman" w:hAnsi="Times New Roman" w:cs="Times New Roman"/>
          <w:sz w:val="24"/>
          <w:szCs w:val="24"/>
        </w:rPr>
        <w:t>&amp;</w:t>
      </w:r>
      <w:r w:rsidR="006D5536">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Erbaugh</w:t>
      </w:r>
      <w:proofErr w:type="spellEnd"/>
      <w:r w:rsidRPr="00084958">
        <w:rPr>
          <w:rFonts w:ascii="Times New Roman" w:hAnsi="Times New Roman" w:cs="Times New Roman"/>
          <w:sz w:val="24"/>
          <w:szCs w:val="24"/>
        </w:rPr>
        <w:t xml:space="preserve">, 1961) y la primera adaptación al castellano fue realizada por Conde y </w:t>
      </w:r>
      <w:proofErr w:type="spellStart"/>
      <w:r w:rsidRPr="00084958">
        <w:rPr>
          <w:rFonts w:ascii="Times New Roman" w:hAnsi="Times New Roman" w:cs="Times New Roman"/>
          <w:sz w:val="24"/>
          <w:szCs w:val="24"/>
        </w:rPr>
        <w:t>Useros</w:t>
      </w:r>
      <w:proofErr w:type="spellEnd"/>
      <w:r w:rsidRPr="00084958">
        <w:rPr>
          <w:rFonts w:ascii="Times New Roman" w:hAnsi="Times New Roman" w:cs="Times New Roman"/>
          <w:sz w:val="24"/>
          <w:szCs w:val="24"/>
        </w:rPr>
        <w:t xml:space="preserve"> (1975). El inventario tiene como objetivo medir los estados de ánimo con el que se detecta la presencia de la depresión y se mide exactamente su gravedad</w:t>
      </w:r>
      <w:r w:rsidR="000265B0">
        <w:rPr>
          <w:rFonts w:ascii="Times New Roman" w:hAnsi="Times New Roman" w:cs="Times New Roman"/>
          <w:sz w:val="24"/>
          <w:szCs w:val="24"/>
        </w:rPr>
        <w:t xml:space="preserve"> mediante una escala de tipo Likert</w:t>
      </w:r>
      <w:r w:rsidRPr="00084958">
        <w:rPr>
          <w:rFonts w:ascii="Times New Roman" w:hAnsi="Times New Roman" w:cs="Times New Roman"/>
          <w:sz w:val="24"/>
          <w:szCs w:val="24"/>
        </w:rPr>
        <w:t xml:space="preserve">. Este cuestionario ha sido estudiado de manera muy exhaustiva, mostrando una alfa de </w:t>
      </w:r>
      <w:proofErr w:type="spellStart"/>
      <w:r w:rsidRPr="00084958">
        <w:rPr>
          <w:rFonts w:ascii="Times New Roman" w:hAnsi="Times New Roman" w:cs="Times New Roman"/>
          <w:sz w:val="24"/>
          <w:szCs w:val="24"/>
        </w:rPr>
        <w:t>Cronbach</w:t>
      </w:r>
      <w:proofErr w:type="spellEnd"/>
      <w:r w:rsidRPr="00084958">
        <w:rPr>
          <w:rFonts w:ascii="Times New Roman" w:hAnsi="Times New Roman" w:cs="Times New Roman"/>
          <w:sz w:val="24"/>
          <w:szCs w:val="24"/>
        </w:rPr>
        <w:t xml:space="preserve"> de 0.83 (Beck, </w:t>
      </w:r>
      <w:proofErr w:type="spellStart"/>
      <w:r w:rsidRPr="00084958">
        <w:rPr>
          <w:rFonts w:ascii="Times New Roman" w:hAnsi="Times New Roman" w:cs="Times New Roman"/>
          <w:sz w:val="24"/>
          <w:szCs w:val="24"/>
        </w:rPr>
        <w:t>Steer</w:t>
      </w:r>
      <w:proofErr w:type="spellEnd"/>
      <w:r w:rsidRPr="00084958">
        <w:rPr>
          <w:rFonts w:ascii="Times New Roman" w:hAnsi="Times New Roman" w:cs="Times New Roman"/>
          <w:sz w:val="24"/>
          <w:szCs w:val="24"/>
        </w:rPr>
        <w:t>, &amp;</w:t>
      </w:r>
      <w:r w:rsidR="006D5536">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Garbin</w:t>
      </w:r>
      <w:proofErr w:type="spellEnd"/>
      <w:r w:rsidRPr="00084958">
        <w:rPr>
          <w:rFonts w:ascii="Times New Roman" w:hAnsi="Times New Roman" w:cs="Times New Roman"/>
          <w:sz w:val="24"/>
          <w:szCs w:val="24"/>
        </w:rPr>
        <w:t xml:space="preserve">, 1988; </w:t>
      </w:r>
      <w:r w:rsidR="006D5536">
        <w:rPr>
          <w:rFonts w:ascii="Times New Roman" w:hAnsi="Times New Roman" w:cs="Times New Roman"/>
          <w:sz w:val="24"/>
          <w:szCs w:val="24"/>
        </w:rPr>
        <w:t>Richter, Werner &amp;</w:t>
      </w:r>
      <w:r w:rsidR="004C680B">
        <w:rPr>
          <w:rFonts w:ascii="Times New Roman" w:hAnsi="Times New Roman" w:cs="Times New Roman"/>
          <w:sz w:val="24"/>
          <w:szCs w:val="24"/>
        </w:rPr>
        <w:t xml:space="preserve"> </w:t>
      </w:r>
      <w:proofErr w:type="spellStart"/>
      <w:r w:rsidR="004C680B">
        <w:rPr>
          <w:rFonts w:ascii="Times New Roman" w:hAnsi="Times New Roman" w:cs="Times New Roman"/>
          <w:sz w:val="24"/>
          <w:szCs w:val="24"/>
        </w:rPr>
        <w:t>Heerlein</w:t>
      </w:r>
      <w:proofErr w:type="spellEnd"/>
      <w:r w:rsidR="006D5536">
        <w:rPr>
          <w:rFonts w:ascii="Times New Roman" w:hAnsi="Times New Roman" w:cs="Times New Roman"/>
          <w:sz w:val="24"/>
          <w:szCs w:val="24"/>
        </w:rPr>
        <w:t xml:space="preserve">, </w:t>
      </w:r>
      <w:r w:rsidRPr="00084958">
        <w:rPr>
          <w:rFonts w:ascii="Times New Roman" w:hAnsi="Times New Roman" w:cs="Times New Roman"/>
          <w:sz w:val="24"/>
          <w:szCs w:val="24"/>
        </w:rPr>
        <w:t>1998).</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C07661" w:rsidRDefault="00C07661"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El </w:t>
      </w:r>
      <w:proofErr w:type="spellStart"/>
      <w:r w:rsidRPr="00084958">
        <w:rPr>
          <w:rFonts w:ascii="Times New Roman" w:hAnsi="Times New Roman" w:cs="Times New Roman"/>
          <w:b/>
          <w:sz w:val="24"/>
          <w:szCs w:val="24"/>
        </w:rPr>
        <w:t>State-TraitAnxietyInventory</w:t>
      </w:r>
      <w:proofErr w:type="spellEnd"/>
      <w:r w:rsidRPr="00084958">
        <w:rPr>
          <w:rFonts w:ascii="Times New Roman" w:hAnsi="Times New Roman" w:cs="Times New Roman"/>
          <w:sz w:val="24"/>
          <w:szCs w:val="24"/>
        </w:rPr>
        <w:t xml:space="preserve"> (STAI) es uno de los cuestionarios más utilizados para medir la ansiedad  y fue construido y desarrollado por Spielberger, Gorsuch y Lushene (1970). El STAI Inventario de Ansiedad, evalúa dos dimensiones de ansiedad (rasgo y estado)</w:t>
      </w:r>
      <w:r w:rsidR="006D5536">
        <w:rPr>
          <w:rFonts w:ascii="Times New Roman" w:hAnsi="Times New Roman" w:cs="Times New Roman"/>
          <w:sz w:val="24"/>
          <w:szCs w:val="24"/>
        </w:rPr>
        <w:t xml:space="preserve"> </w:t>
      </w:r>
      <w:r w:rsidR="000265B0">
        <w:rPr>
          <w:rFonts w:ascii="Times New Roman" w:hAnsi="Times New Roman" w:cs="Times New Roman"/>
          <w:sz w:val="24"/>
          <w:szCs w:val="24"/>
        </w:rPr>
        <w:t xml:space="preserve">mediante una escala de tipo </w:t>
      </w:r>
      <w:proofErr w:type="spellStart"/>
      <w:r w:rsidR="000265B0">
        <w:rPr>
          <w:rFonts w:ascii="Times New Roman" w:hAnsi="Times New Roman" w:cs="Times New Roman"/>
          <w:sz w:val="24"/>
          <w:szCs w:val="24"/>
        </w:rPr>
        <w:t>Likert</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Spielberg</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Goursch</w:t>
      </w:r>
      <w:proofErr w:type="spellEnd"/>
      <w:r w:rsidR="006D5536">
        <w:rPr>
          <w:rFonts w:ascii="Times New Roman" w:hAnsi="Times New Roman" w:cs="Times New Roman"/>
          <w:sz w:val="24"/>
          <w:szCs w:val="24"/>
        </w:rPr>
        <w:t xml:space="preserve"> </w:t>
      </w:r>
      <w:r w:rsidRPr="00084958">
        <w:rPr>
          <w:rFonts w:ascii="Times New Roman" w:hAnsi="Times New Roman" w:cs="Times New Roman"/>
          <w:sz w:val="24"/>
          <w:szCs w:val="24"/>
        </w:rPr>
        <w:t>&amp;</w:t>
      </w:r>
      <w:r w:rsidR="006D5536">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Lushene</w:t>
      </w:r>
      <w:proofErr w:type="spellEnd"/>
      <w:r w:rsidRPr="00084958">
        <w:rPr>
          <w:rFonts w:ascii="Times New Roman" w:hAnsi="Times New Roman" w:cs="Times New Roman"/>
          <w:sz w:val="24"/>
          <w:szCs w:val="24"/>
        </w:rPr>
        <w:t>, 1982)</w:t>
      </w:r>
      <w:r w:rsidR="000265B0">
        <w:rPr>
          <w:rFonts w:ascii="Times New Roman" w:hAnsi="Times New Roman" w:cs="Times New Roman"/>
          <w:sz w:val="24"/>
          <w:szCs w:val="24"/>
        </w:rPr>
        <w:t>,</w:t>
      </w:r>
      <w:r w:rsidRPr="00084958">
        <w:rPr>
          <w:rFonts w:ascii="Times New Roman" w:hAnsi="Times New Roman" w:cs="Times New Roman"/>
          <w:sz w:val="24"/>
          <w:szCs w:val="24"/>
        </w:rPr>
        <w:t xml:space="preserve"> ambas escalas están diferenciadas tanto en su administración como en su evaluación. Miden dos conceptos independientes de la ansiedad como estado (E) y como rasgo (R). Basados en los componentes del modelo de ansiedad desarrollado por Spielberger. En la revisión de la versión español</w:t>
      </w:r>
      <w:r w:rsidR="00B06CF8" w:rsidRPr="00084958">
        <w:rPr>
          <w:rFonts w:ascii="Times New Roman" w:hAnsi="Times New Roman" w:cs="Times New Roman"/>
          <w:sz w:val="24"/>
          <w:szCs w:val="24"/>
        </w:rPr>
        <w:t xml:space="preserve">a realizada por </w:t>
      </w:r>
      <w:proofErr w:type="spellStart"/>
      <w:r w:rsidR="00B06CF8" w:rsidRPr="00084958">
        <w:rPr>
          <w:rFonts w:ascii="Times New Roman" w:hAnsi="Times New Roman" w:cs="Times New Roman"/>
          <w:sz w:val="24"/>
          <w:szCs w:val="24"/>
        </w:rPr>
        <w:t>Guilleny</w:t>
      </w:r>
      <w:proofErr w:type="spellEnd"/>
      <w:r w:rsidR="00B06CF8" w:rsidRPr="00084958">
        <w:rPr>
          <w:rFonts w:ascii="Times New Roman" w:hAnsi="Times New Roman" w:cs="Times New Roman"/>
          <w:sz w:val="24"/>
          <w:szCs w:val="24"/>
        </w:rPr>
        <w:t xml:space="preserve"> </w:t>
      </w:r>
      <w:proofErr w:type="spellStart"/>
      <w:r w:rsidR="00B06CF8" w:rsidRPr="00084958">
        <w:rPr>
          <w:rFonts w:ascii="Times New Roman" w:hAnsi="Times New Roman" w:cs="Times New Roman"/>
          <w:sz w:val="24"/>
          <w:szCs w:val="24"/>
        </w:rPr>
        <w:t>Buela</w:t>
      </w:r>
      <w:proofErr w:type="spellEnd"/>
      <w:r w:rsidRPr="00084958">
        <w:rPr>
          <w:rFonts w:ascii="Times New Roman" w:hAnsi="Times New Roman" w:cs="Times New Roman"/>
          <w:sz w:val="24"/>
          <w:szCs w:val="24"/>
        </w:rPr>
        <w:t xml:space="preserve"> (2011),  compuesta por 1.036 participantes españoles (352 eran hombres y 667 mujeres)  con edades comprendidas entre 18 y 69 años obtuvo un análisis de fiabilidad significativo. Para los ítems de ansiedad rasgo obtuvo un alfa de </w:t>
      </w:r>
      <w:proofErr w:type="spellStart"/>
      <w:r w:rsidRPr="00084958">
        <w:rPr>
          <w:rFonts w:ascii="Times New Roman" w:hAnsi="Times New Roman" w:cs="Times New Roman"/>
          <w:sz w:val="24"/>
          <w:szCs w:val="24"/>
        </w:rPr>
        <w:t>Cronbach</w:t>
      </w:r>
      <w:proofErr w:type="spellEnd"/>
      <w:r w:rsidRPr="00084958">
        <w:rPr>
          <w:rFonts w:ascii="Times New Roman" w:hAnsi="Times New Roman" w:cs="Times New Roman"/>
          <w:sz w:val="24"/>
          <w:szCs w:val="24"/>
        </w:rPr>
        <w:t xml:space="preserve"> de 0.90 y la ansiedad estado alcanzó un alfa de .94.</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5F68A3" w:rsidRPr="00084958" w:rsidRDefault="005F68A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Los instrumentos de recogida y análisis de las variables electrofisiológicas son productos de la empresa </w:t>
      </w:r>
      <w:proofErr w:type="spellStart"/>
      <w:r w:rsidRPr="00084958">
        <w:rPr>
          <w:rFonts w:ascii="Times New Roman" w:hAnsi="Times New Roman" w:cs="Times New Roman"/>
          <w:sz w:val="24"/>
          <w:szCs w:val="24"/>
        </w:rPr>
        <w:t>Thought</w:t>
      </w:r>
      <w:proofErr w:type="spellEnd"/>
      <w:r w:rsidR="00396752">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Technology</w:t>
      </w:r>
      <w:proofErr w:type="spellEnd"/>
      <w:r w:rsidRPr="00084958">
        <w:rPr>
          <w:rFonts w:ascii="Times New Roman" w:hAnsi="Times New Roman" w:cs="Times New Roman"/>
          <w:sz w:val="24"/>
          <w:szCs w:val="24"/>
        </w:rPr>
        <w:t xml:space="preserve">, una de las principales compañías fabricantes de productos de </w:t>
      </w:r>
      <w:proofErr w:type="spellStart"/>
      <w:r w:rsidRPr="00084958">
        <w:rPr>
          <w:rFonts w:ascii="Times New Roman" w:hAnsi="Times New Roman" w:cs="Times New Roman"/>
          <w:sz w:val="24"/>
          <w:szCs w:val="24"/>
        </w:rPr>
        <w:t>biofeedback</w:t>
      </w:r>
      <w:proofErr w:type="spellEnd"/>
      <w:r w:rsidRPr="00084958">
        <w:rPr>
          <w:rFonts w:ascii="Times New Roman" w:hAnsi="Times New Roman" w:cs="Times New Roman"/>
          <w:sz w:val="24"/>
          <w:szCs w:val="24"/>
        </w:rPr>
        <w:t xml:space="preserve"> y neurofeedback del mundo. Tiene certificado de dispositivos médicos para sus aparatos de </w:t>
      </w:r>
      <w:proofErr w:type="spellStart"/>
      <w:r w:rsidRPr="00084958">
        <w:rPr>
          <w:rFonts w:ascii="Times New Roman" w:hAnsi="Times New Roman" w:cs="Times New Roman"/>
          <w:sz w:val="24"/>
          <w:szCs w:val="24"/>
        </w:rPr>
        <w:t>biofeedback</w:t>
      </w:r>
      <w:proofErr w:type="spellEnd"/>
      <w:r w:rsidRPr="00084958">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Thought</w:t>
      </w:r>
      <w:proofErr w:type="spellEnd"/>
      <w:r w:rsidR="00396752">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Technology</w:t>
      </w:r>
      <w:proofErr w:type="spellEnd"/>
      <w:r w:rsidRPr="00084958">
        <w:rPr>
          <w:rFonts w:ascii="Times New Roman" w:hAnsi="Times New Roman" w:cs="Times New Roman"/>
          <w:sz w:val="24"/>
          <w:szCs w:val="24"/>
        </w:rPr>
        <w:t>, 2018).</w:t>
      </w:r>
    </w:p>
    <w:p w:rsidR="005F68A3" w:rsidRDefault="005F68A3" w:rsidP="00507AAC">
      <w:pPr>
        <w:spacing w:line="240" w:lineRule="auto"/>
        <w:ind w:firstLine="1"/>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Se utilizó el Codificador </w:t>
      </w:r>
      <w:proofErr w:type="spellStart"/>
      <w:r w:rsidRPr="00084958">
        <w:rPr>
          <w:rFonts w:ascii="Times New Roman" w:hAnsi="Times New Roman" w:cs="Times New Roman"/>
          <w:b/>
          <w:sz w:val="24"/>
          <w:szCs w:val="24"/>
        </w:rPr>
        <w:t>FlexCompInfiniti</w:t>
      </w:r>
      <w:proofErr w:type="spellEnd"/>
      <w:r w:rsidR="00396752">
        <w:rPr>
          <w:rFonts w:ascii="Times New Roman" w:hAnsi="Times New Roman" w:cs="Times New Roman"/>
          <w:b/>
          <w:sz w:val="24"/>
          <w:szCs w:val="24"/>
        </w:rPr>
        <w:t xml:space="preserve"> </w:t>
      </w:r>
      <w:r w:rsidRPr="00084958">
        <w:rPr>
          <w:rFonts w:ascii="Times New Roman" w:hAnsi="Times New Roman" w:cs="Times New Roman"/>
          <w:sz w:val="24"/>
          <w:szCs w:val="24"/>
        </w:rPr>
        <w:t xml:space="preserve">que es un dispositivo de ocho </w:t>
      </w:r>
      <w:r w:rsidR="004F115E" w:rsidRPr="00084958">
        <w:rPr>
          <w:rFonts w:ascii="Times New Roman" w:hAnsi="Times New Roman" w:cs="Times New Roman"/>
          <w:sz w:val="24"/>
          <w:szCs w:val="24"/>
        </w:rPr>
        <w:t>canales que se usa para</w:t>
      </w:r>
      <w:r w:rsidRPr="00084958">
        <w:rPr>
          <w:rFonts w:ascii="Times New Roman" w:hAnsi="Times New Roman" w:cs="Times New Roman"/>
          <w:sz w:val="24"/>
          <w:szCs w:val="24"/>
        </w:rPr>
        <w:t xml:space="preserve"> el análisis psicofisiológico en tiempo real, </w:t>
      </w:r>
      <w:proofErr w:type="spellStart"/>
      <w:r w:rsidRPr="00084958">
        <w:rPr>
          <w:rFonts w:ascii="Times New Roman" w:hAnsi="Times New Roman" w:cs="Times New Roman"/>
          <w:sz w:val="24"/>
          <w:szCs w:val="24"/>
        </w:rPr>
        <w:t>biorretroalimentación</w:t>
      </w:r>
      <w:proofErr w:type="spellEnd"/>
      <w:r w:rsidRPr="00084958">
        <w:rPr>
          <w:rFonts w:ascii="Times New Roman" w:hAnsi="Times New Roman" w:cs="Times New Roman"/>
          <w:sz w:val="24"/>
          <w:szCs w:val="24"/>
        </w:rPr>
        <w:t xml:space="preserve"> y adquisición de datos. El codificador tiene una entrada </w:t>
      </w:r>
      <w:r w:rsidR="004F115E" w:rsidRPr="00084958">
        <w:rPr>
          <w:rFonts w:ascii="Times New Roman" w:hAnsi="Times New Roman" w:cs="Times New Roman"/>
          <w:sz w:val="24"/>
          <w:szCs w:val="24"/>
        </w:rPr>
        <w:t>específica en la cual</w:t>
      </w:r>
      <w:r w:rsidRPr="00084958">
        <w:rPr>
          <w:rFonts w:ascii="Times New Roman" w:hAnsi="Times New Roman" w:cs="Times New Roman"/>
          <w:sz w:val="24"/>
          <w:szCs w:val="24"/>
        </w:rPr>
        <w:t xml:space="preserve"> conectamos un sensor de electroencefalograma. </w:t>
      </w:r>
      <w:r w:rsidR="004F115E" w:rsidRPr="00084958">
        <w:rPr>
          <w:rFonts w:ascii="Times New Roman" w:hAnsi="Times New Roman" w:cs="Times New Roman"/>
          <w:sz w:val="24"/>
          <w:szCs w:val="24"/>
        </w:rPr>
        <w:t xml:space="preserve"> El software utilizado es el </w:t>
      </w:r>
      <w:proofErr w:type="spellStart"/>
      <w:r w:rsidR="004F115E" w:rsidRPr="00084958">
        <w:rPr>
          <w:rFonts w:ascii="Times New Roman" w:hAnsi="Times New Roman" w:cs="Times New Roman"/>
          <w:sz w:val="24"/>
          <w:szCs w:val="24"/>
        </w:rPr>
        <w:t>BioGraph</w:t>
      </w:r>
      <w:proofErr w:type="spellEnd"/>
      <w:r w:rsidR="00396752">
        <w:rPr>
          <w:rFonts w:ascii="Times New Roman" w:hAnsi="Times New Roman" w:cs="Times New Roman"/>
          <w:sz w:val="24"/>
          <w:szCs w:val="24"/>
        </w:rPr>
        <w:t xml:space="preserve"> </w:t>
      </w:r>
      <w:proofErr w:type="spellStart"/>
      <w:r w:rsidR="004F115E" w:rsidRPr="00084958">
        <w:rPr>
          <w:rFonts w:ascii="Times New Roman" w:hAnsi="Times New Roman" w:cs="Times New Roman"/>
          <w:sz w:val="24"/>
          <w:szCs w:val="24"/>
        </w:rPr>
        <w:t>Infiniti</w:t>
      </w:r>
      <w:proofErr w:type="spellEnd"/>
      <w:r w:rsidR="00396752">
        <w:rPr>
          <w:rFonts w:ascii="Times New Roman" w:hAnsi="Times New Roman" w:cs="Times New Roman"/>
          <w:sz w:val="24"/>
          <w:szCs w:val="24"/>
        </w:rPr>
        <w:t xml:space="preserve"> </w:t>
      </w:r>
      <w:r w:rsidR="004F115E" w:rsidRPr="00084958">
        <w:rPr>
          <w:rFonts w:ascii="Times New Roman" w:hAnsi="Times New Roman" w:cs="Times New Roman"/>
          <w:sz w:val="24"/>
          <w:szCs w:val="24"/>
        </w:rPr>
        <w:t>desarrollado para</w:t>
      </w:r>
      <w:r w:rsidR="00396752">
        <w:rPr>
          <w:rFonts w:ascii="Times New Roman" w:hAnsi="Times New Roman" w:cs="Times New Roman"/>
          <w:sz w:val="24"/>
          <w:szCs w:val="24"/>
        </w:rPr>
        <w:t xml:space="preserve"> </w:t>
      </w:r>
      <w:r w:rsidR="004F115E" w:rsidRPr="00084958">
        <w:rPr>
          <w:rFonts w:ascii="Times New Roman" w:hAnsi="Times New Roman" w:cs="Times New Roman"/>
          <w:sz w:val="24"/>
          <w:szCs w:val="24"/>
        </w:rPr>
        <w:t xml:space="preserve">captar y analiza los datos, y para realizar el condicionamiento instrumental utilizamos un protocolo de ritmos sensoriomotores. </w:t>
      </w:r>
    </w:p>
    <w:p w:rsidR="00507AAC" w:rsidRDefault="00507AAC" w:rsidP="00507AAC">
      <w:pPr>
        <w:spacing w:line="240" w:lineRule="auto"/>
        <w:ind w:firstLine="1"/>
        <w:contextualSpacing/>
        <w:jc w:val="both"/>
        <w:rPr>
          <w:rFonts w:ascii="Times New Roman" w:hAnsi="Times New Roman" w:cs="Times New Roman"/>
          <w:sz w:val="24"/>
          <w:szCs w:val="24"/>
        </w:rPr>
      </w:pPr>
    </w:p>
    <w:p w:rsidR="00D877A6" w:rsidRDefault="00D877A6" w:rsidP="00507AAC">
      <w:pPr>
        <w:spacing w:line="240" w:lineRule="auto"/>
        <w:ind w:firstLine="709"/>
        <w:contextualSpacing/>
        <w:jc w:val="both"/>
        <w:rPr>
          <w:rFonts w:ascii="Times New Roman" w:hAnsi="Times New Roman" w:cs="Times New Roman"/>
          <w:b/>
          <w:sz w:val="24"/>
          <w:szCs w:val="24"/>
        </w:rPr>
      </w:pPr>
      <w:r w:rsidRPr="00D877A6">
        <w:rPr>
          <w:rFonts w:ascii="Times New Roman" w:hAnsi="Times New Roman" w:cs="Times New Roman"/>
          <w:b/>
          <w:sz w:val="24"/>
          <w:szCs w:val="24"/>
        </w:rPr>
        <w:t>Procedimiento</w:t>
      </w:r>
    </w:p>
    <w:p w:rsidR="00507AAC" w:rsidRPr="00D877A6" w:rsidRDefault="00507AAC" w:rsidP="00507AAC">
      <w:pPr>
        <w:spacing w:line="240" w:lineRule="auto"/>
        <w:ind w:firstLine="709"/>
        <w:contextualSpacing/>
        <w:jc w:val="both"/>
        <w:rPr>
          <w:rFonts w:ascii="Times New Roman" w:hAnsi="Times New Roman" w:cs="Times New Roman"/>
          <w:b/>
          <w:sz w:val="24"/>
          <w:szCs w:val="24"/>
        </w:rPr>
      </w:pPr>
    </w:p>
    <w:p w:rsidR="003A1DAF" w:rsidRDefault="00D877A6"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Se trata de un estudio experimental realizado gracias a la colaboración de varias asociaciones de fibromialgia y a la </w:t>
      </w:r>
      <w:r w:rsidRPr="00084958">
        <w:rPr>
          <w:rFonts w:ascii="Times New Roman" w:eastAsiaTheme="minorHAnsi" w:hAnsi="Times New Roman" w:cs="Times New Roman"/>
          <w:sz w:val="24"/>
          <w:szCs w:val="24"/>
        </w:rPr>
        <w:t>Unidad del Dolor que nos ofrecieron  asesoramiento profesional tanto para el acceso a la muestra como la</w:t>
      </w:r>
      <w:r w:rsidRPr="00084958">
        <w:rPr>
          <w:rFonts w:ascii="Times New Roman" w:hAnsi="Times New Roman" w:cs="Times New Roman"/>
          <w:sz w:val="24"/>
          <w:szCs w:val="24"/>
        </w:rPr>
        <w:t xml:space="preserve"> selección de los criterios de </w:t>
      </w:r>
      <w:r>
        <w:rPr>
          <w:rFonts w:ascii="Times New Roman" w:eastAsiaTheme="minorHAnsi" w:hAnsi="Times New Roman" w:cs="Times New Roman"/>
          <w:sz w:val="24"/>
          <w:szCs w:val="24"/>
        </w:rPr>
        <w:t>inclusión</w:t>
      </w:r>
      <w:r w:rsidRPr="00084958">
        <w:rPr>
          <w:rFonts w:ascii="Times New Roman" w:hAnsi="Times New Roman" w:cs="Times New Roman"/>
          <w:sz w:val="24"/>
          <w:szCs w:val="24"/>
        </w:rPr>
        <w:t>.</w:t>
      </w:r>
      <w:r>
        <w:rPr>
          <w:rFonts w:ascii="Times New Roman" w:hAnsi="Times New Roman" w:cs="Times New Roman"/>
          <w:sz w:val="24"/>
          <w:szCs w:val="24"/>
        </w:rPr>
        <w:t xml:space="preserve"> El tratamiento</w:t>
      </w:r>
      <w:r w:rsidR="003A1DAF">
        <w:rPr>
          <w:rFonts w:ascii="Times New Roman" w:hAnsi="Times New Roman" w:cs="Times New Roman"/>
          <w:sz w:val="24"/>
          <w:szCs w:val="24"/>
        </w:rPr>
        <w:t xml:space="preserve"> de neurofeedback</w:t>
      </w:r>
      <w:r>
        <w:rPr>
          <w:rFonts w:ascii="Times New Roman" w:hAnsi="Times New Roman" w:cs="Times New Roman"/>
          <w:sz w:val="24"/>
          <w:szCs w:val="24"/>
        </w:rPr>
        <w:t xml:space="preserve"> fue aplicado 3 veces por semana</w:t>
      </w:r>
      <w:r w:rsidR="003A1DAF">
        <w:rPr>
          <w:rFonts w:ascii="Times New Roman" w:hAnsi="Times New Roman" w:cs="Times New Roman"/>
          <w:sz w:val="24"/>
          <w:szCs w:val="24"/>
        </w:rPr>
        <w:t xml:space="preserve"> en las propias asociaciones</w:t>
      </w:r>
      <w:r>
        <w:rPr>
          <w:rFonts w:ascii="Times New Roman" w:hAnsi="Times New Roman" w:cs="Times New Roman"/>
          <w:sz w:val="24"/>
          <w:szCs w:val="24"/>
        </w:rPr>
        <w:t xml:space="preserve"> durante un total de 20 sesiones cumpliendo todas las normas de seguridad y protocolos estandarizados para la aplicación de este tipo de terapias.</w:t>
      </w:r>
      <w:r w:rsidR="003A1DAF">
        <w:rPr>
          <w:rFonts w:ascii="Times New Roman" w:hAnsi="Times New Roman" w:cs="Times New Roman"/>
          <w:sz w:val="24"/>
          <w:szCs w:val="24"/>
        </w:rPr>
        <w:t xml:space="preserve"> Se utilizó un protocolo de ritmos </w:t>
      </w:r>
      <w:proofErr w:type="spellStart"/>
      <w:r w:rsidR="003A1DAF">
        <w:rPr>
          <w:rFonts w:ascii="Times New Roman" w:hAnsi="Times New Roman" w:cs="Times New Roman"/>
          <w:sz w:val="24"/>
          <w:szCs w:val="24"/>
        </w:rPr>
        <w:t>sensoriomotores</w:t>
      </w:r>
      <w:proofErr w:type="spellEnd"/>
      <w:r w:rsidR="003A1DAF">
        <w:rPr>
          <w:rFonts w:ascii="Times New Roman" w:hAnsi="Times New Roman" w:cs="Times New Roman"/>
          <w:sz w:val="24"/>
          <w:szCs w:val="24"/>
        </w:rPr>
        <w:t xml:space="preserve"> </w:t>
      </w:r>
      <w:r w:rsidR="00507AAC">
        <w:rPr>
          <w:rFonts w:ascii="Times New Roman" w:hAnsi="Times New Roman" w:cs="Times New Roman"/>
          <w:sz w:val="24"/>
          <w:szCs w:val="24"/>
        </w:rPr>
        <w:t xml:space="preserve">(SMR) estandarizado y desarrollado por </w:t>
      </w:r>
      <w:proofErr w:type="spellStart"/>
      <w:r w:rsidR="00507AAC" w:rsidRPr="00084958">
        <w:rPr>
          <w:rFonts w:ascii="Times New Roman" w:hAnsi="Times New Roman" w:cs="Times New Roman"/>
          <w:sz w:val="24"/>
          <w:szCs w:val="24"/>
        </w:rPr>
        <w:t>Thought</w:t>
      </w:r>
      <w:proofErr w:type="spellEnd"/>
      <w:r w:rsidR="00507AAC">
        <w:rPr>
          <w:rFonts w:ascii="Times New Roman" w:hAnsi="Times New Roman" w:cs="Times New Roman"/>
          <w:sz w:val="24"/>
          <w:szCs w:val="24"/>
        </w:rPr>
        <w:t xml:space="preserve"> </w:t>
      </w:r>
      <w:proofErr w:type="spellStart"/>
      <w:r w:rsidR="00507AAC" w:rsidRPr="00084958">
        <w:rPr>
          <w:rFonts w:ascii="Times New Roman" w:hAnsi="Times New Roman" w:cs="Times New Roman"/>
          <w:sz w:val="24"/>
          <w:szCs w:val="24"/>
        </w:rPr>
        <w:t>Technology</w:t>
      </w:r>
      <w:proofErr w:type="spellEnd"/>
      <w:r w:rsidR="00507AAC">
        <w:rPr>
          <w:rFonts w:ascii="Times New Roman" w:hAnsi="Times New Roman" w:cs="Times New Roman"/>
          <w:sz w:val="24"/>
          <w:szCs w:val="24"/>
        </w:rPr>
        <w:t xml:space="preserve"> </w:t>
      </w:r>
      <w:r w:rsidR="003A1DAF">
        <w:rPr>
          <w:rFonts w:ascii="Times New Roman" w:hAnsi="Times New Roman" w:cs="Times New Roman"/>
          <w:sz w:val="24"/>
          <w:szCs w:val="24"/>
        </w:rPr>
        <w:t xml:space="preserve">para la realización del entrenamiento. </w:t>
      </w:r>
    </w:p>
    <w:p w:rsidR="003A1DAF" w:rsidRPr="003A1DAF" w:rsidRDefault="003A1DAF" w:rsidP="00507AAC">
      <w:pPr>
        <w:spacing w:line="240" w:lineRule="auto"/>
        <w:ind w:firstLine="709"/>
        <w:contextualSpacing/>
        <w:jc w:val="both"/>
        <w:rPr>
          <w:rFonts w:ascii="Times New Roman" w:hAnsi="Times New Roman" w:cs="Times New Roman"/>
          <w:b/>
          <w:sz w:val="24"/>
          <w:szCs w:val="24"/>
        </w:rPr>
      </w:pPr>
      <w:r w:rsidRPr="003A1DAF">
        <w:rPr>
          <w:rFonts w:ascii="Times New Roman" w:hAnsi="Times New Roman" w:cs="Times New Roman"/>
          <w:sz w:val="24"/>
          <w:szCs w:val="24"/>
        </w:rPr>
        <w:t>En cuanto a los aspectos éticos</w:t>
      </w:r>
      <w:r w:rsidR="00D877A6">
        <w:rPr>
          <w:rFonts w:ascii="Times New Roman" w:hAnsi="Times New Roman" w:cs="Times New Roman"/>
          <w:sz w:val="24"/>
          <w:szCs w:val="24"/>
        </w:rPr>
        <w:t xml:space="preserve"> </w:t>
      </w:r>
      <w:r>
        <w:rPr>
          <w:rFonts w:ascii="Times New Roman" w:hAnsi="Times New Roman" w:cs="Times New Roman"/>
          <w:sz w:val="24"/>
          <w:szCs w:val="24"/>
        </w:rPr>
        <w:t>s</w:t>
      </w:r>
      <w:r w:rsidR="00FA3038" w:rsidRPr="00BD710B">
        <w:rPr>
          <w:rFonts w:ascii="Times New Roman" w:hAnsi="Times New Roman" w:cs="Times New Roman"/>
          <w:sz w:val="24"/>
          <w:szCs w:val="24"/>
        </w:rPr>
        <w:t>e han respetado todos los principios éticos universales que rigen la conducción de investigación en Psicología y la</w:t>
      </w:r>
      <w:r w:rsidR="00FA3038">
        <w:rPr>
          <w:rFonts w:ascii="Times New Roman" w:hAnsi="Times New Roman" w:cs="Times New Roman"/>
          <w:sz w:val="24"/>
          <w:szCs w:val="24"/>
        </w:rPr>
        <w:t xml:space="preserve"> realización de este estudio ha sido</w:t>
      </w:r>
      <w:r w:rsidR="00FA3038" w:rsidRPr="00084958">
        <w:rPr>
          <w:rFonts w:ascii="Times New Roman" w:hAnsi="Times New Roman" w:cs="Times New Roman"/>
          <w:sz w:val="24"/>
          <w:szCs w:val="24"/>
        </w:rPr>
        <w:t xml:space="preserve"> estrictamente necesario respetar los </w:t>
      </w:r>
      <w:r w:rsidR="00FA3038">
        <w:rPr>
          <w:rFonts w:ascii="Times New Roman" w:hAnsi="Times New Roman" w:cs="Times New Roman"/>
          <w:sz w:val="24"/>
          <w:szCs w:val="24"/>
        </w:rPr>
        <w:t xml:space="preserve">siguientes </w:t>
      </w:r>
      <w:r w:rsidR="00FA3038" w:rsidRPr="00084958">
        <w:rPr>
          <w:rFonts w:ascii="Times New Roman" w:hAnsi="Times New Roman" w:cs="Times New Roman"/>
          <w:sz w:val="24"/>
          <w:szCs w:val="24"/>
        </w:rPr>
        <w:t>preceptos éticos</w:t>
      </w:r>
      <w:r w:rsidR="00FA3038">
        <w:rPr>
          <w:rFonts w:ascii="Times New Roman" w:hAnsi="Times New Roman" w:cs="Times New Roman"/>
          <w:sz w:val="24"/>
          <w:szCs w:val="24"/>
        </w:rPr>
        <w:t xml:space="preserve"> </w:t>
      </w:r>
      <w:r w:rsidR="00FA3038">
        <w:rPr>
          <w:rFonts w:ascii="Times New Roman" w:hAnsi="Times New Roman" w:cs="Times New Roman"/>
          <w:sz w:val="24"/>
          <w:szCs w:val="24"/>
        </w:rPr>
        <w:lastRenderedPageBreak/>
        <w:t>fundamentales, al igual que se expone que esta investigación carece de conflicto de intereses.</w:t>
      </w:r>
      <w:r w:rsidRPr="003A1DAF">
        <w:rPr>
          <w:rFonts w:ascii="Times New Roman" w:hAnsi="Times New Roman" w:cs="Times New Roman"/>
          <w:sz w:val="24"/>
          <w:szCs w:val="24"/>
        </w:rPr>
        <w:t xml:space="preserve"> </w:t>
      </w:r>
      <w:r>
        <w:rPr>
          <w:rFonts w:ascii="Times New Roman" w:hAnsi="Times New Roman" w:cs="Times New Roman"/>
          <w:sz w:val="24"/>
          <w:szCs w:val="24"/>
        </w:rPr>
        <w:t>P</w:t>
      </w:r>
      <w:r w:rsidRPr="003A1DAF">
        <w:rPr>
          <w:rFonts w:ascii="Times New Roman" w:hAnsi="Times New Roman" w:cs="Times New Roman"/>
          <w:sz w:val="24"/>
          <w:szCs w:val="24"/>
        </w:rPr>
        <w:t>ara l</w:t>
      </w:r>
      <w:r>
        <w:rPr>
          <w:rFonts w:ascii="Times New Roman" w:hAnsi="Times New Roman" w:cs="Times New Roman"/>
          <w:sz w:val="24"/>
          <w:szCs w:val="24"/>
        </w:rPr>
        <w:t xml:space="preserve">a realización de este estudio los </w:t>
      </w:r>
      <w:r w:rsidRPr="003A1DAF">
        <w:rPr>
          <w:rFonts w:ascii="Times New Roman" w:hAnsi="Times New Roman" w:cs="Times New Roman"/>
          <w:sz w:val="24"/>
          <w:szCs w:val="24"/>
        </w:rPr>
        <w:t xml:space="preserve">autores declaran que han seguido los protocolos de su centro de trabajo sobre la publicación de datos de pacientes. Han respetado el </w:t>
      </w:r>
      <w:r>
        <w:rPr>
          <w:rFonts w:ascii="Times New Roman" w:hAnsi="Times New Roman" w:cs="Times New Roman"/>
          <w:sz w:val="24"/>
          <w:szCs w:val="24"/>
        </w:rPr>
        <w:t>d</w:t>
      </w:r>
      <w:r w:rsidRPr="003A1DAF">
        <w:rPr>
          <w:rFonts w:ascii="Times New Roman" w:hAnsi="Times New Roman" w:cs="Times New Roman"/>
          <w:sz w:val="24"/>
          <w:szCs w:val="24"/>
        </w:rPr>
        <w:t xml:space="preserve">erecho a la privacidad y han seguido el Código de </w:t>
      </w:r>
      <w:proofErr w:type="spellStart"/>
      <w:r w:rsidRPr="003A1DAF">
        <w:rPr>
          <w:rFonts w:ascii="Times New Roman" w:hAnsi="Times New Roman" w:cs="Times New Roman"/>
          <w:sz w:val="24"/>
          <w:szCs w:val="24"/>
        </w:rPr>
        <w:t>Nüremberg</w:t>
      </w:r>
      <w:proofErr w:type="spellEnd"/>
      <w:r w:rsidRPr="003A1DAF">
        <w:rPr>
          <w:rFonts w:ascii="Times New Roman" w:hAnsi="Times New Roman" w:cs="Times New Roman"/>
          <w:sz w:val="24"/>
          <w:szCs w:val="24"/>
        </w:rPr>
        <w:t xml:space="preserve"> (</w:t>
      </w:r>
      <w:r>
        <w:rPr>
          <w:rFonts w:ascii="Times New Roman" w:hAnsi="Times New Roman" w:cs="Times New Roman"/>
          <w:sz w:val="24"/>
          <w:szCs w:val="24"/>
        </w:rPr>
        <w:t>1974), donde se especifica que es</w:t>
      </w:r>
      <w:r w:rsidRPr="003A1DAF">
        <w:rPr>
          <w:rFonts w:ascii="Times New Roman" w:hAnsi="Times New Roman" w:cs="Times New Roman"/>
          <w:sz w:val="24"/>
          <w:szCs w:val="24"/>
        </w:rPr>
        <w:t xml:space="preserve"> imprescindible el consentimiento voluntario de la persona.</w:t>
      </w:r>
    </w:p>
    <w:p w:rsidR="00507AAC" w:rsidRPr="00D877A6" w:rsidRDefault="00507AAC" w:rsidP="00507AAC">
      <w:pPr>
        <w:spacing w:line="240" w:lineRule="auto"/>
        <w:ind w:firstLine="709"/>
        <w:contextualSpacing/>
        <w:jc w:val="both"/>
        <w:rPr>
          <w:rFonts w:ascii="Times New Roman" w:hAnsi="Times New Roman" w:cs="Times New Roman"/>
          <w:sz w:val="24"/>
          <w:szCs w:val="24"/>
        </w:rPr>
      </w:pPr>
    </w:p>
    <w:p w:rsidR="008A1083" w:rsidRDefault="00E74735" w:rsidP="00507AAC">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Análisis de datos</w:t>
      </w:r>
    </w:p>
    <w:p w:rsidR="00507AAC" w:rsidRPr="00084958" w:rsidRDefault="00507AAC" w:rsidP="00507AAC">
      <w:pPr>
        <w:spacing w:line="240" w:lineRule="auto"/>
        <w:ind w:firstLine="709"/>
        <w:contextualSpacing/>
        <w:rPr>
          <w:rFonts w:ascii="Times New Roman" w:hAnsi="Times New Roman" w:cs="Times New Roman"/>
          <w:b/>
          <w:sz w:val="24"/>
          <w:szCs w:val="24"/>
        </w:rPr>
      </w:pPr>
    </w:p>
    <w:p w:rsidR="008A1083"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El proceso seguido para realizar el análisis inferencial ha sido el siguiente: </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8A1083"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1. Se presenta la tendencia de los resultados a través de una gráfica. En la abscisa se representa la variable en estudio, en la ordenada los resultados obtenidos en la serie de datos considerando los valores mínimo y máximo teóricos de la distribución. </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8A1083"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2. Cuando la variable que actúa como dependiente es medida en una escala de intervalo o de razón se aplican las siguientes pruebas para decidir si es necesario utilizar una prueba paramétrica o no paramétrica: </w:t>
      </w:r>
    </w:p>
    <w:p w:rsidR="00507AAC" w:rsidRPr="00084958" w:rsidRDefault="00507AAC" w:rsidP="00507AAC">
      <w:pPr>
        <w:spacing w:line="240" w:lineRule="auto"/>
        <w:ind w:firstLine="709"/>
        <w:contextualSpacing/>
        <w:jc w:val="both"/>
        <w:rPr>
          <w:rFonts w:ascii="Times New Roman" w:hAnsi="Times New Roman" w:cs="Times New Roman"/>
          <w:sz w:val="24"/>
          <w:szCs w:val="24"/>
        </w:rPr>
      </w:pPr>
    </w:p>
    <w:p w:rsidR="008A1083" w:rsidRPr="00084958"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a. </w:t>
      </w:r>
      <w:proofErr w:type="spellStart"/>
      <w:r w:rsidRPr="00084958">
        <w:rPr>
          <w:rFonts w:ascii="Times New Roman" w:hAnsi="Times New Roman" w:cs="Times New Roman"/>
          <w:sz w:val="24"/>
          <w:szCs w:val="24"/>
        </w:rPr>
        <w:t>Kolmogorov-Smirnov</w:t>
      </w:r>
      <w:proofErr w:type="spellEnd"/>
      <w:r w:rsidRPr="00084958">
        <w:rPr>
          <w:rFonts w:ascii="Times New Roman" w:hAnsi="Times New Roman" w:cs="Times New Roman"/>
          <w:sz w:val="24"/>
          <w:szCs w:val="24"/>
        </w:rPr>
        <w:t xml:space="preserve">, para contrastar la hipótesis nula de que la distribución teórica en la población es normal. </w:t>
      </w:r>
    </w:p>
    <w:p w:rsidR="008A1083" w:rsidRPr="00084958"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b. Rachas, para contrastar la hipótesis nula de que la distribución teórica en la población es aleatoria. </w:t>
      </w:r>
    </w:p>
    <w:p w:rsidR="008A1083" w:rsidRPr="00084958"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c. </w:t>
      </w:r>
      <w:proofErr w:type="spellStart"/>
      <w:r w:rsidRPr="00084958">
        <w:rPr>
          <w:rFonts w:ascii="Times New Roman" w:hAnsi="Times New Roman" w:cs="Times New Roman"/>
          <w:sz w:val="24"/>
          <w:szCs w:val="24"/>
        </w:rPr>
        <w:t>Levene</w:t>
      </w:r>
      <w:proofErr w:type="spellEnd"/>
      <w:r w:rsidRPr="00084958">
        <w:rPr>
          <w:rFonts w:ascii="Times New Roman" w:hAnsi="Times New Roman" w:cs="Times New Roman"/>
          <w:sz w:val="24"/>
          <w:szCs w:val="24"/>
        </w:rPr>
        <w:t xml:space="preserve">, no se realizará para contrastar la hipótesis nula relacionada con la igualdad de las varianzas entre las diferentes variables analizadas debido a que son muestras </w:t>
      </w:r>
      <w:r w:rsidR="00031D50" w:rsidRPr="00084958">
        <w:rPr>
          <w:rFonts w:ascii="Times New Roman" w:hAnsi="Times New Roman" w:cs="Times New Roman"/>
          <w:sz w:val="24"/>
          <w:szCs w:val="24"/>
        </w:rPr>
        <w:t>relacionadas</w:t>
      </w:r>
      <w:r w:rsidRPr="00084958">
        <w:rPr>
          <w:rFonts w:ascii="Times New Roman" w:hAnsi="Times New Roman" w:cs="Times New Roman"/>
          <w:sz w:val="24"/>
          <w:szCs w:val="24"/>
        </w:rPr>
        <w:t xml:space="preserve">. </w:t>
      </w:r>
    </w:p>
    <w:p w:rsidR="008A1083" w:rsidRPr="00084958"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3. Se aplica el modelo estadístico necesario para contrastar la hipótesis de trabajo. </w:t>
      </w:r>
    </w:p>
    <w:p w:rsidR="008A1083" w:rsidRPr="00084958" w:rsidRDefault="008A10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4. Se da respuesta al contraste realizado de la hipótesis nula y por tanto </w:t>
      </w:r>
      <w:r w:rsidR="000265B0">
        <w:rPr>
          <w:rFonts w:ascii="Times New Roman" w:hAnsi="Times New Roman" w:cs="Times New Roman"/>
          <w:sz w:val="24"/>
          <w:szCs w:val="24"/>
        </w:rPr>
        <w:t xml:space="preserve">también </w:t>
      </w:r>
      <w:r w:rsidRPr="00084958">
        <w:rPr>
          <w:rFonts w:ascii="Times New Roman" w:hAnsi="Times New Roman" w:cs="Times New Roman"/>
          <w:sz w:val="24"/>
          <w:szCs w:val="24"/>
        </w:rPr>
        <w:t xml:space="preserve">de la hipótesis de trabajo. </w:t>
      </w:r>
    </w:p>
    <w:p w:rsidR="00993B9F" w:rsidRPr="00084958" w:rsidRDefault="000265B0" w:rsidP="00507AA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w:t>
      </w:r>
      <w:r w:rsidR="00C17B59">
        <w:rPr>
          <w:rFonts w:ascii="Times New Roman" w:hAnsi="Times New Roman" w:cs="Times New Roman"/>
          <w:sz w:val="24"/>
          <w:szCs w:val="24"/>
        </w:rPr>
        <w:t xml:space="preserve">. </w:t>
      </w:r>
      <w:r w:rsidR="00C17B59" w:rsidRPr="00BB43ED">
        <w:rPr>
          <w:rFonts w:ascii="Times New Roman" w:hAnsi="Times New Roman" w:cs="Times New Roman"/>
          <w:sz w:val="24"/>
          <w:szCs w:val="24"/>
        </w:rPr>
        <w:t>Cuando se valora el impacto de una intervención, además de la significación estadística, se utiliza como criterio el análisis deltamaño del efecto, a tr</w:t>
      </w:r>
      <w:r w:rsidR="00993B9F">
        <w:rPr>
          <w:rFonts w:ascii="Times New Roman" w:hAnsi="Times New Roman" w:cs="Times New Roman"/>
          <w:sz w:val="24"/>
          <w:szCs w:val="24"/>
        </w:rPr>
        <w:t xml:space="preserve">avés del coeficiente d de Cohen, que aparece </w:t>
      </w:r>
      <w:r w:rsidR="00C437F2">
        <w:rPr>
          <w:rFonts w:ascii="Times New Roman" w:hAnsi="Times New Roman" w:cs="Times New Roman"/>
          <w:sz w:val="24"/>
          <w:szCs w:val="24"/>
        </w:rPr>
        <w:t xml:space="preserve">en la </w:t>
      </w:r>
      <w:r w:rsidR="00993B9F">
        <w:rPr>
          <w:rFonts w:ascii="Times New Roman" w:hAnsi="Times New Roman" w:cs="Times New Roman"/>
          <w:sz w:val="24"/>
          <w:szCs w:val="24"/>
        </w:rPr>
        <w:t xml:space="preserve">tabla </w:t>
      </w:r>
      <w:r w:rsidR="00C437F2">
        <w:rPr>
          <w:rFonts w:ascii="Times New Roman" w:hAnsi="Times New Roman" w:cs="Times New Roman"/>
          <w:sz w:val="24"/>
          <w:szCs w:val="24"/>
        </w:rPr>
        <w:t>2</w:t>
      </w:r>
      <w:r w:rsidR="00993B9F">
        <w:rPr>
          <w:rFonts w:ascii="Times New Roman" w:hAnsi="Times New Roman" w:cs="Times New Roman"/>
          <w:sz w:val="24"/>
          <w:szCs w:val="24"/>
        </w:rPr>
        <w:t>.</w:t>
      </w:r>
    </w:p>
    <w:p w:rsidR="00E74735" w:rsidRDefault="00E74735" w:rsidP="00507AAC">
      <w:pPr>
        <w:spacing w:line="240" w:lineRule="auto"/>
        <w:ind w:firstLine="709"/>
        <w:contextualSpacing/>
        <w:jc w:val="both"/>
        <w:rPr>
          <w:rFonts w:ascii="Times New Roman" w:hAnsi="Times New Roman" w:cs="Times New Roman"/>
          <w:sz w:val="24"/>
          <w:szCs w:val="24"/>
        </w:rPr>
      </w:pPr>
    </w:p>
    <w:p w:rsidR="00E74735" w:rsidRDefault="00E74735" w:rsidP="00507AAC">
      <w:pPr>
        <w:spacing w:line="240" w:lineRule="auto"/>
        <w:ind w:firstLine="709"/>
        <w:contextualSpacing/>
        <w:jc w:val="both"/>
        <w:rPr>
          <w:rFonts w:ascii="Times New Roman" w:hAnsi="Times New Roman" w:cs="Times New Roman"/>
          <w:b/>
          <w:sz w:val="24"/>
          <w:szCs w:val="24"/>
        </w:rPr>
      </w:pPr>
      <w:r w:rsidRPr="00E74735">
        <w:rPr>
          <w:rFonts w:ascii="Times New Roman" w:hAnsi="Times New Roman" w:cs="Times New Roman"/>
          <w:b/>
          <w:sz w:val="24"/>
          <w:szCs w:val="24"/>
        </w:rPr>
        <w:t>Resultados</w:t>
      </w:r>
    </w:p>
    <w:p w:rsidR="00507AAC" w:rsidRPr="00E74735" w:rsidRDefault="00507AAC" w:rsidP="00507AAC">
      <w:pPr>
        <w:spacing w:line="240" w:lineRule="auto"/>
        <w:ind w:firstLine="709"/>
        <w:contextualSpacing/>
        <w:jc w:val="both"/>
        <w:rPr>
          <w:rFonts w:ascii="Times New Roman" w:hAnsi="Times New Roman" w:cs="Times New Roman"/>
          <w:b/>
          <w:sz w:val="24"/>
          <w:szCs w:val="24"/>
        </w:rPr>
      </w:pPr>
    </w:p>
    <w:p w:rsidR="00DE4283" w:rsidRDefault="00DE4283"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A continuación se observan los resultados de las variables  psicológicas medidas.</w:t>
      </w:r>
    </w:p>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pPr>
    </w:p>
    <w:tbl>
      <w:tblPr>
        <w:tblStyle w:val="tablasAPA6ed"/>
        <w:tblW w:w="8755" w:type="dxa"/>
        <w:tblLayout w:type="fixed"/>
        <w:tblLook w:val="0000"/>
      </w:tblPr>
      <w:tblGrid>
        <w:gridCol w:w="1384"/>
        <w:gridCol w:w="1134"/>
        <w:gridCol w:w="1276"/>
        <w:gridCol w:w="1417"/>
        <w:gridCol w:w="1276"/>
        <w:gridCol w:w="1134"/>
        <w:gridCol w:w="1134"/>
      </w:tblGrid>
      <w:tr w:rsidR="00507AAC" w:rsidRPr="00084958" w:rsidTr="00E91DC2">
        <w:trPr>
          <w:trHeight w:val="267"/>
        </w:trPr>
        <w:tc>
          <w:tcPr>
            <w:tcW w:w="8755" w:type="dxa"/>
            <w:gridSpan w:val="7"/>
            <w:tcBorders>
              <w:top w:val="nil"/>
              <w:bottom w:val="single" w:sz="18" w:space="0" w:color="000000"/>
            </w:tcBorders>
          </w:tcPr>
          <w:p w:rsidR="00507AAC" w:rsidRDefault="00507AAC" w:rsidP="00E91DC2">
            <w:pPr>
              <w:rPr>
                <w:i/>
              </w:rPr>
            </w:pPr>
            <w:r>
              <w:rPr>
                <w:i/>
              </w:rPr>
              <w:t xml:space="preserve">Tabla 1: </w:t>
            </w:r>
            <w:r w:rsidRPr="00D07839">
              <w:rPr>
                <w:i/>
              </w:rPr>
              <w:t>Resultados de las variables psicológicas</w:t>
            </w:r>
          </w:p>
          <w:p w:rsidR="00507AAC" w:rsidRPr="00D07839" w:rsidRDefault="00507AAC" w:rsidP="00E91DC2">
            <w:pPr>
              <w:rPr>
                <w:i/>
              </w:rPr>
            </w:pPr>
          </w:p>
        </w:tc>
      </w:tr>
      <w:tr w:rsidR="00507AAC" w:rsidRPr="00E74735" w:rsidTr="00E91DC2">
        <w:trPr>
          <w:trHeight w:val="267"/>
        </w:trPr>
        <w:tc>
          <w:tcPr>
            <w:tcW w:w="1384" w:type="dxa"/>
            <w:tcBorders>
              <w:top w:val="nil"/>
              <w:bottom w:val="single" w:sz="18" w:space="0" w:color="000000"/>
            </w:tcBorders>
          </w:tcPr>
          <w:p w:rsidR="00507AAC" w:rsidRPr="00E74735" w:rsidRDefault="00507AAC" w:rsidP="00E91DC2">
            <w:pPr>
              <w:rPr>
                <w:b/>
              </w:rPr>
            </w:pPr>
            <w:r w:rsidRPr="00E74735">
              <w:rPr>
                <w:b/>
              </w:rPr>
              <w:t xml:space="preserve">Depresión </w:t>
            </w:r>
          </w:p>
        </w:tc>
        <w:tc>
          <w:tcPr>
            <w:tcW w:w="1134" w:type="dxa"/>
            <w:tcBorders>
              <w:top w:val="nil"/>
              <w:bottom w:val="single" w:sz="18" w:space="0" w:color="000000"/>
            </w:tcBorders>
          </w:tcPr>
          <w:p w:rsidR="00507AAC" w:rsidRPr="00E74735" w:rsidRDefault="00507AAC" w:rsidP="00E91DC2">
            <w:r w:rsidRPr="00E74735">
              <w:t xml:space="preserve">Ausente o mínima </w:t>
            </w:r>
          </w:p>
        </w:tc>
        <w:tc>
          <w:tcPr>
            <w:tcW w:w="1276" w:type="dxa"/>
            <w:tcBorders>
              <w:top w:val="nil"/>
              <w:bottom w:val="single" w:sz="18" w:space="0" w:color="000000"/>
            </w:tcBorders>
          </w:tcPr>
          <w:p w:rsidR="00507AAC" w:rsidRPr="00E74735" w:rsidRDefault="00507AAC" w:rsidP="00E91DC2">
            <w:r w:rsidRPr="00E74735">
              <w:t xml:space="preserve">Leve </w:t>
            </w:r>
          </w:p>
        </w:tc>
        <w:tc>
          <w:tcPr>
            <w:tcW w:w="1417" w:type="dxa"/>
            <w:tcBorders>
              <w:top w:val="nil"/>
              <w:bottom w:val="single" w:sz="18" w:space="0" w:color="000000"/>
            </w:tcBorders>
          </w:tcPr>
          <w:p w:rsidR="00507AAC" w:rsidRPr="00E74735" w:rsidRDefault="00507AAC" w:rsidP="00E91DC2">
            <w:r w:rsidRPr="00E74735">
              <w:t xml:space="preserve">Depresión intermitente </w:t>
            </w:r>
          </w:p>
        </w:tc>
        <w:tc>
          <w:tcPr>
            <w:tcW w:w="1276" w:type="dxa"/>
            <w:tcBorders>
              <w:top w:val="nil"/>
              <w:bottom w:val="single" w:sz="18" w:space="0" w:color="000000"/>
            </w:tcBorders>
          </w:tcPr>
          <w:p w:rsidR="00507AAC" w:rsidRPr="00E74735" w:rsidRDefault="00507AAC" w:rsidP="00E91DC2">
            <w:r w:rsidRPr="00E74735">
              <w:t xml:space="preserve">Moderada </w:t>
            </w:r>
          </w:p>
        </w:tc>
        <w:tc>
          <w:tcPr>
            <w:tcW w:w="1134" w:type="dxa"/>
            <w:tcBorders>
              <w:top w:val="nil"/>
              <w:bottom w:val="single" w:sz="18" w:space="0" w:color="000000"/>
            </w:tcBorders>
          </w:tcPr>
          <w:p w:rsidR="00507AAC" w:rsidRPr="00E74735" w:rsidRDefault="00507AAC" w:rsidP="00E91DC2">
            <w:r w:rsidRPr="00E74735">
              <w:t xml:space="preserve">Grave </w:t>
            </w:r>
          </w:p>
        </w:tc>
        <w:tc>
          <w:tcPr>
            <w:tcW w:w="1134" w:type="dxa"/>
            <w:tcBorders>
              <w:top w:val="nil"/>
              <w:bottom w:val="single" w:sz="18" w:space="0" w:color="000000"/>
            </w:tcBorders>
          </w:tcPr>
          <w:p w:rsidR="00507AAC" w:rsidRPr="00E74735" w:rsidRDefault="00507AAC" w:rsidP="00E91DC2">
            <w:r w:rsidRPr="00E74735">
              <w:t xml:space="preserve">Extrema </w:t>
            </w:r>
          </w:p>
        </w:tc>
      </w:tr>
      <w:tr w:rsidR="00507AAC" w:rsidRPr="00084958" w:rsidTr="00E91DC2">
        <w:trPr>
          <w:trHeight w:val="120"/>
        </w:trPr>
        <w:tc>
          <w:tcPr>
            <w:tcW w:w="1384" w:type="dxa"/>
            <w:tcBorders>
              <w:top w:val="single" w:sz="18" w:space="0" w:color="000000"/>
            </w:tcBorders>
          </w:tcPr>
          <w:p w:rsidR="00507AAC" w:rsidRPr="00084958" w:rsidRDefault="00507AAC" w:rsidP="00E91DC2">
            <w:r w:rsidRPr="00084958">
              <w:t xml:space="preserve">Pre </w:t>
            </w:r>
          </w:p>
        </w:tc>
        <w:tc>
          <w:tcPr>
            <w:tcW w:w="1134" w:type="dxa"/>
            <w:tcBorders>
              <w:top w:val="single" w:sz="18" w:space="0" w:color="000000"/>
            </w:tcBorders>
          </w:tcPr>
          <w:p w:rsidR="00507AAC" w:rsidRPr="00084958" w:rsidRDefault="00507AAC" w:rsidP="00E91DC2">
            <w:r w:rsidRPr="00084958">
              <w:t xml:space="preserve">2 (5%) </w:t>
            </w:r>
          </w:p>
        </w:tc>
        <w:tc>
          <w:tcPr>
            <w:tcW w:w="1276" w:type="dxa"/>
            <w:tcBorders>
              <w:top w:val="single" w:sz="18" w:space="0" w:color="000000"/>
            </w:tcBorders>
          </w:tcPr>
          <w:p w:rsidR="00507AAC" w:rsidRPr="00084958" w:rsidRDefault="00507AAC" w:rsidP="00E91DC2">
            <w:r w:rsidRPr="00084958">
              <w:t xml:space="preserve">7(17.5%) </w:t>
            </w:r>
          </w:p>
        </w:tc>
        <w:tc>
          <w:tcPr>
            <w:tcW w:w="1417" w:type="dxa"/>
            <w:tcBorders>
              <w:top w:val="single" w:sz="18" w:space="0" w:color="000000"/>
            </w:tcBorders>
          </w:tcPr>
          <w:p w:rsidR="00507AAC" w:rsidRPr="00084958" w:rsidRDefault="00507AAC" w:rsidP="00E91DC2">
            <w:r w:rsidRPr="00084958">
              <w:t xml:space="preserve">8(20%) </w:t>
            </w:r>
          </w:p>
        </w:tc>
        <w:tc>
          <w:tcPr>
            <w:tcW w:w="1276" w:type="dxa"/>
            <w:tcBorders>
              <w:top w:val="single" w:sz="18" w:space="0" w:color="000000"/>
            </w:tcBorders>
          </w:tcPr>
          <w:p w:rsidR="00507AAC" w:rsidRPr="00084958" w:rsidRDefault="00507AAC" w:rsidP="00E91DC2">
            <w:r w:rsidRPr="00084958">
              <w:t xml:space="preserve">15(37.5%) </w:t>
            </w:r>
          </w:p>
        </w:tc>
        <w:tc>
          <w:tcPr>
            <w:tcW w:w="1134" w:type="dxa"/>
            <w:tcBorders>
              <w:top w:val="single" w:sz="18" w:space="0" w:color="000000"/>
            </w:tcBorders>
          </w:tcPr>
          <w:p w:rsidR="00507AAC" w:rsidRPr="00084958" w:rsidRDefault="00507AAC" w:rsidP="00E91DC2">
            <w:r w:rsidRPr="00084958">
              <w:t xml:space="preserve">5(12.5%) </w:t>
            </w:r>
          </w:p>
        </w:tc>
        <w:tc>
          <w:tcPr>
            <w:tcW w:w="1134" w:type="dxa"/>
            <w:tcBorders>
              <w:top w:val="single" w:sz="18" w:space="0" w:color="000000"/>
            </w:tcBorders>
          </w:tcPr>
          <w:p w:rsidR="00507AAC" w:rsidRPr="00084958" w:rsidRDefault="00507AAC" w:rsidP="00E91DC2">
            <w:r w:rsidRPr="00084958">
              <w:t xml:space="preserve">3(7.5%) </w:t>
            </w:r>
          </w:p>
        </w:tc>
      </w:tr>
      <w:tr w:rsidR="00507AAC" w:rsidRPr="00084958" w:rsidTr="00E91DC2">
        <w:trPr>
          <w:trHeight w:val="120"/>
        </w:trPr>
        <w:tc>
          <w:tcPr>
            <w:tcW w:w="1384" w:type="dxa"/>
          </w:tcPr>
          <w:p w:rsidR="00507AAC" w:rsidRPr="00084958" w:rsidRDefault="00507AAC" w:rsidP="00E91DC2">
            <w:r w:rsidRPr="00084958">
              <w:t xml:space="preserve">Post </w:t>
            </w:r>
          </w:p>
        </w:tc>
        <w:tc>
          <w:tcPr>
            <w:tcW w:w="1134" w:type="dxa"/>
          </w:tcPr>
          <w:p w:rsidR="00507AAC" w:rsidRPr="00084958" w:rsidRDefault="00507AAC" w:rsidP="00E91DC2">
            <w:r w:rsidRPr="00084958">
              <w:t xml:space="preserve">7(17.5%) </w:t>
            </w:r>
          </w:p>
        </w:tc>
        <w:tc>
          <w:tcPr>
            <w:tcW w:w="1276" w:type="dxa"/>
          </w:tcPr>
          <w:p w:rsidR="00507AAC" w:rsidRPr="00084958" w:rsidRDefault="00507AAC" w:rsidP="00E91DC2">
            <w:r w:rsidRPr="00084958">
              <w:t xml:space="preserve">15(37.5%) </w:t>
            </w:r>
          </w:p>
        </w:tc>
        <w:tc>
          <w:tcPr>
            <w:tcW w:w="1417" w:type="dxa"/>
          </w:tcPr>
          <w:p w:rsidR="00507AAC" w:rsidRPr="00084958" w:rsidRDefault="00507AAC" w:rsidP="00E91DC2">
            <w:r w:rsidRPr="00084958">
              <w:t xml:space="preserve">5(15.5%) </w:t>
            </w:r>
          </w:p>
        </w:tc>
        <w:tc>
          <w:tcPr>
            <w:tcW w:w="1276" w:type="dxa"/>
          </w:tcPr>
          <w:p w:rsidR="00507AAC" w:rsidRPr="00084958" w:rsidRDefault="00507AAC" w:rsidP="00E91DC2">
            <w:r w:rsidRPr="00084958">
              <w:t xml:space="preserve">9(22.5%) </w:t>
            </w:r>
          </w:p>
        </w:tc>
        <w:tc>
          <w:tcPr>
            <w:tcW w:w="1134" w:type="dxa"/>
          </w:tcPr>
          <w:p w:rsidR="00507AAC" w:rsidRPr="00084958" w:rsidRDefault="00507AAC" w:rsidP="00E91DC2">
            <w:r w:rsidRPr="00084958">
              <w:t xml:space="preserve">3(7.5%) </w:t>
            </w:r>
          </w:p>
        </w:tc>
        <w:tc>
          <w:tcPr>
            <w:tcW w:w="1134" w:type="dxa"/>
          </w:tcPr>
          <w:p w:rsidR="00507AAC" w:rsidRPr="00084958" w:rsidRDefault="00507AAC" w:rsidP="00E91DC2">
            <w:r w:rsidRPr="00084958">
              <w:t xml:space="preserve">1(2.5%) </w:t>
            </w:r>
          </w:p>
        </w:tc>
      </w:tr>
    </w:tbl>
    <w:tbl>
      <w:tblPr>
        <w:tblStyle w:val="tablasAPA6ed1"/>
        <w:tblW w:w="8795" w:type="dxa"/>
        <w:tblLayout w:type="fixed"/>
        <w:tblLook w:val="0000"/>
      </w:tblPr>
      <w:tblGrid>
        <w:gridCol w:w="1759"/>
        <w:gridCol w:w="1172"/>
        <w:gridCol w:w="587"/>
        <w:gridCol w:w="50"/>
        <w:gridCol w:w="1709"/>
        <w:gridCol w:w="92"/>
        <w:gridCol w:w="493"/>
        <w:gridCol w:w="1174"/>
        <w:gridCol w:w="284"/>
        <w:gridCol w:w="1475"/>
      </w:tblGrid>
      <w:tr w:rsidR="00507AAC" w:rsidRPr="00084958" w:rsidTr="00E91DC2">
        <w:trPr>
          <w:trHeight w:val="212"/>
        </w:trPr>
        <w:tc>
          <w:tcPr>
            <w:tcW w:w="2931" w:type="dxa"/>
            <w:gridSpan w:val="2"/>
            <w:tcBorders>
              <w:top w:val="nil"/>
              <w:bottom w:val="single" w:sz="18" w:space="0" w:color="000000"/>
            </w:tcBorders>
          </w:tcPr>
          <w:p w:rsidR="00507AAC" w:rsidRPr="00D72926" w:rsidRDefault="00507AAC" w:rsidP="00E91DC2">
            <w:pPr>
              <w:jc w:val="left"/>
              <w:rPr>
                <w:b/>
              </w:rPr>
            </w:pPr>
            <w:r w:rsidRPr="00D72926">
              <w:rPr>
                <w:b/>
              </w:rPr>
              <w:t xml:space="preserve">Ansiedad </w:t>
            </w:r>
          </w:p>
        </w:tc>
        <w:tc>
          <w:tcPr>
            <w:tcW w:w="2931" w:type="dxa"/>
            <w:gridSpan w:val="5"/>
            <w:tcBorders>
              <w:top w:val="nil"/>
              <w:bottom w:val="single" w:sz="18" w:space="0" w:color="000000"/>
            </w:tcBorders>
          </w:tcPr>
          <w:p w:rsidR="00507AAC" w:rsidRPr="00084958" w:rsidRDefault="00507AAC" w:rsidP="00E91DC2">
            <w:pPr>
              <w:jc w:val="left"/>
            </w:pPr>
            <w:r w:rsidRPr="00084958">
              <w:t xml:space="preserve"> Estado </w:t>
            </w:r>
          </w:p>
        </w:tc>
        <w:tc>
          <w:tcPr>
            <w:tcW w:w="2932" w:type="dxa"/>
            <w:gridSpan w:val="3"/>
            <w:tcBorders>
              <w:top w:val="nil"/>
              <w:bottom w:val="single" w:sz="18" w:space="0" w:color="000000"/>
            </w:tcBorders>
          </w:tcPr>
          <w:p w:rsidR="00507AAC" w:rsidRPr="00084958" w:rsidRDefault="00507AAC" w:rsidP="00E91DC2">
            <w:pPr>
              <w:jc w:val="left"/>
            </w:pPr>
            <w:r w:rsidRPr="00084958">
              <w:t xml:space="preserve">Rasgo </w:t>
            </w:r>
          </w:p>
        </w:tc>
      </w:tr>
      <w:tr w:rsidR="00507AAC" w:rsidRPr="00084958" w:rsidTr="00E91DC2">
        <w:trPr>
          <w:trHeight w:val="126"/>
        </w:trPr>
        <w:tc>
          <w:tcPr>
            <w:tcW w:w="3568" w:type="dxa"/>
            <w:gridSpan w:val="4"/>
            <w:tcBorders>
              <w:top w:val="single" w:sz="18" w:space="0" w:color="000000"/>
            </w:tcBorders>
          </w:tcPr>
          <w:p w:rsidR="00507AAC" w:rsidRPr="00084958" w:rsidRDefault="00507AAC" w:rsidP="00E91DC2">
            <w:r w:rsidRPr="00084958">
              <w:t xml:space="preserve"> ≤5 </w:t>
            </w:r>
          </w:p>
        </w:tc>
        <w:tc>
          <w:tcPr>
            <w:tcW w:w="1801" w:type="dxa"/>
            <w:gridSpan w:val="2"/>
            <w:tcBorders>
              <w:top w:val="single" w:sz="18" w:space="0" w:color="000000"/>
            </w:tcBorders>
          </w:tcPr>
          <w:p w:rsidR="00507AAC" w:rsidRPr="00084958" w:rsidRDefault="00507AAC" w:rsidP="00E91DC2">
            <w:pPr>
              <w:jc w:val="left"/>
            </w:pPr>
            <w:r w:rsidRPr="00084958">
              <w:t xml:space="preserve">&gt;5 </w:t>
            </w:r>
          </w:p>
        </w:tc>
        <w:tc>
          <w:tcPr>
            <w:tcW w:w="1951" w:type="dxa"/>
            <w:gridSpan w:val="3"/>
            <w:tcBorders>
              <w:top w:val="single" w:sz="18" w:space="0" w:color="000000"/>
            </w:tcBorders>
          </w:tcPr>
          <w:p w:rsidR="00507AAC" w:rsidRPr="00084958" w:rsidRDefault="00507AAC" w:rsidP="00E91DC2">
            <w:pPr>
              <w:jc w:val="left"/>
            </w:pPr>
            <w:r w:rsidRPr="00084958">
              <w:t xml:space="preserve">≤5 </w:t>
            </w:r>
          </w:p>
        </w:tc>
        <w:tc>
          <w:tcPr>
            <w:tcW w:w="1475" w:type="dxa"/>
            <w:tcBorders>
              <w:top w:val="single" w:sz="18" w:space="0" w:color="000000"/>
            </w:tcBorders>
          </w:tcPr>
          <w:p w:rsidR="00507AAC" w:rsidRPr="00084958" w:rsidRDefault="00507AAC" w:rsidP="00E91DC2">
            <w:pPr>
              <w:jc w:val="left"/>
            </w:pPr>
            <w:r w:rsidRPr="00084958">
              <w:t xml:space="preserve">&gt;5 </w:t>
            </w:r>
          </w:p>
        </w:tc>
      </w:tr>
      <w:tr w:rsidR="00507AAC" w:rsidRPr="00084958" w:rsidTr="00E91DC2">
        <w:trPr>
          <w:trHeight w:val="126"/>
        </w:trPr>
        <w:tc>
          <w:tcPr>
            <w:tcW w:w="1759" w:type="dxa"/>
          </w:tcPr>
          <w:p w:rsidR="00507AAC" w:rsidRPr="00084958" w:rsidRDefault="00507AAC" w:rsidP="00E91DC2">
            <w:r w:rsidRPr="00084958">
              <w:t xml:space="preserve">Pre </w:t>
            </w:r>
          </w:p>
        </w:tc>
        <w:tc>
          <w:tcPr>
            <w:tcW w:w="1759" w:type="dxa"/>
            <w:gridSpan w:val="2"/>
          </w:tcPr>
          <w:p w:rsidR="00507AAC" w:rsidRPr="00084958" w:rsidRDefault="00507AAC" w:rsidP="00E91DC2">
            <w:r w:rsidRPr="00084958">
              <w:t xml:space="preserve">4(10%) </w:t>
            </w:r>
          </w:p>
        </w:tc>
        <w:tc>
          <w:tcPr>
            <w:tcW w:w="1759" w:type="dxa"/>
            <w:gridSpan w:val="2"/>
          </w:tcPr>
          <w:p w:rsidR="00507AAC" w:rsidRPr="00084958" w:rsidRDefault="00507AAC" w:rsidP="00E91DC2">
            <w:r w:rsidRPr="00084958">
              <w:t xml:space="preserve">36(90%) </w:t>
            </w:r>
          </w:p>
        </w:tc>
        <w:tc>
          <w:tcPr>
            <w:tcW w:w="1759" w:type="dxa"/>
            <w:gridSpan w:val="3"/>
          </w:tcPr>
          <w:p w:rsidR="00507AAC" w:rsidRPr="00084958" w:rsidRDefault="00507AAC" w:rsidP="00E91DC2">
            <w:r w:rsidRPr="00084958">
              <w:t xml:space="preserve">7(17.5%) </w:t>
            </w:r>
          </w:p>
        </w:tc>
        <w:tc>
          <w:tcPr>
            <w:tcW w:w="1759" w:type="dxa"/>
            <w:gridSpan w:val="2"/>
          </w:tcPr>
          <w:p w:rsidR="00507AAC" w:rsidRPr="00084958" w:rsidRDefault="00507AAC" w:rsidP="00E91DC2">
            <w:r w:rsidRPr="00084958">
              <w:t xml:space="preserve">33(82.5%) </w:t>
            </w:r>
          </w:p>
        </w:tc>
      </w:tr>
      <w:tr w:rsidR="00507AAC" w:rsidRPr="00084958" w:rsidTr="00E91DC2">
        <w:trPr>
          <w:trHeight w:val="126"/>
        </w:trPr>
        <w:tc>
          <w:tcPr>
            <w:tcW w:w="1759" w:type="dxa"/>
          </w:tcPr>
          <w:p w:rsidR="00507AAC" w:rsidRPr="00084958" w:rsidRDefault="00507AAC" w:rsidP="00E91DC2">
            <w:r w:rsidRPr="00084958">
              <w:t xml:space="preserve">Post </w:t>
            </w:r>
          </w:p>
        </w:tc>
        <w:tc>
          <w:tcPr>
            <w:tcW w:w="1759" w:type="dxa"/>
            <w:gridSpan w:val="2"/>
          </w:tcPr>
          <w:p w:rsidR="00507AAC" w:rsidRPr="00084958" w:rsidRDefault="00507AAC" w:rsidP="00E91DC2">
            <w:r w:rsidRPr="00084958">
              <w:t xml:space="preserve">7(17.5%) </w:t>
            </w:r>
          </w:p>
        </w:tc>
        <w:tc>
          <w:tcPr>
            <w:tcW w:w="1759" w:type="dxa"/>
            <w:gridSpan w:val="2"/>
          </w:tcPr>
          <w:p w:rsidR="00507AAC" w:rsidRPr="00084958" w:rsidRDefault="00507AAC" w:rsidP="00E91DC2">
            <w:r w:rsidRPr="00084958">
              <w:t xml:space="preserve">33(82.5%) </w:t>
            </w:r>
          </w:p>
        </w:tc>
        <w:tc>
          <w:tcPr>
            <w:tcW w:w="1759" w:type="dxa"/>
            <w:gridSpan w:val="3"/>
          </w:tcPr>
          <w:p w:rsidR="00507AAC" w:rsidRPr="00084958" w:rsidRDefault="00507AAC" w:rsidP="00E91DC2">
            <w:r w:rsidRPr="00084958">
              <w:t xml:space="preserve">11(27.5%) </w:t>
            </w:r>
          </w:p>
        </w:tc>
        <w:tc>
          <w:tcPr>
            <w:tcW w:w="1759" w:type="dxa"/>
            <w:gridSpan w:val="2"/>
          </w:tcPr>
          <w:p w:rsidR="00507AAC" w:rsidRPr="00084958" w:rsidRDefault="00507AAC" w:rsidP="00E91DC2">
            <w:r w:rsidRPr="00084958">
              <w:t xml:space="preserve">29(72.5%) </w:t>
            </w:r>
          </w:p>
        </w:tc>
      </w:tr>
    </w:tbl>
    <w:p w:rsidR="00507AAC" w:rsidRDefault="00507AAC" w:rsidP="00507AAC">
      <w:pPr>
        <w:spacing w:line="240" w:lineRule="auto"/>
      </w:pPr>
    </w:p>
    <w:p w:rsidR="00CA6FE9" w:rsidRDefault="00CA6FE9"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DE4283" w:rsidRDefault="00E74735" w:rsidP="00507AA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continuación se observa</w:t>
      </w:r>
      <w:r w:rsidR="00C437F2">
        <w:rPr>
          <w:rFonts w:ascii="Times New Roman" w:hAnsi="Times New Roman" w:cs="Times New Roman"/>
          <w:sz w:val="24"/>
          <w:szCs w:val="24"/>
        </w:rPr>
        <w:t xml:space="preserve"> una tabla con las hipótesis  analizadas, donde se puede observar el grado de significación y la d de cohen.</w:t>
      </w:r>
      <w:r>
        <w:rPr>
          <w:rFonts w:ascii="Times New Roman" w:hAnsi="Times New Roman" w:cs="Times New Roman"/>
          <w:sz w:val="24"/>
          <w:szCs w:val="24"/>
        </w:rPr>
        <w:t xml:space="preserve"> Así como una figura</w:t>
      </w:r>
      <w:r w:rsidR="009F262A">
        <w:rPr>
          <w:rFonts w:ascii="Times New Roman" w:hAnsi="Times New Roman" w:cs="Times New Roman"/>
          <w:sz w:val="24"/>
          <w:szCs w:val="24"/>
        </w:rPr>
        <w:t xml:space="preserve"> (figura 1)</w:t>
      </w:r>
      <w:r>
        <w:rPr>
          <w:rFonts w:ascii="Times New Roman" w:hAnsi="Times New Roman" w:cs="Times New Roman"/>
          <w:sz w:val="24"/>
          <w:szCs w:val="24"/>
        </w:rPr>
        <w:t xml:space="preserve"> que marca la tendencia de las medidas de los cuestionarios de depresión y ansiedad. </w:t>
      </w:r>
    </w:p>
    <w:p w:rsidR="00507AAC" w:rsidRDefault="00507AAC" w:rsidP="00507AAC">
      <w:pPr>
        <w:spacing w:line="240" w:lineRule="auto"/>
        <w:ind w:firstLine="709"/>
        <w:contextualSpacing/>
        <w:jc w:val="both"/>
        <w:rPr>
          <w:rFonts w:ascii="Times New Roman" w:hAnsi="Times New Roman" w:cs="Times New Roman"/>
          <w:sz w:val="24"/>
          <w:szCs w:val="24"/>
        </w:rPr>
      </w:pPr>
    </w:p>
    <w:tbl>
      <w:tblPr>
        <w:tblStyle w:val="tablasAPA6ed"/>
        <w:tblW w:w="4614" w:type="pct"/>
        <w:tblLayout w:type="fixed"/>
        <w:tblLook w:val="04A0"/>
      </w:tblPr>
      <w:tblGrid>
        <w:gridCol w:w="1386"/>
        <w:gridCol w:w="853"/>
        <w:gridCol w:w="1273"/>
        <w:gridCol w:w="4535"/>
      </w:tblGrid>
      <w:tr w:rsidR="00507AAC" w:rsidRPr="00600226" w:rsidTr="00E91DC2">
        <w:trPr>
          <w:cnfStyle w:val="100000000000"/>
          <w:trHeight w:val="324"/>
        </w:trPr>
        <w:tc>
          <w:tcPr>
            <w:cnfStyle w:val="001000000000"/>
            <w:tcW w:w="5000" w:type="pct"/>
            <w:gridSpan w:val="4"/>
            <w:tcBorders>
              <w:top w:val="nil"/>
            </w:tcBorders>
          </w:tcPr>
          <w:p w:rsidR="00507AAC" w:rsidRDefault="00507AAC" w:rsidP="00E91DC2">
            <w:pPr>
              <w:jc w:val="center"/>
              <w:rPr>
                <w:b w:val="0"/>
                <w:bCs/>
                <w:i/>
              </w:rPr>
            </w:pPr>
            <w:r w:rsidRPr="00D07839">
              <w:rPr>
                <w:b w:val="0"/>
                <w:bCs/>
                <w:i/>
              </w:rPr>
              <w:t>Tabla 2: Hipótesis</w:t>
            </w:r>
            <w:r>
              <w:rPr>
                <w:b w:val="0"/>
                <w:bCs/>
                <w:i/>
              </w:rPr>
              <w:t xml:space="preserve"> contrastadas</w:t>
            </w:r>
          </w:p>
          <w:p w:rsidR="00507AAC" w:rsidRPr="00D07839" w:rsidRDefault="00507AAC" w:rsidP="00E91DC2">
            <w:pPr>
              <w:jc w:val="center"/>
              <w:rPr>
                <w:b w:val="0"/>
                <w:bCs/>
                <w:i/>
              </w:rPr>
            </w:pPr>
          </w:p>
        </w:tc>
      </w:tr>
      <w:tr w:rsidR="00507AAC" w:rsidRPr="00600226" w:rsidTr="00E91DC2">
        <w:trPr>
          <w:trHeight w:val="324"/>
        </w:trPr>
        <w:tc>
          <w:tcPr>
            <w:cnfStyle w:val="001000000000"/>
            <w:tcW w:w="5000" w:type="pct"/>
            <w:gridSpan w:val="4"/>
            <w:tcBorders>
              <w:top w:val="nil"/>
            </w:tcBorders>
          </w:tcPr>
          <w:p w:rsidR="00507AAC" w:rsidRPr="00D07839" w:rsidRDefault="00507AAC" w:rsidP="00E91DC2">
            <w:pPr>
              <w:jc w:val="both"/>
              <w:rPr>
                <w:b w:val="0"/>
              </w:rPr>
            </w:pPr>
            <w:r w:rsidRPr="00D07839">
              <w:rPr>
                <w:b w:val="0"/>
                <w:bCs/>
              </w:rPr>
              <w:t xml:space="preserve">Hipótesis 1: </w:t>
            </w:r>
            <w:r w:rsidRPr="00D07839">
              <w:rPr>
                <w:b w:val="0"/>
              </w:rPr>
              <w:t>El neurofeedback (Protocolo SMR)  mejora la depresión de los pacientes con fibromialgia.</w:t>
            </w:r>
          </w:p>
        </w:tc>
      </w:tr>
      <w:tr w:rsidR="00507AAC" w:rsidTr="00E91DC2">
        <w:trPr>
          <w:trHeight w:val="324"/>
        </w:trPr>
        <w:tc>
          <w:tcPr>
            <w:cnfStyle w:val="001000000000"/>
            <w:tcW w:w="861" w:type="pct"/>
            <w:tcBorders>
              <w:top w:val="nil"/>
              <w:bottom w:val="single" w:sz="18" w:space="0" w:color="000000"/>
            </w:tcBorders>
          </w:tcPr>
          <w:p w:rsidR="00507AAC" w:rsidRPr="00CE6A54" w:rsidRDefault="00507AAC" w:rsidP="00E91DC2">
            <w:pPr>
              <w:rPr>
                <w:b w:val="0"/>
              </w:rPr>
            </w:pPr>
            <w:r w:rsidRPr="00CE6A54">
              <w:rPr>
                <w:b w:val="0"/>
              </w:rPr>
              <w:t>Estadístico</w:t>
            </w:r>
          </w:p>
        </w:tc>
        <w:tc>
          <w:tcPr>
            <w:tcW w:w="530" w:type="pct"/>
            <w:tcBorders>
              <w:top w:val="nil"/>
              <w:bottom w:val="single" w:sz="18" w:space="0" w:color="000000"/>
            </w:tcBorders>
          </w:tcPr>
          <w:p w:rsidR="00507AAC" w:rsidRDefault="00507AAC" w:rsidP="00E91DC2">
            <w:pPr>
              <w:cnfStyle w:val="000000000000"/>
            </w:pPr>
            <w:r>
              <w:t>Valor (</w:t>
            </w:r>
            <w:r w:rsidRPr="003F1F7B">
              <w:rPr>
                <w:i/>
              </w:rPr>
              <w:t>p</w:t>
            </w:r>
            <w:r>
              <w:t>)</w:t>
            </w:r>
          </w:p>
        </w:tc>
        <w:tc>
          <w:tcPr>
            <w:tcW w:w="791" w:type="pct"/>
            <w:tcBorders>
              <w:top w:val="nil"/>
              <w:bottom w:val="single" w:sz="18" w:space="0" w:color="000000"/>
            </w:tcBorders>
          </w:tcPr>
          <w:p w:rsidR="00507AAC" w:rsidRDefault="00507AAC" w:rsidP="00E91DC2">
            <w:pPr>
              <w:cnfStyle w:val="000000000000"/>
            </w:pPr>
            <w:r>
              <w:t xml:space="preserve">Valor ( </w:t>
            </w:r>
            <w:r w:rsidRPr="003F1F7B">
              <w:rPr>
                <w:i/>
              </w:rPr>
              <w:t>d</w:t>
            </w:r>
            <w:r>
              <w:t xml:space="preserve"> de Cohen)</w:t>
            </w:r>
          </w:p>
        </w:tc>
        <w:tc>
          <w:tcPr>
            <w:tcW w:w="2818" w:type="pct"/>
            <w:tcBorders>
              <w:top w:val="nil"/>
              <w:bottom w:val="single" w:sz="18" w:space="0" w:color="000000"/>
            </w:tcBorders>
          </w:tcPr>
          <w:p w:rsidR="00507AAC" w:rsidRDefault="00507AAC" w:rsidP="00E91DC2">
            <w:pPr>
              <w:cnfStyle w:val="000000000000"/>
            </w:pPr>
            <w:r>
              <w:t xml:space="preserve">Resultado </w:t>
            </w:r>
          </w:p>
        </w:tc>
      </w:tr>
      <w:tr w:rsidR="00507AAC" w:rsidRPr="00241221" w:rsidTr="00E91DC2">
        <w:trPr>
          <w:trHeight w:val="324"/>
        </w:trPr>
        <w:tc>
          <w:tcPr>
            <w:cnfStyle w:val="001000000000"/>
            <w:tcW w:w="861" w:type="pct"/>
            <w:tcBorders>
              <w:top w:val="nil"/>
              <w:bottom w:val="single" w:sz="18" w:space="0" w:color="auto"/>
            </w:tcBorders>
          </w:tcPr>
          <w:p w:rsidR="00507AAC" w:rsidRPr="0012593E" w:rsidRDefault="00507AAC" w:rsidP="00E91DC2">
            <w:pPr>
              <w:rPr>
                <w:b w:val="0"/>
              </w:rPr>
            </w:pPr>
            <w:r w:rsidRPr="0012593E">
              <w:rPr>
                <w:b w:val="0"/>
              </w:rPr>
              <w:t xml:space="preserve">T de </w:t>
            </w:r>
            <w:r>
              <w:rPr>
                <w:b w:val="0"/>
              </w:rPr>
              <w:t>Wilcoxon</w:t>
            </w:r>
          </w:p>
        </w:tc>
        <w:tc>
          <w:tcPr>
            <w:tcW w:w="530" w:type="pct"/>
            <w:tcBorders>
              <w:top w:val="nil"/>
              <w:bottom w:val="single" w:sz="18" w:space="0" w:color="auto"/>
            </w:tcBorders>
          </w:tcPr>
          <w:p w:rsidR="00507AAC" w:rsidRPr="00B630AC" w:rsidRDefault="00507AAC" w:rsidP="00E91DC2">
            <w:pPr>
              <w:jc w:val="both"/>
              <w:cnfStyle w:val="000000000000"/>
              <w:rPr>
                <w:rFonts w:cstheme="minorHAnsi"/>
                <w:color w:val="000000"/>
              </w:rPr>
            </w:pPr>
            <w:r w:rsidRPr="00463A4C">
              <w:rPr>
                <w:rFonts w:cstheme="minorHAnsi"/>
                <w:color w:val="000000"/>
              </w:rPr>
              <w:t>,0</w:t>
            </w:r>
            <w:r>
              <w:rPr>
                <w:rFonts w:cstheme="minorHAnsi"/>
                <w:color w:val="000000"/>
              </w:rPr>
              <w:t>00</w:t>
            </w:r>
          </w:p>
        </w:tc>
        <w:tc>
          <w:tcPr>
            <w:tcW w:w="791" w:type="pct"/>
            <w:tcBorders>
              <w:top w:val="nil"/>
              <w:bottom w:val="single" w:sz="18" w:space="0" w:color="auto"/>
            </w:tcBorders>
          </w:tcPr>
          <w:p w:rsidR="00507AAC" w:rsidRPr="00095BD5" w:rsidRDefault="00507AAC" w:rsidP="00E91DC2">
            <w:pPr>
              <w:jc w:val="both"/>
              <w:cnfStyle w:val="000000000000"/>
            </w:pPr>
            <w:r w:rsidRPr="00A877C0">
              <w:t>,</w:t>
            </w:r>
            <w:r>
              <w:t>584</w:t>
            </w:r>
          </w:p>
        </w:tc>
        <w:tc>
          <w:tcPr>
            <w:tcW w:w="2818" w:type="pct"/>
            <w:tcBorders>
              <w:top w:val="nil"/>
              <w:bottom w:val="single" w:sz="18" w:space="0" w:color="auto"/>
            </w:tcBorders>
          </w:tcPr>
          <w:p w:rsidR="00507AAC" w:rsidRPr="00241221" w:rsidRDefault="00507AAC" w:rsidP="00E91DC2">
            <w:pPr>
              <w:jc w:val="both"/>
              <w:cnfStyle w:val="000000000000"/>
            </w:pPr>
            <w:r w:rsidRPr="00951A6A">
              <w:t>Rechazamos la hipótesis nula (</w:t>
            </w:r>
            <w:r>
              <w:t>,</w:t>
            </w:r>
            <w:r>
              <w:rPr>
                <w:i/>
              </w:rPr>
              <w:t>000</w:t>
            </w:r>
            <w:r w:rsidRPr="00951A6A">
              <w:t>&lt;0.05). Aceptamos la hipótesis de trabajo.</w:t>
            </w:r>
          </w:p>
        </w:tc>
      </w:tr>
      <w:tr w:rsidR="00507AAC" w:rsidRPr="00600226" w:rsidTr="00E91DC2">
        <w:trPr>
          <w:trHeight w:val="324"/>
        </w:trPr>
        <w:tc>
          <w:tcPr>
            <w:cnfStyle w:val="001000000000"/>
            <w:tcW w:w="5000" w:type="pct"/>
            <w:gridSpan w:val="4"/>
            <w:tcBorders>
              <w:top w:val="single" w:sz="18" w:space="0" w:color="auto"/>
              <w:bottom w:val="nil"/>
            </w:tcBorders>
          </w:tcPr>
          <w:p w:rsidR="00507AAC" w:rsidRPr="00D07839" w:rsidRDefault="00507AAC" w:rsidP="00E91DC2">
            <w:pPr>
              <w:jc w:val="both"/>
              <w:rPr>
                <w:b w:val="0"/>
              </w:rPr>
            </w:pPr>
            <w:r w:rsidRPr="00D07839">
              <w:rPr>
                <w:b w:val="0"/>
                <w:bCs/>
              </w:rPr>
              <w:t xml:space="preserve">Hipótesis 2: </w:t>
            </w:r>
            <w:r w:rsidRPr="00D07839">
              <w:rPr>
                <w:b w:val="0"/>
              </w:rPr>
              <w:t>Estudiar la ansiedad en relación a la aplicación del neurofeedback (Protocolo SMR) en pacientes con fibromialgia.</w:t>
            </w:r>
          </w:p>
        </w:tc>
      </w:tr>
      <w:tr w:rsidR="00507AAC" w:rsidTr="00E91DC2">
        <w:trPr>
          <w:trHeight w:val="324"/>
        </w:trPr>
        <w:tc>
          <w:tcPr>
            <w:cnfStyle w:val="001000000000"/>
            <w:tcW w:w="861" w:type="pct"/>
            <w:tcBorders>
              <w:top w:val="nil"/>
              <w:bottom w:val="single" w:sz="18" w:space="0" w:color="000000"/>
            </w:tcBorders>
          </w:tcPr>
          <w:p w:rsidR="00507AAC" w:rsidRPr="00CE6A54" w:rsidRDefault="00507AAC" w:rsidP="00E91DC2">
            <w:pPr>
              <w:rPr>
                <w:b w:val="0"/>
              </w:rPr>
            </w:pPr>
            <w:r w:rsidRPr="00CE6A54">
              <w:rPr>
                <w:b w:val="0"/>
              </w:rPr>
              <w:t>Estadístico</w:t>
            </w:r>
          </w:p>
        </w:tc>
        <w:tc>
          <w:tcPr>
            <w:tcW w:w="530" w:type="pct"/>
            <w:tcBorders>
              <w:top w:val="nil"/>
              <w:bottom w:val="single" w:sz="18" w:space="0" w:color="000000"/>
            </w:tcBorders>
          </w:tcPr>
          <w:p w:rsidR="00507AAC" w:rsidRDefault="00507AAC" w:rsidP="00E91DC2">
            <w:pPr>
              <w:cnfStyle w:val="000000000000"/>
            </w:pPr>
            <w:r>
              <w:t>Valor (</w:t>
            </w:r>
            <w:r w:rsidRPr="003F1F7B">
              <w:rPr>
                <w:i/>
              </w:rPr>
              <w:t>p</w:t>
            </w:r>
            <w:r>
              <w:t>)</w:t>
            </w:r>
          </w:p>
        </w:tc>
        <w:tc>
          <w:tcPr>
            <w:tcW w:w="791" w:type="pct"/>
            <w:tcBorders>
              <w:top w:val="nil"/>
              <w:bottom w:val="single" w:sz="18" w:space="0" w:color="000000"/>
            </w:tcBorders>
          </w:tcPr>
          <w:p w:rsidR="00507AAC" w:rsidRDefault="00507AAC" w:rsidP="00E91DC2">
            <w:pPr>
              <w:cnfStyle w:val="000000000000"/>
            </w:pPr>
            <w:r>
              <w:t xml:space="preserve">Valor ( </w:t>
            </w:r>
            <w:r w:rsidRPr="003F1F7B">
              <w:rPr>
                <w:i/>
              </w:rPr>
              <w:t>d</w:t>
            </w:r>
            <w:r>
              <w:t xml:space="preserve"> de Cohen)</w:t>
            </w:r>
          </w:p>
        </w:tc>
        <w:tc>
          <w:tcPr>
            <w:tcW w:w="2818" w:type="pct"/>
            <w:tcBorders>
              <w:top w:val="nil"/>
              <w:bottom w:val="single" w:sz="18" w:space="0" w:color="000000"/>
            </w:tcBorders>
          </w:tcPr>
          <w:p w:rsidR="00507AAC" w:rsidRDefault="00507AAC" w:rsidP="00E91DC2">
            <w:pPr>
              <w:cnfStyle w:val="000000000000"/>
            </w:pPr>
            <w:r>
              <w:t xml:space="preserve">Resultado </w:t>
            </w:r>
          </w:p>
        </w:tc>
      </w:tr>
      <w:tr w:rsidR="00507AAC" w:rsidRPr="0066752C" w:rsidTr="00E91DC2">
        <w:trPr>
          <w:trHeight w:val="324"/>
        </w:trPr>
        <w:tc>
          <w:tcPr>
            <w:cnfStyle w:val="001000000000"/>
            <w:tcW w:w="5000" w:type="pct"/>
            <w:gridSpan w:val="4"/>
            <w:tcBorders>
              <w:top w:val="single" w:sz="18" w:space="0" w:color="000000"/>
              <w:bottom w:val="nil"/>
            </w:tcBorders>
          </w:tcPr>
          <w:p w:rsidR="00507AAC" w:rsidRPr="00323136" w:rsidRDefault="00507AAC" w:rsidP="00E91DC2">
            <w:pPr>
              <w:jc w:val="both"/>
              <w:rPr>
                <w:b w:val="0"/>
                <w:szCs w:val="20"/>
              </w:rPr>
            </w:pPr>
            <w:r w:rsidRPr="00323136">
              <w:rPr>
                <w:b w:val="0"/>
                <w:szCs w:val="20"/>
              </w:rPr>
              <w:t xml:space="preserve">Hipótesis 2.1: </w:t>
            </w:r>
            <w:r w:rsidRPr="00323136">
              <w:rPr>
                <w:b w:val="0"/>
                <w:sz w:val="23"/>
                <w:szCs w:val="23"/>
              </w:rPr>
              <w:t>El neurofeedback (Protocolo SMR) mejora la ansiedad estado de los pacientes con fibromialgia.</w:t>
            </w:r>
          </w:p>
        </w:tc>
      </w:tr>
      <w:tr w:rsidR="00507AAC" w:rsidRPr="00241221" w:rsidTr="00E91DC2">
        <w:trPr>
          <w:trHeight w:val="324"/>
        </w:trPr>
        <w:tc>
          <w:tcPr>
            <w:cnfStyle w:val="001000000000"/>
            <w:tcW w:w="861" w:type="pct"/>
            <w:tcBorders>
              <w:top w:val="nil"/>
            </w:tcBorders>
          </w:tcPr>
          <w:p w:rsidR="00507AAC" w:rsidRPr="00323136" w:rsidRDefault="00507AAC" w:rsidP="00E91DC2">
            <w:pPr>
              <w:rPr>
                <w:b w:val="0"/>
              </w:rPr>
            </w:pPr>
            <w:r w:rsidRPr="00323136">
              <w:rPr>
                <w:b w:val="0"/>
              </w:rPr>
              <w:t>T de Wilcoxon</w:t>
            </w:r>
          </w:p>
        </w:tc>
        <w:tc>
          <w:tcPr>
            <w:tcW w:w="530" w:type="pct"/>
            <w:tcBorders>
              <w:top w:val="nil"/>
            </w:tcBorders>
          </w:tcPr>
          <w:p w:rsidR="00507AAC" w:rsidRPr="00323136" w:rsidRDefault="00507AAC" w:rsidP="00E91DC2">
            <w:pPr>
              <w:jc w:val="both"/>
              <w:cnfStyle w:val="000000000000"/>
              <w:rPr>
                <w:rFonts w:cstheme="minorHAnsi"/>
                <w:color w:val="000000"/>
              </w:rPr>
            </w:pPr>
            <w:r w:rsidRPr="00323136">
              <w:rPr>
                <w:rFonts w:cstheme="minorHAnsi"/>
                <w:color w:val="000000"/>
              </w:rPr>
              <w:t>,000</w:t>
            </w:r>
          </w:p>
        </w:tc>
        <w:tc>
          <w:tcPr>
            <w:tcW w:w="791" w:type="pct"/>
            <w:tcBorders>
              <w:top w:val="nil"/>
            </w:tcBorders>
          </w:tcPr>
          <w:p w:rsidR="00507AAC" w:rsidRPr="00095BD5" w:rsidRDefault="00507AAC" w:rsidP="00E91DC2">
            <w:pPr>
              <w:jc w:val="both"/>
              <w:cnfStyle w:val="000000000000"/>
            </w:pPr>
            <w:r w:rsidRPr="00A877C0">
              <w:t>,</w:t>
            </w:r>
            <w:r>
              <w:t>565</w:t>
            </w:r>
          </w:p>
        </w:tc>
        <w:tc>
          <w:tcPr>
            <w:tcW w:w="2818" w:type="pct"/>
            <w:tcBorders>
              <w:top w:val="nil"/>
            </w:tcBorders>
          </w:tcPr>
          <w:p w:rsidR="00507AAC" w:rsidRPr="00241221" w:rsidRDefault="00507AAC" w:rsidP="00E91DC2">
            <w:pPr>
              <w:jc w:val="both"/>
              <w:cnfStyle w:val="000000000000"/>
            </w:pPr>
            <w:r w:rsidRPr="00951A6A">
              <w:t>Rechazamos la hipótesis nula (</w:t>
            </w:r>
            <w:r>
              <w:rPr>
                <w:i/>
              </w:rPr>
              <w:t>,000</w:t>
            </w:r>
            <w:r w:rsidRPr="00951A6A">
              <w:t>&lt;0.05). Aceptamos la hipótesis de trabajo.</w:t>
            </w:r>
          </w:p>
        </w:tc>
      </w:tr>
      <w:tr w:rsidR="00507AAC" w:rsidRPr="00D116D7" w:rsidTr="00E91DC2">
        <w:trPr>
          <w:trHeight w:val="324"/>
        </w:trPr>
        <w:tc>
          <w:tcPr>
            <w:cnfStyle w:val="001000000000"/>
            <w:tcW w:w="5000" w:type="pct"/>
            <w:gridSpan w:val="4"/>
          </w:tcPr>
          <w:p w:rsidR="00507AAC" w:rsidRPr="00323136" w:rsidRDefault="00507AAC" w:rsidP="00E91DC2">
            <w:pPr>
              <w:jc w:val="both"/>
              <w:rPr>
                <w:b w:val="0"/>
              </w:rPr>
            </w:pPr>
            <w:r w:rsidRPr="00323136">
              <w:rPr>
                <w:b w:val="0"/>
                <w:szCs w:val="20"/>
              </w:rPr>
              <w:t xml:space="preserve">Hipótesis 2.2: </w:t>
            </w:r>
            <w:r w:rsidRPr="00323136">
              <w:rPr>
                <w:b w:val="0"/>
              </w:rPr>
              <w:t>El neurofeedback (Protocolo SMR) mejora la ansiedad rasgo de los pacientes con fibromialgia.</w:t>
            </w:r>
          </w:p>
        </w:tc>
      </w:tr>
      <w:tr w:rsidR="00507AAC" w:rsidRPr="00241221" w:rsidTr="00E91DC2">
        <w:trPr>
          <w:trHeight w:val="324"/>
        </w:trPr>
        <w:tc>
          <w:tcPr>
            <w:cnfStyle w:val="001000000000"/>
            <w:tcW w:w="861" w:type="pct"/>
          </w:tcPr>
          <w:p w:rsidR="00507AAC" w:rsidRPr="0012593E" w:rsidRDefault="00507AAC" w:rsidP="00E91DC2">
            <w:pPr>
              <w:rPr>
                <w:b w:val="0"/>
              </w:rPr>
            </w:pPr>
            <w:r w:rsidRPr="0012593E">
              <w:rPr>
                <w:b w:val="0"/>
              </w:rPr>
              <w:t xml:space="preserve">T de </w:t>
            </w:r>
            <w:r>
              <w:rPr>
                <w:b w:val="0"/>
              </w:rPr>
              <w:t>Wilcoxon</w:t>
            </w:r>
          </w:p>
        </w:tc>
        <w:tc>
          <w:tcPr>
            <w:tcW w:w="530" w:type="pct"/>
          </w:tcPr>
          <w:p w:rsidR="00507AAC" w:rsidRDefault="00507AAC" w:rsidP="00E91DC2">
            <w:pPr>
              <w:jc w:val="both"/>
              <w:cnfStyle w:val="000000000000"/>
            </w:pPr>
            <w:r>
              <w:t>,006</w:t>
            </w:r>
          </w:p>
        </w:tc>
        <w:tc>
          <w:tcPr>
            <w:tcW w:w="791" w:type="pct"/>
          </w:tcPr>
          <w:p w:rsidR="00507AAC" w:rsidRPr="00095BD5" w:rsidRDefault="00507AAC" w:rsidP="00E91DC2">
            <w:pPr>
              <w:jc w:val="both"/>
              <w:cnfStyle w:val="000000000000"/>
            </w:pPr>
            <w:r w:rsidRPr="00A877C0">
              <w:t>,</w:t>
            </w:r>
            <w:r>
              <w:t>431</w:t>
            </w:r>
          </w:p>
        </w:tc>
        <w:tc>
          <w:tcPr>
            <w:tcW w:w="2818" w:type="pct"/>
          </w:tcPr>
          <w:p w:rsidR="00507AAC" w:rsidRPr="00241221" w:rsidRDefault="00507AAC" w:rsidP="00E91DC2">
            <w:pPr>
              <w:jc w:val="both"/>
              <w:cnfStyle w:val="000000000000"/>
            </w:pPr>
            <w:r w:rsidRPr="0066752C">
              <w:t>Rechazamos la hipótesis nula (</w:t>
            </w:r>
            <w:r>
              <w:rPr>
                <w:i/>
              </w:rPr>
              <w:t>,006</w:t>
            </w:r>
            <w:r w:rsidRPr="0066752C">
              <w:t>&lt;0.05). Aceptamos hipótesis trabajo.</w:t>
            </w:r>
          </w:p>
        </w:tc>
      </w:tr>
      <w:tr w:rsidR="00507AAC" w:rsidRPr="00241221" w:rsidTr="00E91DC2">
        <w:trPr>
          <w:trHeight w:val="324"/>
        </w:trPr>
        <w:tc>
          <w:tcPr>
            <w:cnfStyle w:val="001000000000"/>
            <w:tcW w:w="861" w:type="pct"/>
            <w:tcBorders>
              <w:top w:val="nil"/>
            </w:tcBorders>
          </w:tcPr>
          <w:p w:rsidR="00507AAC" w:rsidRPr="0012593E" w:rsidRDefault="00507AAC" w:rsidP="00E91DC2"/>
        </w:tc>
        <w:tc>
          <w:tcPr>
            <w:tcW w:w="530" w:type="pct"/>
            <w:tcBorders>
              <w:top w:val="nil"/>
            </w:tcBorders>
          </w:tcPr>
          <w:p w:rsidR="00507AAC" w:rsidRPr="00463A4C" w:rsidRDefault="00507AAC" w:rsidP="00E91DC2">
            <w:pPr>
              <w:jc w:val="both"/>
              <w:cnfStyle w:val="000000000000"/>
              <w:rPr>
                <w:rFonts w:cstheme="minorHAnsi"/>
                <w:color w:val="000000"/>
              </w:rPr>
            </w:pPr>
          </w:p>
        </w:tc>
        <w:tc>
          <w:tcPr>
            <w:tcW w:w="791" w:type="pct"/>
            <w:tcBorders>
              <w:top w:val="nil"/>
            </w:tcBorders>
          </w:tcPr>
          <w:p w:rsidR="00507AAC" w:rsidRPr="00A877C0" w:rsidRDefault="00507AAC" w:rsidP="00E91DC2">
            <w:pPr>
              <w:jc w:val="both"/>
              <w:cnfStyle w:val="000000000000"/>
            </w:pPr>
          </w:p>
        </w:tc>
        <w:tc>
          <w:tcPr>
            <w:tcW w:w="2818" w:type="pct"/>
            <w:tcBorders>
              <w:top w:val="nil"/>
            </w:tcBorders>
          </w:tcPr>
          <w:p w:rsidR="00507AAC" w:rsidRPr="00951A6A" w:rsidRDefault="00507AAC" w:rsidP="00E91DC2">
            <w:pPr>
              <w:jc w:val="both"/>
              <w:cnfStyle w:val="000000000000"/>
            </w:pPr>
          </w:p>
        </w:tc>
      </w:tr>
    </w:tbl>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pPr>
    </w:p>
    <w:p w:rsidR="00507AAC" w:rsidRDefault="00507AAC" w:rsidP="00507AAC">
      <w:pPr>
        <w:spacing w:line="240" w:lineRule="auto"/>
      </w:pPr>
    </w:p>
    <w:p w:rsidR="00507AAC" w:rsidRDefault="00507AAC" w:rsidP="00507AAC">
      <w:pPr>
        <w:spacing w:line="240" w:lineRule="auto"/>
      </w:pPr>
    </w:p>
    <w:p w:rsidR="00507AAC" w:rsidRDefault="00507AAC" w:rsidP="00507AAC">
      <w:pPr>
        <w:spacing w:line="240" w:lineRule="auto"/>
      </w:pPr>
    </w:p>
    <w:p w:rsidR="00507AAC" w:rsidRDefault="00507AAC" w:rsidP="00507AAC">
      <w:pPr>
        <w:spacing w:line="240" w:lineRule="auto"/>
      </w:pPr>
    </w:p>
    <w:p w:rsidR="00507AAC" w:rsidRDefault="00507AAC" w:rsidP="00507AAC">
      <w:pPr>
        <w:spacing w:line="240"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501"/>
        <w:gridCol w:w="4219"/>
      </w:tblGrid>
      <w:tr w:rsidR="00507AAC" w:rsidTr="00E91DC2">
        <w:tc>
          <w:tcPr>
            <w:tcW w:w="8644" w:type="dxa"/>
            <w:gridSpan w:val="2"/>
          </w:tcPr>
          <w:p w:rsidR="00507AAC" w:rsidRDefault="00507AAC" w:rsidP="00E91DC2">
            <w:r w:rsidRPr="00D72926">
              <w:rPr>
                <w:noProof/>
              </w:rPr>
              <w:lastRenderedPageBreak/>
              <w:drawing>
                <wp:inline distT="0" distB="0" distL="0" distR="0">
                  <wp:extent cx="5406174" cy="1552755"/>
                  <wp:effectExtent l="0" t="0" r="0" b="0"/>
                  <wp:docPr id="1"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507AAC" w:rsidTr="00E91DC2">
        <w:tc>
          <w:tcPr>
            <w:tcW w:w="4322" w:type="dxa"/>
            <w:tcBorders>
              <w:right w:val="nil"/>
            </w:tcBorders>
          </w:tcPr>
          <w:p w:rsidR="00507AAC" w:rsidRDefault="00507AAC" w:rsidP="00E91DC2">
            <w:pPr>
              <w:jc w:val="center"/>
            </w:pPr>
            <w:r w:rsidRPr="00D72926">
              <w:rPr>
                <w:noProof/>
              </w:rPr>
              <w:drawing>
                <wp:inline distT="0" distB="0" distL="0" distR="0">
                  <wp:extent cx="2724150" cy="1743542"/>
                  <wp:effectExtent l="0" t="0" r="0" b="0"/>
                  <wp:docPr id="2"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4322" w:type="dxa"/>
            <w:tcBorders>
              <w:left w:val="nil"/>
            </w:tcBorders>
          </w:tcPr>
          <w:p w:rsidR="00507AAC" w:rsidRDefault="00507AAC" w:rsidP="00E91DC2">
            <w:r w:rsidRPr="00D72926">
              <w:rPr>
                <w:noProof/>
              </w:rPr>
              <w:drawing>
                <wp:inline distT="0" distB="0" distL="0" distR="0">
                  <wp:extent cx="2537651" cy="1742272"/>
                  <wp:effectExtent l="0" t="0" r="0" b="0"/>
                  <wp:docPr id="3"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507AAC" w:rsidRDefault="00507AAC" w:rsidP="00507AAC">
      <w:pPr>
        <w:spacing w:line="240" w:lineRule="auto"/>
      </w:pPr>
    </w:p>
    <w:p w:rsidR="00507AAC" w:rsidRPr="00084958" w:rsidRDefault="00507AAC" w:rsidP="00507AAC">
      <w:pPr>
        <w:spacing w:after="0" w:line="240" w:lineRule="auto"/>
        <w:jc w:val="both"/>
        <w:rPr>
          <w:rFonts w:ascii="Times New Roman" w:hAnsi="Times New Roman" w:cs="Times New Roman"/>
          <w:bCs/>
          <w:sz w:val="24"/>
          <w:szCs w:val="24"/>
        </w:rPr>
      </w:pPr>
      <w:r w:rsidRPr="00D07839">
        <w:rPr>
          <w:rFonts w:ascii="Times New Roman" w:hAnsi="Times New Roman" w:cs="Times New Roman"/>
          <w:bCs/>
          <w:i/>
          <w:sz w:val="24"/>
          <w:szCs w:val="24"/>
        </w:rPr>
        <w:t>Figura 1</w:t>
      </w:r>
      <w:proofErr w:type="gramStart"/>
      <w:r w:rsidRPr="00D07839">
        <w:rPr>
          <w:rFonts w:ascii="Times New Roman" w:hAnsi="Times New Roman" w:cs="Times New Roman"/>
          <w:bCs/>
          <w:i/>
          <w:sz w:val="24"/>
          <w:szCs w:val="24"/>
        </w:rPr>
        <w:t>:</w:t>
      </w:r>
      <w:r>
        <w:rPr>
          <w:rFonts w:ascii="Times New Roman" w:hAnsi="Times New Roman" w:cs="Times New Roman"/>
          <w:bCs/>
          <w:sz w:val="24"/>
          <w:szCs w:val="24"/>
        </w:rPr>
        <w:t>Medidas</w:t>
      </w:r>
      <w:proofErr w:type="gramEnd"/>
      <w:r>
        <w:rPr>
          <w:rFonts w:ascii="Times New Roman" w:hAnsi="Times New Roman" w:cs="Times New Roman"/>
          <w:bCs/>
          <w:sz w:val="24"/>
          <w:szCs w:val="24"/>
        </w:rPr>
        <w:t xml:space="preserve"> de los cuestionarios PRE/ POST en los cuestionario depresión y ansiedad. En la parte superior la m</w:t>
      </w:r>
      <w:r w:rsidRPr="00084958">
        <w:rPr>
          <w:rFonts w:ascii="Times New Roman" w:hAnsi="Times New Roman" w:cs="Times New Roman"/>
          <w:sz w:val="24"/>
          <w:szCs w:val="24"/>
        </w:rPr>
        <w:t>edidas PRE/POST del cuestionario</w:t>
      </w:r>
      <w:r>
        <w:rPr>
          <w:rFonts w:ascii="Times New Roman" w:hAnsi="Times New Roman" w:cs="Times New Roman"/>
          <w:sz w:val="24"/>
          <w:szCs w:val="24"/>
        </w:rPr>
        <w:t xml:space="preserve"> </w:t>
      </w:r>
      <w:r w:rsidRPr="00084958">
        <w:rPr>
          <w:rFonts w:ascii="Times New Roman" w:hAnsi="Times New Roman" w:cs="Times New Roman"/>
          <w:sz w:val="24"/>
          <w:szCs w:val="24"/>
        </w:rPr>
        <w:t>Beck</w:t>
      </w:r>
      <w:r>
        <w:rPr>
          <w:rFonts w:ascii="Times New Roman" w:hAnsi="Times New Roman" w:cs="Times New Roman"/>
          <w:sz w:val="24"/>
          <w:szCs w:val="24"/>
        </w:rPr>
        <w:t xml:space="preserve"> </w:t>
      </w:r>
      <w:proofErr w:type="spellStart"/>
      <w:r w:rsidRPr="00084958">
        <w:rPr>
          <w:rFonts w:ascii="Times New Roman" w:hAnsi="Times New Roman" w:cs="Times New Roman"/>
          <w:sz w:val="24"/>
          <w:szCs w:val="24"/>
        </w:rPr>
        <w:t>Depression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Inventory</w:t>
      </w:r>
      <w:proofErr w:type="spellEnd"/>
      <w:r>
        <w:rPr>
          <w:rFonts w:ascii="Times New Roman" w:hAnsi="Times New Roman" w:cs="Times New Roman"/>
          <w:sz w:val="24"/>
          <w:szCs w:val="24"/>
        </w:rPr>
        <w:t xml:space="preserve">. En la parte inferior izquierda la </w:t>
      </w:r>
      <w:r>
        <w:rPr>
          <w:rFonts w:ascii="Times New Roman" w:hAnsi="Times New Roman" w:cs="Times New Roman"/>
          <w:bCs/>
          <w:sz w:val="24"/>
          <w:szCs w:val="24"/>
        </w:rPr>
        <w:t>m</w:t>
      </w:r>
      <w:r w:rsidRPr="00084958">
        <w:rPr>
          <w:rFonts w:ascii="Times New Roman" w:hAnsi="Times New Roman" w:cs="Times New Roman"/>
          <w:bCs/>
          <w:sz w:val="24"/>
          <w:szCs w:val="24"/>
        </w:rPr>
        <w:t>e</w:t>
      </w:r>
      <w:r>
        <w:rPr>
          <w:rFonts w:ascii="Times New Roman" w:hAnsi="Times New Roman" w:cs="Times New Roman"/>
          <w:bCs/>
          <w:sz w:val="24"/>
          <w:szCs w:val="24"/>
        </w:rPr>
        <w:t>didas PRE/POST en ansiedad estado.</w:t>
      </w:r>
      <w:r>
        <w:rPr>
          <w:rFonts w:ascii="Times New Roman" w:hAnsi="Times New Roman" w:cs="Times New Roman"/>
          <w:sz w:val="24"/>
          <w:szCs w:val="24"/>
        </w:rPr>
        <w:t xml:space="preserve"> En la parte inferior derecha la </w:t>
      </w:r>
      <w:r>
        <w:rPr>
          <w:rFonts w:ascii="Times New Roman" w:hAnsi="Times New Roman" w:cs="Times New Roman"/>
          <w:bCs/>
          <w:sz w:val="24"/>
          <w:szCs w:val="24"/>
        </w:rPr>
        <w:t>m</w:t>
      </w:r>
      <w:r w:rsidRPr="00084958">
        <w:rPr>
          <w:rFonts w:ascii="Times New Roman" w:hAnsi="Times New Roman" w:cs="Times New Roman"/>
          <w:bCs/>
          <w:sz w:val="24"/>
          <w:szCs w:val="24"/>
        </w:rPr>
        <w:t>edida PRE/POST en ansiedad rasgo</w:t>
      </w:r>
    </w:p>
    <w:p w:rsidR="00507AAC" w:rsidRPr="00084958" w:rsidRDefault="00507AAC" w:rsidP="00507AAC">
      <w:pPr>
        <w:spacing w:line="240" w:lineRule="auto"/>
        <w:ind w:left="709" w:hanging="709"/>
        <w:jc w:val="both"/>
        <w:rPr>
          <w:rFonts w:ascii="Times New Roman" w:hAnsi="Times New Roman" w:cs="Times New Roman"/>
          <w:iCs/>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507AAC" w:rsidRDefault="00507AAC" w:rsidP="00507AAC">
      <w:pPr>
        <w:spacing w:line="240" w:lineRule="auto"/>
        <w:ind w:firstLine="709"/>
        <w:contextualSpacing/>
        <w:jc w:val="both"/>
        <w:rPr>
          <w:rFonts w:ascii="Times New Roman" w:hAnsi="Times New Roman" w:cs="Times New Roman"/>
          <w:sz w:val="24"/>
          <w:szCs w:val="24"/>
        </w:rPr>
      </w:pPr>
    </w:p>
    <w:p w:rsidR="008A1083" w:rsidRDefault="00F046AC" w:rsidP="00507AAC">
      <w:pPr>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Discusión</w:t>
      </w:r>
    </w:p>
    <w:p w:rsidR="00507AAC" w:rsidRPr="00084958" w:rsidRDefault="00507AAC" w:rsidP="00507AAC">
      <w:pPr>
        <w:spacing w:line="240" w:lineRule="auto"/>
        <w:ind w:firstLine="709"/>
        <w:contextualSpacing/>
        <w:jc w:val="both"/>
        <w:rPr>
          <w:rFonts w:ascii="Times New Roman" w:hAnsi="Times New Roman" w:cs="Times New Roman"/>
          <w:b/>
          <w:sz w:val="24"/>
          <w:szCs w:val="24"/>
        </w:rPr>
      </w:pPr>
    </w:p>
    <w:p w:rsidR="00127222" w:rsidRPr="00084958" w:rsidRDefault="00E57000"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En relación con el objetivo principal de esta investigación, que es evaluar cómo el condicionamiento instrumental generado por el neurofeedback repercute en los trastornos psicológicos de depresión y ansieda</w:t>
      </w:r>
      <w:r w:rsidR="00D92FBC" w:rsidRPr="00084958">
        <w:rPr>
          <w:rFonts w:ascii="Times New Roman" w:hAnsi="Times New Roman" w:cs="Times New Roman"/>
          <w:sz w:val="24"/>
          <w:szCs w:val="24"/>
        </w:rPr>
        <w:t>d en pacientes con fibromialgia, s</w:t>
      </w:r>
      <w:r w:rsidR="00127222" w:rsidRPr="00084958">
        <w:rPr>
          <w:rFonts w:ascii="Times New Roman" w:hAnsi="Times New Roman" w:cs="Times New Roman"/>
          <w:sz w:val="24"/>
          <w:szCs w:val="24"/>
        </w:rPr>
        <w:t>e aprecia que hay una mejoría de las variables, depresión, ansiedad. Esta mejoría en las variables puede estar explicada por el aprendizaje que presentan los participantes y su capacidad de adaptarse a la exigencia de la terapia de neurofeedback.</w:t>
      </w:r>
    </w:p>
    <w:p w:rsidR="008E7FC2" w:rsidRPr="00084958" w:rsidRDefault="00127222"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Son múltiples los estudios que muestran la incidencia de los trastornos depresivos y de ansiedad en pac</w:t>
      </w:r>
      <w:r w:rsidR="00475D5A">
        <w:rPr>
          <w:rFonts w:ascii="Times New Roman" w:hAnsi="Times New Roman" w:cs="Times New Roman"/>
          <w:sz w:val="24"/>
          <w:szCs w:val="24"/>
        </w:rPr>
        <w:t>ie</w:t>
      </w:r>
      <w:r w:rsidR="001F301D">
        <w:rPr>
          <w:rFonts w:ascii="Times New Roman" w:hAnsi="Times New Roman" w:cs="Times New Roman"/>
          <w:sz w:val="24"/>
          <w:szCs w:val="24"/>
        </w:rPr>
        <w:t>ntes con fibromialgia (</w:t>
      </w:r>
      <w:proofErr w:type="spellStart"/>
      <w:r w:rsidR="001F301D">
        <w:rPr>
          <w:rFonts w:ascii="Times New Roman" w:hAnsi="Times New Roman" w:cs="Times New Roman"/>
          <w:sz w:val="24"/>
          <w:szCs w:val="24"/>
        </w:rPr>
        <w:t>Homannet</w:t>
      </w:r>
      <w:proofErr w:type="spellEnd"/>
      <w:r w:rsidR="001F301D">
        <w:rPr>
          <w:rFonts w:ascii="Times New Roman" w:hAnsi="Times New Roman" w:cs="Times New Roman"/>
          <w:sz w:val="24"/>
          <w:szCs w:val="24"/>
        </w:rPr>
        <w:t xml:space="preserve">, </w:t>
      </w:r>
      <w:proofErr w:type="spellStart"/>
      <w:r w:rsidR="001F301D">
        <w:rPr>
          <w:rFonts w:ascii="Times New Roman" w:hAnsi="Times New Roman" w:cs="Times New Roman"/>
          <w:iCs/>
          <w:sz w:val="24"/>
          <w:szCs w:val="24"/>
        </w:rPr>
        <w:t>Stefanello</w:t>
      </w:r>
      <w:proofErr w:type="spellEnd"/>
      <w:r w:rsidR="001F301D">
        <w:rPr>
          <w:rFonts w:ascii="Times New Roman" w:hAnsi="Times New Roman" w:cs="Times New Roman"/>
          <w:iCs/>
          <w:sz w:val="24"/>
          <w:szCs w:val="24"/>
        </w:rPr>
        <w:t xml:space="preserve">, </w:t>
      </w:r>
      <w:proofErr w:type="spellStart"/>
      <w:r w:rsidR="001F301D">
        <w:rPr>
          <w:rFonts w:ascii="Times New Roman" w:hAnsi="Times New Roman" w:cs="Times New Roman"/>
          <w:iCs/>
          <w:sz w:val="24"/>
          <w:szCs w:val="24"/>
        </w:rPr>
        <w:t>Góes</w:t>
      </w:r>
      <w:proofErr w:type="spellEnd"/>
      <w:r w:rsidR="001F301D">
        <w:rPr>
          <w:rFonts w:ascii="Times New Roman" w:hAnsi="Times New Roman" w:cs="Times New Roman"/>
          <w:iCs/>
          <w:sz w:val="24"/>
          <w:szCs w:val="24"/>
        </w:rPr>
        <w:t xml:space="preserve">,  Breda, </w:t>
      </w:r>
      <w:proofErr w:type="spellStart"/>
      <w:r w:rsidR="001F301D">
        <w:rPr>
          <w:rFonts w:ascii="Times New Roman" w:hAnsi="Times New Roman" w:cs="Times New Roman"/>
          <w:iCs/>
          <w:sz w:val="24"/>
          <w:szCs w:val="24"/>
        </w:rPr>
        <w:t>Paiva</w:t>
      </w:r>
      <w:proofErr w:type="spellEnd"/>
      <w:r w:rsidR="001F301D">
        <w:rPr>
          <w:rFonts w:ascii="Times New Roman" w:hAnsi="Times New Roman" w:cs="Times New Roman"/>
          <w:iCs/>
          <w:sz w:val="24"/>
          <w:szCs w:val="24"/>
        </w:rPr>
        <w:t xml:space="preserve"> &amp; </w:t>
      </w:r>
      <w:proofErr w:type="spellStart"/>
      <w:r w:rsidR="001F301D" w:rsidRPr="00084958">
        <w:rPr>
          <w:rFonts w:ascii="Times New Roman" w:hAnsi="Times New Roman" w:cs="Times New Roman"/>
          <w:iCs/>
          <w:sz w:val="24"/>
          <w:szCs w:val="24"/>
        </w:rPr>
        <w:t>Leite</w:t>
      </w:r>
      <w:proofErr w:type="spellEnd"/>
      <w:r w:rsidR="001F301D">
        <w:rPr>
          <w:rFonts w:ascii="Times New Roman" w:hAnsi="Times New Roman" w:cs="Times New Roman"/>
          <w:iCs/>
          <w:sz w:val="24"/>
          <w:szCs w:val="24"/>
        </w:rPr>
        <w:t>,</w:t>
      </w:r>
      <w:r w:rsidR="001F301D">
        <w:rPr>
          <w:rFonts w:ascii="Times New Roman" w:hAnsi="Times New Roman" w:cs="Times New Roman"/>
          <w:sz w:val="24"/>
          <w:szCs w:val="24"/>
        </w:rPr>
        <w:t xml:space="preserve"> </w:t>
      </w:r>
      <w:r w:rsidR="00475D5A">
        <w:rPr>
          <w:rFonts w:ascii="Times New Roman" w:hAnsi="Times New Roman" w:cs="Times New Roman"/>
          <w:sz w:val="24"/>
          <w:szCs w:val="24"/>
        </w:rPr>
        <w:t xml:space="preserve"> 2012; </w:t>
      </w:r>
      <w:proofErr w:type="spellStart"/>
      <w:r w:rsidR="00475D5A">
        <w:rPr>
          <w:rFonts w:ascii="Times New Roman" w:hAnsi="Times New Roman" w:cs="Times New Roman"/>
          <w:sz w:val="24"/>
          <w:szCs w:val="24"/>
        </w:rPr>
        <w:t>Goldenberg</w:t>
      </w:r>
      <w:proofErr w:type="spellEnd"/>
      <w:r w:rsidR="00475D5A">
        <w:rPr>
          <w:rFonts w:ascii="Times New Roman" w:hAnsi="Times New Roman" w:cs="Times New Roman"/>
          <w:sz w:val="24"/>
          <w:szCs w:val="24"/>
        </w:rPr>
        <w:t xml:space="preserve">, 2010; </w:t>
      </w:r>
      <w:proofErr w:type="spellStart"/>
      <w:r w:rsidR="00475D5A">
        <w:rPr>
          <w:rFonts w:ascii="Times New Roman" w:hAnsi="Times New Roman" w:cs="Times New Roman"/>
          <w:sz w:val="24"/>
          <w:szCs w:val="24"/>
        </w:rPr>
        <w:t>Falcão</w:t>
      </w:r>
      <w:proofErr w:type="spellEnd"/>
      <w:r w:rsidR="001F301D">
        <w:rPr>
          <w:rFonts w:ascii="Times New Roman" w:hAnsi="Times New Roman" w:cs="Times New Roman"/>
          <w:sz w:val="24"/>
          <w:szCs w:val="24"/>
        </w:rPr>
        <w:t>,</w:t>
      </w:r>
      <w:r w:rsidR="001F301D" w:rsidRPr="00CB1324">
        <w:rPr>
          <w:rFonts w:ascii="Times New Roman" w:hAnsi="Times New Roman" w:cs="Times New Roman"/>
          <w:iCs/>
          <w:sz w:val="24"/>
          <w:szCs w:val="24"/>
        </w:rPr>
        <w:t xml:space="preserve"> Sales, </w:t>
      </w:r>
      <w:proofErr w:type="spellStart"/>
      <w:r w:rsidR="001F301D" w:rsidRPr="00CB1324">
        <w:rPr>
          <w:rFonts w:ascii="Times New Roman" w:hAnsi="Times New Roman" w:cs="Times New Roman"/>
          <w:iCs/>
          <w:sz w:val="24"/>
          <w:szCs w:val="24"/>
        </w:rPr>
        <w:t>Leite</w:t>
      </w:r>
      <w:proofErr w:type="spellEnd"/>
      <w:r w:rsidR="001F301D" w:rsidRPr="00CB1324">
        <w:rPr>
          <w:rFonts w:ascii="Times New Roman" w:hAnsi="Times New Roman" w:cs="Times New Roman"/>
          <w:iCs/>
          <w:sz w:val="24"/>
          <w:szCs w:val="24"/>
        </w:rPr>
        <w:t xml:space="preserve">, </w:t>
      </w:r>
      <w:proofErr w:type="spellStart"/>
      <w:r w:rsidR="001F301D" w:rsidRPr="00CB1324">
        <w:rPr>
          <w:rFonts w:ascii="Times New Roman" w:hAnsi="Times New Roman" w:cs="Times New Roman"/>
          <w:iCs/>
          <w:sz w:val="24"/>
          <w:szCs w:val="24"/>
        </w:rPr>
        <w:t>Feldman</w:t>
      </w:r>
      <w:proofErr w:type="spellEnd"/>
      <w:r w:rsidR="001F301D" w:rsidRPr="00CB1324">
        <w:rPr>
          <w:rFonts w:ascii="Times New Roman" w:hAnsi="Times New Roman" w:cs="Times New Roman"/>
          <w:iCs/>
          <w:sz w:val="24"/>
          <w:szCs w:val="24"/>
        </w:rPr>
        <w:t xml:space="preserve">, </w:t>
      </w:r>
      <w:proofErr w:type="spellStart"/>
      <w:r w:rsidR="001F301D" w:rsidRPr="00CB1324">
        <w:rPr>
          <w:rFonts w:ascii="Times New Roman" w:hAnsi="Times New Roman" w:cs="Times New Roman"/>
          <w:iCs/>
          <w:sz w:val="24"/>
          <w:szCs w:val="24"/>
        </w:rPr>
        <w:t>Valim</w:t>
      </w:r>
      <w:proofErr w:type="spellEnd"/>
      <w:r w:rsidR="001F301D" w:rsidRPr="00CB1324">
        <w:rPr>
          <w:rFonts w:ascii="Times New Roman" w:hAnsi="Times New Roman" w:cs="Times New Roman"/>
          <w:iCs/>
          <w:sz w:val="24"/>
          <w:szCs w:val="24"/>
        </w:rPr>
        <w:t xml:space="preserve"> &amp; </w:t>
      </w:r>
      <w:proofErr w:type="spellStart"/>
      <w:r w:rsidR="001F301D" w:rsidRPr="00CB1324">
        <w:rPr>
          <w:rFonts w:ascii="Times New Roman" w:hAnsi="Times New Roman" w:cs="Times New Roman"/>
          <w:iCs/>
          <w:sz w:val="24"/>
          <w:szCs w:val="24"/>
        </w:rPr>
        <w:t>Natour</w:t>
      </w:r>
      <w:proofErr w:type="spellEnd"/>
      <w:r w:rsidR="001F301D" w:rsidRPr="00CB1324">
        <w:rPr>
          <w:rFonts w:ascii="Times New Roman" w:hAnsi="Times New Roman" w:cs="Times New Roman"/>
          <w:iCs/>
          <w:sz w:val="24"/>
          <w:szCs w:val="24"/>
        </w:rPr>
        <w:t>,</w:t>
      </w:r>
      <w:r w:rsidR="001F301D" w:rsidRPr="00084958">
        <w:rPr>
          <w:rFonts w:ascii="Times New Roman" w:hAnsi="Times New Roman" w:cs="Times New Roman"/>
          <w:sz w:val="24"/>
          <w:szCs w:val="24"/>
        </w:rPr>
        <w:t xml:space="preserve"> </w:t>
      </w:r>
      <w:r w:rsidRPr="00084958">
        <w:rPr>
          <w:rFonts w:ascii="Times New Roman" w:hAnsi="Times New Roman" w:cs="Times New Roman"/>
          <w:sz w:val="24"/>
          <w:szCs w:val="24"/>
        </w:rPr>
        <w:t>2008). En este estudio se hace consciente la mejora de la depresión y ansiedad como variable psicológica.</w:t>
      </w:r>
      <w:r w:rsidR="008E7FC2" w:rsidRPr="00084958">
        <w:rPr>
          <w:rFonts w:ascii="Times New Roman" w:hAnsi="Times New Roman" w:cs="Times New Roman"/>
          <w:sz w:val="24"/>
          <w:szCs w:val="24"/>
        </w:rPr>
        <w:t xml:space="preserve">Según los objetivos descritos en el trabajo de investigación, se expone que el entrenamiento mediante la técnica de neurofeedback ha provocado un cambio en los patrones eléctricos cerebrales, especialmente si se atiende al moldeamiento que ha sufrido el ratio SMR/Theta. El moldeamiento de las ondas cerebrales es un proceso complejo de entender y entrenar, motivo por el cual los pacientes presentan cambios lentos y no siempre constantes. En esta investigación, los pacientes con fibromialgia se han adaptado de forma adecuada a los requisitos que el entrenador ha marcado en el software utilizado para la investigación. El esfuerzo </w:t>
      </w:r>
      <w:r w:rsidR="008E7FC2" w:rsidRPr="00084958">
        <w:rPr>
          <w:rFonts w:ascii="Times New Roman" w:hAnsi="Times New Roman" w:cs="Times New Roman"/>
          <w:sz w:val="24"/>
          <w:szCs w:val="24"/>
        </w:rPr>
        <w:lastRenderedPageBreak/>
        <w:t xml:space="preserve">cognitivo necesario que han realizado los pacientes con fibromialgia para moldear su electroencefalograma se debe a la terapia de neurofeedback. </w:t>
      </w:r>
    </w:p>
    <w:p w:rsidR="008E7FC2" w:rsidRPr="00084958" w:rsidRDefault="008E7FC2"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 xml:space="preserve">El aumento del ratio SMR/Theta contribuye a mantener un equilibrio en las funciones cerebrales, lo cual permite que los pacientes con fibromialgia atiendan mejor a los estímulos externos. El aumento del ratio, facilita y potencia los mecanismos inhibitorios del sistema nervioso central y, como resultado, la información sensorial que llega al cerebro puede filtrarse y clasificarse mejor. Como resultado se obtiene un sistema nervioso menos saturado de estímulos y con mayor capacidad de procesamiento, debido a esto el porcentaje de pacientes que al inicio del estudio presentaban un diagnostico depresivo era del 60.5% y tras la aplicación de la terapia, es un 32.5%. En cuanto a los pacientes con ansiedad-estado un 90% presentaban más de 5 en puntuaciones </w:t>
      </w:r>
      <w:proofErr w:type="spellStart"/>
      <w:r w:rsidRPr="00084958">
        <w:rPr>
          <w:rFonts w:ascii="Times New Roman" w:hAnsi="Times New Roman" w:cs="Times New Roman"/>
          <w:sz w:val="24"/>
          <w:szCs w:val="24"/>
        </w:rPr>
        <w:t>decatipo</w:t>
      </w:r>
      <w:proofErr w:type="spellEnd"/>
      <w:r w:rsidRPr="00084958">
        <w:rPr>
          <w:rFonts w:ascii="Times New Roman" w:hAnsi="Times New Roman" w:cs="Times New Roman"/>
          <w:sz w:val="24"/>
          <w:szCs w:val="24"/>
        </w:rPr>
        <w:t xml:space="preserve"> y tras la aplicación del </w:t>
      </w:r>
      <w:proofErr w:type="spellStart"/>
      <w:r w:rsidRPr="00084958">
        <w:rPr>
          <w:rFonts w:ascii="Times New Roman" w:hAnsi="Times New Roman" w:cs="Times New Roman"/>
          <w:sz w:val="24"/>
          <w:szCs w:val="24"/>
        </w:rPr>
        <w:t>neurofeedbak</w:t>
      </w:r>
      <w:proofErr w:type="spellEnd"/>
      <w:r w:rsidRPr="00084958">
        <w:rPr>
          <w:rFonts w:ascii="Times New Roman" w:hAnsi="Times New Roman" w:cs="Times New Roman"/>
          <w:sz w:val="24"/>
          <w:szCs w:val="24"/>
        </w:rPr>
        <w:t xml:space="preserve">, este porcentaje disminuyó a un 82.5%. En cuanto a la ansiedad-rasgo un 82.5% presentaban más de 5 en puntuaciones </w:t>
      </w:r>
      <w:proofErr w:type="spellStart"/>
      <w:r w:rsidRPr="00084958">
        <w:rPr>
          <w:rFonts w:ascii="Times New Roman" w:hAnsi="Times New Roman" w:cs="Times New Roman"/>
          <w:sz w:val="24"/>
          <w:szCs w:val="24"/>
        </w:rPr>
        <w:t>decatipo</w:t>
      </w:r>
      <w:proofErr w:type="spellEnd"/>
      <w:r w:rsidRPr="00084958">
        <w:rPr>
          <w:rFonts w:ascii="Times New Roman" w:hAnsi="Times New Roman" w:cs="Times New Roman"/>
          <w:sz w:val="24"/>
          <w:szCs w:val="24"/>
        </w:rPr>
        <w:t xml:space="preserve"> y tras la aplicación del </w:t>
      </w:r>
      <w:proofErr w:type="spellStart"/>
      <w:r w:rsidRPr="00084958">
        <w:rPr>
          <w:rFonts w:ascii="Times New Roman" w:hAnsi="Times New Roman" w:cs="Times New Roman"/>
          <w:sz w:val="24"/>
          <w:szCs w:val="24"/>
        </w:rPr>
        <w:t>neurofeedbak</w:t>
      </w:r>
      <w:proofErr w:type="spellEnd"/>
      <w:r w:rsidRPr="00084958">
        <w:rPr>
          <w:rFonts w:ascii="Times New Roman" w:hAnsi="Times New Roman" w:cs="Times New Roman"/>
          <w:sz w:val="24"/>
          <w:szCs w:val="24"/>
        </w:rPr>
        <w:t>, este porcentaje disminuyó a un 72.5%.</w:t>
      </w:r>
      <w:r w:rsidR="005704D5">
        <w:rPr>
          <w:rFonts w:ascii="Times New Roman" w:hAnsi="Times New Roman" w:cs="Times New Roman"/>
          <w:sz w:val="24"/>
          <w:szCs w:val="24"/>
        </w:rPr>
        <w:t xml:space="preserve"> Si se observa el valor la d de Cohen en las hipótesis se observa que presentan un valor medio, lo que indica que la diferencia entre el grupo antes y después del tratamiento de </w:t>
      </w:r>
      <w:proofErr w:type="spellStart"/>
      <w:r w:rsidR="005704D5">
        <w:rPr>
          <w:rFonts w:ascii="Times New Roman" w:hAnsi="Times New Roman" w:cs="Times New Roman"/>
          <w:sz w:val="24"/>
          <w:szCs w:val="24"/>
        </w:rPr>
        <w:t>neurofeedbak</w:t>
      </w:r>
      <w:r w:rsidR="00FE2127">
        <w:rPr>
          <w:rFonts w:ascii="Times New Roman" w:hAnsi="Times New Roman" w:cs="Times New Roman"/>
          <w:sz w:val="24"/>
          <w:szCs w:val="24"/>
        </w:rPr>
        <w:t>presentan</w:t>
      </w:r>
      <w:proofErr w:type="spellEnd"/>
      <w:r w:rsidR="00FE2127">
        <w:rPr>
          <w:rFonts w:ascii="Times New Roman" w:hAnsi="Times New Roman" w:cs="Times New Roman"/>
          <w:sz w:val="24"/>
          <w:szCs w:val="24"/>
        </w:rPr>
        <w:t xml:space="preserve"> un tamaño del efecto medio.</w:t>
      </w:r>
    </w:p>
    <w:p w:rsidR="00CA6FE9" w:rsidRPr="00084958" w:rsidRDefault="00127222" w:rsidP="00507AAC">
      <w:pPr>
        <w:spacing w:line="240" w:lineRule="auto"/>
        <w:ind w:firstLine="709"/>
        <w:contextualSpacing/>
        <w:jc w:val="both"/>
        <w:rPr>
          <w:rFonts w:ascii="Times New Roman" w:hAnsi="Times New Roman" w:cs="Times New Roman"/>
          <w:sz w:val="24"/>
          <w:szCs w:val="24"/>
        </w:rPr>
      </w:pPr>
      <w:r w:rsidRPr="00084958">
        <w:rPr>
          <w:rFonts w:ascii="Times New Roman" w:hAnsi="Times New Roman" w:cs="Times New Roman"/>
          <w:sz w:val="24"/>
          <w:szCs w:val="24"/>
        </w:rPr>
        <w:t>Según las hipótesis planteadas y los resultados expuestos, se concluye que el neurofeedback mejora significativamente los trastornos de depresión y ansiedad en pacientes con fibromialgia</w:t>
      </w:r>
      <w:r w:rsidR="00F046AC">
        <w:rPr>
          <w:rFonts w:ascii="Times New Roman" w:hAnsi="Times New Roman" w:cs="Times New Roman"/>
          <w:sz w:val="24"/>
          <w:szCs w:val="24"/>
        </w:rPr>
        <w:t xml:space="preserve"> por lo que podría sr una posible solución a los problemas planteados por estos pacientes</w:t>
      </w:r>
      <w:r w:rsidR="00BF0BBB" w:rsidRPr="00084958">
        <w:rPr>
          <w:rFonts w:ascii="Times New Roman" w:hAnsi="Times New Roman" w:cs="Times New Roman"/>
          <w:sz w:val="24"/>
          <w:szCs w:val="24"/>
        </w:rPr>
        <w:t>.</w:t>
      </w:r>
    </w:p>
    <w:p w:rsidR="00507AAC" w:rsidRDefault="00507AAC" w:rsidP="00507AAC">
      <w:pPr>
        <w:spacing w:line="240" w:lineRule="auto"/>
        <w:contextualSpacing/>
        <w:rPr>
          <w:rFonts w:ascii="Times New Roman" w:hAnsi="Times New Roman" w:cs="Times New Roman"/>
          <w:b/>
          <w:sz w:val="24"/>
          <w:szCs w:val="24"/>
        </w:rPr>
      </w:pPr>
    </w:p>
    <w:p w:rsidR="00507AAC" w:rsidRDefault="00507AAC" w:rsidP="00507AAC">
      <w:pPr>
        <w:spacing w:line="240" w:lineRule="auto"/>
        <w:ind w:firstLine="709"/>
        <w:contextualSpacing/>
        <w:rPr>
          <w:rFonts w:ascii="Times New Roman" w:hAnsi="Times New Roman" w:cs="Times New Roman"/>
          <w:b/>
          <w:sz w:val="24"/>
          <w:szCs w:val="24"/>
        </w:rPr>
      </w:pPr>
    </w:p>
    <w:p w:rsidR="00507AAC" w:rsidRPr="00C07A96" w:rsidRDefault="00507AAC" w:rsidP="00507AAC">
      <w:pPr>
        <w:spacing w:line="240" w:lineRule="auto"/>
        <w:ind w:firstLine="709"/>
        <w:contextualSpacing/>
        <w:rPr>
          <w:rFonts w:ascii="Times New Roman" w:hAnsi="Times New Roman" w:cs="Times New Roman"/>
          <w:b/>
          <w:sz w:val="24"/>
          <w:szCs w:val="24"/>
        </w:rPr>
      </w:pPr>
    </w:p>
    <w:p w:rsidR="008A1083" w:rsidRDefault="008A1083" w:rsidP="00507AAC">
      <w:pPr>
        <w:spacing w:line="240" w:lineRule="auto"/>
        <w:ind w:firstLine="709"/>
        <w:contextualSpacing/>
        <w:rPr>
          <w:rFonts w:ascii="Times New Roman" w:hAnsi="Times New Roman" w:cs="Times New Roman"/>
          <w:b/>
          <w:sz w:val="24"/>
          <w:szCs w:val="24"/>
          <w:lang w:val="en-US"/>
        </w:rPr>
      </w:pPr>
      <w:proofErr w:type="spellStart"/>
      <w:r w:rsidRPr="00084958">
        <w:rPr>
          <w:rFonts w:ascii="Times New Roman" w:hAnsi="Times New Roman" w:cs="Times New Roman"/>
          <w:b/>
          <w:sz w:val="24"/>
          <w:szCs w:val="24"/>
          <w:lang w:val="en-US"/>
        </w:rPr>
        <w:t>Bibliografía</w:t>
      </w:r>
      <w:proofErr w:type="spellEnd"/>
      <w:r w:rsidRPr="00084958">
        <w:rPr>
          <w:rFonts w:ascii="Times New Roman" w:hAnsi="Times New Roman" w:cs="Times New Roman"/>
          <w:b/>
          <w:sz w:val="24"/>
          <w:szCs w:val="24"/>
          <w:lang w:val="en-US"/>
        </w:rPr>
        <w:t>:</w:t>
      </w:r>
    </w:p>
    <w:p w:rsidR="00507AAC" w:rsidRDefault="00507AAC" w:rsidP="00507AAC">
      <w:pPr>
        <w:spacing w:line="240" w:lineRule="auto"/>
        <w:ind w:firstLine="709"/>
        <w:contextualSpacing/>
        <w:rPr>
          <w:rFonts w:ascii="Times New Roman" w:hAnsi="Times New Roman" w:cs="Times New Roman"/>
          <w:b/>
          <w:sz w:val="24"/>
          <w:szCs w:val="24"/>
          <w:lang w:val="en-US"/>
        </w:rPr>
      </w:pPr>
    </w:p>
    <w:p w:rsidR="00507AAC" w:rsidRPr="00084958" w:rsidRDefault="00507AAC" w:rsidP="00507AAC">
      <w:pPr>
        <w:spacing w:line="240" w:lineRule="auto"/>
        <w:ind w:firstLine="709"/>
        <w:contextualSpacing/>
        <w:rPr>
          <w:rFonts w:ascii="Times New Roman" w:hAnsi="Times New Roman" w:cs="Times New Roman"/>
          <w:b/>
          <w:sz w:val="24"/>
          <w:szCs w:val="24"/>
          <w:lang w:val="en-US"/>
        </w:rPr>
      </w:pP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r w:rsidRPr="00084958">
        <w:rPr>
          <w:rFonts w:ascii="Times New Roman" w:hAnsi="Times New Roman" w:cs="Times New Roman"/>
          <w:iCs/>
          <w:sz w:val="24"/>
          <w:szCs w:val="24"/>
          <w:lang w:val="en-US"/>
        </w:rPr>
        <w:t>Beck, A. T., Ward, C. H., Mendelson, M., Mock, J., &amp;</w:t>
      </w:r>
      <w:r w:rsidR="001F301D">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Erbaugh</w:t>
      </w:r>
      <w:proofErr w:type="spellEnd"/>
      <w:r w:rsidRPr="00084958">
        <w:rPr>
          <w:rFonts w:ascii="Times New Roman" w:hAnsi="Times New Roman" w:cs="Times New Roman"/>
          <w:iCs/>
          <w:sz w:val="24"/>
          <w:szCs w:val="24"/>
          <w:lang w:val="en-US"/>
        </w:rPr>
        <w:t xml:space="preserve">, J. (1961). An inventory for measuring depression. </w:t>
      </w:r>
      <w:r w:rsidRPr="00084958">
        <w:rPr>
          <w:rFonts w:ascii="Times New Roman" w:hAnsi="Times New Roman" w:cs="Times New Roman"/>
          <w:i/>
          <w:iCs/>
          <w:sz w:val="24"/>
          <w:szCs w:val="24"/>
          <w:lang w:val="en-US"/>
        </w:rPr>
        <w:t>Arch Gen Psychiatry</w:t>
      </w:r>
      <w:r w:rsidRPr="00084958">
        <w:rPr>
          <w:rFonts w:ascii="Times New Roman" w:hAnsi="Times New Roman" w:cs="Times New Roman"/>
          <w:iCs/>
          <w:sz w:val="24"/>
          <w:szCs w:val="24"/>
          <w:lang w:val="en-US"/>
        </w:rPr>
        <w:t xml:space="preserve">, </w:t>
      </w:r>
      <w:r w:rsidRPr="00084958">
        <w:rPr>
          <w:rFonts w:ascii="Times New Roman" w:hAnsi="Times New Roman" w:cs="Times New Roman"/>
          <w:i/>
          <w:iCs/>
          <w:sz w:val="24"/>
          <w:szCs w:val="24"/>
          <w:lang w:val="en-US"/>
        </w:rPr>
        <w:t xml:space="preserve">4, </w:t>
      </w:r>
      <w:r w:rsidRPr="00084958">
        <w:rPr>
          <w:rFonts w:ascii="Times New Roman" w:hAnsi="Times New Roman" w:cs="Times New Roman"/>
          <w:iCs/>
          <w:sz w:val="24"/>
          <w:szCs w:val="24"/>
          <w:lang w:val="en-US"/>
        </w:rPr>
        <w:t xml:space="preserve">561-71. </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r w:rsidRPr="00084958">
        <w:rPr>
          <w:rFonts w:ascii="Times New Roman" w:hAnsi="Times New Roman" w:cs="Times New Roman"/>
          <w:iCs/>
          <w:sz w:val="24"/>
          <w:szCs w:val="24"/>
          <w:lang w:val="en-US"/>
        </w:rPr>
        <w:t>Beck, A., Steer, R., &amp;</w:t>
      </w:r>
      <w:r w:rsidR="001F301D">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Carbin</w:t>
      </w:r>
      <w:proofErr w:type="spellEnd"/>
      <w:r w:rsidRPr="00084958">
        <w:rPr>
          <w:rFonts w:ascii="Times New Roman" w:hAnsi="Times New Roman" w:cs="Times New Roman"/>
          <w:iCs/>
          <w:sz w:val="24"/>
          <w:szCs w:val="24"/>
          <w:lang w:val="en-US"/>
        </w:rPr>
        <w:t xml:space="preserve">, M. (1988). Psychometric properties of the Beck Depression Inventory: Twenty-five years of evaluation. </w:t>
      </w:r>
      <w:r w:rsidRPr="00084958">
        <w:rPr>
          <w:rFonts w:ascii="Times New Roman" w:hAnsi="Times New Roman" w:cs="Times New Roman"/>
          <w:i/>
          <w:iCs/>
          <w:sz w:val="24"/>
          <w:szCs w:val="24"/>
          <w:lang w:val="en-US"/>
        </w:rPr>
        <w:t>Clinical Psychology Review</w:t>
      </w:r>
      <w:r w:rsidRPr="00084958">
        <w:rPr>
          <w:rFonts w:ascii="Times New Roman" w:hAnsi="Times New Roman" w:cs="Times New Roman"/>
          <w:iCs/>
          <w:sz w:val="24"/>
          <w:szCs w:val="24"/>
          <w:lang w:val="en-US"/>
        </w:rPr>
        <w:t xml:space="preserve">, </w:t>
      </w:r>
      <w:r w:rsidRPr="00084958">
        <w:rPr>
          <w:rFonts w:ascii="Times New Roman" w:hAnsi="Times New Roman" w:cs="Times New Roman"/>
          <w:i/>
          <w:iCs/>
          <w:sz w:val="24"/>
          <w:szCs w:val="24"/>
          <w:lang w:val="en-US"/>
        </w:rPr>
        <w:t>8</w:t>
      </w:r>
      <w:r w:rsidRPr="00084958">
        <w:rPr>
          <w:rFonts w:ascii="Times New Roman" w:hAnsi="Times New Roman" w:cs="Times New Roman"/>
          <w:iCs/>
          <w:sz w:val="24"/>
          <w:szCs w:val="24"/>
          <w:lang w:val="en-US"/>
        </w:rPr>
        <w:t xml:space="preserve">(1), 77-100. </w:t>
      </w:r>
      <w:hyperlink r:id="rId8" w:history="1">
        <w:r w:rsidRPr="00084958">
          <w:rPr>
            <w:rStyle w:val="Hipervnculo"/>
            <w:rFonts w:ascii="Times New Roman" w:hAnsi="Times New Roman" w:cs="Times New Roman"/>
            <w:iCs/>
            <w:sz w:val="24"/>
            <w:szCs w:val="24"/>
            <w:lang w:val="en-US"/>
          </w:rPr>
          <w:t>http://dx.doi.org/10.1016/0272-7358(88)90050-5</w:t>
        </w:r>
      </w:hyperlink>
    </w:p>
    <w:p w:rsidR="00663C5A" w:rsidRPr="00CB1324" w:rsidRDefault="00663C5A" w:rsidP="00507AAC">
      <w:pPr>
        <w:spacing w:line="240" w:lineRule="auto"/>
        <w:ind w:left="709" w:hanging="709"/>
        <w:contextualSpacing/>
        <w:jc w:val="both"/>
        <w:rPr>
          <w:rFonts w:ascii="Times New Roman" w:hAnsi="Times New Roman" w:cs="Times New Roman"/>
          <w:sz w:val="24"/>
          <w:szCs w:val="24"/>
        </w:rPr>
      </w:pPr>
      <w:proofErr w:type="spellStart"/>
      <w:r w:rsidRPr="00C07A96">
        <w:rPr>
          <w:rFonts w:ascii="Times New Roman" w:hAnsi="Times New Roman" w:cs="Times New Roman"/>
          <w:sz w:val="24"/>
          <w:szCs w:val="24"/>
          <w:lang w:val="en-US"/>
        </w:rPr>
        <w:t>Boomershine</w:t>
      </w:r>
      <w:proofErr w:type="spellEnd"/>
      <w:r w:rsidRPr="00C07A96">
        <w:rPr>
          <w:rFonts w:ascii="Times New Roman" w:hAnsi="Times New Roman" w:cs="Times New Roman"/>
          <w:sz w:val="24"/>
          <w:szCs w:val="24"/>
          <w:lang w:val="en-US"/>
        </w:rPr>
        <w:t>, C. S. (2015). Fibromyalgia: the prototypical central sensitivity syndrome. </w:t>
      </w:r>
      <w:proofErr w:type="spellStart"/>
      <w:r w:rsidRPr="00663C5A">
        <w:rPr>
          <w:rFonts w:ascii="Times New Roman" w:hAnsi="Times New Roman" w:cs="Times New Roman"/>
          <w:i/>
          <w:iCs/>
          <w:sz w:val="24"/>
          <w:szCs w:val="24"/>
        </w:rPr>
        <w:t>Currentrheumatologyreviews</w:t>
      </w:r>
      <w:proofErr w:type="spellEnd"/>
      <w:r w:rsidRPr="00663C5A">
        <w:rPr>
          <w:rFonts w:ascii="Times New Roman" w:hAnsi="Times New Roman" w:cs="Times New Roman"/>
          <w:sz w:val="24"/>
          <w:szCs w:val="24"/>
        </w:rPr>
        <w:t>, </w:t>
      </w:r>
      <w:r w:rsidRPr="00663C5A">
        <w:rPr>
          <w:rFonts w:ascii="Times New Roman" w:hAnsi="Times New Roman" w:cs="Times New Roman"/>
          <w:i/>
          <w:iCs/>
          <w:sz w:val="24"/>
          <w:szCs w:val="24"/>
        </w:rPr>
        <w:t>11</w:t>
      </w:r>
      <w:r w:rsidRPr="00663C5A">
        <w:rPr>
          <w:rFonts w:ascii="Times New Roman" w:hAnsi="Times New Roman" w:cs="Times New Roman"/>
          <w:sz w:val="24"/>
          <w:szCs w:val="24"/>
        </w:rPr>
        <w:t>(2), 131-145.</w:t>
      </w:r>
    </w:p>
    <w:p w:rsidR="00BF0BBB" w:rsidRPr="00084958" w:rsidRDefault="00BF0BBB" w:rsidP="00507AAC">
      <w:pPr>
        <w:spacing w:line="240" w:lineRule="auto"/>
        <w:ind w:left="709" w:hanging="709"/>
        <w:contextualSpacing/>
        <w:jc w:val="both"/>
        <w:rPr>
          <w:rFonts w:ascii="Times New Roman" w:hAnsi="Times New Roman" w:cs="Times New Roman"/>
          <w:sz w:val="24"/>
          <w:szCs w:val="24"/>
          <w:lang w:val="en-US"/>
        </w:rPr>
      </w:pPr>
      <w:r w:rsidRPr="00C07A96">
        <w:rPr>
          <w:rFonts w:ascii="Times New Roman" w:hAnsi="Times New Roman" w:cs="Times New Roman"/>
          <w:sz w:val="24"/>
          <w:szCs w:val="24"/>
        </w:rPr>
        <w:t>Conde, V., &amp;</w:t>
      </w:r>
      <w:r w:rsidR="00424952">
        <w:rPr>
          <w:rFonts w:ascii="Times New Roman" w:hAnsi="Times New Roman" w:cs="Times New Roman"/>
          <w:sz w:val="24"/>
          <w:szCs w:val="24"/>
        </w:rPr>
        <w:t xml:space="preserve"> </w:t>
      </w:r>
      <w:proofErr w:type="spellStart"/>
      <w:r w:rsidRPr="00C07A96">
        <w:rPr>
          <w:rFonts w:ascii="Times New Roman" w:hAnsi="Times New Roman" w:cs="Times New Roman"/>
          <w:sz w:val="24"/>
          <w:szCs w:val="24"/>
        </w:rPr>
        <w:t>Useros</w:t>
      </w:r>
      <w:proofErr w:type="spellEnd"/>
      <w:r w:rsidRPr="00C07A96">
        <w:rPr>
          <w:rFonts w:ascii="Times New Roman" w:hAnsi="Times New Roman" w:cs="Times New Roman"/>
          <w:sz w:val="24"/>
          <w:szCs w:val="24"/>
        </w:rPr>
        <w:t xml:space="preserve">, E. (1975). </w:t>
      </w:r>
      <w:r w:rsidRPr="00084958">
        <w:rPr>
          <w:rFonts w:ascii="Times New Roman" w:hAnsi="Times New Roman" w:cs="Times New Roman"/>
          <w:sz w:val="24"/>
          <w:szCs w:val="24"/>
        </w:rPr>
        <w:t xml:space="preserve">Adaptación castellana de la escala de evaluación conductual para la depresión de Beck. </w:t>
      </w:r>
      <w:r w:rsidRPr="00084958">
        <w:rPr>
          <w:rFonts w:ascii="Times New Roman" w:hAnsi="Times New Roman" w:cs="Times New Roman"/>
          <w:i/>
          <w:iCs/>
          <w:sz w:val="24"/>
          <w:szCs w:val="24"/>
          <w:lang w:val="en-US"/>
        </w:rPr>
        <w:t xml:space="preserve">Rev </w:t>
      </w:r>
      <w:proofErr w:type="spellStart"/>
      <w:r w:rsidRPr="00084958">
        <w:rPr>
          <w:rFonts w:ascii="Times New Roman" w:hAnsi="Times New Roman" w:cs="Times New Roman"/>
          <w:i/>
          <w:iCs/>
          <w:sz w:val="24"/>
          <w:szCs w:val="24"/>
          <w:lang w:val="en-US"/>
        </w:rPr>
        <w:t>PsiquiatrPsicol</w:t>
      </w:r>
      <w:proofErr w:type="spellEnd"/>
      <w:r w:rsidRPr="00084958">
        <w:rPr>
          <w:rFonts w:ascii="Times New Roman" w:hAnsi="Times New Roman" w:cs="Times New Roman"/>
          <w:i/>
          <w:iCs/>
          <w:sz w:val="24"/>
          <w:szCs w:val="24"/>
          <w:lang w:val="en-US"/>
        </w:rPr>
        <w:t xml:space="preserve"> Med </w:t>
      </w:r>
      <w:proofErr w:type="spellStart"/>
      <w:r w:rsidRPr="00084958">
        <w:rPr>
          <w:rFonts w:ascii="Times New Roman" w:hAnsi="Times New Roman" w:cs="Times New Roman"/>
          <w:i/>
          <w:iCs/>
          <w:sz w:val="24"/>
          <w:szCs w:val="24"/>
          <w:lang w:val="en-US"/>
        </w:rPr>
        <w:t>Eur</w:t>
      </w:r>
      <w:proofErr w:type="spellEnd"/>
      <w:r w:rsidRPr="00084958">
        <w:rPr>
          <w:rFonts w:ascii="Times New Roman" w:hAnsi="Times New Roman" w:cs="Times New Roman"/>
          <w:i/>
          <w:iCs/>
          <w:sz w:val="24"/>
          <w:szCs w:val="24"/>
          <w:lang w:val="en-US"/>
        </w:rPr>
        <w:t xml:space="preserve"> Am</w:t>
      </w:r>
      <w:r w:rsidRPr="00084958">
        <w:rPr>
          <w:rFonts w:ascii="Times New Roman" w:hAnsi="Times New Roman" w:cs="Times New Roman"/>
          <w:sz w:val="24"/>
          <w:szCs w:val="24"/>
          <w:lang w:val="en-US"/>
        </w:rPr>
        <w:t xml:space="preserve">, </w:t>
      </w:r>
      <w:r w:rsidRPr="00084958">
        <w:rPr>
          <w:rFonts w:ascii="Times New Roman" w:hAnsi="Times New Roman" w:cs="Times New Roman"/>
          <w:i/>
          <w:iCs/>
          <w:sz w:val="24"/>
          <w:szCs w:val="24"/>
          <w:lang w:val="en-US"/>
        </w:rPr>
        <w:t>12</w:t>
      </w:r>
      <w:r w:rsidRPr="00084958">
        <w:rPr>
          <w:rFonts w:ascii="Times New Roman" w:hAnsi="Times New Roman" w:cs="Times New Roman"/>
          <w:sz w:val="24"/>
          <w:szCs w:val="24"/>
          <w:lang w:val="en-US"/>
        </w:rPr>
        <w:t>(217-36).</w:t>
      </w:r>
    </w:p>
    <w:p w:rsidR="00BF0BBB" w:rsidRPr="00CB1324" w:rsidRDefault="00BF0BBB" w:rsidP="00507AAC">
      <w:pPr>
        <w:spacing w:line="240" w:lineRule="auto"/>
        <w:ind w:left="709" w:hanging="709"/>
        <w:contextualSpacing/>
        <w:jc w:val="both"/>
        <w:rPr>
          <w:rFonts w:ascii="Times New Roman" w:hAnsi="Times New Roman" w:cs="Times New Roman"/>
          <w:iCs/>
          <w:sz w:val="24"/>
          <w:szCs w:val="24"/>
          <w:lang w:val="en-US"/>
        </w:rPr>
      </w:pPr>
      <w:proofErr w:type="spellStart"/>
      <w:proofErr w:type="gramStart"/>
      <w:r w:rsidRPr="00084958">
        <w:rPr>
          <w:rFonts w:ascii="Times New Roman" w:hAnsi="Times New Roman" w:cs="Times New Roman"/>
          <w:iCs/>
          <w:sz w:val="24"/>
          <w:szCs w:val="24"/>
          <w:lang w:val="en-US"/>
        </w:rPr>
        <w:t>Egner</w:t>
      </w:r>
      <w:proofErr w:type="spellEnd"/>
      <w:r w:rsidRPr="00084958">
        <w:rPr>
          <w:rFonts w:ascii="Times New Roman" w:hAnsi="Times New Roman" w:cs="Times New Roman"/>
          <w:iCs/>
          <w:sz w:val="24"/>
          <w:szCs w:val="24"/>
          <w:lang w:val="en-US"/>
        </w:rPr>
        <w:t>, T., &amp;</w:t>
      </w:r>
      <w:r w:rsidR="00424952">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Gruzelier</w:t>
      </w:r>
      <w:proofErr w:type="spellEnd"/>
      <w:r w:rsidRPr="00084958">
        <w:rPr>
          <w:rFonts w:ascii="Times New Roman" w:hAnsi="Times New Roman" w:cs="Times New Roman"/>
          <w:iCs/>
          <w:sz w:val="24"/>
          <w:szCs w:val="24"/>
          <w:lang w:val="en-US"/>
        </w:rPr>
        <w:t>, J. (2001).</w:t>
      </w:r>
      <w:proofErr w:type="gramEnd"/>
      <w:r w:rsidRPr="00084958">
        <w:rPr>
          <w:rFonts w:ascii="Times New Roman" w:hAnsi="Times New Roman" w:cs="Times New Roman"/>
          <w:iCs/>
          <w:sz w:val="24"/>
          <w:szCs w:val="24"/>
          <w:lang w:val="en-US"/>
        </w:rPr>
        <w:t xml:space="preserve"> Learned self-regulation of EEG frequency components affects attention and event-related brain potentials in humans. </w:t>
      </w:r>
      <w:proofErr w:type="spellStart"/>
      <w:r w:rsidRPr="00CB1324">
        <w:rPr>
          <w:rFonts w:ascii="Times New Roman" w:hAnsi="Times New Roman" w:cs="Times New Roman"/>
          <w:i/>
          <w:iCs/>
          <w:sz w:val="24"/>
          <w:szCs w:val="24"/>
          <w:lang w:val="en-US"/>
        </w:rPr>
        <w:t>Neuroreport</w:t>
      </w:r>
      <w:proofErr w:type="spellEnd"/>
      <w:r w:rsidRPr="00CB1324">
        <w:rPr>
          <w:rFonts w:ascii="Times New Roman" w:hAnsi="Times New Roman" w:cs="Times New Roman"/>
          <w:i/>
          <w:iCs/>
          <w:sz w:val="24"/>
          <w:szCs w:val="24"/>
          <w:lang w:val="en-US"/>
        </w:rPr>
        <w:t>, 12</w:t>
      </w:r>
      <w:r w:rsidRPr="00CB1324">
        <w:rPr>
          <w:rFonts w:ascii="Times New Roman" w:hAnsi="Times New Roman" w:cs="Times New Roman"/>
          <w:iCs/>
          <w:sz w:val="24"/>
          <w:szCs w:val="24"/>
          <w:lang w:val="en-US"/>
        </w:rPr>
        <w:t xml:space="preserve">(18), 4155-4159. </w:t>
      </w:r>
      <w:hyperlink r:id="rId9" w:history="1">
        <w:r w:rsidRPr="00CB1324">
          <w:rPr>
            <w:rStyle w:val="Hipervnculo"/>
            <w:rFonts w:ascii="Times New Roman" w:hAnsi="Times New Roman" w:cs="Times New Roman"/>
            <w:iCs/>
            <w:sz w:val="24"/>
            <w:szCs w:val="24"/>
            <w:lang w:val="en-US"/>
          </w:rPr>
          <w:t>http://dx.doi.org/10.1097/00001756-200112210-00058</w:t>
        </w:r>
      </w:hyperlink>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proofErr w:type="spellStart"/>
      <w:proofErr w:type="gramStart"/>
      <w:r w:rsidRPr="00084958">
        <w:rPr>
          <w:rFonts w:ascii="Times New Roman" w:hAnsi="Times New Roman" w:cs="Times New Roman"/>
          <w:iCs/>
          <w:sz w:val="24"/>
          <w:szCs w:val="24"/>
          <w:lang w:val="en-US"/>
        </w:rPr>
        <w:t>Falcão</w:t>
      </w:r>
      <w:proofErr w:type="spellEnd"/>
      <w:r w:rsidRPr="00084958">
        <w:rPr>
          <w:rFonts w:ascii="Times New Roman" w:hAnsi="Times New Roman" w:cs="Times New Roman"/>
          <w:iCs/>
          <w:sz w:val="24"/>
          <w:szCs w:val="24"/>
          <w:lang w:val="en-US"/>
        </w:rPr>
        <w:t xml:space="preserve">, D. M., Sales, L., </w:t>
      </w:r>
      <w:proofErr w:type="spellStart"/>
      <w:r w:rsidRPr="00084958">
        <w:rPr>
          <w:rFonts w:ascii="Times New Roman" w:hAnsi="Times New Roman" w:cs="Times New Roman"/>
          <w:iCs/>
          <w:sz w:val="24"/>
          <w:szCs w:val="24"/>
          <w:lang w:val="en-US"/>
        </w:rPr>
        <w:t>Leite</w:t>
      </w:r>
      <w:proofErr w:type="spellEnd"/>
      <w:r w:rsidRPr="00084958">
        <w:rPr>
          <w:rFonts w:ascii="Times New Roman" w:hAnsi="Times New Roman" w:cs="Times New Roman"/>
          <w:iCs/>
          <w:sz w:val="24"/>
          <w:szCs w:val="24"/>
          <w:lang w:val="en-US"/>
        </w:rPr>
        <w:t xml:space="preserve">, J., Feldman, D., </w:t>
      </w:r>
      <w:proofErr w:type="spellStart"/>
      <w:r w:rsidRPr="00084958">
        <w:rPr>
          <w:rFonts w:ascii="Times New Roman" w:hAnsi="Times New Roman" w:cs="Times New Roman"/>
          <w:iCs/>
          <w:sz w:val="24"/>
          <w:szCs w:val="24"/>
          <w:lang w:val="en-US"/>
        </w:rPr>
        <w:t>Valim</w:t>
      </w:r>
      <w:proofErr w:type="spellEnd"/>
      <w:r w:rsidRPr="00084958">
        <w:rPr>
          <w:rFonts w:ascii="Times New Roman" w:hAnsi="Times New Roman" w:cs="Times New Roman"/>
          <w:iCs/>
          <w:sz w:val="24"/>
          <w:szCs w:val="24"/>
          <w:lang w:val="en-US"/>
        </w:rPr>
        <w:t xml:space="preserve">, V., </w:t>
      </w:r>
      <w:proofErr w:type="spellStart"/>
      <w:r w:rsidRPr="00084958">
        <w:rPr>
          <w:rFonts w:ascii="Times New Roman" w:hAnsi="Times New Roman" w:cs="Times New Roman"/>
          <w:iCs/>
          <w:sz w:val="24"/>
          <w:szCs w:val="24"/>
          <w:lang w:val="en-US"/>
        </w:rPr>
        <w:t>Natour</w:t>
      </w:r>
      <w:proofErr w:type="spellEnd"/>
      <w:r w:rsidRPr="00084958">
        <w:rPr>
          <w:rFonts w:ascii="Times New Roman" w:hAnsi="Times New Roman" w:cs="Times New Roman"/>
          <w:iCs/>
          <w:sz w:val="24"/>
          <w:szCs w:val="24"/>
          <w:lang w:val="en-US"/>
        </w:rPr>
        <w:t>, J. (2008).</w:t>
      </w:r>
      <w:proofErr w:type="gramEnd"/>
      <w:r w:rsidRPr="00084958">
        <w:rPr>
          <w:rFonts w:ascii="Times New Roman" w:hAnsi="Times New Roman" w:cs="Times New Roman"/>
          <w:iCs/>
          <w:sz w:val="24"/>
          <w:szCs w:val="24"/>
          <w:lang w:val="en-US"/>
        </w:rPr>
        <w:t xml:space="preserve"> Cognitive behavioral therapy for the treatment of fibromyalgia syndrome: a randomized controlled trial. </w:t>
      </w:r>
      <w:r w:rsidRPr="00084958">
        <w:rPr>
          <w:rFonts w:ascii="Times New Roman" w:hAnsi="Times New Roman" w:cs="Times New Roman"/>
          <w:i/>
          <w:iCs/>
          <w:sz w:val="24"/>
          <w:szCs w:val="24"/>
          <w:lang w:val="en-US"/>
        </w:rPr>
        <w:t xml:space="preserve">J </w:t>
      </w:r>
      <w:proofErr w:type="spellStart"/>
      <w:r w:rsidRPr="00084958">
        <w:rPr>
          <w:rFonts w:ascii="Times New Roman" w:hAnsi="Times New Roman" w:cs="Times New Roman"/>
          <w:i/>
          <w:iCs/>
          <w:sz w:val="24"/>
          <w:szCs w:val="24"/>
          <w:lang w:val="en-US"/>
        </w:rPr>
        <w:t>Musculoskelet</w:t>
      </w:r>
      <w:proofErr w:type="spellEnd"/>
      <w:r w:rsidRPr="00084958">
        <w:rPr>
          <w:rFonts w:ascii="Times New Roman" w:hAnsi="Times New Roman" w:cs="Times New Roman"/>
          <w:i/>
          <w:iCs/>
          <w:sz w:val="24"/>
          <w:szCs w:val="24"/>
          <w:lang w:val="en-US"/>
        </w:rPr>
        <w:t xml:space="preserve"> Pain</w:t>
      </w:r>
      <w:r w:rsidRPr="00084958">
        <w:rPr>
          <w:rFonts w:ascii="Times New Roman" w:hAnsi="Times New Roman" w:cs="Times New Roman"/>
          <w:iCs/>
          <w:sz w:val="24"/>
          <w:szCs w:val="24"/>
          <w:lang w:val="en-US"/>
        </w:rPr>
        <w:t>,</w:t>
      </w:r>
      <w:r w:rsidRPr="00DC57EA">
        <w:rPr>
          <w:rFonts w:ascii="Times New Roman" w:hAnsi="Times New Roman" w:cs="Times New Roman"/>
          <w:i/>
          <w:iCs/>
          <w:sz w:val="24"/>
          <w:szCs w:val="24"/>
          <w:lang w:val="en-US"/>
        </w:rPr>
        <w:t xml:space="preserve"> 16</w:t>
      </w:r>
      <w:r w:rsidRPr="00084958">
        <w:rPr>
          <w:rFonts w:ascii="Times New Roman" w:hAnsi="Times New Roman" w:cs="Times New Roman"/>
          <w:iCs/>
          <w:sz w:val="24"/>
          <w:szCs w:val="24"/>
          <w:lang w:val="en-US"/>
        </w:rPr>
        <w:t>(3),133-40.</w:t>
      </w:r>
    </w:p>
    <w:p w:rsidR="00BF0BBB" w:rsidRPr="00084958" w:rsidRDefault="00BF0BBB" w:rsidP="00507AAC">
      <w:pPr>
        <w:spacing w:line="240" w:lineRule="auto"/>
        <w:ind w:left="709" w:hanging="709"/>
        <w:contextualSpacing/>
        <w:jc w:val="both"/>
        <w:rPr>
          <w:rFonts w:ascii="Times New Roman" w:hAnsi="Times New Roman" w:cs="Times New Roman"/>
          <w:sz w:val="24"/>
          <w:szCs w:val="24"/>
          <w:lang w:val="en-US"/>
        </w:rPr>
      </w:pPr>
      <w:proofErr w:type="gramStart"/>
      <w:r w:rsidRPr="00084958">
        <w:rPr>
          <w:rFonts w:ascii="Times New Roman" w:hAnsi="Times New Roman" w:cs="Times New Roman"/>
          <w:sz w:val="24"/>
          <w:szCs w:val="24"/>
          <w:lang w:val="en-US"/>
        </w:rPr>
        <w:t xml:space="preserve">Fitzcharles, M., </w:t>
      </w:r>
      <w:proofErr w:type="spellStart"/>
      <w:r w:rsidRPr="00084958">
        <w:rPr>
          <w:rFonts w:ascii="Times New Roman" w:hAnsi="Times New Roman" w:cs="Times New Roman"/>
          <w:sz w:val="24"/>
          <w:szCs w:val="24"/>
          <w:lang w:val="en-US"/>
        </w:rPr>
        <w:t>Shir</w:t>
      </w:r>
      <w:proofErr w:type="spellEnd"/>
      <w:r w:rsidRPr="00084958">
        <w:rPr>
          <w:rFonts w:ascii="Times New Roman" w:hAnsi="Times New Roman" w:cs="Times New Roman"/>
          <w:sz w:val="24"/>
          <w:szCs w:val="24"/>
          <w:lang w:val="en-US"/>
        </w:rPr>
        <w:t xml:space="preserve">, Y., </w:t>
      </w:r>
      <w:proofErr w:type="spellStart"/>
      <w:r w:rsidRPr="00084958">
        <w:rPr>
          <w:rFonts w:ascii="Times New Roman" w:hAnsi="Times New Roman" w:cs="Times New Roman"/>
          <w:sz w:val="24"/>
          <w:szCs w:val="24"/>
          <w:lang w:val="en-US"/>
        </w:rPr>
        <w:t>Ablin</w:t>
      </w:r>
      <w:proofErr w:type="spellEnd"/>
      <w:r w:rsidRPr="00084958">
        <w:rPr>
          <w:rFonts w:ascii="Times New Roman" w:hAnsi="Times New Roman" w:cs="Times New Roman"/>
          <w:sz w:val="24"/>
          <w:szCs w:val="24"/>
          <w:lang w:val="en-US"/>
        </w:rPr>
        <w:t xml:space="preserve">, J., </w:t>
      </w:r>
      <w:proofErr w:type="spellStart"/>
      <w:r w:rsidRPr="00084958">
        <w:rPr>
          <w:rFonts w:ascii="Times New Roman" w:hAnsi="Times New Roman" w:cs="Times New Roman"/>
          <w:sz w:val="24"/>
          <w:szCs w:val="24"/>
          <w:lang w:val="en-US"/>
        </w:rPr>
        <w:t>Buskila</w:t>
      </w:r>
      <w:proofErr w:type="spellEnd"/>
      <w:r w:rsidRPr="00084958">
        <w:rPr>
          <w:rFonts w:ascii="Times New Roman" w:hAnsi="Times New Roman" w:cs="Times New Roman"/>
          <w:sz w:val="24"/>
          <w:szCs w:val="24"/>
          <w:lang w:val="en-US"/>
        </w:rPr>
        <w:t xml:space="preserve">, D., </w:t>
      </w:r>
      <w:proofErr w:type="spellStart"/>
      <w:r w:rsidRPr="00084958">
        <w:rPr>
          <w:rFonts w:ascii="Times New Roman" w:hAnsi="Times New Roman" w:cs="Times New Roman"/>
          <w:sz w:val="24"/>
          <w:szCs w:val="24"/>
          <w:lang w:val="en-US"/>
        </w:rPr>
        <w:t>Amital</w:t>
      </w:r>
      <w:proofErr w:type="spellEnd"/>
      <w:r w:rsidRPr="00084958">
        <w:rPr>
          <w:rFonts w:ascii="Times New Roman" w:hAnsi="Times New Roman" w:cs="Times New Roman"/>
          <w:sz w:val="24"/>
          <w:szCs w:val="24"/>
          <w:lang w:val="en-US"/>
        </w:rPr>
        <w:t>, H., Henningsen, P., &amp;</w:t>
      </w:r>
      <w:r w:rsidR="00424952">
        <w:rPr>
          <w:rFonts w:ascii="Times New Roman" w:hAnsi="Times New Roman" w:cs="Times New Roman"/>
          <w:sz w:val="24"/>
          <w:szCs w:val="24"/>
          <w:lang w:val="en-US"/>
        </w:rPr>
        <w:t xml:space="preserve"> </w:t>
      </w:r>
      <w:proofErr w:type="spellStart"/>
      <w:r w:rsidRPr="00084958">
        <w:rPr>
          <w:rFonts w:ascii="Times New Roman" w:hAnsi="Times New Roman" w:cs="Times New Roman"/>
          <w:sz w:val="24"/>
          <w:szCs w:val="24"/>
          <w:lang w:val="en-US"/>
        </w:rPr>
        <w:t>Häuser</w:t>
      </w:r>
      <w:proofErr w:type="spellEnd"/>
      <w:r w:rsidRPr="00084958">
        <w:rPr>
          <w:rFonts w:ascii="Times New Roman" w:hAnsi="Times New Roman" w:cs="Times New Roman"/>
          <w:sz w:val="24"/>
          <w:szCs w:val="24"/>
          <w:lang w:val="en-US"/>
        </w:rPr>
        <w:t>, W. (2013).</w:t>
      </w:r>
      <w:proofErr w:type="gramEnd"/>
      <w:r w:rsidRPr="00084958">
        <w:rPr>
          <w:rFonts w:ascii="Times New Roman" w:hAnsi="Times New Roman" w:cs="Times New Roman"/>
          <w:sz w:val="24"/>
          <w:szCs w:val="24"/>
          <w:lang w:val="en-US"/>
        </w:rPr>
        <w:t xml:space="preserve"> Classification and Clinical Diagnosis of Fibromyalgia Syndrome: Recommendations of Recent Evidence-Based Interdisciplinary Guidelines. </w:t>
      </w:r>
      <w:r w:rsidRPr="00084958">
        <w:rPr>
          <w:rFonts w:ascii="Times New Roman" w:hAnsi="Times New Roman" w:cs="Times New Roman"/>
          <w:i/>
          <w:iCs/>
          <w:sz w:val="24"/>
          <w:szCs w:val="24"/>
          <w:lang w:val="en-US"/>
        </w:rPr>
        <w:t xml:space="preserve">Evidence-Based Complementary </w:t>
      </w:r>
      <w:proofErr w:type="gramStart"/>
      <w:r w:rsidRPr="00084958">
        <w:rPr>
          <w:rFonts w:ascii="Times New Roman" w:hAnsi="Times New Roman" w:cs="Times New Roman"/>
          <w:i/>
          <w:iCs/>
          <w:sz w:val="24"/>
          <w:szCs w:val="24"/>
          <w:lang w:val="en-US"/>
        </w:rPr>
        <w:t>And</w:t>
      </w:r>
      <w:proofErr w:type="gramEnd"/>
      <w:r w:rsidRPr="00084958">
        <w:rPr>
          <w:rFonts w:ascii="Times New Roman" w:hAnsi="Times New Roman" w:cs="Times New Roman"/>
          <w:i/>
          <w:iCs/>
          <w:sz w:val="24"/>
          <w:szCs w:val="24"/>
          <w:lang w:val="en-US"/>
        </w:rPr>
        <w:t xml:space="preserve"> Alternative Medicine</w:t>
      </w:r>
      <w:r w:rsidRPr="00084958">
        <w:rPr>
          <w:rFonts w:ascii="Times New Roman" w:hAnsi="Times New Roman" w:cs="Times New Roman"/>
          <w:sz w:val="24"/>
          <w:szCs w:val="24"/>
          <w:lang w:val="en-US"/>
        </w:rPr>
        <w:t xml:space="preserve">, 1-9. </w:t>
      </w:r>
      <w:hyperlink r:id="rId10" w:history="1">
        <w:r w:rsidRPr="00084958">
          <w:rPr>
            <w:rStyle w:val="Hipervnculo"/>
            <w:rFonts w:ascii="Times New Roman" w:hAnsi="Times New Roman" w:cs="Times New Roman"/>
            <w:sz w:val="24"/>
            <w:szCs w:val="24"/>
            <w:lang w:val="en-US"/>
          </w:rPr>
          <w:t>http://dx.doi.org/10.1155/2013/528952</w:t>
        </w:r>
      </w:hyperlink>
    </w:p>
    <w:p w:rsidR="00082A19" w:rsidRDefault="00BF0BBB" w:rsidP="00507AAC">
      <w:pPr>
        <w:spacing w:line="240" w:lineRule="auto"/>
        <w:ind w:left="709" w:hanging="709"/>
        <w:contextualSpacing/>
        <w:jc w:val="both"/>
        <w:rPr>
          <w:rFonts w:ascii="Times New Roman" w:hAnsi="Times New Roman" w:cs="Times New Roman"/>
          <w:sz w:val="24"/>
          <w:szCs w:val="24"/>
          <w:lang w:val="en-US"/>
        </w:rPr>
      </w:pPr>
      <w:proofErr w:type="gramStart"/>
      <w:r w:rsidRPr="00084958">
        <w:rPr>
          <w:rFonts w:ascii="Times New Roman" w:hAnsi="Times New Roman" w:cs="Times New Roman"/>
          <w:sz w:val="24"/>
          <w:szCs w:val="24"/>
          <w:lang w:val="en-US"/>
        </w:rPr>
        <w:lastRenderedPageBreak/>
        <w:t>Fitzcharles, M., Ste-Marie, P., Goldenberg, D., Pereira, J., Abbey, S., &amp;</w:t>
      </w:r>
      <w:r w:rsidR="00025B90">
        <w:rPr>
          <w:rFonts w:ascii="Times New Roman" w:hAnsi="Times New Roman" w:cs="Times New Roman"/>
          <w:sz w:val="24"/>
          <w:szCs w:val="24"/>
          <w:lang w:val="en-US"/>
        </w:rPr>
        <w:t xml:space="preserve"> </w:t>
      </w:r>
      <w:proofErr w:type="spellStart"/>
      <w:r w:rsidR="00DC57EA">
        <w:rPr>
          <w:rFonts w:ascii="Times New Roman" w:hAnsi="Times New Roman" w:cs="Times New Roman"/>
          <w:sz w:val="24"/>
          <w:szCs w:val="24"/>
          <w:lang w:val="en-US"/>
        </w:rPr>
        <w:t>Choinière</w:t>
      </w:r>
      <w:proofErr w:type="spellEnd"/>
      <w:r w:rsidR="00DC57EA">
        <w:rPr>
          <w:rFonts w:ascii="Times New Roman" w:hAnsi="Times New Roman" w:cs="Times New Roman"/>
          <w:sz w:val="24"/>
          <w:szCs w:val="24"/>
          <w:lang w:val="en-US"/>
        </w:rPr>
        <w:t>, M. et al. (2013</w:t>
      </w:r>
      <w:r w:rsidRPr="00084958">
        <w:rPr>
          <w:rFonts w:ascii="Times New Roman" w:hAnsi="Times New Roman" w:cs="Times New Roman"/>
          <w:sz w:val="24"/>
          <w:szCs w:val="24"/>
          <w:lang w:val="en-US"/>
        </w:rPr>
        <w:t>).</w:t>
      </w:r>
      <w:proofErr w:type="gramEnd"/>
      <w:r w:rsidRPr="00084958">
        <w:rPr>
          <w:rFonts w:ascii="Times New Roman" w:hAnsi="Times New Roman" w:cs="Times New Roman"/>
          <w:sz w:val="24"/>
          <w:szCs w:val="24"/>
          <w:lang w:val="en-US"/>
        </w:rPr>
        <w:t xml:space="preserve"> 2012 Canadian Guidelines for the Diagnosis and Management of Fibromyalgia Syndrome: Executive Summary. </w:t>
      </w:r>
      <w:r w:rsidRPr="00084958">
        <w:rPr>
          <w:rFonts w:ascii="Times New Roman" w:hAnsi="Times New Roman" w:cs="Times New Roman"/>
          <w:i/>
          <w:iCs/>
          <w:sz w:val="24"/>
          <w:szCs w:val="24"/>
          <w:lang w:val="en-US"/>
        </w:rPr>
        <w:t xml:space="preserve">Pain Research </w:t>
      </w:r>
      <w:proofErr w:type="gramStart"/>
      <w:r w:rsidRPr="00084958">
        <w:rPr>
          <w:rFonts w:ascii="Times New Roman" w:hAnsi="Times New Roman" w:cs="Times New Roman"/>
          <w:i/>
          <w:iCs/>
          <w:sz w:val="24"/>
          <w:szCs w:val="24"/>
          <w:lang w:val="en-US"/>
        </w:rPr>
        <w:t>And</w:t>
      </w:r>
      <w:proofErr w:type="gramEnd"/>
      <w:r w:rsidRPr="00084958">
        <w:rPr>
          <w:rFonts w:ascii="Times New Roman" w:hAnsi="Times New Roman" w:cs="Times New Roman"/>
          <w:i/>
          <w:iCs/>
          <w:sz w:val="24"/>
          <w:szCs w:val="24"/>
          <w:lang w:val="en-US"/>
        </w:rPr>
        <w:t xml:space="preserve"> Management</w:t>
      </w:r>
      <w:r w:rsidRPr="00084958">
        <w:rPr>
          <w:rFonts w:ascii="Times New Roman" w:hAnsi="Times New Roman" w:cs="Times New Roman"/>
          <w:sz w:val="24"/>
          <w:szCs w:val="24"/>
          <w:lang w:val="en-US"/>
        </w:rPr>
        <w:t xml:space="preserve">, </w:t>
      </w:r>
      <w:r w:rsidRPr="00084958">
        <w:rPr>
          <w:rFonts w:ascii="Times New Roman" w:hAnsi="Times New Roman" w:cs="Times New Roman"/>
          <w:i/>
          <w:iCs/>
          <w:sz w:val="24"/>
          <w:szCs w:val="24"/>
          <w:lang w:val="en-US"/>
        </w:rPr>
        <w:t>18</w:t>
      </w:r>
      <w:r w:rsidRPr="00084958">
        <w:rPr>
          <w:rFonts w:ascii="Times New Roman" w:hAnsi="Times New Roman" w:cs="Times New Roman"/>
          <w:sz w:val="24"/>
          <w:szCs w:val="24"/>
          <w:lang w:val="en-US"/>
        </w:rPr>
        <w:t xml:space="preserve">(3), 119-126. </w:t>
      </w:r>
      <w:hyperlink r:id="rId11" w:history="1">
        <w:r w:rsidRPr="00084958">
          <w:rPr>
            <w:rStyle w:val="Hipervnculo"/>
            <w:rFonts w:ascii="Times New Roman" w:hAnsi="Times New Roman" w:cs="Times New Roman"/>
            <w:sz w:val="24"/>
            <w:szCs w:val="24"/>
            <w:lang w:val="en-US"/>
          </w:rPr>
          <w:t>http://dx.doi.org/10.1155/2013/918216</w:t>
        </w:r>
      </w:hyperlink>
    </w:p>
    <w:p w:rsidR="00BF0BBB" w:rsidRPr="00082A19" w:rsidRDefault="00BF0BBB" w:rsidP="00507AAC">
      <w:pPr>
        <w:spacing w:line="240" w:lineRule="auto"/>
        <w:ind w:left="709" w:hanging="709"/>
        <w:contextualSpacing/>
        <w:jc w:val="both"/>
        <w:rPr>
          <w:rFonts w:ascii="Times New Roman" w:hAnsi="Times New Roman" w:cs="Times New Roman"/>
          <w:sz w:val="24"/>
          <w:szCs w:val="24"/>
          <w:lang w:val="en-US"/>
        </w:rPr>
      </w:pPr>
      <w:r w:rsidRPr="00084958">
        <w:rPr>
          <w:rFonts w:ascii="Times New Roman" w:hAnsi="Times New Roman" w:cs="Times New Roman"/>
          <w:sz w:val="24"/>
          <w:szCs w:val="24"/>
          <w:lang w:val="en-US"/>
        </w:rPr>
        <w:t xml:space="preserve">Garg, N. &amp; Deodhar, A. (2012). New and modified fibromyalgia diagnostic criteria: Ambiguity, uncertainty, and difficulties complicate diagnosis and management. </w:t>
      </w:r>
      <w:proofErr w:type="gramStart"/>
      <w:r w:rsidRPr="00CB1324">
        <w:rPr>
          <w:rFonts w:ascii="Times New Roman" w:hAnsi="Times New Roman" w:cs="Times New Roman"/>
          <w:i/>
          <w:iCs/>
          <w:sz w:val="24"/>
          <w:szCs w:val="24"/>
          <w:lang w:val="en-US"/>
        </w:rPr>
        <w:t xml:space="preserve">J </w:t>
      </w:r>
      <w:proofErr w:type="spellStart"/>
      <w:r w:rsidRPr="00CB1324">
        <w:rPr>
          <w:rFonts w:ascii="Times New Roman" w:hAnsi="Times New Roman" w:cs="Times New Roman"/>
          <w:i/>
          <w:iCs/>
          <w:sz w:val="24"/>
          <w:szCs w:val="24"/>
          <w:lang w:val="en-US"/>
        </w:rPr>
        <w:t>MusculoskelMed</w:t>
      </w:r>
      <w:proofErr w:type="spellEnd"/>
      <w:r w:rsidRPr="00CB1324">
        <w:rPr>
          <w:rFonts w:ascii="Times New Roman" w:hAnsi="Times New Roman" w:cs="Times New Roman"/>
          <w:i/>
          <w:iCs/>
          <w:sz w:val="24"/>
          <w:szCs w:val="24"/>
          <w:lang w:val="en-US"/>
        </w:rPr>
        <w:t>.</w:t>
      </w:r>
      <w:proofErr w:type="gramEnd"/>
      <w:r w:rsidRPr="00CB1324">
        <w:rPr>
          <w:rFonts w:ascii="Times New Roman" w:hAnsi="Times New Roman" w:cs="Times New Roman"/>
          <w:i/>
          <w:iCs/>
          <w:sz w:val="24"/>
          <w:szCs w:val="24"/>
          <w:lang w:val="en-US"/>
        </w:rPr>
        <w:t xml:space="preserve"> 29</w:t>
      </w:r>
      <w:r w:rsidRPr="00CB1324">
        <w:rPr>
          <w:rFonts w:ascii="Times New Roman" w:hAnsi="Times New Roman" w:cs="Times New Roman"/>
          <w:sz w:val="24"/>
          <w:szCs w:val="24"/>
          <w:lang w:val="en-US"/>
        </w:rPr>
        <w:t>, 1–5.</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rPr>
      </w:pPr>
      <w:r w:rsidRPr="00084958">
        <w:rPr>
          <w:rFonts w:ascii="Times New Roman" w:hAnsi="Times New Roman" w:cs="Times New Roman"/>
          <w:iCs/>
          <w:sz w:val="24"/>
          <w:szCs w:val="24"/>
          <w:lang w:val="en-US"/>
        </w:rPr>
        <w:t xml:space="preserve">Goldenberg, D. L. (2002). The interface of pain and mood disturbances in the rheumatic diseases. </w:t>
      </w:r>
      <w:proofErr w:type="spellStart"/>
      <w:r w:rsidRPr="00084958">
        <w:rPr>
          <w:rFonts w:ascii="Times New Roman" w:hAnsi="Times New Roman" w:cs="Times New Roman"/>
          <w:i/>
          <w:iCs/>
          <w:sz w:val="24"/>
          <w:szCs w:val="24"/>
        </w:rPr>
        <w:t>SeminArthritisRheum</w:t>
      </w:r>
      <w:proofErr w:type="spellEnd"/>
      <w:r w:rsidRPr="00084958">
        <w:rPr>
          <w:rFonts w:ascii="Times New Roman" w:hAnsi="Times New Roman" w:cs="Times New Roman"/>
          <w:iCs/>
          <w:sz w:val="24"/>
          <w:szCs w:val="24"/>
        </w:rPr>
        <w:t>, 40(</w:t>
      </w:r>
      <w:r w:rsidRPr="00084958">
        <w:rPr>
          <w:rFonts w:ascii="Times New Roman" w:hAnsi="Times New Roman" w:cs="Times New Roman"/>
          <w:i/>
          <w:iCs/>
          <w:sz w:val="24"/>
          <w:szCs w:val="24"/>
        </w:rPr>
        <w:t>1</w:t>
      </w:r>
      <w:r w:rsidRPr="00084958">
        <w:rPr>
          <w:rFonts w:ascii="Times New Roman" w:hAnsi="Times New Roman" w:cs="Times New Roman"/>
          <w:iCs/>
          <w:sz w:val="24"/>
          <w:szCs w:val="24"/>
        </w:rPr>
        <w:t>),15-31.</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rPr>
      </w:pPr>
      <w:r w:rsidRPr="00084958">
        <w:rPr>
          <w:rFonts w:ascii="Times New Roman" w:hAnsi="Times New Roman" w:cs="Times New Roman"/>
          <w:iCs/>
          <w:sz w:val="24"/>
          <w:szCs w:val="24"/>
        </w:rPr>
        <w:t>Guillén, A. &amp;</w:t>
      </w:r>
      <w:r w:rsidR="00025B90">
        <w:rPr>
          <w:rFonts w:ascii="Times New Roman" w:hAnsi="Times New Roman" w:cs="Times New Roman"/>
          <w:iCs/>
          <w:sz w:val="24"/>
          <w:szCs w:val="24"/>
        </w:rPr>
        <w:t xml:space="preserve"> </w:t>
      </w:r>
      <w:proofErr w:type="spellStart"/>
      <w:r w:rsidRPr="00084958">
        <w:rPr>
          <w:rFonts w:ascii="Times New Roman" w:hAnsi="Times New Roman" w:cs="Times New Roman"/>
          <w:iCs/>
          <w:sz w:val="24"/>
          <w:szCs w:val="24"/>
        </w:rPr>
        <w:t>Buela</w:t>
      </w:r>
      <w:proofErr w:type="spellEnd"/>
      <w:r w:rsidRPr="00084958">
        <w:rPr>
          <w:rFonts w:ascii="Times New Roman" w:hAnsi="Times New Roman" w:cs="Times New Roman"/>
          <w:iCs/>
          <w:sz w:val="24"/>
          <w:szCs w:val="24"/>
        </w:rPr>
        <w:t xml:space="preserve">, G. (2011). Actualización psicométrica y funcionamiento diferencial de los ítems en el </w:t>
      </w:r>
      <w:proofErr w:type="spellStart"/>
      <w:r w:rsidRPr="00084958">
        <w:rPr>
          <w:rFonts w:ascii="Times New Roman" w:hAnsi="Times New Roman" w:cs="Times New Roman"/>
          <w:iCs/>
          <w:sz w:val="24"/>
          <w:szCs w:val="24"/>
        </w:rPr>
        <w:t>State</w:t>
      </w:r>
      <w:proofErr w:type="spellEnd"/>
      <w:r w:rsidR="00025B90">
        <w:rPr>
          <w:rFonts w:ascii="Times New Roman" w:hAnsi="Times New Roman" w:cs="Times New Roman"/>
          <w:iCs/>
          <w:sz w:val="24"/>
          <w:szCs w:val="24"/>
        </w:rPr>
        <w:t xml:space="preserve"> </w:t>
      </w:r>
      <w:proofErr w:type="spellStart"/>
      <w:r w:rsidRPr="00084958">
        <w:rPr>
          <w:rFonts w:ascii="Times New Roman" w:hAnsi="Times New Roman" w:cs="Times New Roman"/>
          <w:iCs/>
          <w:sz w:val="24"/>
          <w:szCs w:val="24"/>
        </w:rPr>
        <w:t>Trait</w:t>
      </w:r>
      <w:proofErr w:type="spellEnd"/>
      <w:r w:rsidR="00025B90">
        <w:rPr>
          <w:rFonts w:ascii="Times New Roman" w:hAnsi="Times New Roman" w:cs="Times New Roman"/>
          <w:iCs/>
          <w:sz w:val="24"/>
          <w:szCs w:val="24"/>
        </w:rPr>
        <w:t xml:space="preserve"> </w:t>
      </w:r>
      <w:proofErr w:type="spellStart"/>
      <w:r w:rsidRPr="00084958">
        <w:rPr>
          <w:rFonts w:ascii="Times New Roman" w:hAnsi="Times New Roman" w:cs="Times New Roman"/>
          <w:iCs/>
          <w:sz w:val="24"/>
          <w:szCs w:val="24"/>
        </w:rPr>
        <w:t>Anxiety</w:t>
      </w:r>
      <w:proofErr w:type="spellEnd"/>
      <w:r w:rsidR="00025B90">
        <w:rPr>
          <w:rFonts w:ascii="Times New Roman" w:hAnsi="Times New Roman" w:cs="Times New Roman"/>
          <w:iCs/>
          <w:sz w:val="24"/>
          <w:szCs w:val="24"/>
        </w:rPr>
        <w:t xml:space="preserve"> </w:t>
      </w:r>
      <w:proofErr w:type="spellStart"/>
      <w:r w:rsidRPr="00084958">
        <w:rPr>
          <w:rFonts w:ascii="Times New Roman" w:hAnsi="Times New Roman" w:cs="Times New Roman"/>
          <w:iCs/>
          <w:sz w:val="24"/>
          <w:szCs w:val="24"/>
        </w:rPr>
        <w:t>Inventory</w:t>
      </w:r>
      <w:proofErr w:type="spellEnd"/>
      <w:r w:rsidRPr="00084958">
        <w:rPr>
          <w:rFonts w:ascii="Times New Roman" w:hAnsi="Times New Roman" w:cs="Times New Roman"/>
          <w:iCs/>
          <w:sz w:val="24"/>
          <w:szCs w:val="24"/>
        </w:rPr>
        <w:t xml:space="preserve"> (STAI). </w:t>
      </w:r>
      <w:proofErr w:type="spellStart"/>
      <w:r w:rsidRPr="00084958">
        <w:rPr>
          <w:rFonts w:ascii="Times New Roman" w:hAnsi="Times New Roman" w:cs="Times New Roman"/>
          <w:i/>
          <w:iCs/>
          <w:sz w:val="24"/>
          <w:szCs w:val="24"/>
        </w:rPr>
        <w:t>Psicothema</w:t>
      </w:r>
      <w:proofErr w:type="spellEnd"/>
      <w:r w:rsidRPr="00084958">
        <w:rPr>
          <w:rFonts w:ascii="Times New Roman" w:hAnsi="Times New Roman" w:cs="Times New Roman"/>
          <w:i/>
          <w:iCs/>
          <w:sz w:val="24"/>
          <w:szCs w:val="24"/>
        </w:rPr>
        <w:t>, 23</w:t>
      </w:r>
      <w:r w:rsidRPr="00084958">
        <w:rPr>
          <w:rFonts w:ascii="Times New Roman" w:hAnsi="Times New Roman" w:cs="Times New Roman"/>
          <w:iCs/>
          <w:sz w:val="24"/>
          <w:szCs w:val="24"/>
        </w:rPr>
        <w:t>(3), 510-515.</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proofErr w:type="spellStart"/>
      <w:r w:rsidRPr="00084958">
        <w:rPr>
          <w:rFonts w:ascii="Times New Roman" w:hAnsi="Times New Roman" w:cs="Times New Roman"/>
          <w:iCs/>
          <w:sz w:val="24"/>
          <w:szCs w:val="24"/>
        </w:rPr>
        <w:t>Homann</w:t>
      </w:r>
      <w:proofErr w:type="spellEnd"/>
      <w:r w:rsidRPr="00084958">
        <w:rPr>
          <w:rFonts w:ascii="Times New Roman" w:hAnsi="Times New Roman" w:cs="Times New Roman"/>
          <w:iCs/>
          <w:sz w:val="24"/>
          <w:szCs w:val="24"/>
        </w:rPr>
        <w:t xml:space="preserve">, D., </w:t>
      </w:r>
      <w:proofErr w:type="spellStart"/>
      <w:r w:rsidRPr="00084958">
        <w:rPr>
          <w:rFonts w:ascii="Times New Roman" w:hAnsi="Times New Roman" w:cs="Times New Roman"/>
          <w:iCs/>
          <w:sz w:val="24"/>
          <w:szCs w:val="24"/>
        </w:rPr>
        <w:t>Stefanello</w:t>
      </w:r>
      <w:proofErr w:type="spellEnd"/>
      <w:r w:rsidRPr="00084958">
        <w:rPr>
          <w:rFonts w:ascii="Times New Roman" w:hAnsi="Times New Roman" w:cs="Times New Roman"/>
          <w:iCs/>
          <w:sz w:val="24"/>
          <w:szCs w:val="24"/>
        </w:rPr>
        <w:t xml:space="preserve">, J. M. F., </w:t>
      </w:r>
      <w:proofErr w:type="spellStart"/>
      <w:r w:rsidRPr="00084958">
        <w:rPr>
          <w:rFonts w:ascii="Times New Roman" w:hAnsi="Times New Roman" w:cs="Times New Roman"/>
          <w:iCs/>
          <w:sz w:val="24"/>
          <w:szCs w:val="24"/>
        </w:rPr>
        <w:t>Góes</w:t>
      </w:r>
      <w:proofErr w:type="spellEnd"/>
      <w:r w:rsidRPr="00084958">
        <w:rPr>
          <w:rFonts w:ascii="Times New Roman" w:hAnsi="Times New Roman" w:cs="Times New Roman"/>
          <w:iCs/>
          <w:sz w:val="24"/>
          <w:szCs w:val="24"/>
        </w:rPr>
        <w:t xml:space="preserve">, S. M., Breda, C. A., </w:t>
      </w:r>
      <w:proofErr w:type="spellStart"/>
      <w:r w:rsidRPr="00084958">
        <w:rPr>
          <w:rFonts w:ascii="Times New Roman" w:hAnsi="Times New Roman" w:cs="Times New Roman"/>
          <w:iCs/>
          <w:sz w:val="24"/>
          <w:szCs w:val="24"/>
        </w:rPr>
        <w:t>Paiva</w:t>
      </w:r>
      <w:proofErr w:type="spellEnd"/>
      <w:r w:rsidRPr="00084958">
        <w:rPr>
          <w:rFonts w:ascii="Times New Roman" w:hAnsi="Times New Roman" w:cs="Times New Roman"/>
          <w:iCs/>
          <w:sz w:val="24"/>
          <w:szCs w:val="24"/>
        </w:rPr>
        <w:t xml:space="preserve">, E. S., </w:t>
      </w:r>
      <w:proofErr w:type="spellStart"/>
      <w:r w:rsidRPr="00084958">
        <w:rPr>
          <w:rFonts w:ascii="Times New Roman" w:hAnsi="Times New Roman" w:cs="Times New Roman"/>
          <w:iCs/>
          <w:sz w:val="24"/>
          <w:szCs w:val="24"/>
        </w:rPr>
        <w:t>Leite</w:t>
      </w:r>
      <w:proofErr w:type="spellEnd"/>
      <w:r w:rsidRPr="00084958">
        <w:rPr>
          <w:rFonts w:ascii="Times New Roman" w:hAnsi="Times New Roman" w:cs="Times New Roman"/>
          <w:iCs/>
          <w:sz w:val="24"/>
          <w:szCs w:val="24"/>
        </w:rPr>
        <w:t xml:space="preserve">, N. (2012). </w:t>
      </w:r>
      <w:proofErr w:type="spellStart"/>
      <w:r w:rsidRPr="00084958">
        <w:rPr>
          <w:rFonts w:ascii="Times New Roman" w:hAnsi="Times New Roman" w:cs="Times New Roman"/>
          <w:iCs/>
          <w:sz w:val="24"/>
          <w:szCs w:val="24"/>
        </w:rPr>
        <w:t>Percepção</w:t>
      </w:r>
      <w:proofErr w:type="spellEnd"/>
      <w:r w:rsidRPr="00084958">
        <w:rPr>
          <w:rFonts w:ascii="Times New Roman" w:hAnsi="Times New Roman" w:cs="Times New Roman"/>
          <w:iCs/>
          <w:sz w:val="24"/>
          <w:szCs w:val="24"/>
        </w:rPr>
        <w:t xml:space="preserve"> de </w:t>
      </w:r>
      <w:proofErr w:type="spellStart"/>
      <w:r w:rsidRPr="00084958">
        <w:rPr>
          <w:rFonts w:ascii="Times New Roman" w:hAnsi="Times New Roman" w:cs="Times New Roman"/>
          <w:iCs/>
          <w:sz w:val="24"/>
          <w:szCs w:val="24"/>
        </w:rPr>
        <w:t>estresse</w:t>
      </w:r>
      <w:proofErr w:type="spellEnd"/>
      <w:r w:rsidRPr="00084958">
        <w:rPr>
          <w:rFonts w:ascii="Times New Roman" w:hAnsi="Times New Roman" w:cs="Times New Roman"/>
          <w:iCs/>
          <w:sz w:val="24"/>
          <w:szCs w:val="24"/>
        </w:rPr>
        <w:t xml:space="preserve"> e </w:t>
      </w:r>
      <w:proofErr w:type="spellStart"/>
      <w:r w:rsidRPr="00084958">
        <w:rPr>
          <w:rFonts w:ascii="Times New Roman" w:hAnsi="Times New Roman" w:cs="Times New Roman"/>
          <w:iCs/>
          <w:sz w:val="24"/>
          <w:szCs w:val="24"/>
        </w:rPr>
        <w:t>sintomasdepressivos</w:t>
      </w:r>
      <w:proofErr w:type="spellEnd"/>
      <w:r w:rsidRPr="00084958">
        <w:rPr>
          <w:rFonts w:ascii="Times New Roman" w:hAnsi="Times New Roman" w:cs="Times New Roman"/>
          <w:iCs/>
          <w:sz w:val="24"/>
          <w:szCs w:val="24"/>
        </w:rPr>
        <w:t xml:space="preserve">: </w:t>
      </w:r>
      <w:proofErr w:type="spellStart"/>
      <w:r w:rsidRPr="00084958">
        <w:rPr>
          <w:rFonts w:ascii="Times New Roman" w:hAnsi="Times New Roman" w:cs="Times New Roman"/>
          <w:iCs/>
          <w:sz w:val="24"/>
          <w:szCs w:val="24"/>
        </w:rPr>
        <w:t>funcionalidade</w:t>
      </w:r>
      <w:proofErr w:type="spellEnd"/>
      <w:r w:rsidRPr="00084958">
        <w:rPr>
          <w:rFonts w:ascii="Times New Roman" w:hAnsi="Times New Roman" w:cs="Times New Roman"/>
          <w:iCs/>
          <w:sz w:val="24"/>
          <w:szCs w:val="24"/>
        </w:rPr>
        <w:t xml:space="preserve"> e impacto </w:t>
      </w:r>
      <w:proofErr w:type="spellStart"/>
      <w:r w:rsidRPr="00084958">
        <w:rPr>
          <w:rFonts w:ascii="Times New Roman" w:hAnsi="Times New Roman" w:cs="Times New Roman"/>
          <w:iCs/>
          <w:sz w:val="24"/>
          <w:szCs w:val="24"/>
        </w:rPr>
        <w:t>na</w:t>
      </w:r>
      <w:proofErr w:type="spellEnd"/>
      <w:r w:rsidRPr="00084958">
        <w:rPr>
          <w:rFonts w:ascii="Times New Roman" w:hAnsi="Times New Roman" w:cs="Times New Roman"/>
          <w:iCs/>
          <w:sz w:val="24"/>
          <w:szCs w:val="24"/>
        </w:rPr>
        <w:t xml:space="preserve"> </w:t>
      </w:r>
      <w:proofErr w:type="spellStart"/>
      <w:r w:rsidRPr="00084958">
        <w:rPr>
          <w:rFonts w:ascii="Times New Roman" w:hAnsi="Times New Roman" w:cs="Times New Roman"/>
          <w:iCs/>
          <w:sz w:val="24"/>
          <w:szCs w:val="24"/>
        </w:rPr>
        <w:t>qualidade</w:t>
      </w:r>
      <w:proofErr w:type="spellEnd"/>
      <w:r w:rsidRPr="00084958">
        <w:rPr>
          <w:rFonts w:ascii="Times New Roman" w:hAnsi="Times New Roman" w:cs="Times New Roman"/>
          <w:iCs/>
          <w:sz w:val="24"/>
          <w:szCs w:val="24"/>
        </w:rPr>
        <w:t xml:space="preserve"> de vida </w:t>
      </w:r>
      <w:proofErr w:type="spellStart"/>
      <w:r w:rsidRPr="00084958">
        <w:rPr>
          <w:rFonts w:ascii="Times New Roman" w:hAnsi="Times New Roman" w:cs="Times New Roman"/>
          <w:iCs/>
          <w:sz w:val="24"/>
          <w:szCs w:val="24"/>
        </w:rPr>
        <w:t>emmulherescom</w:t>
      </w:r>
      <w:proofErr w:type="spellEnd"/>
      <w:r w:rsidRPr="00084958">
        <w:rPr>
          <w:rFonts w:ascii="Times New Roman" w:hAnsi="Times New Roman" w:cs="Times New Roman"/>
          <w:iCs/>
          <w:sz w:val="24"/>
          <w:szCs w:val="24"/>
        </w:rPr>
        <w:t xml:space="preserve"> fibromialgia. </w:t>
      </w:r>
      <w:r w:rsidRPr="00084958">
        <w:rPr>
          <w:rFonts w:ascii="Times New Roman" w:hAnsi="Times New Roman" w:cs="Times New Roman"/>
          <w:i/>
          <w:iCs/>
          <w:sz w:val="24"/>
          <w:szCs w:val="24"/>
          <w:lang w:val="en-US"/>
        </w:rPr>
        <w:t xml:space="preserve">Rev Bras </w:t>
      </w:r>
      <w:proofErr w:type="spellStart"/>
      <w:r w:rsidRPr="00084958">
        <w:rPr>
          <w:rFonts w:ascii="Times New Roman" w:hAnsi="Times New Roman" w:cs="Times New Roman"/>
          <w:i/>
          <w:iCs/>
          <w:sz w:val="24"/>
          <w:szCs w:val="24"/>
          <w:lang w:val="en-US"/>
        </w:rPr>
        <w:t>Reumatol</w:t>
      </w:r>
      <w:proofErr w:type="spellEnd"/>
      <w:r w:rsidRPr="00084958">
        <w:rPr>
          <w:rFonts w:ascii="Times New Roman" w:hAnsi="Times New Roman" w:cs="Times New Roman"/>
          <w:iCs/>
          <w:sz w:val="24"/>
          <w:szCs w:val="24"/>
          <w:lang w:val="en-US"/>
        </w:rPr>
        <w:t>, 52(</w:t>
      </w:r>
      <w:r w:rsidRPr="00084958">
        <w:rPr>
          <w:rFonts w:ascii="Times New Roman" w:hAnsi="Times New Roman" w:cs="Times New Roman"/>
          <w:i/>
          <w:iCs/>
          <w:sz w:val="24"/>
          <w:szCs w:val="24"/>
          <w:lang w:val="en-US"/>
        </w:rPr>
        <w:t>3</w:t>
      </w:r>
      <w:r w:rsidRPr="00084958">
        <w:rPr>
          <w:rFonts w:ascii="Times New Roman" w:hAnsi="Times New Roman" w:cs="Times New Roman"/>
          <w:iCs/>
          <w:sz w:val="24"/>
          <w:szCs w:val="24"/>
          <w:lang w:val="en-US"/>
        </w:rPr>
        <w:t>), 324-30.</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proofErr w:type="gramStart"/>
      <w:r w:rsidRPr="00084958">
        <w:rPr>
          <w:rFonts w:ascii="Times New Roman" w:hAnsi="Times New Roman" w:cs="Times New Roman"/>
          <w:iCs/>
          <w:sz w:val="24"/>
          <w:szCs w:val="24"/>
          <w:lang w:val="en-US"/>
        </w:rPr>
        <w:t xml:space="preserve">Jensen, M., </w:t>
      </w:r>
      <w:proofErr w:type="spellStart"/>
      <w:r w:rsidRPr="00084958">
        <w:rPr>
          <w:rFonts w:ascii="Times New Roman" w:hAnsi="Times New Roman" w:cs="Times New Roman"/>
          <w:iCs/>
          <w:sz w:val="24"/>
          <w:szCs w:val="24"/>
          <w:lang w:val="en-US"/>
        </w:rPr>
        <w:t>Hakimian</w:t>
      </w:r>
      <w:proofErr w:type="spellEnd"/>
      <w:r w:rsidRPr="00084958">
        <w:rPr>
          <w:rFonts w:ascii="Times New Roman" w:hAnsi="Times New Roman" w:cs="Times New Roman"/>
          <w:iCs/>
          <w:sz w:val="24"/>
          <w:szCs w:val="24"/>
          <w:lang w:val="en-US"/>
        </w:rPr>
        <w:t xml:space="preserve">, S., </w:t>
      </w:r>
      <w:proofErr w:type="spellStart"/>
      <w:r w:rsidRPr="00084958">
        <w:rPr>
          <w:rFonts w:ascii="Times New Roman" w:hAnsi="Times New Roman" w:cs="Times New Roman"/>
          <w:iCs/>
          <w:sz w:val="24"/>
          <w:szCs w:val="24"/>
          <w:lang w:val="en-US"/>
        </w:rPr>
        <w:t>Sherlin</w:t>
      </w:r>
      <w:proofErr w:type="spellEnd"/>
      <w:r w:rsidRPr="00084958">
        <w:rPr>
          <w:rFonts w:ascii="Times New Roman" w:hAnsi="Times New Roman" w:cs="Times New Roman"/>
          <w:iCs/>
          <w:sz w:val="24"/>
          <w:szCs w:val="24"/>
          <w:lang w:val="en-US"/>
        </w:rPr>
        <w:t>, L., &amp;</w:t>
      </w:r>
      <w:r w:rsidR="00025B90">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Fregni</w:t>
      </w:r>
      <w:proofErr w:type="spellEnd"/>
      <w:r w:rsidRPr="00084958">
        <w:rPr>
          <w:rFonts w:ascii="Times New Roman" w:hAnsi="Times New Roman" w:cs="Times New Roman"/>
          <w:iCs/>
          <w:sz w:val="24"/>
          <w:szCs w:val="24"/>
          <w:lang w:val="en-US"/>
        </w:rPr>
        <w:t>, F. (2008).</w:t>
      </w:r>
      <w:proofErr w:type="gramEnd"/>
      <w:r w:rsidRPr="00084958">
        <w:rPr>
          <w:rFonts w:ascii="Times New Roman" w:hAnsi="Times New Roman" w:cs="Times New Roman"/>
          <w:iCs/>
          <w:sz w:val="24"/>
          <w:szCs w:val="24"/>
          <w:lang w:val="en-US"/>
        </w:rPr>
        <w:t xml:space="preserve"> New Insights </w:t>
      </w:r>
      <w:proofErr w:type="gramStart"/>
      <w:r w:rsidRPr="00084958">
        <w:rPr>
          <w:rFonts w:ascii="Times New Roman" w:hAnsi="Times New Roman" w:cs="Times New Roman"/>
          <w:iCs/>
          <w:sz w:val="24"/>
          <w:szCs w:val="24"/>
          <w:lang w:val="en-US"/>
        </w:rPr>
        <w:t>Into</w:t>
      </w:r>
      <w:proofErr w:type="gramEnd"/>
      <w:r w:rsidR="00025B90">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Neuromodulatory</w:t>
      </w:r>
      <w:proofErr w:type="spellEnd"/>
      <w:r w:rsidRPr="00084958">
        <w:rPr>
          <w:rFonts w:ascii="Times New Roman" w:hAnsi="Times New Roman" w:cs="Times New Roman"/>
          <w:iCs/>
          <w:sz w:val="24"/>
          <w:szCs w:val="24"/>
          <w:lang w:val="en-US"/>
        </w:rPr>
        <w:t xml:space="preserve"> Approaches for the Treatment of Pain. </w:t>
      </w:r>
      <w:r w:rsidRPr="00DC57EA">
        <w:rPr>
          <w:rFonts w:ascii="Times New Roman" w:hAnsi="Times New Roman" w:cs="Times New Roman"/>
          <w:i/>
          <w:iCs/>
          <w:sz w:val="24"/>
          <w:szCs w:val="24"/>
          <w:lang w:val="en-US"/>
        </w:rPr>
        <w:t xml:space="preserve">The Journal </w:t>
      </w:r>
      <w:proofErr w:type="gramStart"/>
      <w:r w:rsidRPr="00DC57EA">
        <w:rPr>
          <w:rFonts w:ascii="Times New Roman" w:hAnsi="Times New Roman" w:cs="Times New Roman"/>
          <w:i/>
          <w:iCs/>
          <w:sz w:val="24"/>
          <w:szCs w:val="24"/>
          <w:lang w:val="en-US"/>
        </w:rPr>
        <w:t>Of</w:t>
      </w:r>
      <w:proofErr w:type="gramEnd"/>
      <w:r w:rsidRPr="00DC57EA">
        <w:rPr>
          <w:rFonts w:ascii="Times New Roman" w:hAnsi="Times New Roman" w:cs="Times New Roman"/>
          <w:i/>
          <w:iCs/>
          <w:sz w:val="24"/>
          <w:szCs w:val="24"/>
          <w:lang w:val="en-US"/>
        </w:rPr>
        <w:t xml:space="preserve"> Pain, 9</w:t>
      </w:r>
      <w:r w:rsidRPr="00084958">
        <w:rPr>
          <w:rFonts w:ascii="Times New Roman" w:hAnsi="Times New Roman" w:cs="Times New Roman"/>
          <w:iCs/>
          <w:sz w:val="24"/>
          <w:szCs w:val="24"/>
          <w:lang w:val="en-US"/>
        </w:rPr>
        <w:t xml:space="preserve">(3), 193-199. </w:t>
      </w:r>
      <w:hyperlink r:id="rId12" w:history="1">
        <w:r w:rsidRPr="00084958">
          <w:rPr>
            <w:rStyle w:val="Hipervnculo"/>
            <w:rFonts w:ascii="Times New Roman" w:hAnsi="Times New Roman" w:cs="Times New Roman"/>
            <w:iCs/>
            <w:sz w:val="24"/>
            <w:szCs w:val="24"/>
            <w:lang w:val="en-US"/>
          </w:rPr>
          <w:t>http://dx.doi.org/10.1016/j.jpain.2007.11.003</w:t>
        </w:r>
      </w:hyperlink>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proofErr w:type="spellStart"/>
      <w:r w:rsidRPr="00084958">
        <w:rPr>
          <w:rFonts w:ascii="Times New Roman" w:hAnsi="Times New Roman" w:cs="Times New Roman"/>
          <w:iCs/>
          <w:sz w:val="24"/>
          <w:szCs w:val="24"/>
          <w:lang w:val="en-US"/>
        </w:rPr>
        <w:t>Kayıran</w:t>
      </w:r>
      <w:proofErr w:type="spellEnd"/>
      <w:r w:rsidRPr="00084958">
        <w:rPr>
          <w:rFonts w:ascii="Times New Roman" w:hAnsi="Times New Roman" w:cs="Times New Roman"/>
          <w:iCs/>
          <w:sz w:val="24"/>
          <w:szCs w:val="24"/>
          <w:lang w:val="en-US"/>
        </w:rPr>
        <w:t xml:space="preserve">, S., </w:t>
      </w:r>
      <w:proofErr w:type="spellStart"/>
      <w:r w:rsidRPr="00084958">
        <w:rPr>
          <w:rFonts w:ascii="Times New Roman" w:hAnsi="Times New Roman" w:cs="Times New Roman"/>
          <w:iCs/>
          <w:sz w:val="24"/>
          <w:szCs w:val="24"/>
          <w:lang w:val="en-US"/>
        </w:rPr>
        <w:t>Dursun</w:t>
      </w:r>
      <w:proofErr w:type="spellEnd"/>
      <w:r w:rsidRPr="00084958">
        <w:rPr>
          <w:rFonts w:ascii="Times New Roman" w:hAnsi="Times New Roman" w:cs="Times New Roman"/>
          <w:iCs/>
          <w:sz w:val="24"/>
          <w:szCs w:val="24"/>
          <w:lang w:val="en-US"/>
        </w:rPr>
        <w:t xml:space="preserve">, E., </w:t>
      </w:r>
      <w:proofErr w:type="spellStart"/>
      <w:r w:rsidRPr="00084958">
        <w:rPr>
          <w:rFonts w:ascii="Times New Roman" w:hAnsi="Times New Roman" w:cs="Times New Roman"/>
          <w:iCs/>
          <w:sz w:val="24"/>
          <w:szCs w:val="24"/>
          <w:lang w:val="en-US"/>
        </w:rPr>
        <w:t>Dursun</w:t>
      </w:r>
      <w:proofErr w:type="spellEnd"/>
      <w:r w:rsidRPr="00084958">
        <w:rPr>
          <w:rFonts w:ascii="Times New Roman" w:hAnsi="Times New Roman" w:cs="Times New Roman"/>
          <w:iCs/>
          <w:sz w:val="24"/>
          <w:szCs w:val="24"/>
          <w:lang w:val="en-US"/>
        </w:rPr>
        <w:t xml:space="preserve">, N., </w:t>
      </w:r>
      <w:proofErr w:type="spellStart"/>
      <w:r w:rsidRPr="00084958">
        <w:rPr>
          <w:rFonts w:ascii="Times New Roman" w:hAnsi="Times New Roman" w:cs="Times New Roman"/>
          <w:iCs/>
          <w:sz w:val="24"/>
          <w:szCs w:val="24"/>
          <w:lang w:val="en-US"/>
        </w:rPr>
        <w:t>Ermutlu</w:t>
      </w:r>
      <w:proofErr w:type="spellEnd"/>
      <w:r w:rsidRPr="00084958">
        <w:rPr>
          <w:rFonts w:ascii="Times New Roman" w:hAnsi="Times New Roman" w:cs="Times New Roman"/>
          <w:iCs/>
          <w:sz w:val="24"/>
          <w:szCs w:val="24"/>
          <w:lang w:val="en-US"/>
        </w:rPr>
        <w:t>, N., &amp;</w:t>
      </w:r>
      <w:r w:rsidR="00025B90">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Karamürsel</w:t>
      </w:r>
      <w:proofErr w:type="spellEnd"/>
      <w:r w:rsidRPr="00084958">
        <w:rPr>
          <w:rFonts w:ascii="Times New Roman" w:hAnsi="Times New Roman" w:cs="Times New Roman"/>
          <w:iCs/>
          <w:sz w:val="24"/>
          <w:szCs w:val="24"/>
          <w:lang w:val="en-US"/>
        </w:rPr>
        <w:t xml:space="preserve">, S. (2010). Neurofeedback Intervention in Fibromyalgia Syndrome; a Randomized, Controlled, Rater Blind Clinical Trial. </w:t>
      </w:r>
      <w:r w:rsidRPr="00DC57EA">
        <w:rPr>
          <w:rFonts w:ascii="Times New Roman" w:hAnsi="Times New Roman" w:cs="Times New Roman"/>
          <w:i/>
          <w:iCs/>
          <w:sz w:val="24"/>
          <w:szCs w:val="24"/>
          <w:lang w:val="en-US"/>
        </w:rPr>
        <w:t xml:space="preserve">Applied Psychophysiology </w:t>
      </w:r>
      <w:proofErr w:type="gramStart"/>
      <w:r w:rsidRPr="00DC57EA">
        <w:rPr>
          <w:rFonts w:ascii="Times New Roman" w:hAnsi="Times New Roman" w:cs="Times New Roman"/>
          <w:i/>
          <w:iCs/>
          <w:sz w:val="24"/>
          <w:szCs w:val="24"/>
          <w:lang w:val="en-US"/>
        </w:rPr>
        <w:t>And</w:t>
      </w:r>
      <w:proofErr w:type="gramEnd"/>
      <w:r w:rsidRPr="00DC57EA">
        <w:rPr>
          <w:rFonts w:ascii="Times New Roman" w:hAnsi="Times New Roman" w:cs="Times New Roman"/>
          <w:i/>
          <w:iCs/>
          <w:sz w:val="24"/>
          <w:szCs w:val="24"/>
          <w:lang w:val="en-US"/>
        </w:rPr>
        <w:t xml:space="preserve"> Biofeedback, 35</w:t>
      </w:r>
      <w:r w:rsidRPr="00084958">
        <w:rPr>
          <w:rFonts w:ascii="Times New Roman" w:hAnsi="Times New Roman" w:cs="Times New Roman"/>
          <w:iCs/>
          <w:sz w:val="24"/>
          <w:szCs w:val="24"/>
          <w:lang w:val="en-US"/>
        </w:rPr>
        <w:t xml:space="preserve">(4), 293-302. </w:t>
      </w:r>
      <w:hyperlink r:id="rId13" w:history="1">
        <w:r w:rsidRPr="00084958">
          <w:rPr>
            <w:rStyle w:val="Hipervnculo"/>
            <w:rFonts w:ascii="Times New Roman" w:hAnsi="Times New Roman" w:cs="Times New Roman"/>
            <w:iCs/>
            <w:sz w:val="24"/>
            <w:szCs w:val="24"/>
            <w:lang w:val="en-US"/>
          </w:rPr>
          <w:t>http://dx.doi.org/10.1007/s10484-010-9135-9</w:t>
        </w:r>
      </w:hyperlink>
    </w:p>
    <w:p w:rsidR="00BF0BBB" w:rsidRPr="00084958" w:rsidRDefault="00BF0BBB" w:rsidP="00507AAC">
      <w:pPr>
        <w:spacing w:line="240" w:lineRule="auto"/>
        <w:ind w:left="709" w:hanging="709"/>
        <w:contextualSpacing/>
        <w:jc w:val="both"/>
        <w:rPr>
          <w:rFonts w:ascii="Times New Roman" w:hAnsi="Times New Roman" w:cs="Times New Roman"/>
          <w:sz w:val="24"/>
          <w:szCs w:val="24"/>
          <w:lang w:val="en-US"/>
        </w:rPr>
      </w:pPr>
      <w:proofErr w:type="spellStart"/>
      <w:r w:rsidRPr="00084958">
        <w:rPr>
          <w:rFonts w:ascii="Times New Roman" w:hAnsi="Times New Roman" w:cs="Times New Roman"/>
          <w:sz w:val="24"/>
          <w:szCs w:val="24"/>
          <w:lang w:val="en-US"/>
        </w:rPr>
        <w:t>Menche</w:t>
      </w:r>
      <w:proofErr w:type="spellEnd"/>
      <w:r w:rsidRPr="00084958">
        <w:rPr>
          <w:rFonts w:ascii="Times New Roman" w:hAnsi="Times New Roman" w:cs="Times New Roman"/>
          <w:sz w:val="24"/>
          <w:szCs w:val="24"/>
          <w:lang w:val="en-US"/>
        </w:rPr>
        <w:t xml:space="preserve">, D. S. (2001). Correlation between osteoarthritic cartilage damage and levels of proteinases and proteinase inhibitors in synovial fluid from the knee joint. </w:t>
      </w:r>
      <w:r w:rsidRPr="00084958">
        <w:rPr>
          <w:rFonts w:ascii="Times New Roman" w:hAnsi="Times New Roman" w:cs="Times New Roman"/>
          <w:i/>
          <w:iCs/>
          <w:sz w:val="24"/>
          <w:szCs w:val="24"/>
          <w:lang w:val="en-US"/>
        </w:rPr>
        <w:t>Arthroscopy, 17</w:t>
      </w:r>
      <w:r w:rsidRPr="00084958">
        <w:rPr>
          <w:rFonts w:ascii="Times New Roman" w:hAnsi="Times New Roman" w:cs="Times New Roman"/>
          <w:sz w:val="24"/>
          <w:szCs w:val="24"/>
          <w:lang w:val="en-US"/>
        </w:rPr>
        <w:t>(7), 790.</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proofErr w:type="spellStart"/>
      <w:proofErr w:type="gramStart"/>
      <w:r w:rsidRPr="00084958">
        <w:rPr>
          <w:rFonts w:ascii="Times New Roman" w:hAnsi="Times New Roman" w:cs="Times New Roman"/>
          <w:iCs/>
          <w:sz w:val="24"/>
          <w:szCs w:val="24"/>
          <w:lang w:val="en-US"/>
        </w:rPr>
        <w:t>Pavlenko</w:t>
      </w:r>
      <w:proofErr w:type="spellEnd"/>
      <w:r w:rsidRPr="00084958">
        <w:rPr>
          <w:rFonts w:ascii="Times New Roman" w:hAnsi="Times New Roman" w:cs="Times New Roman"/>
          <w:iCs/>
          <w:sz w:val="24"/>
          <w:szCs w:val="24"/>
          <w:lang w:val="en-US"/>
        </w:rPr>
        <w:t xml:space="preserve">, V., </w:t>
      </w:r>
      <w:proofErr w:type="spellStart"/>
      <w:r w:rsidRPr="00084958">
        <w:rPr>
          <w:rFonts w:ascii="Times New Roman" w:hAnsi="Times New Roman" w:cs="Times New Roman"/>
          <w:iCs/>
          <w:sz w:val="24"/>
          <w:szCs w:val="24"/>
          <w:lang w:val="en-US"/>
        </w:rPr>
        <w:t>Chernyi</w:t>
      </w:r>
      <w:proofErr w:type="spellEnd"/>
      <w:r w:rsidRPr="00084958">
        <w:rPr>
          <w:rFonts w:ascii="Times New Roman" w:hAnsi="Times New Roman" w:cs="Times New Roman"/>
          <w:iCs/>
          <w:sz w:val="24"/>
          <w:szCs w:val="24"/>
          <w:lang w:val="en-US"/>
        </w:rPr>
        <w:t>, S., &amp;</w:t>
      </w:r>
      <w:r w:rsidR="00025B90">
        <w:rPr>
          <w:rFonts w:ascii="Times New Roman" w:hAnsi="Times New Roman" w:cs="Times New Roman"/>
          <w:iCs/>
          <w:sz w:val="24"/>
          <w:szCs w:val="24"/>
          <w:lang w:val="en-US"/>
        </w:rPr>
        <w:t xml:space="preserve"> </w:t>
      </w:r>
      <w:proofErr w:type="spellStart"/>
      <w:r w:rsidRPr="00084958">
        <w:rPr>
          <w:rFonts w:ascii="Times New Roman" w:hAnsi="Times New Roman" w:cs="Times New Roman"/>
          <w:iCs/>
          <w:sz w:val="24"/>
          <w:szCs w:val="24"/>
          <w:lang w:val="en-US"/>
        </w:rPr>
        <w:t>Goubkina</w:t>
      </w:r>
      <w:proofErr w:type="spellEnd"/>
      <w:r w:rsidRPr="00084958">
        <w:rPr>
          <w:rFonts w:ascii="Times New Roman" w:hAnsi="Times New Roman" w:cs="Times New Roman"/>
          <w:iCs/>
          <w:sz w:val="24"/>
          <w:szCs w:val="24"/>
          <w:lang w:val="en-US"/>
        </w:rPr>
        <w:t>, D. (2009).</w:t>
      </w:r>
      <w:proofErr w:type="gramEnd"/>
      <w:r w:rsidRPr="00084958">
        <w:rPr>
          <w:rFonts w:ascii="Times New Roman" w:hAnsi="Times New Roman" w:cs="Times New Roman"/>
          <w:iCs/>
          <w:sz w:val="24"/>
          <w:szCs w:val="24"/>
          <w:lang w:val="en-US"/>
        </w:rPr>
        <w:t xml:space="preserve"> EEG Correlates of Anxiety and Emotional Stability in Adult Healthy Subjects. </w:t>
      </w:r>
      <w:r w:rsidRPr="00084958">
        <w:rPr>
          <w:rFonts w:ascii="Times New Roman" w:hAnsi="Times New Roman" w:cs="Times New Roman"/>
          <w:i/>
          <w:iCs/>
          <w:sz w:val="24"/>
          <w:szCs w:val="24"/>
          <w:lang w:val="en-US"/>
        </w:rPr>
        <w:t>Neurophysiology</w:t>
      </w:r>
      <w:r w:rsidRPr="00084958">
        <w:rPr>
          <w:rFonts w:ascii="Times New Roman" w:hAnsi="Times New Roman" w:cs="Times New Roman"/>
          <w:iCs/>
          <w:sz w:val="24"/>
          <w:szCs w:val="24"/>
          <w:lang w:val="en-US"/>
        </w:rPr>
        <w:t xml:space="preserve">, </w:t>
      </w:r>
      <w:r w:rsidRPr="00084958">
        <w:rPr>
          <w:rFonts w:ascii="Times New Roman" w:hAnsi="Times New Roman" w:cs="Times New Roman"/>
          <w:i/>
          <w:iCs/>
          <w:sz w:val="24"/>
          <w:szCs w:val="24"/>
          <w:lang w:val="en-US"/>
        </w:rPr>
        <w:t>41</w:t>
      </w:r>
      <w:r w:rsidRPr="00084958">
        <w:rPr>
          <w:rFonts w:ascii="Times New Roman" w:hAnsi="Times New Roman" w:cs="Times New Roman"/>
          <w:iCs/>
          <w:sz w:val="24"/>
          <w:szCs w:val="24"/>
          <w:lang w:val="en-US"/>
        </w:rPr>
        <w:t xml:space="preserve">(5), 337-345. </w:t>
      </w:r>
      <w:hyperlink r:id="rId14" w:history="1">
        <w:r w:rsidRPr="00084958">
          <w:rPr>
            <w:rStyle w:val="Hipervnculo"/>
            <w:rFonts w:ascii="Times New Roman" w:hAnsi="Times New Roman" w:cs="Times New Roman"/>
            <w:iCs/>
            <w:sz w:val="24"/>
            <w:szCs w:val="24"/>
            <w:lang w:val="en-US"/>
          </w:rPr>
          <w:t>http://dx.doi.org/10.1007/s11062-010-9111-2</w:t>
        </w:r>
      </w:hyperlink>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proofErr w:type="gramStart"/>
      <w:r w:rsidRPr="00084958">
        <w:rPr>
          <w:rFonts w:ascii="Times New Roman" w:hAnsi="Times New Roman" w:cs="Times New Roman"/>
          <w:iCs/>
          <w:sz w:val="24"/>
          <w:szCs w:val="24"/>
          <w:lang w:val="en-US"/>
        </w:rPr>
        <w:t>Richter P.</w:t>
      </w:r>
      <w:r w:rsidR="004C680B">
        <w:rPr>
          <w:rFonts w:ascii="Times New Roman" w:hAnsi="Times New Roman" w:cs="Times New Roman"/>
          <w:iCs/>
          <w:sz w:val="24"/>
          <w:szCs w:val="24"/>
          <w:lang w:val="en-US"/>
        </w:rPr>
        <w:t>, Werner J. &amp;</w:t>
      </w:r>
      <w:r w:rsidR="00025B90">
        <w:rPr>
          <w:rFonts w:ascii="Times New Roman" w:hAnsi="Times New Roman" w:cs="Times New Roman"/>
          <w:iCs/>
          <w:sz w:val="24"/>
          <w:szCs w:val="24"/>
          <w:lang w:val="en-US"/>
        </w:rPr>
        <w:t xml:space="preserve"> </w:t>
      </w:r>
      <w:proofErr w:type="spellStart"/>
      <w:r w:rsidR="004C680B">
        <w:rPr>
          <w:rFonts w:ascii="Times New Roman" w:hAnsi="Times New Roman" w:cs="Times New Roman"/>
          <w:iCs/>
          <w:sz w:val="24"/>
          <w:szCs w:val="24"/>
          <w:lang w:val="en-US"/>
        </w:rPr>
        <w:t>Heerlein</w:t>
      </w:r>
      <w:proofErr w:type="spellEnd"/>
      <w:r w:rsidR="004C680B">
        <w:rPr>
          <w:rFonts w:ascii="Times New Roman" w:hAnsi="Times New Roman" w:cs="Times New Roman"/>
          <w:iCs/>
          <w:sz w:val="24"/>
          <w:szCs w:val="24"/>
          <w:lang w:val="en-US"/>
        </w:rPr>
        <w:t>, A.</w:t>
      </w:r>
      <w:r w:rsidRPr="00084958">
        <w:rPr>
          <w:rFonts w:ascii="Times New Roman" w:hAnsi="Times New Roman" w:cs="Times New Roman"/>
          <w:iCs/>
          <w:sz w:val="24"/>
          <w:szCs w:val="24"/>
          <w:lang w:val="en-US"/>
        </w:rPr>
        <w:t xml:space="preserve"> (1998).</w:t>
      </w:r>
      <w:proofErr w:type="gramEnd"/>
      <w:r w:rsidRPr="00084958">
        <w:rPr>
          <w:rFonts w:ascii="Times New Roman" w:hAnsi="Times New Roman" w:cs="Times New Roman"/>
          <w:iCs/>
          <w:sz w:val="24"/>
          <w:szCs w:val="24"/>
          <w:lang w:val="en-US"/>
        </w:rPr>
        <w:t xml:space="preserve"> </w:t>
      </w:r>
      <w:proofErr w:type="gramStart"/>
      <w:r w:rsidRPr="00084958">
        <w:rPr>
          <w:rFonts w:ascii="Times New Roman" w:hAnsi="Times New Roman" w:cs="Times New Roman"/>
          <w:iCs/>
          <w:sz w:val="24"/>
          <w:szCs w:val="24"/>
          <w:lang w:val="en-US"/>
        </w:rPr>
        <w:t>On the validity of the Beck Depression Inventory.</w:t>
      </w:r>
      <w:proofErr w:type="gramEnd"/>
      <w:r w:rsidR="00025B90">
        <w:rPr>
          <w:rFonts w:ascii="Times New Roman" w:hAnsi="Times New Roman" w:cs="Times New Roman"/>
          <w:iCs/>
          <w:sz w:val="24"/>
          <w:szCs w:val="24"/>
          <w:lang w:val="en-US"/>
        </w:rPr>
        <w:t xml:space="preserve"> </w:t>
      </w:r>
      <w:proofErr w:type="gramStart"/>
      <w:r w:rsidRPr="00084958">
        <w:rPr>
          <w:rFonts w:ascii="Times New Roman" w:hAnsi="Times New Roman" w:cs="Times New Roman"/>
          <w:i/>
          <w:iCs/>
          <w:sz w:val="24"/>
          <w:szCs w:val="24"/>
          <w:lang w:val="en-US"/>
        </w:rPr>
        <w:t>A review.</w:t>
      </w:r>
      <w:proofErr w:type="gramEnd"/>
      <w:r w:rsidRPr="00084958">
        <w:rPr>
          <w:rFonts w:ascii="Times New Roman" w:hAnsi="Times New Roman" w:cs="Times New Roman"/>
          <w:i/>
          <w:iCs/>
          <w:sz w:val="24"/>
          <w:szCs w:val="24"/>
          <w:lang w:val="en-US"/>
        </w:rPr>
        <w:t xml:space="preserve"> Psychopathology</w:t>
      </w:r>
      <w:r w:rsidRPr="00084958">
        <w:rPr>
          <w:rFonts w:ascii="Times New Roman" w:hAnsi="Times New Roman" w:cs="Times New Roman"/>
          <w:iCs/>
          <w:sz w:val="24"/>
          <w:szCs w:val="24"/>
          <w:lang w:val="en-US"/>
        </w:rPr>
        <w:t xml:space="preserve">, </w:t>
      </w:r>
      <w:r w:rsidRPr="00084958">
        <w:rPr>
          <w:rFonts w:ascii="Times New Roman" w:hAnsi="Times New Roman" w:cs="Times New Roman"/>
          <w:i/>
          <w:iCs/>
          <w:sz w:val="24"/>
          <w:szCs w:val="24"/>
          <w:lang w:val="en-US"/>
        </w:rPr>
        <w:t>31</w:t>
      </w:r>
      <w:r w:rsidRPr="00084958">
        <w:rPr>
          <w:rFonts w:ascii="Times New Roman" w:hAnsi="Times New Roman" w:cs="Times New Roman"/>
          <w:iCs/>
          <w:sz w:val="24"/>
          <w:szCs w:val="24"/>
          <w:lang w:val="en-US"/>
        </w:rPr>
        <w:t>, 160-168.</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r w:rsidRPr="00084958">
        <w:rPr>
          <w:rFonts w:ascii="Times New Roman" w:hAnsi="Times New Roman" w:cs="Times New Roman"/>
          <w:iCs/>
          <w:sz w:val="24"/>
          <w:szCs w:val="24"/>
          <w:lang w:val="en-US"/>
        </w:rPr>
        <w:t xml:space="preserve">Spielberger C.D., Gorsuch, R.L. &amp; Lushene, R.E. (1982). </w:t>
      </w:r>
      <w:r w:rsidRPr="00084958">
        <w:rPr>
          <w:rFonts w:ascii="Times New Roman" w:hAnsi="Times New Roman" w:cs="Times New Roman"/>
          <w:i/>
          <w:iCs/>
          <w:sz w:val="24"/>
          <w:szCs w:val="24"/>
        </w:rPr>
        <w:t>Cuestionario de Ansiedad Estado/Rasgo</w:t>
      </w:r>
      <w:r w:rsidRPr="00084958">
        <w:rPr>
          <w:rFonts w:ascii="Times New Roman" w:hAnsi="Times New Roman" w:cs="Times New Roman"/>
          <w:iCs/>
          <w:sz w:val="24"/>
          <w:szCs w:val="24"/>
        </w:rPr>
        <w:t xml:space="preserve">. </w:t>
      </w:r>
      <w:r w:rsidRPr="00084958">
        <w:rPr>
          <w:rFonts w:ascii="Times New Roman" w:hAnsi="Times New Roman" w:cs="Times New Roman"/>
          <w:iCs/>
          <w:sz w:val="24"/>
          <w:szCs w:val="24"/>
          <w:lang w:val="en-US"/>
        </w:rPr>
        <w:t>Madrid: TEA.</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lang w:val="en-US"/>
        </w:rPr>
      </w:pPr>
      <w:r w:rsidRPr="00084958">
        <w:rPr>
          <w:rFonts w:ascii="Times New Roman" w:hAnsi="Times New Roman" w:cs="Times New Roman"/>
          <w:iCs/>
          <w:sz w:val="24"/>
          <w:szCs w:val="24"/>
          <w:lang w:val="en-US"/>
        </w:rPr>
        <w:t xml:space="preserve">Spielberger, C. D., Gorsuch, R. L. &amp; Lushene, R. E. (1970). </w:t>
      </w:r>
      <w:r w:rsidRPr="00084958">
        <w:rPr>
          <w:rFonts w:ascii="Times New Roman" w:hAnsi="Times New Roman" w:cs="Times New Roman"/>
          <w:i/>
          <w:iCs/>
          <w:sz w:val="24"/>
          <w:szCs w:val="24"/>
          <w:lang w:val="en-US"/>
        </w:rPr>
        <w:t>STAI Manual for the State-Trait Anxiety Inventory (</w:t>
      </w:r>
      <w:proofErr w:type="spellStart"/>
      <w:r w:rsidRPr="00084958">
        <w:rPr>
          <w:rFonts w:ascii="Times New Roman" w:hAnsi="Times New Roman" w:cs="Times New Roman"/>
          <w:i/>
          <w:iCs/>
          <w:sz w:val="24"/>
          <w:szCs w:val="24"/>
          <w:lang w:val="en-US"/>
        </w:rPr>
        <w:t>Sef</w:t>
      </w:r>
      <w:proofErr w:type="spellEnd"/>
      <w:r w:rsidRPr="00084958">
        <w:rPr>
          <w:rFonts w:ascii="Times New Roman" w:hAnsi="Times New Roman" w:cs="Times New Roman"/>
          <w:i/>
          <w:iCs/>
          <w:sz w:val="24"/>
          <w:szCs w:val="24"/>
          <w:lang w:val="en-US"/>
        </w:rPr>
        <w:t>-Evaluation Questionnaire)</w:t>
      </w:r>
      <w:r w:rsidRPr="00084958">
        <w:rPr>
          <w:rFonts w:ascii="Times New Roman" w:hAnsi="Times New Roman" w:cs="Times New Roman"/>
          <w:iCs/>
          <w:sz w:val="24"/>
          <w:szCs w:val="24"/>
          <w:lang w:val="en-US"/>
        </w:rPr>
        <w:t>. Palo Alto California: Consulting Psychologists Press.</w:t>
      </w:r>
    </w:p>
    <w:p w:rsidR="00BF0BBB" w:rsidRPr="00084958" w:rsidRDefault="00BF0BBB" w:rsidP="00507AAC">
      <w:pPr>
        <w:spacing w:line="240" w:lineRule="auto"/>
        <w:ind w:left="709" w:hanging="709"/>
        <w:contextualSpacing/>
        <w:jc w:val="both"/>
        <w:rPr>
          <w:rFonts w:ascii="Times New Roman" w:hAnsi="Times New Roman" w:cs="Times New Roman"/>
          <w:sz w:val="24"/>
          <w:szCs w:val="24"/>
          <w:lang w:val="en-US"/>
        </w:rPr>
      </w:pPr>
      <w:r w:rsidRPr="00084958">
        <w:rPr>
          <w:rFonts w:ascii="Times New Roman" w:hAnsi="Times New Roman" w:cs="Times New Roman"/>
          <w:sz w:val="24"/>
          <w:szCs w:val="24"/>
          <w:lang w:val="en-US"/>
        </w:rPr>
        <w:t xml:space="preserve">Stahl, S. M. (2013). </w:t>
      </w:r>
      <w:r w:rsidRPr="00084958">
        <w:rPr>
          <w:rFonts w:ascii="Times New Roman" w:hAnsi="Times New Roman" w:cs="Times New Roman"/>
          <w:i/>
          <w:iCs/>
          <w:sz w:val="24"/>
          <w:szCs w:val="24"/>
          <w:lang w:val="en-US"/>
        </w:rPr>
        <w:t>Stahl's Essential Psychopharmacology: Neuroscientific Basis and Practical Applications</w:t>
      </w:r>
      <w:r w:rsidRPr="00084958">
        <w:rPr>
          <w:rFonts w:ascii="Times New Roman" w:hAnsi="Times New Roman" w:cs="Times New Roman"/>
          <w:sz w:val="24"/>
          <w:szCs w:val="24"/>
          <w:lang w:val="en-US"/>
        </w:rPr>
        <w:t xml:space="preserve">. </w:t>
      </w:r>
      <w:proofErr w:type="spellStart"/>
      <w:r w:rsidRPr="00084958">
        <w:rPr>
          <w:rFonts w:ascii="Times New Roman" w:hAnsi="Times New Roman" w:cs="Times New Roman"/>
          <w:sz w:val="24"/>
          <w:szCs w:val="24"/>
          <w:lang w:val="en-US"/>
        </w:rPr>
        <w:t>Cambidge</w:t>
      </w:r>
      <w:proofErr w:type="spellEnd"/>
      <w:r w:rsidRPr="00084958">
        <w:rPr>
          <w:rFonts w:ascii="Times New Roman" w:hAnsi="Times New Roman" w:cs="Times New Roman"/>
          <w:sz w:val="24"/>
          <w:szCs w:val="24"/>
          <w:lang w:val="en-US"/>
        </w:rPr>
        <w:t>, UK: Cambridge University Press.</w:t>
      </w:r>
    </w:p>
    <w:p w:rsidR="00BF0BBB" w:rsidRPr="00084958" w:rsidRDefault="00BF0BBB" w:rsidP="00507AAC">
      <w:pPr>
        <w:spacing w:line="240" w:lineRule="auto"/>
        <w:ind w:left="709" w:hanging="709"/>
        <w:contextualSpacing/>
        <w:jc w:val="both"/>
        <w:rPr>
          <w:rFonts w:ascii="Times New Roman" w:hAnsi="Times New Roman" w:cs="Times New Roman"/>
          <w:iCs/>
          <w:sz w:val="24"/>
          <w:szCs w:val="24"/>
        </w:rPr>
      </w:pPr>
      <w:proofErr w:type="spellStart"/>
      <w:r w:rsidRPr="00084958">
        <w:rPr>
          <w:rFonts w:ascii="Times New Roman" w:hAnsi="Times New Roman" w:cs="Times New Roman"/>
          <w:iCs/>
          <w:sz w:val="24"/>
          <w:szCs w:val="24"/>
          <w:lang w:val="en-US"/>
        </w:rPr>
        <w:t>Sterman</w:t>
      </w:r>
      <w:proofErr w:type="spellEnd"/>
      <w:r w:rsidRPr="00084958">
        <w:rPr>
          <w:rFonts w:ascii="Times New Roman" w:hAnsi="Times New Roman" w:cs="Times New Roman"/>
          <w:iCs/>
          <w:sz w:val="24"/>
          <w:szCs w:val="24"/>
          <w:lang w:val="en-US"/>
        </w:rPr>
        <w:t xml:space="preserve">, M. (2000). Basic Concepts and Clinical Findings in the Treatment of Seizure Disorders with EEG Operant Conditioning. </w:t>
      </w:r>
      <w:proofErr w:type="spellStart"/>
      <w:r w:rsidRPr="00084958">
        <w:rPr>
          <w:rFonts w:ascii="Times New Roman" w:hAnsi="Times New Roman" w:cs="Times New Roman"/>
          <w:i/>
          <w:iCs/>
          <w:sz w:val="24"/>
          <w:szCs w:val="24"/>
        </w:rPr>
        <w:t>Clinical</w:t>
      </w:r>
      <w:proofErr w:type="spellEnd"/>
      <w:r w:rsidRPr="00084958">
        <w:rPr>
          <w:rFonts w:ascii="Times New Roman" w:hAnsi="Times New Roman" w:cs="Times New Roman"/>
          <w:i/>
          <w:iCs/>
          <w:sz w:val="24"/>
          <w:szCs w:val="24"/>
        </w:rPr>
        <w:t xml:space="preserve"> EEG And </w:t>
      </w:r>
      <w:proofErr w:type="spellStart"/>
      <w:r w:rsidRPr="00084958">
        <w:rPr>
          <w:rFonts w:ascii="Times New Roman" w:hAnsi="Times New Roman" w:cs="Times New Roman"/>
          <w:i/>
          <w:iCs/>
          <w:sz w:val="24"/>
          <w:szCs w:val="24"/>
        </w:rPr>
        <w:t>Neuroscience</w:t>
      </w:r>
      <w:proofErr w:type="spellEnd"/>
      <w:r w:rsidRPr="00084958">
        <w:rPr>
          <w:rFonts w:ascii="Times New Roman" w:hAnsi="Times New Roman" w:cs="Times New Roman"/>
          <w:iCs/>
          <w:sz w:val="24"/>
          <w:szCs w:val="24"/>
        </w:rPr>
        <w:t xml:space="preserve">, </w:t>
      </w:r>
      <w:r w:rsidRPr="00084958">
        <w:rPr>
          <w:rFonts w:ascii="Times New Roman" w:hAnsi="Times New Roman" w:cs="Times New Roman"/>
          <w:i/>
          <w:iCs/>
          <w:sz w:val="24"/>
          <w:szCs w:val="24"/>
        </w:rPr>
        <w:t>31</w:t>
      </w:r>
      <w:r w:rsidRPr="00084958">
        <w:rPr>
          <w:rFonts w:ascii="Times New Roman" w:hAnsi="Times New Roman" w:cs="Times New Roman"/>
          <w:iCs/>
          <w:sz w:val="24"/>
          <w:szCs w:val="24"/>
        </w:rPr>
        <w:t xml:space="preserve">(1), 45-55. </w:t>
      </w:r>
      <w:hyperlink r:id="rId15" w:history="1">
        <w:r w:rsidRPr="00084958">
          <w:rPr>
            <w:rStyle w:val="Hipervnculo"/>
            <w:rFonts w:ascii="Times New Roman" w:hAnsi="Times New Roman" w:cs="Times New Roman"/>
            <w:iCs/>
            <w:sz w:val="24"/>
            <w:szCs w:val="24"/>
          </w:rPr>
          <w:t>http://dx.doi.org/10.1177/155005940003100111</w:t>
        </w:r>
      </w:hyperlink>
    </w:p>
    <w:p w:rsidR="00BF0BBB" w:rsidRDefault="00BF0BBB" w:rsidP="00507AAC">
      <w:pPr>
        <w:spacing w:line="240" w:lineRule="auto"/>
        <w:ind w:left="709" w:hanging="709"/>
        <w:contextualSpacing/>
        <w:jc w:val="both"/>
        <w:rPr>
          <w:rFonts w:ascii="Times New Roman" w:hAnsi="Times New Roman" w:cs="Times New Roman"/>
          <w:sz w:val="24"/>
          <w:szCs w:val="24"/>
        </w:rPr>
      </w:pPr>
      <w:proofErr w:type="spellStart"/>
      <w:r w:rsidRPr="00084958">
        <w:rPr>
          <w:rFonts w:ascii="Times New Roman" w:hAnsi="Times New Roman" w:cs="Times New Roman"/>
          <w:iCs/>
          <w:sz w:val="24"/>
          <w:szCs w:val="24"/>
        </w:rPr>
        <w:t>Thoughttechnology</w:t>
      </w:r>
      <w:proofErr w:type="spellEnd"/>
      <w:r w:rsidRPr="00084958">
        <w:rPr>
          <w:rFonts w:ascii="Times New Roman" w:hAnsi="Times New Roman" w:cs="Times New Roman"/>
          <w:iCs/>
          <w:sz w:val="24"/>
          <w:szCs w:val="24"/>
        </w:rPr>
        <w:t xml:space="preserve"> (2018). Recuperado de </w:t>
      </w:r>
      <w:hyperlink r:id="rId16" w:history="1">
        <w:r w:rsidRPr="00084958">
          <w:rPr>
            <w:rStyle w:val="Hipervnculo"/>
            <w:rFonts w:ascii="Times New Roman" w:hAnsi="Times New Roman" w:cs="Times New Roman"/>
            <w:iCs/>
            <w:sz w:val="24"/>
            <w:szCs w:val="24"/>
          </w:rPr>
          <w:t>http://thoughttechnology.com/</w:t>
        </w:r>
      </w:hyperlink>
    </w:p>
    <w:p w:rsidR="0094429F" w:rsidRDefault="00F046AC" w:rsidP="00507AAC">
      <w:pPr>
        <w:spacing w:line="240" w:lineRule="auto"/>
        <w:ind w:left="709" w:hanging="709"/>
        <w:contextualSpacing/>
        <w:jc w:val="both"/>
        <w:rPr>
          <w:rFonts w:ascii="Times New Roman" w:hAnsi="Times New Roman" w:cs="Times New Roman"/>
          <w:iCs/>
          <w:sz w:val="24"/>
          <w:szCs w:val="24"/>
        </w:rPr>
      </w:pPr>
      <w:proofErr w:type="spellStart"/>
      <w:r w:rsidRPr="00C07A96">
        <w:rPr>
          <w:rFonts w:ascii="Times New Roman" w:hAnsi="Times New Roman" w:cs="Times New Roman"/>
          <w:iCs/>
          <w:sz w:val="24"/>
          <w:szCs w:val="24"/>
          <w:lang w:val="en-US"/>
        </w:rPr>
        <w:t>Yunus</w:t>
      </w:r>
      <w:proofErr w:type="spellEnd"/>
      <w:r w:rsidRPr="00C07A96">
        <w:rPr>
          <w:rFonts w:ascii="Times New Roman" w:hAnsi="Times New Roman" w:cs="Times New Roman"/>
          <w:iCs/>
          <w:sz w:val="24"/>
          <w:szCs w:val="24"/>
          <w:lang w:val="en-US"/>
        </w:rPr>
        <w:t xml:space="preserve">, M. (2012). The Prevalence of Fibromyalgia in Other Chronic Pain Conditions. </w:t>
      </w:r>
      <w:proofErr w:type="spellStart"/>
      <w:r w:rsidRPr="00F046AC">
        <w:rPr>
          <w:rFonts w:ascii="Times New Roman" w:hAnsi="Times New Roman" w:cs="Times New Roman"/>
          <w:i/>
          <w:iCs/>
          <w:sz w:val="24"/>
          <w:szCs w:val="24"/>
        </w:rPr>
        <w:t>Pain</w:t>
      </w:r>
      <w:proofErr w:type="spellEnd"/>
      <w:r w:rsidR="00025B90">
        <w:rPr>
          <w:rFonts w:ascii="Times New Roman" w:hAnsi="Times New Roman" w:cs="Times New Roman"/>
          <w:i/>
          <w:iCs/>
          <w:sz w:val="24"/>
          <w:szCs w:val="24"/>
        </w:rPr>
        <w:t xml:space="preserve"> </w:t>
      </w:r>
      <w:proofErr w:type="spellStart"/>
      <w:r w:rsidRPr="00F046AC">
        <w:rPr>
          <w:rFonts w:ascii="Times New Roman" w:hAnsi="Times New Roman" w:cs="Times New Roman"/>
          <w:i/>
          <w:iCs/>
          <w:sz w:val="24"/>
          <w:szCs w:val="24"/>
        </w:rPr>
        <w:t>Research</w:t>
      </w:r>
      <w:proofErr w:type="spellEnd"/>
      <w:r w:rsidRPr="00F046AC">
        <w:rPr>
          <w:rFonts w:ascii="Times New Roman" w:hAnsi="Times New Roman" w:cs="Times New Roman"/>
          <w:i/>
          <w:iCs/>
          <w:sz w:val="24"/>
          <w:szCs w:val="24"/>
        </w:rPr>
        <w:t xml:space="preserve"> And </w:t>
      </w:r>
      <w:proofErr w:type="spellStart"/>
      <w:r w:rsidRPr="00F046AC">
        <w:rPr>
          <w:rFonts w:ascii="Times New Roman" w:hAnsi="Times New Roman" w:cs="Times New Roman"/>
          <w:i/>
          <w:iCs/>
          <w:sz w:val="24"/>
          <w:szCs w:val="24"/>
        </w:rPr>
        <w:t>Treatment</w:t>
      </w:r>
      <w:proofErr w:type="spellEnd"/>
      <w:r w:rsidRPr="00F046AC">
        <w:rPr>
          <w:rFonts w:ascii="Times New Roman" w:hAnsi="Times New Roman" w:cs="Times New Roman"/>
          <w:iCs/>
          <w:sz w:val="24"/>
          <w:szCs w:val="24"/>
        </w:rPr>
        <w:t xml:space="preserve">, </w:t>
      </w:r>
      <w:r w:rsidRPr="00F046AC">
        <w:rPr>
          <w:rFonts w:ascii="Times New Roman" w:hAnsi="Times New Roman" w:cs="Times New Roman"/>
          <w:i/>
          <w:iCs/>
          <w:sz w:val="24"/>
          <w:szCs w:val="24"/>
        </w:rPr>
        <w:t>2012</w:t>
      </w:r>
      <w:r w:rsidRPr="00F046AC">
        <w:rPr>
          <w:rFonts w:ascii="Times New Roman" w:hAnsi="Times New Roman" w:cs="Times New Roman"/>
          <w:iCs/>
          <w:sz w:val="24"/>
          <w:szCs w:val="24"/>
        </w:rPr>
        <w:t xml:space="preserve">, 1-8. </w:t>
      </w:r>
      <w:hyperlink r:id="rId17" w:history="1">
        <w:r w:rsidRPr="00306798">
          <w:rPr>
            <w:rStyle w:val="Hipervnculo"/>
            <w:rFonts w:ascii="Times New Roman" w:hAnsi="Times New Roman" w:cs="Times New Roman"/>
            <w:iCs/>
            <w:sz w:val="24"/>
            <w:szCs w:val="24"/>
          </w:rPr>
          <w:t>http://dx.doi.org/10.1155/2012/584573</w:t>
        </w:r>
      </w:hyperlink>
    </w:p>
    <w:p w:rsidR="002A4C98" w:rsidRDefault="002A4C98" w:rsidP="00507AAC">
      <w:pPr>
        <w:spacing w:line="240" w:lineRule="auto"/>
        <w:ind w:firstLine="709"/>
        <w:jc w:val="both"/>
        <w:rPr>
          <w:rFonts w:ascii="Times New Roman" w:hAnsi="Times New Roman" w:cs="Times New Roman"/>
          <w:sz w:val="24"/>
          <w:szCs w:val="24"/>
        </w:rPr>
      </w:pPr>
    </w:p>
    <w:p w:rsidR="00CA6FE9" w:rsidRDefault="00CA6FE9" w:rsidP="00507AAC">
      <w:pPr>
        <w:spacing w:line="240" w:lineRule="auto"/>
        <w:ind w:left="709" w:hanging="709"/>
        <w:jc w:val="both"/>
        <w:rPr>
          <w:rFonts w:ascii="Times New Roman" w:hAnsi="Times New Roman" w:cs="Times New Roman"/>
          <w:iCs/>
          <w:sz w:val="24"/>
          <w:szCs w:val="24"/>
        </w:rPr>
      </w:pPr>
    </w:p>
    <w:p w:rsidR="00C437F2" w:rsidRDefault="00C437F2" w:rsidP="00507AAC">
      <w:pPr>
        <w:spacing w:line="240" w:lineRule="auto"/>
      </w:pPr>
    </w:p>
    <w:sectPr w:rsidR="00C437F2" w:rsidSect="001C1F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C04C8"/>
    <w:multiLevelType w:val="hybridMultilevel"/>
    <w:tmpl w:val="BF50D408"/>
    <w:lvl w:ilvl="0" w:tplc="BE98797C">
      <w:start w:val="1"/>
      <w:numFmt w:val="decimal"/>
      <w:lvlText w:val="(%1)"/>
      <w:lvlJc w:val="left"/>
      <w:pPr>
        <w:tabs>
          <w:tab w:val="num" w:pos="720"/>
        </w:tabs>
        <w:ind w:left="720" w:hanging="360"/>
      </w:pPr>
      <w:rPr>
        <w:color w:val="auto"/>
      </w:rPr>
    </w:lvl>
    <w:lvl w:ilvl="1" w:tplc="E7F06948" w:tentative="1">
      <w:start w:val="1"/>
      <w:numFmt w:val="decimal"/>
      <w:lvlText w:val="(%2)"/>
      <w:lvlJc w:val="left"/>
      <w:pPr>
        <w:tabs>
          <w:tab w:val="num" w:pos="1440"/>
        </w:tabs>
        <w:ind w:left="1440" w:hanging="360"/>
      </w:pPr>
    </w:lvl>
    <w:lvl w:ilvl="2" w:tplc="46B617AA" w:tentative="1">
      <w:start w:val="1"/>
      <w:numFmt w:val="decimal"/>
      <w:lvlText w:val="(%3)"/>
      <w:lvlJc w:val="left"/>
      <w:pPr>
        <w:tabs>
          <w:tab w:val="num" w:pos="2160"/>
        </w:tabs>
        <w:ind w:left="2160" w:hanging="360"/>
      </w:pPr>
    </w:lvl>
    <w:lvl w:ilvl="3" w:tplc="4E429EA2" w:tentative="1">
      <w:start w:val="1"/>
      <w:numFmt w:val="decimal"/>
      <w:lvlText w:val="(%4)"/>
      <w:lvlJc w:val="left"/>
      <w:pPr>
        <w:tabs>
          <w:tab w:val="num" w:pos="2880"/>
        </w:tabs>
        <w:ind w:left="2880" w:hanging="360"/>
      </w:pPr>
    </w:lvl>
    <w:lvl w:ilvl="4" w:tplc="3B7A2A0E" w:tentative="1">
      <w:start w:val="1"/>
      <w:numFmt w:val="decimal"/>
      <w:lvlText w:val="(%5)"/>
      <w:lvlJc w:val="left"/>
      <w:pPr>
        <w:tabs>
          <w:tab w:val="num" w:pos="3600"/>
        </w:tabs>
        <w:ind w:left="3600" w:hanging="360"/>
      </w:pPr>
    </w:lvl>
    <w:lvl w:ilvl="5" w:tplc="B73AD00E" w:tentative="1">
      <w:start w:val="1"/>
      <w:numFmt w:val="decimal"/>
      <w:lvlText w:val="(%6)"/>
      <w:lvlJc w:val="left"/>
      <w:pPr>
        <w:tabs>
          <w:tab w:val="num" w:pos="4320"/>
        </w:tabs>
        <w:ind w:left="4320" w:hanging="360"/>
      </w:pPr>
    </w:lvl>
    <w:lvl w:ilvl="6" w:tplc="53C641E2" w:tentative="1">
      <w:start w:val="1"/>
      <w:numFmt w:val="decimal"/>
      <w:lvlText w:val="(%7)"/>
      <w:lvlJc w:val="left"/>
      <w:pPr>
        <w:tabs>
          <w:tab w:val="num" w:pos="5040"/>
        </w:tabs>
        <w:ind w:left="5040" w:hanging="360"/>
      </w:pPr>
    </w:lvl>
    <w:lvl w:ilvl="7" w:tplc="C8A8891E" w:tentative="1">
      <w:start w:val="1"/>
      <w:numFmt w:val="decimal"/>
      <w:lvlText w:val="(%8)"/>
      <w:lvlJc w:val="left"/>
      <w:pPr>
        <w:tabs>
          <w:tab w:val="num" w:pos="5760"/>
        </w:tabs>
        <w:ind w:left="5760" w:hanging="360"/>
      </w:pPr>
    </w:lvl>
    <w:lvl w:ilvl="8" w:tplc="CDACF862" w:tentative="1">
      <w:start w:val="1"/>
      <w:numFmt w:val="decimal"/>
      <w:lvlText w:val="(%9)"/>
      <w:lvlJc w:val="left"/>
      <w:pPr>
        <w:tabs>
          <w:tab w:val="num" w:pos="6480"/>
        </w:tabs>
        <w:ind w:left="6480" w:hanging="360"/>
      </w:pPr>
    </w:lvl>
  </w:abstractNum>
  <w:abstractNum w:abstractNumId="1">
    <w:nsid w:val="247F59C8"/>
    <w:multiLevelType w:val="hybridMultilevel"/>
    <w:tmpl w:val="52A036F4"/>
    <w:lvl w:ilvl="0" w:tplc="BBD4230E">
      <w:start w:val="1"/>
      <w:numFmt w:val="bullet"/>
      <w:lvlText w:val=""/>
      <w:lvlJc w:val="left"/>
      <w:pPr>
        <w:tabs>
          <w:tab w:val="num" w:pos="720"/>
        </w:tabs>
        <w:ind w:left="720" w:hanging="360"/>
      </w:pPr>
      <w:rPr>
        <w:rFonts w:ascii="Wingdings 2" w:hAnsi="Wingdings 2" w:hint="default"/>
      </w:rPr>
    </w:lvl>
    <w:lvl w:ilvl="1" w:tplc="2F66C2A0" w:tentative="1">
      <w:start w:val="1"/>
      <w:numFmt w:val="bullet"/>
      <w:lvlText w:val=""/>
      <w:lvlJc w:val="left"/>
      <w:pPr>
        <w:tabs>
          <w:tab w:val="num" w:pos="1440"/>
        </w:tabs>
        <w:ind w:left="1440" w:hanging="360"/>
      </w:pPr>
      <w:rPr>
        <w:rFonts w:ascii="Wingdings 2" w:hAnsi="Wingdings 2" w:hint="default"/>
      </w:rPr>
    </w:lvl>
    <w:lvl w:ilvl="2" w:tplc="1F00ABCE" w:tentative="1">
      <w:start w:val="1"/>
      <w:numFmt w:val="bullet"/>
      <w:lvlText w:val=""/>
      <w:lvlJc w:val="left"/>
      <w:pPr>
        <w:tabs>
          <w:tab w:val="num" w:pos="2160"/>
        </w:tabs>
        <w:ind w:left="2160" w:hanging="360"/>
      </w:pPr>
      <w:rPr>
        <w:rFonts w:ascii="Wingdings 2" w:hAnsi="Wingdings 2" w:hint="default"/>
      </w:rPr>
    </w:lvl>
    <w:lvl w:ilvl="3" w:tplc="9EF81290" w:tentative="1">
      <w:start w:val="1"/>
      <w:numFmt w:val="bullet"/>
      <w:lvlText w:val=""/>
      <w:lvlJc w:val="left"/>
      <w:pPr>
        <w:tabs>
          <w:tab w:val="num" w:pos="2880"/>
        </w:tabs>
        <w:ind w:left="2880" w:hanging="360"/>
      </w:pPr>
      <w:rPr>
        <w:rFonts w:ascii="Wingdings 2" w:hAnsi="Wingdings 2" w:hint="default"/>
      </w:rPr>
    </w:lvl>
    <w:lvl w:ilvl="4" w:tplc="983CA420" w:tentative="1">
      <w:start w:val="1"/>
      <w:numFmt w:val="bullet"/>
      <w:lvlText w:val=""/>
      <w:lvlJc w:val="left"/>
      <w:pPr>
        <w:tabs>
          <w:tab w:val="num" w:pos="3600"/>
        </w:tabs>
        <w:ind w:left="3600" w:hanging="360"/>
      </w:pPr>
      <w:rPr>
        <w:rFonts w:ascii="Wingdings 2" w:hAnsi="Wingdings 2" w:hint="default"/>
      </w:rPr>
    </w:lvl>
    <w:lvl w:ilvl="5" w:tplc="D78470DC" w:tentative="1">
      <w:start w:val="1"/>
      <w:numFmt w:val="bullet"/>
      <w:lvlText w:val=""/>
      <w:lvlJc w:val="left"/>
      <w:pPr>
        <w:tabs>
          <w:tab w:val="num" w:pos="4320"/>
        </w:tabs>
        <w:ind w:left="4320" w:hanging="360"/>
      </w:pPr>
      <w:rPr>
        <w:rFonts w:ascii="Wingdings 2" w:hAnsi="Wingdings 2" w:hint="default"/>
      </w:rPr>
    </w:lvl>
    <w:lvl w:ilvl="6" w:tplc="105ABDD4" w:tentative="1">
      <w:start w:val="1"/>
      <w:numFmt w:val="bullet"/>
      <w:lvlText w:val=""/>
      <w:lvlJc w:val="left"/>
      <w:pPr>
        <w:tabs>
          <w:tab w:val="num" w:pos="5040"/>
        </w:tabs>
        <w:ind w:left="5040" w:hanging="360"/>
      </w:pPr>
      <w:rPr>
        <w:rFonts w:ascii="Wingdings 2" w:hAnsi="Wingdings 2" w:hint="default"/>
      </w:rPr>
    </w:lvl>
    <w:lvl w:ilvl="7" w:tplc="24764428" w:tentative="1">
      <w:start w:val="1"/>
      <w:numFmt w:val="bullet"/>
      <w:lvlText w:val=""/>
      <w:lvlJc w:val="left"/>
      <w:pPr>
        <w:tabs>
          <w:tab w:val="num" w:pos="5760"/>
        </w:tabs>
        <w:ind w:left="5760" w:hanging="360"/>
      </w:pPr>
      <w:rPr>
        <w:rFonts w:ascii="Wingdings 2" w:hAnsi="Wingdings 2" w:hint="default"/>
      </w:rPr>
    </w:lvl>
    <w:lvl w:ilvl="8" w:tplc="FD5EBEC0" w:tentative="1">
      <w:start w:val="1"/>
      <w:numFmt w:val="bullet"/>
      <w:lvlText w:val=""/>
      <w:lvlJc w:val="left"/>
      <w:pPr>
        <w:tabs>
          <w:tab w:val="num" w:pos="6480"/>
        </w:tabs>
        <w:ind w:left="6480" w:hanging="360"/>
      </w:pPr>
      <w:rPr>
        <w:rFonts w:ascii="Wingdings 2" w:hAnsi="Wingdings 2" w:hint="default"/>
      </w:rPr>
    </w:lvl>
  </w:abstractNum>
  <w:abstractNum w:abstractNumId="2">
    <w:nsid w:val="2ADE531F"/>
    <w:multiLevelType w:val="hybridMultilevel"/>
    <w:tmpl w:val="8C54DEAA"/>
    <w:lvl w:ilvl="0" w:tplc="F5B82750">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A1083"/>
    <w:rsid w:val="000177CC"/>
    <w:rsid w:val="00025B90"/>
    <w:rsid w:val="000265B0"/>
    <w:rsid w:val="00031D50"/>
    <w:rsid w:val="000468DD"/>
    <w:rsid w:val="00082A19"/>
    <w:rsid w:val="00084958"/>
    <w:rsid w:val="00095AD8"/>
    <w:rsid w:val="000A0318"/>
    <w:rsid w:val="000A1DE8"/>
    <w:rsid w:val="000C0725"/>
    <w:rsid w:val="000D4AC5"/>
    <w:rsid w:val="00127222"/>
    <w:rsid w:val="00137371"/>
    <w:rsid w:val="00147117"/>
    <w:rsid w:val="00152622"/>
    <w:rsid w:val="00171D5A"/>
    <w:rsid w:val="00172C4F"/>
    <w:rsid w:val="00184BB7"/>
    <w:rsid w:val="001F301D"/>
    <w:rsid w:val="00200EA5"/>
    <w:rsid w:val="002215CD"/>
    <w:rsid w:val="0022358A"/>
    <w:rsid w:val="0022713F"/>
    <w:rsid w:val="002A4C98"/>
    <w:rsid w:val="002D2C42"/>
    <w:rsid w:val="002D4C1E"/>
    <w:rsid w:val="002F2A0A"/>
    <w:rsid w:val="002F31E2"/>
    <w:rsid w:val="00316323"/>
    <w:rsid w:val="00342FCF"/>
    <w:rsid w:val="0037634F"/>
    <w:rsid w:val="00396752"/>
    <w:rsid w:val="003A1DAF"/>
    <w:rsid w:val="003A2228"/>
    <w:rsid w:val="003A6805"/>
    <w:rsid w:val="004010C2"/>
    <w:rsid w:val="00424952"/>
    <w:rsid w:val="0042737B"/>
    <w:rsid w:val="00475D5A"/>
    <w:rsid w:val="00492D94"/>
    <w:rsid w:val="004C680B"/>
    <w:rsid w:val="004E136A"/>
    <w:rsid w:val="004F115E"/>
    <w:rsid w:val="004F699D"/>
    <w:rsid w:val="00507AAC"/>
    <w:rsid w:val="00531AE9"/>
    <w:rsid w:val="005704D5"/>
    <w:rsid w:val="00595F22"/>
    <w:rsid w:val="005F68A3"/>
    <w:rsid w:val="006215A7"/>
    <w:rsid w:val="00654E03"/>
    <w:rsid w:val="00663C5A"/>
    <w:rsid w:val="00666571"/>
    <w:rsid w:val="00677738"/>
    <w:rsid w:val="0069245E"/>
    <w:rsid w:val="006A39E9"/>
    <w:rsid w:val="006D5536"/>
    <w:rsid w:val="006E43E5"/>
    <w:rsid w:val="006F769A"/>
    <w:rsid w:val="0074277F"/>
    <w:rsid w:val="0075043A"/>
    <w:rsid w:val="00782BE9"/>
    <w:rsid w:val="007F490F"/>
    <w:rsid w:val="00812119"/>
    <w:rsid w:val="008A1083"/>
    <w:rsid w:val="008A53E1"/>
    <w:rsid w:val="008A63D0"/>
    <w:rsid w:val="008C6A5B"/>
    <w:rsid w:val="008D11BC"/>
    <w:rsid w:val="008E3D6E"/>
    <w:rsid w:val="008E7FC2"/>
    <w:rsid w:val="00922EE2"/>
    <w:rsid w:val="0094429F"/>
    <w:rsid w:val="00961319"/>
    <w:rsid w:val="00993B9F"/>
    <w:rsid w:val="009A307D"/>
    <w:rsid w:val="009A6ABC"/>
    <w:rsid w:val="009C4960"/>
    <w:rsid w:val="009F262A"/>
    <w:rsid w:val="009F5631"/>
    <w:rsid w:val="009F7DC0"/>
    <w:rsid w:val="00A319E1"/>
    <w:rsid w:val="00A8556A"/>
    <w:rsid w:val="00AF26A9"/>
    <w:rsid w:val="00B06CF8"/>
    <w:rsid w:val="00B31A8B"/>
    <w:rsid w:val="00B816E1"/>
    <w:rsid w:val="00B823BA"/>
    <w:rsid w:val="00B914CF"/>
    <w:rsid w:val="00B91700"/>
    <w:rsid w:val="00BC0988"/>
    <w:rsid w:val="00BC723E"/>
    <w:rsid w:val="00BF0BBB"/>
    <w:rsid w:val="00C07661"/>
    <w:rsid w:val="00C07A96"/>
    <w:rsid w:val="00C12E13"/>
    <w:rsid w:val="00C17B59"/>
    <w:rsid w:val="00C315D0"/>
    <w:rsid w:val="00C437F2"/>
    <w:rsid w:val="00C537BB"/>
    <w:rsid w:val="00C6051A"/>
    <w:rsid w:val="00C72A80"/>
    <w:rsid w:val="00C92452"/>
    <w:rsid w:val="00CA6FE9"/>
    <w:rsid w:val="00CB1324"/>
    <w:rsid w:val="00CD1CB8"/>
    <w:rsid w:val="00D62DA2"/>
    <w:rsid w:val="00D877A6"/>
    <w:rsid w:val="00D92FBC"/>
    <w:rsid w:val="00DC57EA"/>
    <w:rsid w:val="00DE4283"/>
    <w:rsid w:val="00E0083E"/>
    <w:rsid w:val="00E40675"/>
    <w:rsid w:val="00E57000"/>
    <w:rsid w:val="00E634E7"/>
    <w:rsid w:val="00E74735"/>
    <w:rsid w:val="00E7744E"/>
    <w:rsid w:val="00EA00FD"/>
    <w:rsid w:val="00EA4A8C"/>
    <w:rsid w:val="00EC3A93"/>
    <w:rsid w:val="00EE3094"/>
    <w:rsid w:val="00F046AC"/>
    <w:rsid w:val="00F1769E"/>
    <w:rsid w:val="00F24462"/>
    <w:rsid w:val="00F560F0"/>
    <w:rsid w:val="00F6084D"/>
    <w:rsid w:val="00F863C9"/>
    <w:rsid w:val="00FA3038"/>
    <w:rsid w:val="00FA6218"/>
    <w:rsid w:val="00FC4B5C"/>
    <w:rsid w:val="00FE165E"/>
    <w:rsid w:val="00FE21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D"/>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1083"/>
    <w:pPr>
      <w:ind w:left="720" w:firstLine="709"/>
      <w:contextualSpacing/>
    </w:pPr>
    <w:rPr>
      <w:rFonts w:eastAsiaTheme="minorHAnsi"/>
      <w:lang w:eastAsia="en-US"/>
    </w:rPr>
  </w:style>
  <w:style w:type="paragraph" w:styleId="Epgrafe">
    <w:name w:val="caption"/>
    <w:basedOn w:val="Normal"/>
    <w:next w:val="Normal"/>
    <w:uiPriority w:val="35"/>
    <w:unhideWhenUsed/>
    <w:qFormat/>
    <w:rsid w:val="004E136A"/>
    <w:pPr>
      <w:spacing w:line="240" w:lineRule="auto"/>
      <w:ind w:firstLine="709"/>
    </w:pPr>
    <w:rPr>
      <w:rFonts w:eastAsiaTheme="minorHAnsi"/>
      <w:b/>
      <w:bCs/>
      <w:color w:val="4F81BD" w:themeColor="accent1"/>
      <w:sz w:val="18"/>
      <w:szCs w:val="18"/>
      <w:lang w:eastAsia="en-US"/>
    </w:rPr>
  </w:style>
  <w:style w:type="paragraph" w:styleId="Textodeglobo">
    <w:name w:val="Balloon Text"/>
    <w:basedOn w:val="Normal"/>
    <w:link w:val="TextodegloboCar"/>
    <w:uiPriority w:val="99"/>
    <w:unhideWhenUsed/>
    <w:rsid w:val="004E136A"/>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rsid w:val="004E136A"/>
    <w:rPr>
      <w:rFonts w:ascii="Tahoma" w:eastAsiaTheme="minorHAnsi" w:hAnsi="Tahoma" w:cs="Tahoma"/>
      <w:sz w:val="16"/>
      <w:szCs w:val="16"/>
      <w:lang w:eastAsia="en-US"/>
    </w:rPr>
  </w:style>
  <w:style w:type="paragraph" w:styleId="Sinespaciado">
    <w:name w:val="No Spacing"/>
    <w:uiPriority w:val="1"/>
    <w:qFormat/>
    <w:rsid w:val="004E136A"/>
    <w:pPr>
      <w:spacing w:after="0" w:line="240" w:lineRule="auto"/>
      <w:ind w:firstLine="709"/>
    </w:pPr>
    <w:rPr>
      <w:rFonts w:eastAsiaTheme="minorHAnsi"/>
      <w:lang w:eastAsia="en-US"/>
    </w:rPr>
  </w:style>
  <w:style w:type="table" w:customStyle="1" w:styleId="tablasAPA6ed">
    <w:name w:val="tablas APA 6ed"/>
    <w:basedOn w:val="Tablanormal"/>
    <w:uiPriority w:val="99"/>
    <w:qFormat/>
    <w:rsid w:val="004E136A"/>
    <w:pPr>
      <w:spacing w:after="0" w:line="240" w:lineRule="auto"/>
      <w:jc w:val="center"/>
    </w:pPr>
    <w:rPr>
      <w:rFonts w:ascii="Times New Roman" w:hAnsi="Times New Roman"/>
      <w:sz w:val="24"/>
      <w:lang w:eastAsia="en-US"/>
    </w:rPr>
    <w:tblPr>
      <w:tblInd w:w="0" w:type="dxa"/>
      <w:tblBorders>
        <w:top w:val="single" w:sz="18" w:space="0" w:color="000000"/>
        <w:bottom w:val="single" w:sz="18" w:space="0" w:color="000000"/>
      </w:tblBorders>
      <w:tblCellMar>
        <w:top w:w="0" w:type="dxa"/>
        <w:left w:w="108" w:type="dxa"/>
        <w:bottom w:w="0" w:type="dxa"/>
        <w:right w:w="108" w:type="dxa"/>
      </w:tblCellMar>
    </w:tblPr>
    <w:tcPr>
      <w:vAlign w:val="center"/>
    </w:tcPr>
    <w:tblStylePr w:type="firstRow">
      <w:rPr>
        <w:rFonts w:ascii="Times New Roman" w:hAnsi="Times New Roman" w:cs="Times New Roman" w:hint="default"/>
        <w:b/>
        <w:sz w:val="24"/>
        <w:szCs w:val="24"/>
      </w:rPr>
      <w:tblPr/>
      <w:tcPr>
        <w:tcBorders>
          <w:bottom w:val="single" w:sz="18" w:space="0" w:color="000000"/>
        </w:tcBorders>
      </w:tcPr>
    </w:tblStylePr>
    <w:tblStylePr w:type="firstCol">
      <w:pPr>
        <w:jc w:val="left"/>
      </w:pPr>
      <w:rPr>
        <w:rFonts w:ascii="Times New Roman" w:hAnsi="Times New Roman" w:cs="Times New Roman" w:hint="default"/>
        <w:b/>
        <w:sz w:val="24"/>
        <w:szCs w:val="24"/>
      </w:rPr>
    </w:tblStylePr>
  </w:style>
  <w:style w:type="character" w:styleId="Hipervnculo">
    <w:name w:val="Hyperlink"/>
    <w:basedOn w:val="Fuentedeprrafopredeter"/>
    <w:uiPriority w:val="99"/>
    <w:unhideWhenUsed/>
    <w:rsid w:val="009C4960"/>
    <w:rPr>
      <w:color w:val="0000FF" w:themeColor="hyperlink"/>
      <w:u w:val="single"/>
    </w:rPr>
  </w:style>
  <w:style w:type="table" w:styleId="Tablaconcuadrcula">
    <w:name w:val="Table Grid"/>
    <w:basedOn w:val="Tablanormal"/>
    <w:uiPriority w:val="59"/>
    <w:rsid w:val="00427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4283"/>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3A2228"/>
    <w:rPr>
      <w:sz w:val="16"/>
      <w:szCs w:val="16"/>
    </w:rPr>
  </w:style>
  <w:style w:type="paragraph" w:styleId="Textocomentario">
    <w:name w:val="annotation text"/>
    <w:basedOn w:val="Normal"/>
    <w:link w:val="TextocomentarioCar"/>
    <w:uiPriority w:val="99"/>
    <w:semiHidden/>
    <w:unhideWhenUsed/>
    <w:rsid w:val="003A22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2228"/>
    <w:rPr>
      <w:sz w:val="20"/>
      <w:szCs w:val="20"/>
    </w:rPr>
  </w:style>
  <w:style w:type="paragraph" w:styleId="Asuntodelcomentario">
    <w:name w:val="annotation subject"/>
    <w:basedOn w:val="Textocomentario"/>
    <w:next w:val="Textocomentario"/>
    <w:link w:val="AsuntodelcomentarioCar"/>
    <w:uiPriority w:val="99"/>
    <w:semiHidden/>
    <w:unhideWhenUsed/>
    <w:rsid w:val="003A2228"/>
    <w:rPr>
      <w:b/>
      <w:bCs/>
    </w:rPr>
  </w:style>
  <w:style w:type="character" w:customStyle="1" w:styleId="AsuntodelcomentarioCar">
    <w:name w:val="Asunto del comentario Car"/>
    <w:basedOn w:val="TextocomentarioCar"/>
    <w:link w:val="Asuntodelcomentario"/>
    <w:uiPriority w:val="99"/>
    <w:semiHidden/>
    <w:rsid w:val="003A2228"/>
    <w:rPr>
      <w:b/>
      <w:bCs/>
      <w:sz w:val="20"/>
      <w:szCs w:val="20"/>
    </w:rPr>
  </w:style>
  <w:style w:type="character" w:styleId="Hipervnculovisitado">
    <w:name w:val="FollowedHyperlink"/>
    <w:basedOn w:val="Fuentedeprrafopredeter"/>
    <w:uiPriority w:val="99"/>
    <w:semiHidden/>
    <w:unhideWhenUsed/>
    <w:rsid w:val="006E43E5"/>
    <w:rPr>
      <w:color w:val="800080" w:themeColor="followedHyperlink"/>
      <w:u w:val="single"/>
    </w:rPr>
  </w:style>
  <w:style w:type="table" w:customStyle="1" w:styleId="tablasAPA6ed1">
    <w:name w:val="tablas APA 6ed1"/>
    <w:basedOn w:val="Tablanormal"/>
    <w:uiPriority w:val="99"/>
    <w:qFormat/>
    <w:rsid w:val="00C437F2"/>
    <w:pPr>
      <w:spacing w:after="0" w:line="240" w:lineRule="auto"/>
      <w:jc w:val="center"/>
    </w:pPr>
    <w:rPr>
      <w:rFonts w:ascii="Times New Roman" w:hAnsi="Times New Roman"/>
      <w:sz w:val="24"/>
      <w:lang w:eastAsia="en-US"/>
    </w:rPr>
    <w:tblPr>
      <w:tblInd w:w="0" w:type="dxa"/>
      <w:tblBorders>
        <w:top w:val="single" w:sz="18" w:space="0" w:color="000000"/>
        <w:bottom w:val="single" w:sz="18" w:space="0" w:color="000000"/>
      </w:tblBorders>
      <w:tblCellMar>
        <w:top w:w="0" w:type="dxa"/>
        <w:left w:w="108" w:type="dxa"/>
        <w:bottom w:w="0" w:type="dxa"/>
        <w:right w:w="108" w:type="dxa"/>
      </w:tblCellMar>
    </w:tblPr>
    <w:tcPr>
      <w:vAlign w:val="center"/>
    </w:tcPr>
    <w:tblStylePr w:type="firstRow">
      <w:rPr>
        <w:rFonts w:ascii="Times New Roman" w:hAnsi="Times New Roman" w:cs="Times New Roman" w:hint="default"/>
        <w:b/>
        <w:sz w:val="24"/>
        <w:szCs w:val="24"/>
      </w:rPr>
      <w:tblPr/>
      <w:tcPr>
        <w:tcBorders>
          <w:bottom w:val="single" w:sz="18" w:space="0" w:color="000000"/>
        </w:tcBorders>
      </w:tcPr>
    </w:tblStylePr>
    <w:tblStylePr w:type="firstCol">
      <w:pPr>
        <w:jc w:val="left"/>
      </w:pPr>
      <w:rPr>
        <w:rFonts w:ascii="Times New Roman" w:hAnsi="Times New Roman" w:cs="Times New Roman" w:hint="default"/>
        <w:b/>
        <w:sz w:val="24"/>
        <w:szCs w:val="24"/>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0272-7358(88)90050-5" TargetMode="External"/><Relationship Id="rId13" Type="http://schemas.openxmlformats.org/officeDocument/2006/relationships/hyperlink" Target="http://dx.doi.org/10.1007/s10484-010-913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dx.doi.org/10.1016/j.jpain.2007.11.003" TargetMode="External"/><Relationship Id="rId17" Type="http://schemas.openxmlformats.org/officeDocument/2006/relationships/hyperlink" Target="http://dx.doi.org/10.1155/2012/584573" TargetMode="External"/><Relationship Id="rId2" Type="http://schemas.openxmlformats.org/officeDocument/2006/relationships/styles" Target="styles.xml"/><Relationship Id="rId16" Type="http://schemas.openxmlformats.org/officeDocument/2006/relationships/hyperlink" Target="http://thoughttechnology.com/"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dx.doi.org/10.1155/2013/918216" TargetMode="External"/><Relationship Id="rId5" Type="http://schemas.openxmlformats.org/officeDocument/2006/relationships/chart" Target="charts/chart1.xml"/><Relationship Id="rId15" Type="http://schemas.openxmlformats.org/officeDocument/2006/relationships/hyperlink" Target="http://dx.doi.org/10.1177/155005940003100111" TargetMode="External"/><Relationship Id="rId10" Type="http://schemas.openxmlformats.org/officeDocument/2006/relationships/hyperlink" Target="http://dx.doi.org/10.1155/2013/5289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097/00001756-200112210-00058" TargetMode="External"/><Relationship Id="rId14" Type="http://schemas.openxmlformats.org/officeDocument/2006/relationships/hyperlink" Target="http://dx.doi.org/10.1007/s11062-010-9111-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rbosa\Escritorio\ANALISIS\TABLAS%20ANALISIS%20DAT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rbosa\Escritorio\ANALISIS\TABLAS%20ANALISIS%20DAT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rbosa\Escritorio\ANALISIS\TABLAS%20ANALISIS%20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layout/>
    </c:title>
    <c:plotArea>
      <c:layout>
        <c:manualLayout>
          <c:layoutTarget val="inner"/>
          <c:xMode val="edge"/>
          <c:yMode val="edge"/>
          <c:x val="5.9705995404513545E-2"/>
          <c:y val="0.22964666029090236"/>
          <c:w val="0.90740568098621943"/>
          <c:h val="0.50469198295932072"/>
        </c:manualLayout>
      </c:layout>
      <c:lineChart>
        <c:grouping val="standard"/>
        <c:ser>
          <c:idx val="0"/>
          <c:order val="0"/>
          <c:tx>
            <c:strRef>
              <c:f>'2h5'!$B$5</c:f>
              <c:strCache>
                <c:ptCount val="1"/>
                <c:pt idx="0">
                  <c:v>BDI</c:v>
                </c:pt>
              </c:strCache>
            </c:strRef>
          </c:tx>
          <c:cat>
            <c:strRef>
              <c:f>'2h5'!$C$4:$D$4</c:f>
              <c:strCache>
                <c:ptCount val="2"/>
                <c:pt idx="0">
                  <c:v>PRE</c:v>
                </c:pt>
                <c:pt idx="1">
                  <c:v>POST</c:v>
                </c:pt>
              </c:strCache>
            </c:strRef>
          </c:cat>
          <c:val>
            <c:numRef>
              <c:f>'2h5'!$C$5:$D$5</c:f>
              <c:numCache>
                <c:formatCode>General</c:formatCode>
                <c:ptCount val="2"/>
                <c:pt idx="0">
                  <c:v>23.875</c:v>
                </c:pt>
                <c:pt idx="1">
                  <c:v>18.100000000000001</c:v>
                </c:pt>
              </c:numCache>
            </c:numRef>
          </c:val>
          <c:extLst xmlns:c16r2="http://schemas.microsoft.com/office/drawing/2015/06/chart">
            <c:ext xmlns:c16="http://schemas.microsoft.com/office/drawing/2014/chart" uri="{C3380CC4-5D6E-409C-BE32-E72D297353CC}">
              <c16:uniqueId val="{00000000-7134-48CF-AB6F-2B9D18475B5B}"/>
            </c:ext>
          </c:extLst>
        </c:ser>
        <c:marker val="1"/>
        <c:axId val="69327872"/>
        <c:axId val="69423872"/>
      </c:lineChart>
      <c:catAx>
        <c:axId val="69327872"/>
        <c:scaling>
          <c:orientation val="minMax"/>
        </c:scaling>
        <c:axPos val="b"/>
        <c:numFmt formatCode="General" sourceLinked="0"/>
        <c:tickLblPos val="nextTo"/>
        <c:crossAx val="69423872"/>
        <c:crosses val="autoZero"/>
        <c:auto val="1"/>
        <c:lblAlgn val="ctr"/>
        <c:lblOffset val="100"/>
      </c:catAx>
      <c:valAx>
        <c:axId val="69423872"/>
        <c:scaling>
          <c:orientation val="minMax"/>
          <c:max val="63"/>
          <c:min val="0"/>
        </c:scaling>
        <c:axPos val="l"/>
        <c:numFmt formatCode="General" sourceLinked="1"/>
        <c:tickLblPos val="nextTo"/>
        <c:crossAx val="69327872"/>
        <c:crosses val="autoZero"/>
        <c:crossBetween val="between"/>
      </c:valAx>
      <c:spPr>
        <a:noFill/>
        <a:ln w="25400">
          <a:noFill/>
        </a:ln>
      </c:spPr>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sz="1800" b="1" i="0" u="none" strike="noStrike" baseline="0"/>
              <a:t>Anxiety </a:t>
            </a:r>
            <a:r>
              <a:rPr lang="en-US"/>
              <a:t> State</a:t>
            </a:r>
          </a:p>
        </c:rich>
      </c:tx>
      <c:layout/>
    </c:title>
    <c:plotArea>
      <c:layout>
        <c:manualLayout>
          <c:layoutTarget val="inner"/>
          <c:xMode val="edge"/>
          <c:yMode val="edge"/>
          <c:x val="0.11848870289815171"/>
          <c:y val="0.20451758546682602"/>
          <c:w val="0.80691922250977566"/>
          <c:h val="0.53703897009650481"/>
        </c:manualLayout>
      </c:layout>
      <c:lineChart>
        <c:grouping val="standard"/>
        <c:ser>
          <c:idx val="0"/>
          <c:order val="0"/>
          <c:tx>
            <c:strRef>
              <c:f>'2h6,1'!$B$8</c:f>
              <c:strCache>
                <c:ptCount val="1"/>
                <c:pt idx="0">
                  <c:v>STAI State</c:v>
                </c:pt>
              </c:strCache>
            </c:strRef>
          </c:tx>
          <c:cat>
            <c:strRef>
              <c:f>'2h6,1'!$C$7:$D$7</c:f>
              <c:strCache>
                <c:ptCount val="2"/>
                <c:pt idx="0">
                  <c:v>PRE</c:v>
                </c:pt>
                <c:pt idx="1">
                  <c:v>POST</c:v>
                </c:pt>
              </c:strCache>
            </c:strRef>
          </c:cat>
          <c:val>
            <c:numRef>
              <c:f>'2h6,1'!$C$8:$D$8</c:f>
              <c:numCache>
                <c:formatCode>General</c:formatCode>
                <c:ptCount val="2"/>
                <c:pt idx="0">
                  <c:v>7.4</c:v>
                </c:pt>
                <c:pt idx="1">
                  <c:v>6.5</c:v>
                </c:pt>
              </c:numCache>
            </c:numRef>
          </c:val>
          <c:extLst xmlns:c16r2="http://schemas.microsoft.com/office/drawing/2015/06/chart">
            <c:ext xmlns:c16="http://schemas.microsoft.com/office/drawing/2014/chart" uri="{C3380CC4-5D6E-409C-BE32-E72D297353CC}">
              <c16:uniqueId val="{00000000-1EA4-47E2-BC41-68BCDF20C203}"/>
            </c:ext>
          </c:extLst>
        </c:ser>
        <c:marker val="1"/>
        <c:axId val="80342400"/>
        <c:axId val="80530816"/>
      </c:lineChart>
      <c:catAx>
        <c:axId val="80342400"/>
        <c:scaling>
          <c:orientation val="minMax"/>
        </c:scaling>
        <c:axPos val="b"/>
        <c:numFmt formatCode="General" sourceLinked="0"/>
        <c:tickLblPos val="nextTo"/>
        <c:crossAx val="80530816"/>
        <c:crosses val="autoZero"/>
        <c:auto val="1"/>
        <c:lblAlgn val="ctr"/>
        <c:lblOffset val="100"/>
      </c:catAx>
      <c:valAx>
        <c:axId val="80530816"/>
        <c:scaling>
          <c:orientation val="minMax"/>
          <c:max val="10"/>
          <c:min val="0"/>
        </c:scaling>
        <c:axPos val="l"/>
        <c:numFmt formatCode="General" sourceLinked="1"/>
        <c:tickLblPos val="nextTo"/>
        <c:crossAx val="80342400"/>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sz="1800" b="1" i="0" u="none" strike="noStrike" baseline="0"/>
              <a:t>Anxiety </a:t>
            </a:r>
            <a:r>
              <a:rPr lang="es-ES"/>
              <a:t> Trait</a:t>
            </a:r>
          </a:p>
        </c:rich>
      </c:tx>
      <c:layout/>
    </c:title>
    <c:plotArea>
      <c:layout>
        <c:manualLayout>
          <c:layoutTarget val="inner"/>
          <c:xMode val="edge"/>
          <c:yMode val="edge"/>
          <c:x val="8.0307961504811898E-2"/>
          <c:y val="0.19480368162950437"/>
          <c:w val="0.8134308965493916"/>
          <c:h val="0.54656448591264506"/>
        </c:manualLayout>
      </c:layout>
      <c:lineChart>
        <c:grouping val="standard"/>
        <c:ser>
          <c:idx val="0"/>
          <c:order val="0"/>
          <c:tx>
            <c:strRef>
              <c:f>'2h6,2'!$C$10</c:f>
              <c:strCache>
                <c:ptCount val="1"/>
                <c:pt idx="0">
                  <c:v>STAI Trait</c:v>
                </c:pt>
              </c:strCache>
            </c:strRef>
          </c:tx>
          <c:cat>
            <c:strRef>
              <c:f>'2h6,2'!$D$9:$E$9</c:f>
              <c:strCache>
                <c:ptCount val="2"/>
                <c:pt idx="0">
                  <c:v>PRE</c:v>
                </c:pt>
                <c:pt idx="1">
                  <c:v>POST</c:v>
                </c:pt>
              </c:strCache>
            </c:strRef>
          </c:cat>
          <c:val>
            <c:numRef>
              <c:f>'2h6,2'!$D$10:$E$10</c:f>
              <c:numCache>
                <c:formatCode>General</c:formatCode>
                <c:ptCount val="2"/>
                <c:pt idx="0">
                  <c:v>7.2249999999999845</c:v>
                </c:pt>
                <c:pt idx="1">
                  <c:v>6.5</c:v>
                </c:pt>
              </c:numCache>
            </c:numRef>
          </c:val>
          <c:extLst xmlns:c16r2="http://schemas.microsoft.com/office/drawing/2015/06/chart">
            <c:ext xmlns:c16="http://schemas.microsoft.com/office/drawing/2014/chart" uri="{C3380CC4-5D6E-409C-BE32-E72D297353CC}">
              <c16:uniqueId val="{00000000-03DD-45FA-9625-EEC20ABDE500}"/>
            </c:ext>
          </c:extLst>
        </c:ser>
        <c:marker val="1"/>
        <c:axId val="83591168"/>
        <c:axId val="83592704"/>
      </c:lineChart>
      <c:catAx>
        <c:axId val="83591168"/>
        <c:scaling>
          <c:orientation val="minMax"/>
        </c:scaling>
        <c:axPos val="b"/>
        <c:numFmt formatCode="General" sourceLinked="0"/>
        <c:tickLblPos val="nextTo"/>
        <c:crossAx val="83592704"/>
        <c:crosses val="autoZero"/>
        <c:auto val="1"/>
        <c:lblAlgn val="ctr"/>
        <c:lblOffset val="100"/>
      </c:catAx>
      <c:valAx>
        <c:axId val="83592704"/>
        <c:scaling>
          <c:orientation val="minMax"/>
          <c:max val="10"/>
          <c:min val="0"/>
        </c:scaling>
        <c:axPos val="l"/>
        <c:numFmt formatCode="General" sourceLinked="1"/>
        <c:tickLblPos val="nextTo"/>
        <c:crossAx val="83591168"/>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3588</TotalTime>
  <Pages>10</Pages>
  <Words>3630</Words>
  <Characters>19967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Barbosa</dc:creator>
  <cp:lastModifiedBy>Barbosa</cp:lastModifiedBy>
  <cp:revision>60</cp:revision>
  <cp:lastPrinted>2018-10-08T11:09:00Z</cp:lastPrinted>
  <dcterms:created xsi:type="dcterms:W3CDTF">2018-05-23T09:30:00Z</dcterms:created>
  <dcterms:modified xsi:type="dcterms:W3CDTF">2018-10-16T15:58:00Z</dcterms:modified>
</cp:coreProperties>
</file>