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4A8D9" w14:textId="77777777" w:rsidR="00CA0320" w:rsidRDefault="0000114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Neurofeedback en fibromialgia para el tratamiento de la depresión y la ansiedad.</w:t>
      </w:r>
    </w:p>
    <w:p w14:paraId="7B3E68C2" w14:textId="77777777" w:rsidR="00CA0320" w:rsidRDefault="0000114F">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2445C690" w14:textId="22C4B336" w:rsidR="00CA0320" w:rsidRDefault="0000114F">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trabajo versa sobre neurofeedback en pacientes con fibromialgia. Este síndrome aglutina una gran cantidad de síntomas diversos, que abarcan desde el dolor crónico, fatiga y cansancio crónico, problemas atencionales, de memoria y de sueño. A pesar de que es un síndrome idiopático múltiples estudios apuntan a que su origen está relacionado con el Síndrome de Sensibilización Central (SSC).  Como intervención realizamos un entrenamiento mediante neurofeedback cuyo propósito es mejorar las variables ansiedad y depresión en fibromialgia. Utilizamos un protocolo estandarizado de ritmos sensoriomotores (SMR) ya que </w:t>
      </w:r>
      <w:r w:rsidR="00B930EF">
        <w:rPr>
          <w:rFonts w:ascii="Times New Roman" w:eastAsia="Times New Roman" w:hAnsi="Times New Roman" w:cs="Times New Roman"/>
          <w:sz w:val="24"/>
          <w:szCs w:val="24"/>
        </w:rPr>
        <w:t>el entrenamiento de estas ondas repercute</w:t>
      </w:r>
      <w:r>
        <w:rPr>
          <w:rFonts w:ascii="Times New Roman" w:eastAsia="Times New Roman" w:hAnsi="Times New Roman" w:cs="Times New Roman"/>
          <w:sz w:val="24"/>
          <w:szCs w:val="24"/>
        </w:rPr>
        <w:t xml:space="preserve"> en el sistema dopaminérgico que a su vez está relacionado con la facilitación de las emociones positivas. Los resultados muestran que el neurofeedback mejora los trastornos de depresión y ansiedad en fibromialgia.</w:t>
      </w:r>
    </w:p>
    <w:p w14:paraId="23DF49B9" w14:textId="77777777" w:rsidR="00CA0320" w:rsidRDefault="0000114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fibromialgia, síndromes somáticos, señales eléctricas, sensibilización, ratio SMR/Theta</w:t>
      </w:r>
    </w:p>
    <w:p w14:paraId="481BF5A7" w14:textId="77777777" w:rsidR="00CA0320" w:rsidRDefault="00CA0320">
      <w:pPr>
        <w:spacing w:line="240" w:lineRule="auto"/>
        <w:ind w:firstLine="708"/>
        <w:jc w:val="both"/>
        <w:rPr>
          <w:rFonts w:ascii="Times New Roman" w:eastAsia="Times New Roman" w:hAnsi="Times New Roman" w:cs="Times New Roman"/>
          <w:b/>
          <w:sz w:val="24"/>
          <w:szCs w:val="24"/>
        </w:rPr>
      </w:pPr>
    </w:p>
    <w:p w14:paraId="73ABF164" w14:textId="77777777" w:rsidR="00CA0320" w:rsidRDefault="00CA0320">
      <w:pPr>
        <w:spacing w:line="240" w:lineRule="auto"/>
        <w:ind w:firstLine="708"/>
        <w:jc w:val="both"/>
        <w:rPr>
          <w:rFonts w:ascii="Times New Roman" w:eastAsia="Times New Roman" w:hAnsi="Times New Roman" w:cs="Times New Roman"/>
          <w:b/>
          <w:sz w:val="24"/>
          <w:szCs w:val="24"/>
        </w:rPr>
      </w:pPr>
    </w:p>
    <w:p w14:paraId="26586E7C" w14:textId="77777777" w:rsidR="00CA0320" w:rsidRDefault="00CA0320">
      <w:pPr>
        <w:spacing w:line="240" w:lineRule="auto"/>
        <w:ind w:firstLine="708"/>
        <w:jc w:val="both"/>
        <w:rPr>
          <w:rFonts w:ascii="Times New Roman" w:eastAsia="Times New Roman" w:hAnsi="Times New Roman" w:cs="Times New Roman"/>
          <w:b/>
          <w:sz w:val="24"/>
          <w:szCs w:val="24"/>
        </w:rPr>
      </w:pPr>
    </w:p>
    <w:p w14:paraId="299346EB" w14:textId="77777777" w:rsidR="00CA0320" w:rsidRDefault="00CA0320">
      <w:pPr>
        <w:spacing w:line="240" w:lineRule="auto"/>
        <w:ind w:firstLine="708"/>
        <w:jc w:val="both"/>
        <w:rPr>
          <w:rFonts w:ascii="Times New Roman" w:eastAsia="Times New Roman" w:hAnsi="Times New Roman" w:cs="Times New Roman"/>
          <w:b/>
          <w:sz w:val="24"/>
          <w:szCs w:val="24"/>
        </w:rPr>
      </w:pPr>
    </w:p>
    <w:p w14:paraId="12145DDF" w14:textId="77777777" w:rsidR="00CA0320" w:rsidRDefault="00CA0320">
      <w:pPr>
        <w:spacing w:line="240" w:lineRule="auto"/>
        <w:ind w:firstLine="708"/>
        <w:jc w:val="both"/>
        <w:rPr>
          <w:rFonts w:ascii="Times New Roman" w:eastAsia="Times New Roman" w:hAnsi="Times New Roman" w:cs="Times New Roman"/>
          <w:b/>
          <w:sz w:val="24"/>
          <w:szCs w:val="24"/>
        </w:rPr>
      </w:pPr>
    </w:p>
    <w:p w14:paraId="3261E5D7" w14:textId="77777777" w:rsidR="00CA0320" w:rsidRDefault="00CA0320">
      <w:pPr>
        <w:spacing w:line="240" w:lineRule="auto"/>
        <w:ind w:firstLine="708"/>
        <w:jc w:val="both"/>
        <w:rPr>
          <w:rFonts w:ascii="Times New Roman" w:eastAsia="Times New Roman" w:hAnsi="Times New Roman" w:cs="Times New Roman"/>
          <w:b/>
          <w:sz w:val="24"/>
          <w:szCs w:val="24"/>
        </w:rPr>
      </w:pPr>
    </w:p>
    <w:p w14:paraId="70BB3AED" w14:textId="77777777" w:rsidR="00CA0320" w:rsidRDefault="00CA0320">
      <w:pPr>
        <w:spacing w:line="240" w:lineRule="auto"/>
        <w:ind w:firstLine="708"/>
        <w:jc w:val="both"/>
        <w:rPr>
          <w:rFonts w:ascii="Times New Roman" w:eastAsia="Times New Roman" w:hAnsi="Times New Roman" w:cs="Times New Roman"/>
          <w:b/>
          <w:sz w:val="24"/>
          <w:szCs w:val="24"/>
        </w:rPr>
      </w:pPr>
    </w:p>
    <w:p w14:paraId="59D07D6C" w14:textId="77777777" w:rsidR="00CA0320" w:rsidRDefault="00CA0320">
      <w:pPr>
        <w:spacing w:line="240" w:lineRule="auto"/>
        <w:ind w:firstLine="708"/>
        <w:jc w:val="both"/>
        <w:rPr>
          <w:rFonts w:ascii="Times New Roman" w:eastAsia="Times New Roman" w:hAnsi="Times New Roman" w:cs="Times New Roman"/>
          <w:b/>
          <w:sz w:val="24"/>
          <w:szCs w:val="24"/>
        </w:rPr>
      </w:pPr>
    </w:p>
    <w:p w14:paraId="2E6884A8" w14:textId="77777777" w:rsidR="00CA0320" w:rsidRDefault="00CA0320">
      <w:pPr>
        <w:spacing w:line="240" w:lineRule="auto"/>
        <w:ind w:firstLine="708"/>
        <w:jc w:val="both"/>
        <w:rPr>
          <w:rFonts w:ascii="Times New Roman" w:eastAsia="Times New Roman" w:hAnsi="Times New Roman" w:cs="Times New Roman"/>
          <w:b/>
          <w:sz w:val="24"/>
          <w:szCs w:val="24"/>
        </w:rPr>
      </w:pPr>
    </w:p>
    <w:p w14:paraId="7AB5F480" w14:textId="77777777" w:rsidR="00CA0320" w:rsidRDefault="00CA0320">
      <w:pPr>
        <w:spacing w:line="240" w:lineRule="auto"/>
        <w:ind w:firstLine="708"/>
        <w:jc w:val="both"/>
        <w:rPr>
          <w:rFonts w:ascii="Times New Roman" w:eastAsia="Times New Roman" w:hAnsi="Times New Roman" w:cs="Times New Roman"/>
          <w:b/>
          <w:sz w:val="24"/>
          <w:szCs w:val="24"/>
        </w:rPr>
      </w:pPr>
    </w:p>
    <w:p w14:paraId="3171B9AD" w14:textId="77777777" w:rsidR="00CA0320" w:rsidRDefault="00CA0320">
      <w:pPr>
        <w:spacing w:line="240" w:lineRule="auto"/>
        <w:ind w:firstLine="708"/>
        <w:jc w:val="both"/>
        <w:rPr>
          <w:rFonts w:ascii="Times New Roman" w:eastAsia="Times New Roman" w:hAnsi="Times New Roman" w:cs="Times New Roman"/>
          <w:b/>
          <w:sz w:val="24"/>
          <w:szCs w:val="24"/>
        </w:rPr>
      </w:pPr>
    </w:p>
    <w:p w14:paraId="72ED0054" w14:textId="77777777" w:rsidR="00CA0320" w:rsidRDefault="00CA0320">
      <w:pPr>
        <w:spacing w:line="240" w:lineRule="auto"/>
        <w:ind w:firstLine="708"/>
        <w:jc w:val="both"/>
        <w:rPr>
          <w:rFonts w:ascii="Times New Roman" w:eastAsia="Times New Roman" w:hAnsi="Times New Roman" w:cs="Times New Roman"/>
          <w:b/>
          <w:sz w:val="24"/>
          <w:szCs w:val="24"/>
        </w:rPr>
      </w:pPr>
    </w:p>
    <w:p w14:paraId="09329898" w14:textId="77777777" w:rsidR="00CA0320" w:rsidRDefault="00CA0320">
      <w:pPr>
        <w:spacing w:line="240" w:lineRule="auto"/>
        <w:ind w:firstLine="708"/>
        <w:jc w:val="both"/>
        <w:rPr>
          <w:rFonts w:ascii="Times New Roman" w:eastAsia="Times New Roman" w:hAnsi="Times New Roman" w:cs="Times New Roman"/>
          <w:b/>
          <w:sz w:val="24"/>
          <w:szCs w:val="24"/>
        </w:rPr>
      </w:pPr>
    </w:p>
    <w:p w14:paraId="7514BF48" w14:textId="77777777" w:rsidR="00CA0320" w:rsidRDefault="00CA0320">
      <w:pPr>
        <w:spacing w:line="240" w:lineRule="auto"/>
        <w:ind w:firstLine="708"/>
        <w:jc w:val="both"/>
        <w:rPr>
          <w:rFonts w:ascii="Times New Roman" w:eastAsia="Times New Roman" w:hAnsi="Times New Roman" w:cs="Times New Roman"/>
          <w:b/>
          <w:sz w:val="24"/>
          <w:szCs w:val="24"/>
        </w:rPr>
      </w:pPr>
    </w:p>
    <w:p w14:paraId="37FB129C" w14:textId="77777777" w:rsidR="00CA0320" w:rsidRDefault="00CA0320">
      <w:pPr>
        <w:spacing w:line="240" w:lineRule="auto"/>
        <w:ind w:firstLine="708"/>
        <w:jc w:val="both"/>
        <w:rPr>
          <w:rFonts w:ascii="Times New Roman" w:eastAsia="Times New Roman" w:hAnsi="Times New Roman" w:cs="Times New Roman"/>
          <w:b/>
          <w:sz w:val="24"/>
          <w:szCs w:val="24"/>
        </w:rPr>
      </w:pPr>
    </w:p>
    <w:p w14:paraId="3605C26A" w14:textId="77777777" w:rsidR="00CA0320" w:rsidRDefault="00CA0320">
      <w:pPr>
        <w:spacing w:line="240" w:lineRule="auto"/>
        <w:ind w:firstLine="708"/>
        <w:jc w:val="both"/>
        <w:rPr>
          <w:rFonts w:ascii="Times New Roman" w:eastAsia="Times New Roman" w:hAnsi="Times New Roman" w:cs="Times New Roman"/>
          <w:b/>
          <w:sz w:val="24"/>
          <w:szCs w:val="24"/>
        </w:rPr>
      </w:pPr>
    </w:p>
    <w:p w14:paraId="16002AE3" w14:textId="77777777" w:rsidR="00CA0320" w:rsidRDefault="00CA0320">
      <w:pPr>
        <w:spacing w:line="240" w:lineRule="auto"/>
        <w:ind w:firstLine="708"/>
        <w:jc w:val="both"/>
        <w:rPr>
          <w:rFonts w:ascii="Times New Roman" w:eastAsia="Times New Roman" w:hAnsi="Times New Roman" w:cs="Times New Roman"/>
          <w:b/>
          <w:sz w:val="24"/>
          <w:szCs w:val="24"/>
        </w:rPr>
      </w:pPr>
    </w:p>
    <w:p w14:paraId="1F79F9CB" w14:textId="77777777" w:rsidR="00CA0320" w:rsidRDefault="00CA0320">
      <w:pPr>
        <w:spacing w:line="240" w:lineRule="auto"/>
        <w:ind w:firstLine="708"/>
        <w:jc w:val="both"/>
        <w:rPr>
          <w:rFonts w:ascii="Times New Roman" w:eastAsia="Times New Roman" w:hAnsi="Times New Roman" w:cs="Times New Roman"/>
          <w:b/>
          <w:sz w:val="24"/>
          <w:szCs w:val="24"/>
        </w:rPr>
      </w:pPr>
    </w:p>
    <w:p w14:paraId="2570A47C" w14:textId="77777777" w:rsidR="00CA0320" w:rsidRDefault="00CA0320">
      <w:pPr>
        <w:spacing w:line="240" w:lineRule="auto"/>
        <w:ind w:firstLine="708"/>
        <w:jc w:val="both"/>
        <w:rPr>
          <w:rFonts w:ascii="Times New Roman" w:eastAsia="Times New Roman" w:hAnsi="Times New Roman" w:cs="Times New Roman"/>
          <w:b/>
          <w:sz w:val="24"/>
          <w:szCs w:val="24"/>
        </w:rPr>
      </w:pPr>
    </w:p>
    <w:p w14:paraId="6D62E450" w14:textId="77777777" w:rsidR="00CA0320" w:rsidRDefault="00CA0320">
      <w:pPr>
        <w:spacing w:line="240" w:lineRule="auto"/>
        <w:ind w:firstLine="708"/>
        <w:jc w:val="both"/>
        <w:rPr>
          <w:rFonts w:ascii="Times New Roman" w:eastAsia="Times New Roman" w:hAnsi="Times New Roman" w:cs="Times New Roman"/>
          <w:b/>
          <w:sz w:val="24"/>
          <w:szCs w:val="24"/>
        </w:rPr>
      </w:pPr>
    </w:p>
    <w:p w14:paraId="05DDC4E8" w14:textId="77777777" w:rsidR="00CA0320" w:rsidRDefault="0000114F">
      <w:pPr>
        <w:spacing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Neurofeedback in </w:t>
      </w:r>
      <w:proofErr w:type="spellStart"/>
      <w:r>
        <w:rPr>
          <w:rFonts w:ascii="Times New Roman" w:eastAsia="Times New Roman" w:hAnsi="Times New Roman" w:cs="Times New Roman"/>
          <w:b/>
          <w:sz w:val="24"/>
          <w:szCs w:val="24"/>
        </w:rPr>
        <w:t>fibromyalgia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for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treatment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depression</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anxiety</w:t>
      </w:r>
      <w:proofErr w:type="spellEnd"/>
      <w:r>
        <w:rPr>
          <w:rFonts w:ascii="Times New Roman" w:eastAsia="Times New Roman" w:hAnsi="Times New Roman" w:cs="Times New Roman"/>
          <w:b/>
          <w:sz w:val="24"/>
          <w:szCs w:val="24"/>
        </w:rPr>
        <w:t>.</w:t>
      </w:r>
    </w:p>
    <w:p w14:paraId="27D7A4DE" w14:textId="77777777" w:rsidR="00CA0320" w:rsidRDefault="0000114F">
      <w:pPr>
        <w:spacing w:line="240" w:lineRule="auto"/>
        <w:ind w:firstLine="709"/>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Summary</w:t>
      </w:r>
      <w:proofErr w:type="spellEnd"/>
      <w:r>
        <w:rPr>
          <w:rFonts w:ascii="Times New Roman" w:eastAsia="Times New Roman" w:hAnsi="Times New Roman" w:cs="Times New Roman"/>
          <w:b/>
          <w:sz w:val="24"/>
          <w:szCs w:val="24"/>
        </w:rPr>
        <w:t>:</w:t>
      </w:r>
    </w:p>
    <w:p w14:paraId="16DC8F0D" w14:textId="77777777" w:rsidR="00CA0320" w:rsidRDefault="0000114F">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found</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neurofeedback in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fibromyalgia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syndrome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syndrome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together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large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diverse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chronic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chronic</w:t>
      </w:r>
      <w:proofErr w:type="spellEnd"/>
      <w:r>
        <w:rPr>
          <w:rFonts w:ascii="Times New Roman" w:eastAsia="Times New Roman" w:hAnsi="Times New Roman" w:cs="Times New Roman"/>
          <w:sz w:val="24"/>
          <w:szCs w:val="24"/>
        </w:rPr>
        <w:t xml:space="preserve"> fatigue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sleep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Although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idiopathic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syndrome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suggest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origin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Central </w:t>
      </w:r>
      <w:proofErr w:type="spellStart"/>
      <w:r>
        <w:rPr>
          <w:rFonts w:ascii="Times New Roman" w:eastAsia="Times New Roman" w:hAnsi="Times New Roman" w:cs="Times New Roman"/>
          <w:sz w:val="24"/>
          <w:szCs w:val="24"/>
        </w:rPr>
        <w:t>Sensitization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Syndrome</w:t>
      </w:r>
      <w:proofErr w:type="spellEnd"/>
      <w:r>
        <w:rPr>
          <w:rFonts w:ascii="Times New Roman" w:eastAsia="Times New Roman" w:hAnsi="Times New Roman" w:cs="Times New Roman"/>
          <w:sz w:val="24"/>
          <w:szCs w:val="24"/>
        </w:rPr>
        <w:t xml:space="preserve"> (SSC). </w:t>
      </w:r>
      <w:proofErr w:type="spellStart"/>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conducted</w:t>
      </w:r>
      <w:proofErr w:type="spellEnd"/>
      <w:r>
        <w:rPr>
          <w:rFonts w:ascii="Times New Roman" w:eastAsia="Times New Roman" w:hAnsi="Times New Roman" w:cs="Times New Roman"/>
          <w:sz w:val="24"/>
          <w:szCs w:val="24"/>
        </w:rPr>
        <w:t xml:space="preserve"> a training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neurofeedback </w:t>
      </w:r>
      <w:proofErr w:type="spellStart"/>
      <w:r>
        <w:rPr>
          <w:rFonts w:ascii="Times New Roman" w:eastAsia="Times New Roman" w:hAnsi="Times New Roman" w:cs="Times New Roman"/>
          <w:sz w:val="24"/>
          <w:szCs w:val="24"/>
        </w:rPr>
        <w:t>whose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purpose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improve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variables </w:t>
      </w:r>
      <w:proofErr w:type="spellStart"/>
      <w:r>
        <w:rPr>
          <w:rFonts w:ascii="Times New Roman" w:eastAsia="Times New Roman" w:hAnsi="Times New Roman" w:cs="Times New Roman"/>
          <w:sz w:val="24"/>
          <w:szCs w:val="24"/>
        </w:rPr>
        <w:t>anxiety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use a </w:t>
      </w:r>
      <w:proofErr w:type="spellStart"/>
      <w:r>
        <w:rPr>
          <w:rFonts w:ascii="Times New Roman" w:eastAsia="Times New Roman" w:hAnsi="Times New Roman" w:cs="Times New Roman"/>
          <w:sz w:val="24"/>
          <w:szCs w:val="24"/>
        </w:rPr>
        <w:t>standardized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sensorimotor </w:t>
      </w:r>
      <w:proofErr w:type="spellStart"/>
      <w:r>
        <w:rPr>
          <w:rFonts w:ascii="Times New Roman" w:eastAsia="Times New Roman" w:hAnsi="Times New Roman" w:cs="Times New Roman"/>
          <w:sz w:val="24"/>
          <w:szCs w:val="24"/>
        </w:rPr>
        <w:t>rhythms</w:t>
      </w:r>
      <w:proofErr w:type="spellEnd"/>
      <w:r>
        <w:rPr>
          <w:rFonts w:ascii="Times New Roman" w:eastAsia="Times New Roman" w:hAnsi="Times New Roman" w:cs="Times New Roman"/>
          <w:sz w:val="24"/>
          <w:szCs w:val="24"/>
        </w:rPr>
        <w:t xml:space="preserve"> (SMR)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can </w:t>
      </w:r>
      <w:proofErr w:type="spellStart"/>
      <w:r>
        <w:rPr>
          <w:rFonts w:ascii="Times New Roman" w:eastAsia="Times New Roman" w:hAnsi="Times New Roman" w:cs="Times New Roman"/>
          <w:sz w:val="24"/>
          <w:szCs w:val="24"/>
        </w:rPr>
        <w:t>improve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cerebral </w:t>
      </w:r>
      <w:proofErr w:type="spellStart"/>
      <w:r>
        <w:rPr>
          <w:rFonts w:ascii="Times New Roman" w:eastAsia="Times New Roman" w:hAnsi="Times New Roman" w:cs="Times New Roman"/>
          <w:sz w:val="24"/>
          <w:szCs w:val="24"/>
        </w:rPr>
        <w:t>cortex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training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dopaminergic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turn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facilitation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positive </w:t>
      </w:r>
      <w:proofErr w:type="spellStart"/>
      <w:r>
        <w:rPr>
          <w:rFonts w:ascii="Times New Roman" w:eastAsia="Times New Roman" w:hAnsi="Times New Roman" w:cs="Times New Roman"/>
          <w:sz w:val="24"/>
          <w:szCs w:val="24"/>
        </w:rPr>
        <w:t>emotions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show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neurofeedback </w:t>
      </w:r>
      <w:proofErr w:type="spellStart"/>
      <w:r>
        <w:rPr>
          <w:rFonts w:ascii="Times New Roman" w:eastAsia="Times New Roman" w:hAnsi="Times New Roman" w:cs="Times New Roman"/>
          <w:sz w:val="24"/>
          <w:szCs w:val="24"/>
        </w:rPr>
        <w:t>improves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significantly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anxiety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disorders</w:t>
      </w:r>
      <w:proofErr w:type="spellEnd"/>
      <w:r>
        <w:rPr>
          <w:rFonts w:ascii="Times New Roman" w:eastAsia="Times New Roman" w:hAnsi="Times New Roman" w:cs="Times New Roman"/>
          <w:sz w:val="24"/>
          <w:szCs w:val="24"/>
        </w:rPr>
        <w:t>.</w:t>
      </w:r>
    </w:p>
    <w:p w14:paraId="26689441" w14:textId="77777777" w:rsidR="00CA0320" w:rsidRDefault="00CA0320">
      <w:pPr>
        <w:spacing w:line="240" w:lineRule="auto"/>
        <w:ind w:firstLine="709"/>
        <w:jc w:val="both"/>
        <w:rPr>
          <w:rFonts w:ascii="Times New Roman" w:eastAsia="Times New Roman" w:hAnsi="Times New Roman" w:cs="Times New Roman"/>
          <w:b/>
          <w:sz w:val="24"/>
          <w:szCs w:val="24"/>
        </w:rPr>
      </w:pPr>
    </w:p>
    <w:p w14:paraId="150C53BD" w14:textId="77777777" w:rsidR="00CA0320" w:rsidRDefault="0000114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t>
      </w:r>
      <w:proofErr w:type="spellStart"/>
      <w:r>
        <w:rPr>
          <w:rFonts w:ascii="Times New Roman" w:eastAsia="Times New Roman" w:hAnsi="Times New Roman" w:cs="Times New Roman"/>
          <w:b/>
          <w:sz w:val="24"/>
          <w:szCs w:val="24"/>
        </w:rPr>
        <w:t>words</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fibromyalgia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syndromes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electrical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sensitization</w:t>
      </w:r>
      <w:proofErr w:type="spellEnd"/>
      <w:r>
        <w:rPr>
          <w:rFonts w:ascii="Times New Roman" w:eastAsia="Times New Roman" w:hAnsi="Times New Roman" w:cs="Times New Roman"/>
          <w:sz w:val="24"/>
          <w:szCs w:val="24"/>
        </w:rPr>
        <w:t>, SMR / Theta ratio</w:t>
      </w:r>
    </w:p>
    <w:p w14:paraId="14F53023" w14:textId="77777777" w:rsidR="00CA0320" w:rsidRDefault="00CA0320">
      <w:pPr>
        <w:spacing w:line="240" w:lineRule="auto"/>
        <w:ind w:firstLine="709"/>
        <w:rPr>
          <w:rFonts w:ascii="Times New Roman" w:eastAsia="Times New Roman" w:hAnsi="Times New Roman" w:cs="Times New Roman"/>
          <w:sz w:val="24"/>
          <w:szCs w:val="24"/>
        </w:rPr>
      </w:pPr>
    </w:p>
    <w:p w14:paraId="1D446437" w14:textId="77777777" w:rsidR="00CA0320" w:rsidRDefault="00CA0320">
      <w:pPr>
        <w:spacing w:line="240" w:lineRule="auto"/>
        <w:ind w:firstLine="709"/>
        <w:rPr>
          <w:rFonts w:ascii="Times New Roman" w:eastAsia="Times New Roman" w:hAnsi="Times New Roman" w:cs="Times New Roman"/>
          <w:sz w:val="24"/>
          <w:szCs w:val="24"/>
        </w:rPr>
      </w:pPr>
    </w:p>
    <w:p w14:paraId="63C55FFB" w14:textId="77777777" w:rsidR="00CA0320" w:rsidRDefault="00CA0320">
      <w:pPr>
        <w:spacing w:line="240" w:lineRule="auto"/>
        <w:ind w:firstLine="709"/>
        <w:rPr>
          <w:rFonts w:ascii="Times New Roman" w:eastAsia="Times New Roman" w:hAnsi="Times New Roman" w:cs="Times New Roman"/>
          <w:sz w:val="24"/>
          <w:szCs w:val="24"/>
        </w:rPr>
      </w:pPr>
    </w:p>
    <w:p w14:paraId="25FFFD65" w14:textId="77777777" w:rsidR="00CA0320" w:rsidRDefault="00CA0320">
      <w:pPr>
        <w:spacing w:line="240" w:lineRule="auto"/>
        <w:ind w:firstLine="709"/>
        <w:rPr>
          <w:rFonts w:ascii="Times New Roman" w:eastAsia="Times New Roman" w:hAnsi="Times New Roman" w:cs="Times New Roman"/>
          <w:sz w:val="24"/>
          <w:szCs w:val="24"/>
        </w:rPr>
      </w:pPr>
    </w:p>
    <w:p w14:paraId="68A8E408" w14:textId="77777777" w:rsidR="00CA0320" w:rsidRDefault="00CA0320">
      <w:pPr>
        <w:spacing w:line="240" w:lineRule="auto"/>
        <w:ind w:firstLine="709"/>
        <w:rPr>
          <w:rFonts w:ascii="Times New Roman" w:eastAsia="Times New Roman" w:hAnsi="Times New Roman" w:cs="Times New Roman"/>
          <w:sz w:val="24"/>
          <w:szCs w:val="24"/>
        </w:rPr>
      </w:pPr>
    </w:p>
    <w:p w14:paraId="3240E6AA" w14:textId="77777777" w:rsidR="00CA0320" w:rsidRDefault="00CA0320">
      <w:pPr>
        <w:spacing w:line="240" w:lineRule="auto"/>
        <w:ind w:firstLine="709"/>
        <w:rPr>
          <w:rFonts w:ascii="Times New Roman" w:eastAsia="Times New Roman" w:hAnsi="Times New Roman" w:cs="Times New Roman"/>
          <w:sz w:val="24"/>
          <w:szCs w:val="24"/>
        </w:rPr>
      </w:pPr>
    </w:p>
    <w:p w14:paraId="7EDDE6D7" w14:textId="77777777" w:rsidR="00CA0320" w:rsidRDefault="00CA0320">
      <w:pPr>
        <w:spacing w:line="240" w:lineRule="auto"/>
        <w:ind w:firstLine="709"/>
        <w:rPr>
          <w:rFonts w:ascii="Times New Roman" w:eastAsia="Times New Roman" w:hAnsi="Times New Roman" w:cs="Times New Roman"/>
          <w:sz w:val="24"/>
          <w:szCs w:val="24"/>
        </w:rPr>
      </w:pPr>
    </w:p>
    <w:p w14:paraId="21EDB334" w14:textId="77777777" w:rsidR="00CA0320" w:rsidRDefault="00CA0320">
      <w:pPr>
        <w:spacing w:line="240" w:lineRule="auto"/>
        <w:ind w:firstLine="709"/>
        <w:rPr>
          <w:rFonts w:ascii="Times New Roman" w:eastAsia="Times New Roman" w:hAnsi="Times New Roman" w:cs="Times New Roman"/>
          <w:sz w:val="24"/>
          <w:szCs w:val="24"/>
        </w:rPr>
      </w:pPr>
    </w:p>
    <w:p w14:paraId="3700975A" w14:textId="77777777" w:rsidR="00CA0320" w:rsidRDefault="00CA0320">
      <w:pPr>
        <w:spacing w:line="240" w:lineRule="auto"/>
        <w:ind w:firstLine="709"/>
        <w:rPr>
          <w:rFonts w:ascii="Times New Roman" w:eastAsia="Times New Roman" w:hAnsi="Times New Roman" w:cs="Times New Roman"/>
          <w:sz w:val="24"/>
          <w:szCs w:val="24"/>
        </w:rPr>
      </w:pPr>
    </w:p>
    <w:p w14:paraId="2CBB19C9" w14:textId="77777777" w:rsidR="00CA0320" w:rsidRDefault="00CA0320">
      <w:pPr>
        <w:spacing w:line="240" w:lineRule="auto"/>
        <w:ind w:firstLine="709"/>
        <w:rPr>
          <w:rFonts w:ascii="Times New Roman" w:eastAsia="Times New Roman" w:hAnsi="Times New Roman" w:cs="Times New Roman"/>
          <w:sz w:val="24"/>
          <w:szCs w:val="24"/>
        </w:rPr>
      </w:pPr>
    </w:p>
    <w:p w14:paraId="20D8EF71" w14:textId="77777777" w:rsidR="00CA0320" w:rsidRDefault="00CA0320">
      <w:pPr>
        <w:spacing w:line="240" w:lineRule="auto"/>
        <w:ind w:firstLine="709"/>
        <w:rPr>
          <w:rFonts w:ascii="Times New Roman" w:eastAsia="Times New Roman" w:hAnsi="Times New Roman" w:cs="Times New Roman"/>
          <w:sz w:val="24"/>
          <w:szCs w:val="24"/>
        </w:rPr>
      </w:pPr>
    </w:p>
    <w:p w14:paraId="3D66771A" w14:textId="77777777" w:rsidR="00CA0320" w:rsidRDefault="00CA0320">
      <w:pPr>
        <w:spacing w:line="240" w:lineRule="auto"/>
        <w:ind w:firstLine="709"/>
        <w:rPr>
          <w:rFonts w:ascii="Times New Roman" w:eastAsia="Times New Roman" w:hAnsi="Times New Roman" w:cs="Times New Roman"/>
          <w:sz w:val="24"/>
          <w:szCs w:val="24"/>
        </w:rPr>
      </w:pPr>
    </w:p>
    <w:p w14:paraId="1EF3EB00" w14:textId="1333A052" w:rsidR="00CA0320" w:rsidRDefault="00CA0320">
      <w:pPr>
        <w:spacing w:line="240" w:lineRule="auto"/>
        <w:ind w:firstLine="709"/>
        <w:rPr>
          <w:rFonts w:ascii="Times New Roman" w:eastAsia="Times New Roman" w:hAnsi="Times New Roman" w:cs="Times New Roman"/>
          <w:sz w:val="24"/>
          <w:szCs w:val="24"/>
        </w:rPr>
      </w:pPr>
    </w:p>
    <w:p w14:paraId="3E9A3458" w14:textId="3CD6E38B" w:rsidR="00DB510D" w:rsidRDefault="00DB510D">
      <w:pPr>
        <w:spacing w:line="240" w:lineRule="auto"/>
        <w:ind w:firstLine="709"/>
        <w:rPr>
          <w:rFonts w:ascii="Times New Roman" w:eastAsia="Times New Roman" w:hAnsi="Times New Roman" w:cs="Times New Roman"/>
          <w:sz w:val="24"/>
          <w:szCs w:val="24"/>
        </w:rPr>
      </w:pPr>
    </w:p>
    <w:p w14:paraId="1AE42197" w14:textId="3CE96C61" w:rsidR="00DB510D" w:rsidRDefault="00DB510D">
      <w:pPr>
        <w:spacing w:line="240" w:lineRule="auto"/>
        <w:ind w:firstLine="709"/>
        <w:rPr>
          <w:rFonts w:ascii="Times New Roman" w:eastAsia="Times New Roman" w:hAnsi="Times New Roman" w:cs="Times New Roman"/>
          <w:sz w:val="24"/>
          <w:szCs w:val="24"/>
        </w:rPr>
      </w:pPr>
    </w:p>
    <w:p w14:paraId="61EFACDD" w14:textId="42C77C24" w:rsidR="00DB510D" w:rsidRDefault="00DB510D">
      <w:pPr>
        <w:spacing w:line="240" w:lineRule="auto"/>
        <w:ind w:firstLine="709"/>
        <w:rPr>
          <w:rFonts w:ascii="Times New Roman" w:eastAsia="Times New Roman" w:hAnsi="Times New Roman" w:cs="Times New Roman"/>
          <w:sz w:val="24"/>
          <w:szCs w:val="24"/>
        </w:rPr>
      </w:pPr>
    </w:p>
    <w:p w14:paraId="79F25375" w14:textId="77777777" w:rsidR="00DB510D" w:rsidRDefault="00DB510D">
      <w:pPr>
        <w:spacing w:line="240" w:lineRule="auto"/>
        <w:ind w:firstLine="709"/>
        <w:rPr>
          <w:rFonts w:ascii="Times New Roman" w:eastAsia="Times New Roman" w:hAnsi="Times New Roman" w:cs="Times New Roman"/>
          <w:sz w:val="24"/>
          <w:szCs w:val="24"/>
        </w:rPr>
      </w:pPr>
    </w:p>
    <w:p w14:paraId="0E8B2E94" w14:textId="77777777" w:rsidR="00CA0320" w:rsidRDefault="00CA0320">
      <w:pPr>
        <w:spacing w:line="240" w:lineRule="auto"/>
        <w:ind w:firstLine="709"/>
        <w:rPr>
          <w:rFonts w:ascii="Times New Roman" w:eastAsia="Times New Roman" w:hAnsi="Times New Roman" w:cs="Times New Roman"/>
          <w:sz w:val="24"/>
          <w:szCs w:val="24"/>
        </w:rPr>
      </w:pPr>
    </w:p>
    <w:p w14:paraId="0C869380" w14:textId="77777777" w:rsidR="00CA0320" w:rsidRDefault="0000114F">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14:paraId="21D53DAA"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fibromialgia es un síndrome generalizado asociado con múltiples síntomas que abarcan desde problemas del sueño, fatiga o cansancio crónico, alteraciones en la cognición y una gama amplia de síntomas somáticos. Su principal característica es dolor músculo-esquelético difuso, de origen no articular y crónico que se manifiesta en puntos corporales específicos (</w:t>
      </w:r>
      <w:proofErr w:type="spellStart"/>
      <w:r>
        <w:rPr>
          <w:rFonts w:ascii="Times New Roman" w:eastAsia="Times New Roman" w:hAnsi="Times New Roman" w:cs="Times New Roman"/>
          <w:sz w:val="24"/>
          <w:szCs w:val="24"/>
        </w:rPr>
        <w:t>Garg</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Deodhar</w:t>
      </w:r>
      <w:proofErr w:type="spellEnd"/>
      <w:r>
        <w:rPr>
          <w:rFonts w:ascii="Times New Roman" w:eastAsia="Times New Roman" w:hAnsi="Times New Roman" w:cs="Times New Roman"/>
          <w:sz w:val="24"/>
          <w:szCs w:val="24"/>
        </w:rPr>
        <w:t>, 2012).</w:t>
      </w:r>
    </w:p>
    <w:p w14:paraId="0CAB6406"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pesar de las numerosas investigaciones que se han realizado sobre este trastorno, no se conoce la causa exacta. No hay ningún biomarcador ni prueba diagnóstica que la corrobore, por lo tanto, se realizaron acuerdos entre expertos para que su criterio diagnóstico se basará en unas evaluaciones de exámenes físicos, antecedentes sanitarios y pruebas de laboratorio que descarten el diagnóstico diferencial (</w:t>
      </w:r>
      <w:proofErr w:type="spellStart"/>
      <w:r>
        <w:rPr>
          <w:rFonts w:ascii="Times New Roman" w:eastAsia="Times New Roman" w:hAnsi="Times New Roman" w:cs="Times New Roman"/>
          <w:sz w:val="24"/>
          <w:szCs w:val="24"/>
        </w:rPr>
        <w:t>Fitzcharle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Ablin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Buskila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Amital</w:t>
      </w:r>
      <w:proofErr w:type="spellEnd"/>
      <w:r>
        <w:rPr>
          <w:rFonts w:ascii="Times New Roman" w:eastAsia="Times New Roman" w:hAnsi="Times New Roman" w:cs="Times New Roman"/>
          <w:sz w:val="24"/>
          <w:szCs w:val="24"/>
        </w:rPr>
        <w:t xml:space="preserve"> &amp; Henningsen, 2013; </w:t>
      </w:r>
      <w:proofErr w:type="spellStart"/>
      <w:r>
        <w:rPr>
          <w:rFonts w:ascii="Times New Roman" w:eastAsia="Times New Roman" w:hAnsi="Times New Roman" w:cs="Times New Roman"/>
          <w:sz w:val="24"/>
          <w:szCs w:val="24"/>
        </w:rPr>
        <w:t>Fitzcharles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Ste</w:t>
      </w:r>
      <w:proofErr w:type="spellEnd"/>
      <w:r>
        <w:rPr>
          <w:rFonts w:ascii="Times New Roman" w:eastAsia="Times New Roman" w:hAnsi="Times New Roman" w:cs="Times New Roman"/>
          <w:sz w:val="24"/>
          <w:szCs w:val="24"/>
        </w:rPr>
        <w:t xml:space="preserve">-Marie, Goldenberg, Pereira, </w:t>
      </w:r>
      <w:proofErr w:type="spellStart"/>
      <w:r>
        <w:rPr>
          <w:rFonts w:ascii="Times New Roman" w:eastAsia="Times New Roman" w:hAnsi="Times New Roman" w:cs="Times New Roman"/>
          <w:sz w:val="24"/>
          <w:szCs w:val="24"/>
        </w:rPr>
        <w:t>Abbey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Choiniere</w:t>
      </w:r>
      <w:proofErr w:type="spellEnd"/>
      <w:r>
        <w:rPr>
          <w:rFonts w:ascii="Times New Roman" w:eastAsia="Times New Roman" w:hAnsi="Times New Roman" w:cs="Times New Roman"/>
          <w:sz w:val="24"/>
          <w:szCs w:val="24"/>
        </w:rPr>
        <w:t>, 2013).</w:t>
      </w:r>
    </w:p>
    <w:p w14:paraId="2628F5AD" w14:textId="2DC8A0C4"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hipótesi</w:t>
      </w:r>
      <w:proofErr w:type="spellEnd"/>
      <w:r>
        <w:rPr>
          <w:rFonts w:ascii="Times New Roman" w:eastAsia="Times New Roman" w:hAnsi="Times New Roman" w:cs="Times New Roman"/>
          <w:sz w:val="24"/>
          <w:szCs w:val="24"/>
        </w:rPr>
        <w:t xml:space="preserve"> más extendida actualmente, con respecto a la fibromialgia y demás síndromes similares son, es que se producen por un “síndrome de sensibilización central” (SSC) (</w:t>
      </w:r>
      <w:proofErr w:type="spellStart"/>
      <w:r>
        <w:rPr>
          <w:rFonts w:ascii="Times New Roman" w:eastAsia="Times New Roman" w:hAnsi="Times New Roman" w:cs="Times New Roman"/>
          <w:sz w:val="24"/>
          <w:szCs w:val="24"/>
        </w:rPr>
        <w:t>Boomershine</w:t>
      </w:r>
      <w:proofErr w:type="spellEnd"/>
      <w:r>
        <w:rPr>
          <w:rFonts w:ascii="Times New Roman" w:eastAsia="Times New Roman" w:hAnsi="Times New Roman" w:cs="Times New Roman"/>
          <w:sz w:val="24"/>
          <w:szCs w:val="24"/>
        </w:rPr>
        <w:t xml:space="preserve">, 2015; Yunus, 2012). La argumentación principal es que el cerebro al experimentar el dolor, lo potencia y mantiene llegando a crear una situación permanente. Las técnicas actuales no han conseguido interrumpir el proceso de sensibilización. Las zonas que pueden presentan esta sensibilización son las zonas talámicas o del córtex sensorial, motivo por el cual el proceso también es llamado sensibilización central suprasegmental. Este mecanismo según investigaciones se encuentra detrás de otros síndromes somáticos o los síntomas dolorosos, así como en la depresión La alteración de los mecanismos inhibitorios, en especial la desactivación de </w:t>
      </w:r>
      <w:r w:rsidR="00B930EF">
        <w:rPr>
          <w:rFonts w:ascii="Times New Roman" w:eastAsia="Times New Roman" w:hAnsi="Times New Roman" w:cs="Times New Roman"/>
          <w:sz w:val="24"/>
          <w:szCs w:val="24"/>
        </w:rPr>
        <w:t>éstos,</w:t>
      </w:r>
      <w:r>
        <w:rPr>
          <w:rFonts w:ascii="Times New Roman" w:eastAsia="Times New Roman" w:hAnsi="Times New Roman" w:cs="Times New Roman"/>
          <w:sz w:val="24"/>
          <w:szCs w:val="24"/>
        </w:rPr>
        <w:t xml:space="preserve"> puede considerarse como un hecho que </w:t>
      </w:r>
      <w:r w:rsidR="00B930EF">
        <w:rPr>
          <w:rFonts w:ascii="Times New Roman" w:eastAsia="Times New Roman" w:hAnsi="Times New Roman" w:cs="Times New Roman"/>
          <w:sz w:val="24"/>
          <w:szCs w:val="24"/>
        </w:rPr>
        <w:t>debemos tener</w:t>
      </w:r>
      <w:r>
        <w:rPr>
          <w:rFonts w:ascii="Times New Roman" w:eastAsia="Times New Roman" w:hAnsi="Times New Roman" w:cs="Times New Roman"/>
          <w:sz w:val="24"/>
          <w:szCs w:val="24"/>
        </w:rPr>
        <w:t xml:space="preserve"> en cuenta a la hora de explicar la patología</w:t>
      </w:r>
      <w:r w:rsidR="00B930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(Stahl, 2012).</w:t>
      </w:r>
    </w:p>
    <w:p w14:paraId="0C65A9DE"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pesar de que no se sabe con exactitud el origen de la fibromialgia, los cambios que se producen en el Sistema Nervioso Central tienen un papel muy importante en el desarrollo de la fibromialgia por lo que si se observan variaciones en los ritmos cerebrales que se repiten en todos los pacientes se pueden hallar evidencias de actividad neurofisiológica disfuncional en un grupo concreto y utilizar esa información para desarrollar un tratamiento (</w:t>
      </w:r>
      <w:proofErr w:type="spellStart"/>
      <w:r>
        <w:rPr>
          <w:rFonts w:ascii="Times New Roman" w:eastAsia="Times New Roman" w:hAnsi="Times New Roman" w:cs="Times New Roman"/>
          <w:sz w:val="24"/>
          <w:szCs w:val="24"/>
        </w:rPr>
        <w:t>Menche</w:t>
      </w:r>
      <w:proofErr w:type="spellEnd"/>
      <w:r>
        <w:rPr>
          <w:rFonts w:ascii="Times New Roman" w:eastAsia="Times New Roman" w:hAnsi="Times New Roman" w:cs="Times New Roman"/>
          <w:sz w:val="24"/>
          <w:szCs w:val="24"/>
        </w:rPr>
        <w:t>, 2011).</w:t>
      </w:r>
    </w:p>
    <w:p w14:paraId="33327015" w14:textId="77777777" w:rsidR="00CA0320" w:rsidRDefault="0000114F">
      <w:pPr>
        <w:spacing w:after="0" w:line="240" w:lineRule="auto"/>
        <w:ind w:firstLine="709"/>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Una de las mayores ventajas que presenta el neurofeedback, ante otro tipo de tratamientos para tratar la fibromialgia es que permite intervenir directamente a nivel cortical reorganizando las señales eléctricas para conseguir una desensibilización central y proporcionando un alivio en los síntomas (Jensen, </w:t>
      </w:r>
      <w:proofErr w:type="spellStart"/>
      <w:r>
        <w:rPr>
          <w:rFonts w:ascii="Times New Roman" w:eastAsia="Times New Roman" w:hAnsi="Times New Roman" w:cs="Times New Roman"/>
          <w:sz w:val="24"/>
          <w:szCs w:val="24"/>
        </w:rPr>
        <w:t>Hakimian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Sherlin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Fregni</w:t>
      </w:r>
      <w:proofErr w:type="spellEnd"/>
      <w:r>
        <w:rPr>
          <w:rFonts w:ascii="Times New Roman" w:eastAsia="Times New Roman" w:hAnsi="Times New Roman" w:cs="Times New Roman"/>
          <w:sz w:val="24"/>
          <w:szCs w:val="24"/>
        </w:rPr>
        <w:t>, 2008).</w:t>
      </w:r>
    </w:p>
    <w:p w14:paraId="3102A594" w14:textId="77777777" w:rsidR="00CA0320" w:rsidRDefault="0000114F">
      <w:pP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Kayiran</w:t>
      </w:r>
      <w:proofErr w:type="spellEnd"/>
      <w:r>
        <w:rPr>
          <w:rFonts w:ascii="Times New Roman" w:eastAsia="Times New Roman" w:hAnsi="Times New Roman" w:cs="Times New Roman"/>
          <w:sz w:val="24"/>
          <w:szCs w:val="24"/>
        </w:rPr>
        <w:t xml:space="preserve">, Dursun, Dursun, </w:t>
      </w:r>
      <w:proofErr w:type="spellStart"/>
      <w:r>
        <w:rPr>
          <w:rFonts w:ascii="Times New Roman" w:eastAsia="Times New Roman" w:hAnsi="Times New Roman" w:cs="Times New Roman"/>
          <w:sz w:val="24"/>
          <w:szCs w:val="24"/>
        </w:rPr>
        <w:t>Ermutlu</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Karamürsel</w:t>
      </w:r>
      <w:proofErr w:type="spellEnd"/>
      <w:r>
        <w:rPr>
          <w:rFonts w:ascii="Times New Roman" w:eastAsia="Times New Roman" w:hAnsi="Times New Roman" w:cs="Times New Roman"/>
          <w:sz w:val="24"/>
          <w:szCs w:val="24"/>
        </w:rPr>
        <w:t xml:space="preserve"> (2010) </w:t>
      </w:r>
      <w:r w:rsidRPr="00B930EF">
        <w:rPr>
          <w:rFonts w:ascii="Times New Roman" w:eastAsia="Times New Roman" w:hAnsi="Times New Roman" w:cs="Times New Roman"/>
          <w:sz w:val="24"/>
          <w:szCs w:val="24"/>
        </w:rPr>
        <w:t xml:space="preserve">realizaron uno de los último y más recientes estudios con pacientes con fibromialgia, mediante el entrenamiento de los ritmos sensoriomotores </w:t>
      </w:r>
      <w:r>
        <w:rPr>
          <w:rFonts w:ascii="Times New Roman" w:eastAsia="Times New Roman" w:hAnsi="Times New Roman" w:cs="Times New Roman"/>
          <w:sz w:val="24"/>
          <w:szCs w:val="24"/>
        </w:rPr>
        <w:t>para favorecer los mecanismos inhibitorios del sistema nervioso central. Se observó una disminución significativa en la relación Theta/SMR al final del tratamiento, en comparación con la línea base y la mejora en de los test de control de variables psicológicas.</w:t>
      </w:r>
    </w:p>
    <w:p w14:paraId="4D96F156" w14:textId="77777777" w:rsidR="00CA0320" w:rsidRDefault="0000114F">
      <w:pP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Pavlenko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Chernyi</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Goudkina</w:t>
      </w:r>
      <w:proofErr w:type="spellEnd"/>
      <w:r>
        <w:rPr>
          <w:rFonts w:ascii="Times New Roman" w:eastAsia="Times New Roman" w:hAnsi="Times New Roman" w:cs="Times New Roman"/>
          <w:sz w:val="24"/>
          <w:szCs w:val="24"/>
        </w:rPr>
        <w:t xml:space="preserve"> (2009) realizaron estudios mediante el entrenamiento de los ritmos sensoriomotores (SMR) (12-15 </w:t>
      </w:r>
      <w:proofErr w:type="spellStart"/>
      <w:r>
        <w:rPr>
          <w:rFonts w:ascii="Times New Roman" w:eastAsia="Times New Roman" w:hAnsi="Times New Roman" w:cs="Times New Roman"/>
          <w:sz w:val="24"/>
          <w:szCs w:val="24"/>
        </w:rPr>
        <w:t>hz</w:t>
      </w:r>
      <w:proofErr w:type="spellEnd"/>
      <w:r>
        <w:rPr>
          <w:rFonts w:ascii="Times New Roman" w:eastAsia="Times New Roman" w:hAnsi="Times New Roman" w:cs="Times New Roman"/>
          <w:sz w:val="24"/>
          <w:szCs w:val="24"/>
        </w:rPr>
        <w:t xml:space="preserve">) y propusieron que podría ser eficaz para la estabilidad emocional, ya que estos ritmos, tienen repercusión en el sistema dopaminérgico (DA) en el </w:t>
      </w:r>
      <w:proofErr w:type="spellStart"/>
      <w:r>
        <w:rPr>
          <w:rFonts w:ascii="Times New Roman" w:eastAsia="Times New Roman" w:hAnsi="Times New Roman" w:cs="Times New Roman"/>
          <w:sz w:val="24"/>
          <w:szCs w:val="24"/>
        </w:rPr>
        <w:t>tegmentum</w:t>
      </w:r>
      <w:proofErr w:type="spellEnd"/>
      <w:r>
        <w:rPr>
          <w:rFonts w:ascii="Times New Roman" w:eastAsia="Times New Roman" w:hAnsi="Times New Roman" w:cs="Times New Roman"/>
          <w:sz w:val="24"/>
          <w:szCs w:val="24"/>
        </w:rPr>
        <w:t xml:space="preserve"> ventral. La estabilidad emocional y el afecto positivo podrían modificarse mediante el entrenamiento de los ritmos sensoriomotores ya que esto repercute en el sistema dopaminérgico que a su vez está relacionado con la facilitación de las emociones positivas y el mantenimiento de las conductas de aproximación.</w:t>
      </w:r>
    </w:p>
    <w:p w14:paraId="32B55087" w14:textId="0736125C"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Según </w:t>
      </w:r>
      <w:proofErr w:type="spellStart"/>
      <w:r>
        <w:rPr>
          <w:rFonts w:ascii="Times New Roman" w:eastAsia="Times New Roman" w:hAnsi="Times New Roman" w:cs="Times New Roman"/>
          <w:sz w:val="24"/>
          <w:szCs w:val="24"/>
        </w:rPr>
        <w:t>Sterman</w:t>
      </w:r>
      <w:proofErr w:type="spellEnd"/>
      <w:r>
        <w:rPr>
          <w:rFonts w:ascii="Times New Roman" w:eastAsia="Times New Roman" w:hAnsi="Times New Roman" w:cs="Times New Roman"/>
          <w:sz w:val="24"/>
          <w:szCs w:val="24"/>
        </w:rPr>
        <w:t xml:space="preserve"> (2000), el entrenamiento de los SMR puede mejorar la estabilidad de la corteza. Sin ir más allá, las investigaciones sobre el entrenamiento mediante </w:t>
      </w:r>
      <w:proofErr w:type="spellStart"/>
      <w:r>
        <w:rPr>
          <w:rFonts w:ascii="Times New Roman" w:eastAsia="Times New Roman" w:hAnsi="Times New Roman" w:cs="Times New Roman"/>
          <w:sz w:val="24"/>
          <w:szCs w:val="24"/>
        </w:rPr>
        <w:t>biofeedback</w:t>
      </w:r>
      <w:proofErr w:type="spellEnd"/>
      <w:r>
        <w:rPr>
          <w:rFonts w:ascii="Times New Roman" w:eastAsia="Times New Roman" w:hAnsi="Times New Roman" w:cs="Times New Roman"/>
          <w:sz w:val="24"/>
          <w:szCs w:val="24"/>
        </w:rPr>
        <w:t xml:space="preserve"> para reducir el impulso simpático </w:t>
      </w:r>
      <w:r w:rsidR="00B930EF">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por ende, estabilizar el eje adrenal-hipotalámico-límbico-cortical, ha dado muy buenos resultados.  Los ritmos sensoriomotores se usan para la atención relajada y cuerpo tranquilo.  Con el incremento de los SMR la persona se vuelve más relajada.</w:t>
      </w:r>
    </w:p>
    <w:p w14:paraId="70DF0E2D"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382FCAF6"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todos estos antecedentes se planeó el siguiente objetivo y las siguientes </w:t>
      </w:r>
      <w:proofErr w:type="spellStart"/>
      <w:r>
        <w:rPr>
          <w:rFonts w:ascii="Times New Roman" w:eastAsia="Times New Roman" w:hAnsi="Times New Roman" w:cs="Times New Roman"/>
          <w:sz w:val="24"/>
          <w:szCs w:val="24"/>
        </w:rPr>
        <w:t>hipótesis</w:t>
      </w:r>
      <w:proofErr w:type="spellEnd"/>
      <w:r>
        <w:rPr>
          <w:rFonts w:ascii="Times New Roman" w:eastAsia="Times New Roman" w:hAnsi="Times New Roman" w:cs="Times New Roman"/>
          <w:sz w:val="24"/>
          <w:szCs w:val="24"/>
        </w:rPr>
        <w:t>:</w:t>
      </w:r>
    </w:p>
    <w:p w14:paraId="1C8A0787"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764F7672" w14:textId="77777777" w:rsidR="00CA0320" w:rsidRDefault="0000114F">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w:t>
      </w:r>
    </w:p>
    <w:p w14:paraId="617FDA4A"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Evaluar cómo el condicionamiento instrumental generado por el neurofeedback repercute en los trastornos psicológicos de depresión y ansiedad en pacientes con fibromialgia.</w:t>
      </w:r>
    </w:p>
    <w:p w14:paraId="00E631DD" w14:textId="77777777" w:rsidR="00CA0320" w:rsidRDefault="0000114F">
      <w:pPr>
        <w:spacing w:after="0" w:line="240" w:lineRule="auto"/>
        <w:ind w:firstLine="709"/>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Hipótesis</w:t>
      </w:r>
      <w:proofErr w:type="spellEnd"/>
    </w:p>
    <w:p w14:paraId="1A138AC2" w14:textId="77777777" w:rsidR="00CA0320" w:rsidRDefault="0000114F">
      <w:pPr>
        <w:spacing w:after="0" w:line="240" w:lineRule="auto"/>
        <w:ind w:firstLine="709"/>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Hipótesis</w:t>
      </w:r>
      <w:proofErr w:type="spellEnd"/>
      <w:r>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El neurofeedback (Protocolo SMR) mejora la depresión de los pacientes con fibromialgia.</w:t>
      </w:r>
    </w:p>
    <w:p w14:paraId="7ABEF30A" w14:textId="77777777" w:rsidR="00CA0320" w:rsidRDefault="0000114F">
      <w:pP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Hipótesis</w:t>
      </w:r>
      <w:proofErr w:type="spellEnd"/>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Estudiar la ansiedad en relación con la aplicación del neurofeedback (Protocolo SMR) en pacientes con fibromialgia.</w:t>
      </w:r>
    </w:p>
    <w:p w14:paraId="0A7EC5AD"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Contrastamos empíricamente esta </w:t>
      </w:r>
      <w:proofErr w:type="spellStart"/>
      <w:r>
        <w:rPr>
          <w:rFonts w:ascii="Times New Roman" w:eastAsia="Times New Roman" w:hAnsi="Times New Roman" w:cs="Times New Roman"/>
          <w:sz w:val="24"/>
          <w:szCs w:val="24"/>
        </w:rPr>
        <w:t>hipótesis</w:t>
      </w:r>
      <w:proofErr w:type="spellEnd"/>
      <w:r>
        <w:rPr>
          <w:rFonts w:ascii="Times New Roman" w:eastAsia="Times New Roman" w:hAnsi="Times New Roman" w:cs="Times New Roman"/>
          <w:sz w:val="24"/>
          <w:szCs w:val="24"/>
        </w:rPr>
        <w:t xml:space="preserve"> a través de las siguientes </w:t>
      </w:r>
      <w:proofErr w:type="spellStart"/>
      <w:r>
        <w:rPr>
          <w:rFonts w:ascii="Times New Roman" w:eastAsia="Times New Roman" w:hAnsi="Times New Roman" w:cs="Times New Roman"/>
          <w:sz w:val="24"/>
          <w:szCs w:val="24"/>
        </w:rPr>
        <w:t>subhipótesis</w:t>
      </w:r>
      <w:proofErr w:type="spellEnd"/>
      <w:r>
        <w:rPr>
          <w:rFonts w:ascii="Times New Roman" w:eastAsia="Times New Roman" w:hAnsi="Times New Roman" w:cs="Times New Roman"/>
          <w:sz w:val="24"/>
          <w:szCs w:val="24"/>
        </w:rPr>
        <w:t>.</w:t>
      </w:r>
    </w:p>
    <w:p w14:paraId="3C724375" w14:textId="77777777" w:rsidR="00CA0320" w:rsidRDefault="0000114F">
      <w:pP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Hipótesis</w:t>
      </w:r>
      <w:proofErr w:type="spellEnd"/>
      <w:r>
        <w:rPr>
          <w:rFonts w:ascii="Times New Roman" w:eastAsia="Times New Roman" w:hAnsi="Times New Roman" w:cs="Times New Roman"/>
          <w:b/>
          <w:sz w:val="24"/>
          <w:szCs w:val="24"/>
        </w:rPr>
        <w:t xml:space="preserve"> 2.1:</w:t>
      </w:r>
      <w:r>
        <w:rPr>
          <w:rFonts w:ascii="Times New Roman" w:eastAsia="Times New Roman" w:hAnsi="Times New Roman" w:cs="Times New Roman"/>
          <w:sz w:val="24"/>
          <w:szCs w:val="24"/>
        </w:rPr>
        <w:t xml:space="preserve"> El neurofeedback (Protocolo SMR) mejora la ansiedad estado de los pacientes con fibromialgia.</w:t>
      </w:r>
    </w:p>
    <w:p w14:paraId="0692AF88" w14:textId="77777777" w:rsidR="00CA0320" w:rsidRDefault="0000114F">
      <w:pP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Hipótesis</w:t>
      </w:r>
      <w:proofErr w:type="spellEnd"/>
      <w:r>
        <w:rPr>
          <w:rFonts w:ascii="Times New Roman" w:eastAsia="Times New Roman" w:hAnsi="Times New Roman" w:cs="Times New Roman"/>
          <w:b/>
          <w:sz w:val="24"/>
          <w:szCs w:val="24"/>
        </w:rPr>
        <w:t xml:space="preserve"> 2.2:</w:t>
      </w:r>
      <w:r>
        <w:rPr>
          <w:rFonts w:ascii="Times New Roman" w:eastAsia="Times New Roman" w:hAnsi="Times New Roman" w:cs="Times New Roman"/>
          <w:sz w:val="24"/>
          <w:szCs w:val="24"/>
        </w:rPr>
        <w:t xml:space="preserve"> El neurofeedback (Protocolo SMR) mejora la ansiedad rasgo de los pacientes con fibromialgia.</w:t>
      </w:r>
    </w:p>
    <w:p w14:paraId="4464A795" w14:textId="77777777" w:rsidR="00CA0320" w:rsidRDefault="00CA0320">
      <w:pPr>
        <w:spacing w:after="0" w:line="240" w:lineRule="auto"/>
        <w:ind w:firstLine="709"/>
        <w:jc w:val="both"/>
        <w:rPr>
          <w:rFonts w:ascii="Times New Roman" w:eastAsia="Times New Roman" w:hAnsi="Times New Roman" w:cs="Times New Roman"/>
          <w:b/>
          <w:sz w:val="24"/>
          <w:szCs w:val="24"/>
        </w:rPr>
      </w:pPr>
    </w:p>
    <w:p w14:paraId="647DDB4A" w14:textId="77777777" w:rsidR="00CA0320" w:rsidRDefault="00CA0320">
      <w:pPr>
        <w:spacing w:after="0" w:line="240" w:lineRule="auto"/>
        <w:ind w:firstLine="709"/>
        <w:jc w:val="both"/>
        <w:rPr>
          <w:rFonts w:ascii="Times New Roman" w:eastAsia="Times New Roman" w:hAnsi="Times New Roman" w:cs="Times New Roman"/>
          <w:b/>
          <w:sz w:val="24"/>
          <w:szCs w:val="24"/>
        </w:rPr>
      </w:pPr>
    </w:p>
    <w:p w14:paraId="4B528FC2" w14:textId="77777777" w:rsidR="00CA0320" w:rsidRDefault="0000114F">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Métodos</w:t>
      </w:r>
    </w:p>
    <w:p w14:paraId="3961D234" w14:textId="77777777" w:rsidR="00CA0320" w:rsidRDefault="00CA0320">
      <w:pPr>
        <w:spacing w:after="0" w:line="240" w:lineRule="auto"/>
        <w:ind w:firstLine="709"/>
        <w:jc w:val="both"/>
        <w:rPr>
          <w:rFonts w:ascii="Times New Roman" w:eastAsia="Times New Roman" w:hAnsi="Times New Roman" w:cs="Times New Roman"/>
          <w:b/>
          <w:sz w:val="24"/>
          <w:szCs w:val="24"/>
        </w:rPr>
      </w:pPr>
    </w:p>
    <w:p w14:paraId="78C9EEBA" w14:textId="77777777" w:rsidR="00CA0320" w:rsidRPr="00B930EF" w:rsidRDefault="0000114F">
      <w:pPr>
        <w:spacing w:line="240" w:lineRule="auto"/>
        <w:ind w:firstLine="709"/>
        <w:jc w:val="both"/>
        <w:rPr>
          <w:rFonts w:ascii="Times New Roman" w:eastAsia="Times New Roman" w:hAnsi="Times New Roman" w:cs="Times New Roman"/>
          <w:b/>
          <w:sz w:val="24"/>
          <w:szCs w:val="24"/>
        </w:rPr>
      </w:pPr>
      <w:r w:rsidRPr="00B930EF">
        <w:rPr>
          <w:rFonts w:ascii="Times New Roman" w:eastAsia="Times New Roman" w:hAnsi="Times New Roman" w:cs="Times New Roman"/>
          <w:b/>
          <w:sz w:val="24"/>
          <w:szCs w:val="24"/>
        </w:rPr>
        <w:t>Participantes</w:t>
      </w:r>
    </w:p>
    <w:p w14:paraId="75D84D9A" w14:textId="59748FA6" w:rsidR="00CA0320" w:rsidRDefault="0000114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B930EF">
        <w:rPr>
          <w:rFonts w:ascii="Times New Roman" w:eastAsia="Times New Roman" w:hAnsi="Times New Roman" w:cs="Times New Roman"/>
          <w:sz w:val="24"/>
          <w:szCs w:val="24"/>
        </w:rPr>
        <w:t xml:space="preserve"> La muestra se calculó de una total de más de 150 pacientes, de los cuales aproximadamente 60% no superó los criterios de inclusión y exclusión, por lo que el estudio se realizó finalmente con 40 participantes remitidos de diversas asociaciones de fibromialgia de Extremadura (España), teniendo como principal característica su carácter no probabilístico. Del total </w:t>
      </w:r>
      <w:r>
        <w:rPr>
          <w:rFonts w:ascii="Times New Roman" w:eastAsia="Times New Roman" w:hAnsi="Times New Roman" w:cs="Times New Roman"/>
          <w:color w:val="000000"/>
          <w:sz w:val="24"/>
          <w:szCs w:val="24"/>
        </w:rPr>
        <w:t>de l</w:t>
      </w:r>
      <w:r w:rsidR="00B930EF">
        <w:rPr>
          <w:rFonts w:ascii="Times New Roman" w:eastAsia="Times New Roman" w:hAnsi="Times New Roman" w:cs="Times New Roman"/>
          <w:color w:val="000000"/>
          <w:sz w:val="24"/>
          <w:szCs w:val="24"/>
        </w:rPr>
        <w:t>a</w:t>
      </w:r>
      <w:r>
        <w:rPr>
          <w:rFonts w:ascii="Times New Roman" w:eastAsia="Times New Roman" w:hAnsi="Times New Roman" w:cs="Times New Roman"/>
          <w:sz w:val="24"/>
          <w:szCs w:val="24"/>
        </w:rPr>
        <w:t xml:space="preserve"> </w:t>
      </w:r>
      <w:r w:rsidR="00B930EF">
        <w:rPr>
          <w:rFonts w:ascii="Times New Roman" w:eastAsia="Times New Roman" w:hAnsi="Times New Roman" w:cs="Times New Roman"/>
          <w:sz w:val="24"/>
          <w:szCs w:val="24"/>
        </w:rPr>
        <w:t>muestra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36 fueron mujeres y 4 hombres, con una edad comprendida entre los 31 y los 70 años de los cuales 14 sujetos se encontraban entre 31/51 años, 23 entre los 51/65 años y 3 eran mayores de 65 años. El nivel educativo de los participantes resultó homogéneo 12 de educación infantil, 6 de educación primaria, 15 de COU/ESO, 15 de bachillerato y 7 con formación universitaria. De la totalidad de los sujetos 20 no han estado de baja médica, 7 se encontraban en el momento del estudio de baja médica y 13 habían estado de baja médica con anterioridad. La selección de la muestra estuvo marcada por los criterios de inclusión y exclusión.</w:t>
      </w:r>
    </w:p>
    <w:p w14:paraId="06260CDA" w14:textId="77777777" w:rsidR="00CA0320" w:rsidRDefault="00CA032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7CC7BD11" w14:textId="77777777" w:rsidR="00CA0320" w:rsidRDefault="0000114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criterios de inclusión:</w:t>
      </w:r>
    </w:p>
    <w:p w14:paraId="15AD2605" w14:textId="77777777" w:rsidR="00CA0320" w:rsidRDefault="00CA0320">
      <w:pPr>
        <w:pBdr>
          <w:top w:val="nil"/>
          <w:left w:val="nil"/>
          <w:bottom w:val="nil"/>
          <w:right w:val="nil"/>
          <w:between w:val="nil"/>
        </w:pBdr>
        <w:spacing w:after="0" w:line="240" w:lineRule="auto"/>
        <w:ind w:left="1429"/>
        <w:jc w:val="both"/>
        <w:rPr>
          <w:rFonts w:ascii="Times New Roman" w:eastAsia="Times New Roman" w:hAnsi="Times New Roman" w:cs="Times New Roman"/>
          <w:color w:val="000000"/>
          <w:sz w:val="24"/>
          <w:szCs w:val="24"/>
        </w:rPr>
      </w:pPr>
    </w:p>
    <w:p w14:paraId="2E985693" w14:textId="0F34CDB1" w:rsidR="00CA0320" w:rsidRDefault="0000114F">
      <w:pPr>
        <w:numPr>
          <w:ilvl w:val="0"/>
          <w:numId w:val="1"/>
        </w:num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Tener entre 16 años o más. Si el paciente es menor deberá presentar </w:t>
      </w:r>
      <w:r w:rsidR="00B930EF">
        <w:rPr>
          <w:rFonts w:ascii="Times New Roman" w:eastAsia="Times New Roman" w:hAnsi="Times New Roman" w:cs="Times New Roman"/>
          <w:color w:val="000000"/>
          <w:sz w:val="24"/>
          <w:szCs w:val="24"/>
        </w:rPr>
        <w:t>la autorización</w:t>
      </w:r>
      <w:r>
        <w:rPr>
          <w:rFonts w:ascii="Times New Roman" w:eastAsia="Times New Roman" w:hAnsi="Times New Roman" w:cs="Times New Roman"/>
          <w:color w:val="000000"/>
          <w:sz w:val="24"/>
          <w:szCs w:val="24"/>
        </w:rPr>
        <w:t xml:space="preserve"> de un tutor. </w:t>
      </w:r>
    </w:p>
    <w:p w14:paraId="253E0731" w14:textId="77777777" w:rsidR="00CA0320" w:rsidRDefault="0000114F">
      <w:pPr>
        <w:numPr>
          <w:ilvl w:val="0"/>
          <w:numId w:val="1"/>
        </w:num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Estar diagnosticado de fibromialgia bajo los criterios de la ACR (American </w:t>
      </w:r>
      <w:proofErr w:type="spellStart"/>
      <w:r>
        <w:rPr>
          <w:rFonts w:ascii="Times New Roman" w:eastAsia="Times New Roman" w:hAnsi="Times New Roman" w:cs="Times New Roman"/>
          <w:color w:val="000000"/>
          <w:sz w:val="24"/>
          <w:szCs w:val="24"/>
        </w:rPr>
        <w:t>College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Rheumatology</w:t>
      </w:r>
      <w:proofErr w:type="spellEnd"/>
      <w:r>
        <w:rPr>
          <w:rFonts w:ascii="Times New Roman" w:eastAsia="Times New Roman" w:hAnsi="Times New Roman" w:cs="Times New Roman"/>
          <w:color w:val="000000"/>
          <w:sz w:val="24"/>
          <w:szCs w:val="24"/>
        </w:rPr>
        <w:t>).</w:t>
      </w:r>
    </w:p>
    <w:p w14:paraId="57A6A8B5" w14:textId="77777777" w:rsidR="00CA0320" w:rsidRDefault="0000114F">
      <w:pPr>
        <w:numPr>
          <w:ilvl w:val="0"/>
          <w:numId w:val="1"/>
        </w:num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tener otros problemas de salud como problemas coronarios, diabetes mellitus, padecer o haber padecido cáncer o alcoholismo.</w:t>
      </w:r>
    </w:p>
    <w:p w14:paraId="2FA313A7" w14:textId="77777777" w:rsidR="00CA0320" w:rsidRDefault="00CA0320">
      <w:pPr>
        <w:pBdr>
          <w:top w:val="nil"/>
          <w:left w:val="nil"/>
          <w:bottom w:val="nil"/>
          <w:right w:val="nil"/>
          <w:between w:val="nil"/>
        </w:pBdr>
        <w:spacing w:line="240" w:lineRule="auto"/>
        <w:ind w:firstLine="709"/>
        <w:jc w:val="both"/>
        <w:rPr>
          <w:rFonts w:ascii="Times New Roman" w:eastAsia="Times New Roman" w:hAnsi="Times New Roman" w:cs="Times New Roman"/>
          <w:b/>
          <w:sz w:val="24"/>
          <w:szCs w:val="24"/>
        </w:rPr>
      </w:pPr>
    </w:p>
    <w:p w14:paraId="1E35B6BA" w14:textId="77777777" w:rsidR="00CA0320" w:rsidRDefault="0000114F">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Instrumentos</w:t>
      </w:r>
    </w:p>
    <w:p w14:paraId="0DAFB4DF"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información se obtuvo mediante una entrevista con los participantes donde cumplimentaron los instrumentos seleccionados.</w:t>
      </w:r>
    </w:p>
    <w:p w14:paraId="28BA8470"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167783B9"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cuestionario utilizado para medir la depresión en este estudio es el </w:t>
      </w:r>
      <w:r>
        <w:rPr>
          <w:rFonts w:ascii="Times New Roman" w:eastAsia="Times New Roman" w:hAnsi="Times New Roman" w:cs="Times New Roman"/>
          <w:b/>
          <w:sz w:val="24"/>
          <w:szCs w:val="24"/>
        </w:rPr>
        <w:t>BDI</w:t>
      </w:r>
      <w:r>
        <w:rPr>
          <w:rFonts w:ascii="Times New Roman" w:eastAsia="Times New Roman" w:hAnsi="Times New Roman" w:cs="Times New Roman"/>
          <w:sz w:val="24"/>
          <w:szCs w:val="24"/>
        </w:rPr>
        <w:t xml:space="preserve"> (Inventario de Depresión de Beck). La versión original la elaboró Beck en 1961 (Beck, Ward, </w:t>
      </w:r>
      <w:proofErr w:type="spellStart"/>
      <w:r>
        <w:rPr>
          <w:rFonts w:ascii="Times New Roman" w:eastAsia="Times New Roman" w:hAnsi="Times New Roman" w:cs="Times New Roman"/>
          <w:sz w:val="24"/>
          <w:szCs w:val="24"/>
        </w:rPr>
        <w:t>Mendelson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Mock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Erbaugh</w:t>
      </w:r>
      <w:proofErr w:type="spellEnd"/>
      <w:r>
        <w:rPr>
          <w:rFonts w:ascii="Times New Roman" w:eastAsia="Times New Roman" w:hAnsi="Times New Roman" w:cs="Times New Roman"/>
          <w:sz w:val="24"/>
          <w:szCs w:val="24"/>
        </w:rPr>
        <w:t xml:space="preserve">, 1961) y la primera adaptación al castellano fue realizada por Conde y </w:t>
      </w:r>
      <w:proofErr w:type="spellStart"/>
      <w:r>
        <w:rPr>
          <w:rFonts w:ascii="Times New Roman" w:eastAsia="Times New Roman" w:hAnsi="Times New Roman" w:cs="Times New Roman"/>
          <w:sz w:val="24"/>
          <w:szCs w:val="24"/>
        </w:rPr>
        <w:t>Useros</w:t>
      </w:r>
      <w:proofErr w:type="spellEnd"/>
      <w:r>
        <w:rPr>
          <w:rFonts w:ascii="Times New Roman" w:eastAsia="Times New Roman" w:hAnsi="Times New Roman" w:cs="Times New Roman"/>
          <w:sz w:val="24"/>
          <w:szCs w:val="24"/>
        </w:rPr>
        <w:t xml:space="preserve"> (1975). El inventario tiene como objetivo medir los estados de ánimo con el que se detecta la presencia de la depresión y se mide exactamente su gravedad mediante una escala de tipo Likert. Este cuestionario ha sido estudiado de manera muy exhaustiva, mostrando una alfa de Cronbach de 0.83 (Beck, </w:t>
      </w:r>
      <w:proofErr w:type="spellStart"/>
      <w:r>
        <w:rPr>
          <w:rFonts w:ascii="Times New Roman" w:eastAsia="Times New Roman" w:hAnsi="Times New Roman" w:cs="Times New Roman"/>
          <w:sz w:val="24"/>
          <w:szCs w:val="24"/>
        </w:rPr>
        <w:t>Steer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Garbin</w:t>
      </w:r>
      <w:proofErr w:type="spellEnd"/>
      <w:r>
        <w:rPr>
          <w:rFonts w:ascii="Times New Roman" w:eastAsia="Times New Roman" w:hAnsi="Times New Roman" w:cs="Times New Roman"/>
          <w:sz w:val="24"/>
          <w:szCs w:val="24"/>
        </w:rPr>
        <w:t xml:space="preserve">, 1988; Richter, Werner &amp; </w:t>
      </w:r>
      <w:proofErr w:type="spellStart"/>
      <w:r>
        <w:rPr>
          <w:rFonts w:ascii="Times New Roman" w:eastAsia="Times New Roman" w:hAnsi="Times New Roman" w:cs="Times New Roman"/>
          <w:sz w:val="24"/>
          <w:szCs w:val="24"/>
        </w:rPr>
        <w:t>Heerlein</w:t>
      </w:r>
      <w:proofErr w:type="spellEnd"/>
      <w:r>
        <w:rPr>
          <w:rFonts w:ascii="Times New Roman" w:eastAsia="Times New Roman" w:hAnsi="Times New Roman" w:cs="Times New Roman"/>
          <w:sz w:val="24"/>
          <w:szCs w:val="24"/>
        </w:rPr>
        <w:t>, 1998).</w:t>
      </w:r>
    </w:p>
    <w:p w14:paraId="02050B2E"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168A9551" w14:textId="224329F9"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b/>
          <w:sz w:val="24"/>
          <w:szCs w:val="24"/>
        </w:rPr>
        <w:t>State-Trait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Anxiety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Inventory</w:t>
      </w:r>
      <w:proofErr w:type="spellEnd"/>
      <w:r>
        <w:rPr>
          <w:rFonts w:ascii="Times New Roman" w:eastAsia="Times New Roman" w:hAnsi="Times New Roman" w:cs="Times New Roman"/>
          <w:sz w:val="24"/>
          <w:szCs w:val="24"/>
        </w:rPr>
        <w:t xml:space="preserve"> (STAI) es uno de los cuestionarios más utilizados para medir la ansiedad y fue construido y desarrollado por </w:t>
      </w:r>
      <w:proofErr w:type="spellStart"/>
      <w:r>
        <w:rPr>
          <w:rFonts w:ascii="Times New Roman" w:eastAsia="Times New Roman" w:hAnsi="Times New Roman" w:cs="Times New Roman"/>
          <w:sz w:val="24"/>
          <w:szCs w:val="24"/>
        </w:rPr>
        <w:t>Spielberger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Gorsuch</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Lushene</w:t>
      </w:r>
      <w:proofErr w:type="spellEnd"/>
      <w:r>
        <w:rPr>
          <w:rFonts w:ascii="Times New Roman" w:eastAsia="Times New Roman" w:hAnsi="Times New Roman" w:cs="Times New Roman"/>
          <w:sz w:val="24"/>
          <w:szCs w:val="24"/>
        </w:rPr>
        <w:t xml:space="preserve"> (1970). El STAI Inventario de Ansiedad, evalúa dos dimensiones de ansiedad (rasgo y estado) mediante una escala de tipo Likert (Spielberg, </w:t>
      </w:r>
      <w:proofErr w:type="spellStart"/>
      <w:r>
        <w:rPr>
          <w:rFonts w:ascii="Times New Roman" w:eastAsia="Times New Roman" w:hAnsi="Times New Roman" w:cs="Times New Roman"/>
          <w:sz w:val="24"/>
          <w:szCs w:val="24"/>
        </w:rPr>
        <w:t>Goursch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Lushene</w:t>
      </w:r>
      <w:proofErr w:type="spellEnd"/>
      <w:r>
        <w:rPr>
          <w:rFonts w:ascii="Times New Roman" w:eastAsia="Times New Roman" w:hAnsi="Times New Roman" w:cs="Times New Roman"/>
          <w:sz w:val="24"/>
          <w:szCs w:val="24"/>
        </w:rPr>
        <w:t xml:space="preserve">, 1982), ambas escalas están diferenciadas tanto en su administración como en su evaluación. Miden dos conceptos independientes de la ansiedad como estado (E) y como rasgo (R). Basados en los componentes del modelo de ansiedad desarrollado por </w:t>
      </w:r>
      <w:proofErr w:type="spellStart"/>
      <w:r>
        <w:rPr>
          <w:rFonts w:ascii="Times New Roman" w:eastAsia="Times New Roman" w:hAnsi="Times New Roman" w:cs="Times New Roman"/>
          <w:sz w:val="24"/>
          <w:szCs w:val="24"/>
        </w:rPr>
        <w:t>Spielberger</w:t>
      </w:r>
      <w:proofErr w:type="spellEnd"/>
      <w:r>
        <w:rPr>
          <w:rFonts w:ascii="Times New Roman" w:eastAsia="Times New Roman" w:hAnsi="Times New Roman" w:cs="Times New Roman"/>
          <w:sz w:val="24"/>
          <w:szCs w:val="24"/>
        </w:rPr>
        <w:t xml:space="preserve">. En la revisión de la versión española realizada por Guillén y </w:t>
      </w:r>
      <w:proofErr w:type="spellStart"/>
      <w:r>
        <w:rPr>
          <w:rFonts w:ascii="Times New Roman" w:eastAsia="Times New Roman" w:hAnsi="Times New Roman" w:cs="Times New Roman"/>
          <w:sz w:val="24"/>
          <w:szCs w:val="24"/>
        </w:rPr>
        <w:t>Buela</w:t>
      </w:r>
      <w:proofErr w:type="spellEnd"/>
      <w:r>
        <w:rPr>
          <w:rFonts w:ascii="Times New Roman" w:eastAsia="Times New Roman" w:hAnsi="Times New Roman" w:cs="Times New Roman"/>
          <w:sz w:val="24"/>
          <w:szCs w:val="24"/>
        </w:rPr>
        <w:t xml:space="preserve"> (2011), compuesta por 1.036 participantes españoles (352 eran hombres y 667 mujeres) con edades comprendidas entre 18 y 69 años obtuvo un análisis de fiabilidad significativo. Para los ítems de ansiedad rasgo obtuvo un alfa de Cronbach de 0.90 y la ansiedad estado alcanzó un alfa de .94.</w:t>
      </w:r>
    </w:p>
    <w:p w14:paraId="5D8F0158"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5233714C"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instrumentos de recogida y análisis de las variables electrofisiológicas son productos de la empresa </w:t>
      </w:r>
      <w:proofErr w:type="spellStart"/>
      <w:r>
        <w:rPr>
          <w:rFonts w:ascii="Times New Roman" w:eastAsia="Times New Roman" w:hAnsi="Times New Roman" w:cs="Times New Roman"/>
          <w:sz w:val="24"/>
          <w:szCs w:val="24"/>
        </w:rPr>
        <w:t>Thought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una de las principales compañías fabricantes de productos de </w:t>
      </w:r>
      <w:proofErr w:type="spellStart"/>
      <w:r>
        <w:rPr>
          <w:rFonts w:ascii="Times New Roman" w:eastAsia="Times New Roman" w:hAnsi="Times New Roman" w:cs="Times New Roman"/>
          <w:sz w:val="24"/>
          <w:szCs w:val="24"/>
        </w:rPr>
        <w:t>biofeedback</w:t>
      </w:r>
      <w:proofErr w:type="spellEnd"/>
      <w:r>
        <w:rPr>
          <w:rFonts w:ascii="Times New Roman" w:eastAsia="Times New Roman" w:hAnsi="Times New Roman" w:cs="Times New Roman"/>
          <w:sz w:val="24"/>
          <w:szCs w:val="24"/>
        </w:rPr>
        <w:t xml:space="preserve"> y neurofeedback del mundo. Tiene certificado de dispositivos médicos para sus aparatos de </w:t>
      </w:r>
      <w:proofErr w:type="spellStart"/>
      <w:r>
        <w:rPr>
          <w:rFonts w:ascii="Times New Roman" w:eastAsia="Times New Roman" w:hAnsi="Times New Roman" w:cs="Times New Roman"/>
          <w:sz w:val="24"/>
          <w:szCs w:val="24"/>
        </w:rPr>
        <w:t>biofeedback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Thought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2018).</w:t>
      </w:r>
    </w:p>
    <w:p w14:paraId="1A8E52C5" w14:textId="77777777" w:rsidR="00CA0320" w:rsidRDefault="0000114F">
      <w:pPr>
        <w:spacing w:after="0" w:line="240" w:lineRule="auto"/>
        <w:ind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utilizó el Codificador </w:t>
      </w:r>
      <w:proofErr w:type="spellStart"/>
      <w:r>
        <w:rPr>
          <w:rFonts w:ascii="Times New Roman" w:eastAsia="Times New Roman" w:hAnsi="Times New Roman" w:cs="Times New Roman"/>
          <w:b/>
          <w:sz w:val="24"/>
          <w:szCs w:val="24"/>
        </w:rPr>
        <w:t>FlexComp</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Infiniti</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que es un dispositivo de ocho canales que se usa para el análisis psicofisiológico en tiempo real, biorretroalimentación y adquisición de datos. El codificador tiene una entrada específica en la cual conectamos un sensor de electroencefalograma.  El software utilizado es el </w:t>
      </w:r>
      <w:proofErr w:type="spellStart"/>
      <w:r>
        <w:rPr>
          <w:rFonts w:ascii="Times New Roman" w:eastAsia="Times New Roman" w:hAnsi="Times New Roman" w:cs="Times New Roman"/>
          <w:sz w:val="24"/>
          <w:szCs w:val="24"/>
        </w:rPr>
        <w:t>BioGraph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Infiniti</w:t>
      </w:r>
      <w:proofErr w:type="spellEnd"/>
      <w:r>
        <w:rPr>
          <w:rFonts w:ascii="Times New Roman" w:eastAsia="Times New Roman" w:hAnsi="Times New Roman" w:cs="Times New Roman"/>
          <w:sz w:val="24"/>
          <w:szCs w:val="24"/>
        </w:rPr>
        <w:t xml:space="preserve"> desarrollado para captar y analiza los datos, y para realizar el condicionamiento instrumental utilizamos un protocolo de ritmos sensoriomotores. </w:t>
      </w:r>
    </w:p>
    <w:p w14:paraId="610A0118" w14:textId="77777777" w:rsidR="00CA0320" w:rsidRDefault="00CA0320">
      <w:pPr>
        <w:spacing w:after="0" w:line="240" w:lineRule="auto"/>
        <w:ind w:firstLine="1"/>
        <w:jc w:val="both"/>
        <w:rPr>
          <w:rFonts w:ascii="Times New Roman" w:eastAsia="Times New Roman" w:hAnsi="Times New Roman" w:cs="Times New Roman"/>
          <w:sz w:val="24"/>
          <w:szCs w:val="24"/>
        </w:rPr>
      </w:pPr>
    </w:p>
    <w:p w14:paraId="57D8D207" w14:textId="77777777" w:rsidR="00CA0320" w:rsidRDefault="0000114F">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w:t>
      </w:r>
    </w:p>
    <w:p w14:paraId="33FE4E5B" w14:textId="77777777" w:rsidR="00CA0320" w:rsidRDefault="00CA0320">
      <w:pPr>
        <w:spacing w:after="0" w:line="240" w:lineRule="auto"/>
        <w:ind w:firstLine="709"/>
        <w:jc w:val="both"/>
        <w:rPr>
          <w:rFonts w:ascii="Times New Roman" w:eastAsia="Times New Roman" w:hAnsi="Times New Roman" w:cs="Times New Roman"/>
          <w:b/>
          <w:sz w:val="24"/>
          <w:szCs w:val="24"/>
        </w:rPr>
      </w:pPr>
    </w:p>
    <w:p w14:paraId="3E10BD8B" w14:textId="7D8B7672"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trata de un </w:t>
      </w:r>
      <w:r w:rsidRPr="00B930EF">
        <w:rPr>
          <w:rFonts w:ascii="Times New Roman" w:eastAsia="Times New Roman" w:hAnsi="Times New Roman" w:cs="Times New Roman"/>
          <w:sz w:val="24"/>
          <w:szCs w:val="24"/>
        </w:rPr>
        <w:t xml:space="preserve">estudio experimental realizado gracias a la colaboración de varias asociaciones de fibromialgia de la provincia de Badajoz, Extremadura (España) y a la Unidad del Dolor de referencia ubicada en la misma comunidad, quienes nos </w:t>
      </w:r>
      <w:r w:rsidR="00B930EF" w:rsidRPr="00B930EF">
        <w:rPr>
          <w:rFonts w:ascii="Times New Roman" w:eastAsia="Times New Roman" w:hAnsi="Times New Roman" w:cs="Times New Roman"/>
          <w:sz w:val="24"/>
          <w:szCs w:val="24"/>
        </w:rPr>
        <w:t>ofrecieron asesoramiento</w:t>
      </w:r>
      <w:r w:rsidRPr="00B930EF">
        <w:rPr>
          <w:rFonts w:ascii="Times New Roman" w:eastAsia="Times New Roman" w:hAnsi="Times New Roman" w:cs="Times New Roman"/>
          <w:sz w:val="24"/>
          <w:szCs w:val="24"/>
        </w:rPr>
        <w:t xml:space="preserve"> profesional tanto para el acceso a la muestra, como para la selección de los criterios de inclusión. El tratamiento de neurofeedback fue aplicado 3 veces por semana en las propias asociaciones durante un total de 20 sesiones (7 semanas de tratamiento) cumpliendo todas las normas de seguridad y protocolos estandarizados para la aplicación </w:t>
      </w:r>
      <w:r>
        <w:rPr>
          <w:rFonts w:ascii="Times New Roman" w:eastAsia="Times New Roman" w:hAnsi="Times New Roman" w:cs="Times New Roman"/>
          <w:sz w:val="24"/>
          <w:szCs w:val="24"/>
        </w:rPr>
        <w:t xml:space="preserve">de este tipo de terapias. Se utilizó un protocolo de ritmos sensoriomotores (SMR) </w:t>
      </w:r>
      <w:r>
        <w:rPr>
          <w:rFonts w:ascii="Times New Roman" w:eastAsia="Times New Roman" w:hAnsi="Times New Roman" w:cs="Times New Roman"/>
          <w:sz w:val="24"/>
          <w:szCs w:val="24"/>
        </w:rPr>
        <w:lastRenderedPageBreak/>
        <w:t xml:space="preserve">estandarizado y desarrollado por </w:t>
      </w:r>
      <w:proofErr w:type="spellStart"/>
      <w:r>
        <w:rPr>
          <w:rFonts w:ascii="Times New Roman" w:eastAsia="Times New Roman" w:hAnsi="Times New Roman" w:cs="Times New Roman"/>
          <w:sz w:val="24"/>
          <w:szCs w:val="24"/>
        </w:rPr>
        <w:t>Thought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para la realización del entrenamiento. </w:t>
      </w:r>
    </w:p>
    <w:p w14:paraId="23445816" w14:textId="77777777" w:rsidR="00CA0320" w:rsidRDefault="0000114F">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En cuanto a los aspectos éticos se han respetado todos los principios éticos universales que rigen la conducción de investigación en Psicología y la realización de este estudio ha sido estrictamente necesario respetar los siguientes preceptos éticos fundamentales, al igual que se expone que esta investigación carece de conflicto de intereses. Para la realización de este estudio los autores declaran que han seguido los protocolos de su centro de trabajo sobre la publicación de datos de pacientes. Han respetado el derecho a la privacidad y han seguido el Código de </w:t>
      </w:r>
      <w:proofErr w:type="spellStart"/>
      <w:r>
        <w:rPr>
          <w:rFonts w:ascii="Times New Roman" w:eastAsia="Times New Roman" w:hAnsi="Times New Roman" w:cs="Times New Roman"/>
          <w:sz w:val="24"/>
          <w:szCs w:val="24"/>
        </w:rPr>
        <w:t>Nüremberg</w:t>
      </w:r>
      <w:proofErr w:type="spellEnd"/>
      <w:r>
        <w:rPr>
          <w:rFonts w:ascii="Times New Roman" w:eastAsia="Times New Roman" w:hAnsi="Times New Roman" w:cs="Times New Roman"/>
          <w:sz w:val="24"/>
          <w:szCs w:val="24"/>
        </w:rPr>
        <w:t xml:space="preserve"> (1974), donde se especifica que es imprescindible el consentimiento voluntario de la persona.</w:t>
      </w:r>
    </w:p>
    <w:p w14:paraId="0FF40EA0"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20E1C04E" w14:textId="77777777" w:rsidR="00CA0320" w:rsidRDefault="0000114F">
      <w:pPr>
        <w:spacing w:after="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Análisis de datos</w:t>
      </w:r>
    </w:p>
    <w:p w14:paraId="0F9B4250" w14:textId="77777777" w:rsidR="00CA0320" w:rsidRDefault="00CA0320">
      <w:pPr>
        <w:spacing w:after="0" w:line="240" w:lineRule="auto"/>
        <w:ind w:firstLine="709"/>
        <w:rPr>
          <w:rFonts w:ascii="Times New Roman" w:eastAsia="Times New Roman" w:hAnsi="Times New Roman" w:cs="Times New Roman"/>
          <w:b/>
          <w:sz w:val="24"/>
          <w:szCs w:val="24"/>
        </w:rPr>
      </w:pPr>
    </w:p>
    <w:p w14:paraId="524B9F99"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proceso seguido para realizar el análisis inferencial ha sido el siguiente: </w:t>
      </w:r>
    </w:p>
    <w:p w14:paraId="3A3694B0"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5AF2F130"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Se presenta la tendencia de los resultados a través de una gráfica. En la abscisa se representa la variable en estudio, en la ordenada los resultados obtenidos en la serie de datos considerando los valores mínimo y máximo teóricos de la distribución. </w:t>
      </w:r>
    </w:p>
    <w:p w14:paraId="351BA2B1"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003D3B7E"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Cuando la variable que actúa como dependiente es medida en una escala de intervalo o de razón se aplican las siguientes pruebas para decidir si es necesario utilizar una prueba paramétrica o no paramétrica: </w:t>
      </w:r>
    </w:p>
    <w:p w14:paraId="4820066C"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0FA3392D"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Kolmogorov-Smirnov</w:t>
      </w:r>
      <w:proofErr w:type="spellEnd"/>
      <w:r>
        <w:rPr>
          <w:rFonts w:ascii="Times New Roman" w:eastAsia="Times New Roman" w:hAnsi="Times New Roman" w:cs="Times New Roman"/>
          <w:sz w:val="24"/>
          <w:szCs w:val="24"/>
        </w:rPr>
        <w:t xml:space="preserve">, para contrastar la </w:t>
      </w:r>
      <w:proofErr w:type="spellStart"/>
      <w:r>
        <w:rPr>
          <w:rFonts w:ascii="Times New Roman" w:eastAsia="Times New Roman" w:hAnsi="Times New Roman" w:cs="Times New Roman"/>
          <w:sz w:val="24"/>
          <w:szCs w:val="24"/>
        </w:rPr>
        <w:t>hipótesis</w:t>
      </w:r>
      <w:proofErr w:type="spellEnd"/>
      <w:r>
        <w:rPr>
          <w:rFonts w:ascii="Times New Roman" w:eastAsia="Times New Roman" w:hAnsi="Times New Roman" w:cs="Times New Roman"/>
          <w:sz w:val="24"/>
          <w:szCs w:val="24"/>
        </w:rPr>
        <w:t xml:space="preserve"> nula de que la distribución teórica en la población es normal. </w:t>
      </w:r>
    </w:p>
    <w:p w14:paraId="03D53058"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Rachas, para contrastar la </w:t>
      </w:r>
      <w:proofErr w:type="spellStart"/>
      <w:r>
        <w:rPr>
          <w:rFonts w:ascii="Times New Roman" w:eastAsia="Times New Roman" w:hAnsi="Times New Roman" w:cs="Times New Roman"/>
          <w:sz w:val="24"/>
          <w:szCs w:val="24"/>
        </w:rPr>
        <w:t>hipótesis</w:t>
      </w:r>
      <w:proofErr w:type="spellEnd"/>
      <w:r>
        <w:rPr>
          <w:rFonts w:ascii="Times New Roman" w:eastAsia="Times New Roman" w:hAnsi="Times New Roman" w:cs="Times New Roman"/>
          <w:sz w:val="24"/>
          <w:szCs w:val="24"/>
        </w:rPr>
        <w:t xml:space="preserve"> nula de que la distribución teórica en la población es aleatoria. </w:t>
      </w:r>
    </w:p>
    <w:p w14:paraId="24AC4DE7"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Levene, no se realizará para contrastar la </w:t>
      </w:r>
      <w:proofErr w:type="spellStart"/>
      <w:r>
        <w:rPr>
          <w:rFonts w:ascii="Times New Roman" w:eastAsia="Times New Roman" w:hAnsi="Times New Roman" w:cs="Times New Roman"/>
          <w:sz w:val="24"/>
          <w:szCs w:val="24"/>
        </w:rPr>
        <w:t>hipótesis</w:t>
      </w:r>
      <w:proofErr w:type="spellEnd"/>
      <w:r>
        <w:rPr>
          <w:rFonts w:ascii="Times New Roman" w:eastAsia="Times New Roman" w:hAnsi="Times New Roman" w:cs="Times New Roman"/>
          <w:sz w:val="24"/>
          <w:szCs w:val="24"/>
        </w:rPr>
        <w:t xml:space="preserve"> nula relacionada con la igualdad de las varianzas entre las diferentes variables analizadas debido a que son muestras relacionadas. </w:t>
      </w:r>
    </w:p>
    <w:p w14:paraId="013557A9"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Se aplica el modelo estadístico necesario para contrastar la </w:t>
      </w:r>
      <w:proofErr w:type="spellStart"/>
      <w:r>
        <w:rPr>
          <w:rFonts w:ascii="Times New Roman" w:eastAsia="Times New Roman" w:hAnsi="Times New Roman" w:cs="Times New Roman"/>
          <w:sz w:val="24"/>
          <w:szCs w:val="24"/>
        </w:rPr>
        <w:t>hipótesis</w:t>
      </w:r>
      <w:proofErr w:type="spellEnd"/>
      <w:r>
        <w:rPr>
          <w:rFonts w:ascii="Times New Roman" w:eastAsia="Times New Roman" w:hAnsi="Times New Roman" w:cs="Times New Roman"/>
          <w:sz w:val="24"/>
          <w:szCs w:val="24"/>
        </w:rPr>
        <w:t xml:space="preserve"> de trabajo. </w:t>
      </w:r>
    </w:p>
    <w:p w14:paraId="76709F78"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Se da respuesta al contraste realizado de la </w:t>
      </w:r>
      <w:proofErr w:type="spellStart"/>
      <w:r>
        <w:rPr>
          <w:rFonts w:ascii="Times New Roman" w:eastAsia="Times New Roman" w:hAnsi="Times New Roman" w:cs="Times New Roman"/>
          <w:sz w:val="24"/>
          <w:szCs w:val="24"/>
        </w:rPr>
        <w:t>hipótesis</w:t>
      </w:r>
      <w:proofErr w:type="spellEnd"/>
      <w:r>
        <w:rPr>
          <w:rFonts w:ascii="Times New Roman" w:eastAsia="Times New Roman" w:hAnsi="Times New Roman" w:cs="Times New Roman"/>
          <w:sz w:val="24"/>
          <w:szCs w:val="24"/>
        </w:rPr>
        <w:t xml:space="preserve"> nula y por tanto también de la </w:t>
      </w:r>
      <w:proofErr w:type="spellStart"/>
      <w:r>
        <w:rPr>
          <w:rFonts w:ascii="Times New Roman" w:eastAsia="Times New Roman" w:hAnsi="Times New Roman" w:cs="Times New Roman"/>
          <w:sz w:val="24"/>
          <w:szCs w:val="24"/>
        </w:rPr>
        <w:t>hipótesis</w:t>
      </w:r>
      <w:proofErr w:type="spellEnd"/>
      <w:r>
        <w:rPr>
          <w:rFonts w:ascii="Times New Roman" w:eastAsia="Times New Roman" w:hAnsi="Times New Roman" w:cs="Times New Roman"/>
          <w:sz w:val="24"/>
          <w:szCs w:val="24"/>
        </w:rPr>
        <w:t xml:space="preserve"> de trabajo. </w:t>
      </w:r>
    </w:p>
    <w:p w14:paraId="59A2BDD2" w14:textId="77777777" w:rsidR="00CA0320" w:rsidRDefault="0000114F">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Cuando se valora el impacto de una intervención, además de la significación estadística, se utiliza como criterio el análisis del tamaño del efecto, a través del coeficiente d de Cohen, que aparece en la tabla 3.</w:t>
      </w:r>
    </w:p>
    <w:p w14:paraId="53591700"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1BD4428E" w14:textId="77777777" w:rsidR="00CA0320" w:rsidRDefault="0000114F">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3909F61D" w14:textId="23AC795B" w:rsidR="00CA0320" w:rsidRDefault="0000114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w:t>
      </w:r>
      <w:r w:rsidR="00ED37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observan los resultados de las </w:t>
      </w:r>
      <w:r w:rsidR="00B930EF">
        <w:rPr>
          <w:rFonts w:ascii="Times New Roman" w:eastAsia="Times New Roman" w:hAnsi="Times New Roman" w:cs="Times New Roman"/>
          <w:sz w:val="24"/>
          <w:szCs w:val="24"/>
        </w:rPr>
        <w:t>variables psicológicas</w:t>
      </w:r>
      <w:r>
        <w:rPr>
          <w:rFonts w:ascii="Times New Roman" w:eastAsia="Times New Roman" w:hAnsi="Times New Roman" w:cs="Times New Roman"/>
          <w:sz w:val="24"/>
          <w:szCs w:val="24"/>
        </w:rPr>
        <w:t xml:space="preserve"> medidas en las tablas 1 y 2.</w:t>
      </w:r>
    </w:p>
    <w:p w14:paraId="4E3376AC"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275C90E8" w14:textId="77777777" w:rsidR="00CA0320" w:rsidRDefault="00CA0320">
      <w:pPr>
        <w:spacing w:after="0" w:line="240" w:lineRule="auto"/>
        <w:ind w:firstLine="709"/>
        <w:jc w:val="both"/>
        <w:rPr>
          <w:rFonts w:ascii="Times New Roman" w:eastAsia="Times New Roman" w:hAnsi="Times New Roman" w:cs="Times New Roman"/>
          <w:sz w:val="20"/>
          <w:szCs w:val="20"/>
        </w:rPr>
      </w:pPr>
    </w:p>
    <w:tbl>
      <w:tblPr>
        <w:tblStyle w:val="a"/>
        <w:tblW w:w="8550" w:type="dxa"/>
        <w:tblInd w:w="75" w:type="dxa"/>
        <w:tblBorders>
          <w:top w:val="nil"/>
          <w:left w:val="nil"/>
          <w:bottom w:val="nil"/>
          <w:right w:val="nil"/>
          <w:insideH w:val="nil"/>
          <w:insideV w:val="nil"/>
        </w:tblBorders>
        <w:tblLayout w:type="fixed"/>
        <w:tblLook w:val="0600" w:firstRow="0" w:lastRow="0" w:firstColumn="0" w:lastColumn="0" w:noHBand="1" w:noVBand="1"/>
      </w:tblPr>
      <w:tblGrid>
        <w:gridCol w:w="1260"/>
        <w:gridCol w:w="1095"/>
        <w:gridCol w:w="1215"/>
        <w:gridCol w:w="1380"/>
        <w:gridCol w:w="1245"/>
        <w:gridCol w:w="1245"/>
        <w:gridCol w:w="1110"/>
      </w:tblGrid>
      <w:tr w:rsidR="00CA0320" w14:paraId="12033D83" w14:textId="77777777">
        <w:trPr>
          <w:trHeight w:val="203"/>
        </w:trPr>
        <w:tc>
          <w:tcPr>
            <w:tcW w:w="8550" w:type="dxa"/>
            <w:gridSpan w:val="7"/>
            <w:tcBorders>
              <w:top w:val="nil"/>
              <w:left w:val="nil"/>
              <w:bottom w:val="single" w:sz="8" w:space="0" w:color="000000"/>
              <w:right w:val="nil"/>
            </w:tcBorders>
            <w:tcMar>
              <w:top w:w="100" w:type="dxa"/>
              <w:left w:w="120" w:type="dxa"/>
              <w:bottom w:w="100" w:type="dxa"/>
              <w:right w:w="120" w:type="dxa"/>
            </w:tcMar>
          </w:tcPr>
          <w:p w14:paraId="252FE7C1" w14:textId="77777777" w:rsidR="00CA0320" w:rsidRDefault="0000114F">
            <w:pPr>
              <w:spacing w:after="0"/>
              <w:ind w:righ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Tabla 1</w:t>
            </w:r>
          </w:p>
          <w:p w14:paraId="39DA97ED" w14:textId="77777777" w:rsidR="00CA0320" w:rsidRDefault="0000114F">
            <w:pPr>
              <w:spacing w:after="0"/>
              <w:ind w:right="-10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Resultados de las variables psicológicas</w:t>
            </w:r>
          </w:p>
        </w:tc>
      </w:tr>
      <w:tr w:rsidR="00CA0320" w14:paraId="23AED508" w14:textId="77777777" w:rsidTr="00ED37B1">
        <w:trPr>
          <w:trHeight w:val="196"/>
        </w:trPr>
        <w:tc>
          <w:tcPr>
            <w:tcW w:w="1260" w:type="dxa"/>
            <w:tcBorders>
              <w:top w:val="nil"/>
              <w:left w:val="nil"/>
              <w:bottom w:val="nil"/>
              <w:right w:val="nil"/>
            </w:tcBorders>
            <w:shd w:val="clear" w:color="auto" w:fill="auto"/>
            <w:tcMar>
              <w:top w:w="100" w:type="dxa"/>
              <w:left w:w="120" w:type="dxa"/>
              <w:bottom w:w="100" w:type="dxa"/>
              <w:right w:w="120" w:type="dxa"/>
            </w:tcMar>
          </w:tcPr>
          <w:p w14:paraId="215B78F9"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Depresión</w:t>
            </w:r>
          </w:p>
        </w:tc>
        <w:tc>
          <w:tcPr>
            <w:tcW w:w="1095" w:type="dxa"/>
            <w:tcBorders>
              <w:top w:val="nil"/>
              <w:left w:val="nil"/>
              <w:bottom w:val="nil"/>
              <w:right w:val="nil"/>
            </w:tcBorders>
            <w:shd w:val="clear" w:color="auto" w:fill="auto"/>
            <w:tcMar>
              <w:top w:w="100" w:type="dxa"/>
              <w:left w:w="120" w:type="dxa"/>
              <w:bottom w:w="100" w:type="dxa"/>
              <w:right w:w="120" w:type="dxa"/>
            </w:tcMar>
          </w:tcPr>
          <w:p w14:paraId="4D3CACA4"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Ausente</w:t>
            </w:r>
          </w:p>
        </w:tc>
        <w:tc>
          <w:tcPr>
            <w:tcW w:w="1215" w:type="dxa"/>
            <w:tcBorders>
              <w:top w:val="nil"/>
              <w:left w:val="nil"/>
              <w:bottom w:val="nil"/>
              <w:right w:val="nil"/>
            </w:tcBorders>
            <w:shd w:val="clear" w:color="auto" w:fill="auto"/>
            <w:tcMar>
              <w:top w:w="100" w:type="dxa"/>
              <w:left w:w="120" w:type="dxa"/>
              <w:bottom w:w="100" w:type="dxa"/>
              <w:right w:w="120" w:type="dxa"/>
            </w:tcMar>
          </w:tcPr>
          <w:p w14:paraId="2BB7F4A8"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Leve </w:t>
            </w:r>
          </w:p>
        </w:tc>
        <w:tc>
          <w:tcPr>
            <w:tcW w:w="1380" w:type="dxa"/>
            <w:tcBorders>
              <w:top w:val="nil"/>
              <w:left w:val="nil"/>
              <w:bottom w:val="nil"/>
              <w:right w:val="nil"/>
            </w:tcBorders>
            <w:shd w:val="clear" w:color="auto" w:fill="auto"/>
            <w:tcMar>
              <w:top w:w="100" w:type="dxa"/>
              <w:left w:w="120" w:type="dxa"/>
              <w:bottom w:w="100" w:type="dxa"/>
              <w:right w:w="120" w:type="dxa"/>
            </w:tcMar>
          </w:tcPr>
          <w:p w14:paraId="4B31AC25"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Intermitente </w:t>
            </w:r>
          </w:p>
        </w:tc>
        <w:tc>
          <w:tcPr>
            <w:tcW w:w="1245" w:type="dxa"/>
            <w:tcBorders>
              <w:top w:val="nil"/>
              <w:left w:val="nil"/>
              <w:bottom w:val="nil"/>
              <w:right w:val="nil"/>
            </w:tcBorders>
            <w:shd w:val="clear" w:color="auto" w:fill="auto"/>
            <w:tcMar>
              <w:top w:w="100" w:type="dxa"/>
              <w:left w:w="120" w:type="dxa"/>
              <w:bottom w:w="100" w:type="dxa"/>
              <w:right w:w="120" w:type="dxa"/>
            </w:tcMar>
          </w:tcPr>
          <w:p w14:paraId="4BA5DC7C"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Moderada </w:t>
            </w:r>
          </w:p>
        </w:tc>
        <w:tc>
          <w:tcPr>
            <w:tcW w:w="1245" w:type="dxa"/>
            <w:tcBorders>
              <w:top w:val="nil"/>
              <w:left w:val="nil"/>
              <w:bottom w:val="nil"/>
              <w:right w:val="nil"/>
            </w:tcBorders>
            <w:shd w:val="clear" w:color="auto" w:fill="auto"/>
            <w:tcMar>
              <w:top w:w="100" w:type="dxa"/>
              <w:left w:w="120" w:type="dxa"/>
              <w:bottom w:w="100" w:type="dxa"/>
              <w:right w:w="120" w:type="dxa"/>
            </w:tcMar>
          </w:tcPr>
          <w:p w14:paraId="3508611B"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Grave </w:t>
            </w:r>
          </w:p>
        </w:tc>
        <w:tc>
          <w:tcPr>
            <w:tcW w:w="1110" w:type="dxa"/>
            <w:tcBorders>
              <w:top w:val="nil"/>
              <w:left w:val="nil"/>
              <w:bottom w:val="nil"/>
              <w:right w:val="nil"/>
            </w:tcBorders>
            <w:shd w:val="clear" w:color="auto" w:fill="auto"/>
            <w:tcMar>
              <w:top w:w="100" w:type="dxa"/>
              <w:left w:w="120" w:type="dxa"/>
              <w:bottom w:w="100" w:type="dxa"/>
              <w:right w:w="120" w:type="dxa"/>
            </w:tcMar>
          </w:tcPr>
          <w:p w14:paraId="1D821D68"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Extrema </w:t>
            </w:r>
          </w:p>
        </w:tc>
      </w:tr>
      <w:tr w:rsidR="00CA0320" w14:paraId="7CC3E673" w14:textId="77777777" w:rsidTr="00B930EF">
        <w:trPr>
          <w:trHeight w:val="168"/>
        </w:trPr>
        <w:tc>
          <w:tcPr>
            <w:tcW w:w="1260" w:type="dxa"/>
            <w:tcBorders>
              <w:top w:val="nil"/>
              <w:left w:val="nil"/>
              <w:bottom w:val="nil"/>
              <w:right w:val="nil"/>
            </w:tcBorders>
            <w:shd w:val="clear" w:color="auto" w:fill="auto"/>
            <w:tcMar>
              <w:top w:w="100" w:type="dxa"/>
              <w:left w:w="120" w:type="dxa"/>
              <w:bottom w:w="100" w:type="dxa"/>
              <w:right w:w="120" w:type="dxa"/>
            </w:tcMar>
          </w:tcPr>
          <w:p w14:paraId="052F5ADE"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 </w:t>
            </w:r>
          </w:p>
        </w:tc>
        <w:tc>
          <w:tcPr>
            <w:tcW w:w="1095" w:type="dxa"/>
            <w:tcBorders>
              <w:top w:val="nil"/>
              <w:left w:val="nil"/>
              <w:bottom w:val="nil"/>
              <w:right w:val="nil"/>
            </w:tcBorders>
            <w:shd w:val="clear" w:color="auto" w:fill="auto"/>
            <w:tcMar>
              <w:top w:w="100" w:type="dxa"/>
              <w:left w:w="120" w:type="dxa"/>
              <w:bottom w:w="100" w:type="dxa"/>
              <w:right w:w="120" w:type="dxa"/>
            </w:tcMar>
          </w:tcPr>
          <w:p w14:paraId="04BDAAA7"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(5%) </w:t>
            </w:r>
          </w:p>
        </w:tc>
        <w:tc>
          <w:tcPr>
            <w:tcW w:w="1215" w:type="dxa"/>
            <w:tcBorders>
              <w:top w:val="nil"/>
              <w:left w:val="nil"/>
              <w:bottom w:val="nil"/>
              <w:right w:val="nil"/>
            </w:tcBorders>
            <w:shd w:val="clear" w:color="auto" w:fill="auto"/>
            <w:tcMar>
              <w:top w:w="100" w:type="dxa"/>
              <w:left w:w="120" w:type="dxa"/>
              <w:bottom w:w="100" w:type="dxa"/>
              <w:right w:w="120" w:type="dxa"/>
            </w:tcMar>
          </w:tcPr>
          <w:p w14:paraId="7B487E63"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7(17.5%) </w:t>
            </w:r>
          </w:p>
        </w:tc>
        <w:tc>
          <w:tcPr>
            <w:tcW w:w="1380" w:type="dxa"/>
            <w:tcBorders>
              <w:top w:val="nil"/>
              <w:left w:val="nil"/>
              <w:bottom w:val="nil"/>
              <w:right w:val="nil"/>
            </w:tcBorders>
            <w:shd w:val="clear" w:color="auto" w:fill="auto"/>
            <w:tcMar>
              <w:top w:w="100" w:type="dxa"/>
              <w:left w:w="120" w:type="dxa"/>
              <w:bottom w:w="100" w:type="dxa"/>
              <w:right w:w="120" w:type="dxa"/>
            </w:tcMar>
          </w:tcPr>
          <w:p w14:paraId="2725A53C"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8(20%) </w:t>
            </w:r>
          </w:p>
        </w:tc>
        <w:tc>
          <w:tcPr>
            <w:tcW w:w="1245" w:type="dxa"/>
            <w:tcBorders>
              <w:top w:val="nil"/>
              <w:left w:val="nil"/>
              <w:bottom w:val="nil"/>
              <w:right w:val="nil"/>
            </w:tcBorders>
            <w:shd w:val="clear" w:color="auto" w:fill="auto"/>
            <w:tcMar>
              <w:top w:w="100" w:type="dxa"/>
              <w:left w:w="120" w:type="dxa"/>
              <w:bottom w:w="100" w:type="dxa"/>
              <w:right w:w="120" w:type="dxa"/>
            </w:tcMar>
          </w:tcPr>
          <w:p w14:paraId="6A40BFA4"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15(37.5%) </w:t>
            </w:r>
          </w:p>
        </w:tc>
        <w:tc>
          <w:tcPr>
            <w:tcW w:w="1245" w:type="dxa"/>
            <w:tcBorders>
              <w:top w:val="nil"/>
              <w:left w:val="nil"/>
              <w:bottom w:val="nil"/>
              <w:right w:val="nil"/>
            </w:tcBorders>
            <w:shd w:val="clear" w:color="auto" w:fill="auto"/>
            <w:tcMar>
              <w:top w:w="100" w:type="dxa"/>
              <w:left w:w="120" w:type="dxa"/>
              <w:bottom w:w="100" w:type="dxa"/>
              <w:right w:w="120" w:type="dxa"/>
            </w:tcMar>
          </w:tcPr>
          <w:p w14:paraId="5104F668"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5(12.5%)</w:t>
            </w:r>
          </w:p>
        </w:tc>
        <w:tc>
          <w:tcPr>
            <w:tcW w:w="1110" w:type="dxa"/>
            <w:tcBorders>
              <w:top w:val="nil"/>
              <w:left w:val="nil"/>
              <w:bottom w:val="nil"/>
              <w:right w:val="nil"/>
            </w:tcBorders>
            <w:shd w:val="clear" w:color="auto" w:fill="auto"/>
            <w:tcMar>
              <w:top w:w="100" w:type="dxa"/>
              <w:left w:w="120" w:type="dxa"/>
              <w:bottom w:w="100" w:type="dxa"/>
              <w:right w:w="120" w:type="dxa"/>
            </w:tcMar>
          </w:tcPr>
          <w:p w14:paraId="466DC8FA"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3(7.5%) </w:t>
            </w:r>
          </w:p>
        </w:tc>
      </w:tr>
      <w:tr w:rsidR="00CA0320" w14:paraId="76A2BB46" w14:textId="77777777" w:rsidTr="00B930EF">
        <w:trPr>
          <w:trHeight w:val="168"/>
        </w:trPr>
        <w:tc>
          <w:tcPr>
            <w:tcW w:w="1260" w:type="dxa"/>
            <w:tcBorders>
              <w:top w:val="nil"/>
              <w:left w:val="nil"/>
              <w:bottom w:val="nil"/>
              <w:right w:val="nil"/>
            </w:tcBorders>
            <w:shd w:val="clear" w:color="auto" w:fill="auto"/>
            <w:tcMar>
              <w:top w:w="100" w:type="dxa"/>
              <w:left w:w="120" w:type="dxa"/>
              <w:bottom w:w="100" w:type="dxa"/>
              <w:right w:w="120" w:type="dxa"/>
            </w:tcMar>
          </w:tcPr>
          <w:p w14:paraId="026CBC7F"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Post </w:t>
            </w:r>
          </w:p>
        </w:tc>
        <w:tc>
          <w:tcPr>
            <w:tcW w:w="1095" w:type="dxa"/>
            <w:tcBorders>
              <w:top w:val="nil"/>
              <w:left w:val="nil"/>
              <w:bottom w:val="nil"/>
              <w:right w:val="nil"/>
            </w:tcBorders>
            <w:shd w:val="clear" w:color="auto" w:fill="auto"/>
            <w:tcMar>
              <w:top w:w="100" w:type="dxa"/>
              <w:left w:w="120" w:type="dxa"/>
              <w:bottom w:w="100" w:type="dxa"/>
              <w:right w:w="120" w:type="dxa"/>
            </w:tcMar>
          </w:tcPr>
          <w:p w14:paraId="20880B36"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7(17.5% </w:t>
            </w:r>
          </w:p>
        </w:tc>
        <w:tc>
          <w:tcPr>
            <w:tcW w:w="1215" w:type="dxa"/>
            <w:tcBorders>
              <w:top w:val="nil"/>
              <w:left w:val="nil"/>
              <w:bottom w:val="nil"/>
              <w:right w:val="nil"/>
            </w:tcBorders>
            <w:shd w:val="clear" w:color="auto" w:fill="auto"/>
            <w:tcMar>
              <w:top w:w="100" w:type="dxa"/>
              <w:left w:w="120" w:type="dxa"/>
              <w:bottom w:w="100" w:type="dxa"/>
              <w:right w:w="120" w:type="dxa"/>
            </w:tcMar>
          </w:tcPr>
          <w:p w14:paraId="1E22DD81"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15(37.5%)</w:t>
            </w:r>
          </w:p>
        </w:tc>
        <w:tc>
          <w:tcPr>
            <w:tcW w:w="1380" w:type="dxa"/>
            <w:tcBorders>
              <w:top w:val="nil"/>
              <w:left w:val="nil"/>
              <w:bottom w:val="nil"/>
              <w:right w:val="nil"/>
            </w:tcBorders>
            <w:shd w:val="clear" w:color="auto" w:fill="auto"/>
            <w:tcMar>
              <w:top w:w="100" w:type="dxa"/>
              <w:left w:w="120" w:type="dxa"/>
              <w:bottom w:w="100" w:type="dxa"/>
              <w:right w:w="120" w:type="dxa"/>
            </w:tcMar>
          </w:tcPr>
          <w:p w14:paraId="3A9861E6"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5(15.5%) </w:t>
            </w:r>
          </w:p>
        </w:tc>
        <w:tc>
          <w:tcPr>
            <w:tcW w:w="1245" w:type="dxa"/>
            <w:tcBorders>
              <w:top w:val="nil"/>
              <w:left w:val="nil"/>
              <w:bottom w:val="nil"/>
              <w:right w:val="nil"/>
            </w:tcBorders>
            <w:shd w:val="clear" w:color="auto" w:fill="auto"/>
            <w:tcMar>
              <w:top w:w="100" w:type="dxa"/>
              <w:left w:w="120" w:type="dxa"/>
              <w:bottom w:w="100" w:type="dxa"/>
              <w:right w:w="120" w:type="dxa"/>
            </w:tcMar>
          </w:tcPr>
          <w:p w14:paraId="02F08BB3"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9(22.5%) </w:t>
            </w:r>
          </w:p>
        </w:tc>
        <w:tc>
          <w:tcPr>
            <w:tcW w:w="1245" w:type="dxa"/>
            <w:tcBorders>
              <w:top w:val="nil"/>
              <w:left w:val="nil"/>
              <w:bottom w:val="nil"/>
              <w:right w:val="nil"/>
            </w:tcBorders>
            <w:shd w:val="clear" w:color="auto" w:fill="auto"/>
            <w:tcMar>
              <w:top w:w="100" w:type="dxa"/>
              <w:left w:w="120" w:type="dxa"/>
              <w:bottom w:w="100" w:type="dxa"/>
              <w:right w:w="120" w:type="dxa"/>
            </w:tcMar>
          </w:tcPr>
          <w:p w14:paraId="612C0F04"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3(7.5%) </w:t>
            </w:r>
          </w:p>
        </w:tc>
        <w:tc>
          <w:tcPr>
            <w:tcW w:w="1110" w:type="dxa"/>
            <w:tcBorders>
              <w:top w:val="nil"/>
              <w:left w:val="nil"/>
              <w:bottom w:val="nil"/>
              <w:right w:val="nil"/>
            </w:tcBorders>
            <w:shd w:val="clear" w:color="auto" w:fill="auto"/>
            <w:tcMar>
              <w:top w:w="100" w:type="dxa"/>
              <w:left w:w="120" w:type="dxa"/>
              <w:bottom w:w="100" w:type="dxa"/>
              <w:right w:w="120" w:type="dxa"/>
            </w:tcMar>
          </w:tcPr>
          <w:p w14:paraId="7249071C" w14:textId="77777777" w:rsidR="00CA0320" w:rsidRDefault="0000114F" w:rsidP="00ED37B1">
            <w:pP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1(2.5%) </w:t>
            </w:r>
          </w:p>
        </w:tc>
      </w:tr>
      <w:tr w:rsidR="00CA0320" w14:paraId="373A7C71" w14:textId="77777777" w:rsidTr="00B930EF">
        <w:trPr>
          <w:trHeight w:val="168"/>
        </w:trPr>
        <w:tc>
          <w:tcPr>
            <w:tcW w:w="1260" w:type="dxa"/>
            <w:tcBorders>
              <w:top w:val="nil"/>
              <w:left w:val="nil"/>
              <w:bottom w:val="nil"/>
              <w:right w:val="nil"/>
            </w:tcBorders>
            <w:shd w:val="clear" w:color="auto" w:fill="auto"/>
            <w:tcMar>
              <w:top w:w="100" w:type="dxa"/>
              <w:left w:w="120" w:type="dxa"/>
              <w:bottom w:w="100" w:type="dxa"/>
              <w:right w:w="120" w:type="dxa"/>
            </w:tcMar>
          </w:tcPr>
          <w:p w14:paraId="5BF7613E"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Ansiedad </w:t>
            </w:r>
          </w:p>
        </w:tc>
        <w:tc>
          <w:tcPr>
            <w:tcW w:w="2310" w:type="dxa"/>
            <w:gridSpan w:val="2"/>
            <w:tcBorders>
              <w:top w:val="nil"/>
              <w:left w:val="nil"/>
              <w:bottom w:val="nil"/>
              <w:right w:val="nil"/>
            </w:tcBorders>
            <w:shd w:val="clear" w:color="auto" w:fill="auto"/>
            <w:tcMar>
              <w:top w:w="100" w:type="dxa"/>
              <w:left w:w="120" w:type="dxa"/>
              <w:bottom w:w="100" w:type="dxa"/>
              <w:right w:w="120" w:type="dxa"/>
            </w:tcMar>
          </w:tcPr>
          <w:p w14:paraId="3C5A6842" w14:textId="77777777" w:rsidR="00CA0320" w:rsidRDefault="0000114F" w:rsidP="00ED37B1">
            <w:pPr>
              <w:pBdr>
                <w:top w:val="nil"/>
                <w:left w:val="nil"/>
                <w:bottom w:val="nil"/>
                <w:right w:val="nil"/>
                <w:between w:val="nil"/>
              </w:pBdr>
              <w:spacing w:after="0" w:line="168"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Estado</w:t>
            </w:r>
          </w:p>
        </w:tc>
        <w:tc>
          <w:tcPr>
            <w:tcW w:w="1380" w:type="dxa"/>
            <w:tcBorders>
              <w:top w:val="nil"/>
              <w:left w:val="nil"/>
              <w:bottom w:val="nil"/>
              <w:right w:val="nil"/>
            </w:tcBorders>
            <w:shd w:val="clear" w:color="auto" w:fill="auto"/>
            <w:tcMar>
              <w:top w:w="100" w:type="dxa"/>
              <w:left w:w="120" w:type="dxa"/>
              <w:bottom w:w="100" w:type="dxa"/>
              <w:right w:w="120" w:type="dxa"/>
            </w:tcMar>
          </w:tcPr>
          <w:p w14:paraId="735E728E" w14:textId="77777777" w:rsidR="00CA0320" w:rsidRDefault="0000114F" w:rsidP="00ED37B1">
            <w:pPr>
              <w:pBdr>
                <w:top w:val="nil"/>
                <w:left w:val="nil"/>
                <w:bottom w:val="nil"/>
                <w:right w:val="nil"/>
                <w:between w:val="nil"/>
              </w:pBdr>
              <w:spacing w:after="0" w:line="168"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490" w:type="dxa"/>
            <w:gridSpan w:val="2"/>
            <w:tcBorders>
              <w:top w:val="nil"/>
              <w:left w:val="nil"/>
              <w:bottom w:val="nil"/>
              <w:right w:val="nil"/>
            </w:tcBorders>
            <w:shd w:val="clear" w:color="auto" w:fill="auto"/>
            <w:tcMar>
              <w:top w:w="100" w:type="dxa"/>
              <w:left w:w="120" w:type="dxa"/>
              <w:bottom w:w="100" w:type="dxa"/>
              <w:right w:w="120" w:type="dxa"/>
            </w:tcMar>
          </w:tcPr>
          <w:p w14:paraId="095DB5D7" w14:textId="77777777" w:rsidR="00CA0320" w:rsidRDefault="0000114F" w:rsidP="00ED37B1">
            <w:pPr>
              <w:pBdr>
                <w:top w:val="nil"/>
                <w:left w:val="nil"/>
                <w:bottom w:val="nil"/>
                <w:right w:val="nil"/>
                <w:between w:val="nil"/>
              </w:pBdr>
              <w:spacing w:after="0" w:line="168"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Rasgo </w:t>
            </w:r>
          </w:p>
        </w:tc>
        <w:tc>
          <w:tcPr>
            <w:tcW w:w="1110" w:type="dxa"/>
            <w:tcBorders>
              <w:top w:val="nil"/>
              <w:left w:val="nil"/>
              <w:bottom w:val="nil"/>
              <w:right w:val="nil"/>
            </w:tcBorders>
            <w:shd w:val="clear" w:color="auto" w:fill="auto"/>
            <w:tcMar>
              <w:top w:w="100" w:type="dxa"/>
              <w:left w:w="120" w:type="dxa"/>
              <w:bottom w:w="100" w:type="dxa"/>
              <w:right w:w="120" w:type="dxa"/>
            </w:tcMar>
          </w:tcPr>
          <w:p w14:paraId="6B159D25"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CA0320" w14:paraId="09155EDF" w14:textId="77777777" w:rsidTr="00B930EF">
        <w:trPr>
          <w:trHeight w:val="168"/>
        </w:trPr>
        <w:tc>
          <w:tcPr>
            <w:tcW w:w="1260" w:type="dxa"/>
            <w:tcBorders>
              <w:top w:val="nil"/>
              <w:left w:val="nil"/>
              <w:bottom w:val="nil"/>
              <w:right w:val="nil"/>
            </w:tcBorders>
            <w:shd w:val="clear" w:color="auto" w:fill="auto"/>
            <w:tcMar>
              <w:top w:w="100" w:type="dxa"/>
              <w:left w:w="120" w:type="dxa"/>
              <w:bottom w:w="100" w:type="dxa"/>
              <w:right w:w="120" w:type="dxa"/>
            </w:tcMar>
          </w:tcPr>
          <w:p w14:paraId="59C4D962"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p>
        </w:tc>
        <w:tc>
          <w:tcPr>
            <w:tcW w:w="1095" w:type="dxa"/>
            <w:tcBorders>
              <w:top w:val="nil"/>
              <w:left w:val="nil"/>
              <w:bottom w:val="nil"/>
              <w:right w:val="nil"/>
            </w:tcBorders>
            <w:shd w:val="clear" w:color="auto" w:fill="auto"/>
            <w:tcMar>
              <w:top w:w="100" w:type="dxa"/>
              <w:left w:w="120" w:type="dxa"/>
              <w:bottom w:w="100" w:type="dxa"/>
              <w:right w:w="120" w:type="dxa"/>
            </w:tcMar>
          </w:tcPr>
          <w:p w14:paraId="6FD478BD" w14:textId="77777777" w:rsidR="00CA0320" w:rsidRDefault="00DB510D" w:rsidP="00ED37B1">
            <w:pPr>
              <w:pBdr>
                <w:top w:val="nil"/>
                <w:left w:val="nil"/>
                <w:bottom w:val="nil"/>
                <w:right w:val="nil"/>
                <w:between w:val="nil"/>
              </w:pBdr>
              <w:spacing w:after="0" w:line="168" w:lineRule="auto"/>
              <w:ind w:right="-102"/>
              <w:jc w:val="center"/>
              <w:rPr>
                <w:rFonts w:ascii="Times New Roman" w:eastAsia="Times New Roman" w:hAnsi="Times New Roman" w:cs="Times New Roman"/>
                <w:sz w:val="20"/>
                <w:szCs w:val="20"/>
              </w:rPr>
            </w:pPr>
            <w:sdt>
              <w:sdtPr>
                <w:tag w:val="goog_rdk_0"/>
                <w:id w:val="-48682937"/>
              </w:sdtPr>
              <w:sdtEndPr/>
              <w:sdtContent>
                <w:r w:rsidR="0000114F">
                  <w:rPr>
                    <w:rFonts w:ascii="Gungsuh" w:eastAsia="Gungsuh" w:hAnsi="Gungsuh" w:cs="Gungsuh"/>
                    <w:sz w:val="20"/>
                    <w:szCs w:val="20"/>
                  </w:rPr>
                  <w:t>≤5</w:t>
                </w:r>
              </w:sdtContent>
            </w:sdt>
          </w:p>
        </w:tc>
        <w:tc>
          <w:tcPr>
            <w:tcW w:w="1215" w:type="dxa"/>
            <w:tcBorders>
              <w:top w:val="nil"/>
              <w:left w:val="nil"/>
              <w:bottom w:val="nil"/>
              <w:right w:val="nil"/>
            </w:tcBorders>
            <w:shd w:val="clear" w:color="auto" w:fill="auto"/>
            <w:tcMar>
              <w:top w:w="100" w:type="dxa"/>
              <w:left w:w="120" w:type="dxa"/>
              <w:bottom w:w="100" w:type="dxa"/>
              <w:right w:w="120" w:type="dxa"/>
            </w:tcMar>
          </w:tcPr>
          <w:p w14:paraId="4528D954" w14:textId="77777777" w:rsidR="00CA0320" w:rsidRDefault="0000114F" w:rsidP="00ED37B1">
            <w:pPr>
              <w:pBdr>
                <w:top w:val="nil"/>
                <w:left w:val="nil"/>
                <w:bottom w:val="nil"/>
                <w:right w:val="nil"/>
                <w:between w:val="nil"/>
              </w:pBdr>
              <w:spacing w:after="0" w:line="168"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&gt;5</w:t>
            </w:r>
          </w:p>
        </w:tc>
        <w:tc>
          <w:tcPr>
            <w:tcW w:w="1380" w:type="dxa"/>
            <w:tcBorders>
              <w:top w:val="nil"/>
              <w:left w:val="nil"/>
              <w:bottom w:val="nil"/>
              <w:right w:val="nil"/>
            </w:tcBorders>
            <w:shd w:val="clear" w:color="auto" w:fill="auto"/>
            <w:tcMar>
              <w:top w:w="100" w:type="dxa"/>
              <w:left w:w="120" w:type="dxa"/>
              <w:bottom w:w="100" w:type="dxa"/>
              <w:right w:w="120" w:type="dxa"/>
            </w:tcMar>
          </w:tcPr>
          <w:p w14:paraId="4B26504B" w14:textId="77777777" w:rsidR="00CA0320" w:rsidRDefault="0000114F" w:rsidP="00ED37B1">
            <w:pPr>
              <w:pBdr>
                <w:top w:val="nil"/>
                <w:left w:val="nil"/>
                <w:bottom w:val="nil"/>
                <w:right w:val="nil"/>
                <w:between w:val="nil"/>
              </w:pBdr>
              <w:spacing w:after="0" w:line="168"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45" w:type="dxa"/>
            <w:tcBorders>
              <w:top w:val="nil"/>
              <w:left w:val="nil"/>
              <w:bottom w:val="nil"/>
              <w:right w:val="nil"/>
            </w:tcBorders>
            <w:shd w:val="clear" w:color="auto" w:fill="auto"/>
            <w:tcMar>
              <w:top w:w="100" w:type="dxa"/>
              <w:left w:w="120" w:type="dxa"/>
              <w:bottom w:w="100" w:type="dxa"/>
              <w:right w:w="120" w:type="dxa"/>
            </w:tcMar>
          </w:tcPr>
          <w:p w14:paraId="17E332DA" w14:textId="77777777" w:rsidR="00CA0320" w:rsidRDefault="00DB510D" w:rsidP="00ED37B1">
            <w:pPr>
              <w:pBdr>
                <w:top w:val="nil"/>
                <w:left w:val="nil"/>
                <w:bottom w:val="nil"/>
                <w:right w:val="nil"/>
                <w:between w:val="nil"/>
              </w:pBdr>
              <w:spacing w:after="0" w:line="168" w:lineRule="auto"/>
              <w:ind w:right="-102"/>
              <w:jc w:val="center"/>
              <w:rPr>
                <w:rFonts w:ascii="Times New Roman" w:eastAsia="Times New Roman" w:hAnsi="Times New Roman" w:cs="Times New Roman"/>
                <w:sz w:val="20"/>
                <w:szCs w:val="20"/>
              </w:rPr>
            </w:pPr>
            <w:sdt>
              <w:sdtPr>
                <w:tag w:val="goog_rdk_1"/>
                <w:id w:val="-2051294591"/>
              </w:sdtPr>
              <w:sdtEndPr/>
              <w:sdtContent>
                <w:r w:rsidR="0000114F">
                  <w:rPr>
                    <w:rFonts w:ascii="Gungsuh" w:eastAsia="Gungsuh" w:hAnsi="Gungsuh" w:cs="Gungsuh"/>
                    <w:sz w:val="20"/>
                    <w:szCs w:val="20"/>
                  </w:rPr>
                  <w:t>≤5</w:t>
                </w:r>
              </w:sdtContent>
            </w:sdt>
          </w:p>
        </w:tc>
        <w:tc>
          <w:tcPr>
            <w:tcW w:w="1245" w:type="dxa"/>
            <w:tcBorders>
              <w:top w:val="nil"/>
              <w:left w:val="nil"/>
              <w:bottom w:val="nil"/>
              <w:right w:val="nil"/>
            </w:tcBorders>
            <w:shd w:val="clear" w:color="auto" w:fill="auto"/>
            <w:tcMar>
              <w:top w:w="100" w:type="dxa"/>
              <w:left w:w="120" w:type="dxa"/>
              <w:bottom w:w="100" w:type="dxa"/>
              <w:right w:w="120" w:type="dxa"/>
            </w:tcMar>
          </w:tcPr>
          <w:p w14:paraId="0222945D" w14:textId="77777777" w:rsidR="00CA0320" w:rsidRDefault="0000114F" w:rsidP="00ED37B1">
            <w:pPr>
              <w:pBdr>
                <w:top w:val="nil"/>
                <w:left w:val="nil"/>
                <w:bottom w:val="nil"/>
                <w:right w:val="nil"/>
                <w:between w:val="nil"/>
              </w:pBdr>
              <w:spacing w:after="0" w:line="168"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&gt;5</w:t>
            </w:r>
          </w:p>
        </w:tc>
        <w:tc>
          <w:tcPr>
            <w:tcW w:w="1110" w:type="dxa"/>
            <w:tcBorders>
              <w:top w:val="nil"/>
              <w:left w:val="nil"/>
              <w:bottom w:val="nil"/>
              <w:right w:val="nil"/>
            </w:tcBorders>
            <w:shd w:val="clear" w:color="auto" w:fill="auto"/>
            <w:tcMar>
              <w:top w:w="100" w:type="dxa"/>
              <w:left w:w="120" w:type="dxa"/>
              <w:bottom w:w="100" w:type="dxa"/>
              <w:right w:w="120" w:type="dxa"/>
            </w:tcMar>
          </w:tcPr>
          <w:p w14:paraId="03A26BFC"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CA0320" w14:paraId="356CEC5B" w14:textId="77777777" w:rsidTr="00B930EF">
        <w:trPr>
          <w:trHeight w:val="168"/>
        </w:trPr>
        <w:tc>
          <w:tcPr>
            <w:tcW w:w="1260" w:type="dxa"/>
            <w:tcBorders>
              <w:top w:val="nil"/>
              <w:left w:val="nil"/>
              <w:bottom w:val="nil"/>
              <w:right w:val="nil"/>
            </w:tcBorders>
            <w:shd w:val="clear" w:color="auto" w:fill="auto"/>
            <w:tcMar>
              <w:top w:w="100" w:type="dxa"/>
              <w:left w:w="120" w:type="dxa"/>
              <w:bottom w:w="100" w:type="dxa"/>
              <w:right w:w="120" w:type="dxa"/>
            </w:tcMar>
          </w:tcPr>
          <w:p w14:paraId="13E53D96"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 </w:t>
            </w:r>
          </w:p>
        </w:tc>
        <w:tc>
          <w:tcPr>
            <w:tcW w:w="1095" w:type="dxa"/>
            <w:tcBorders>
              <w:top w:val="nil"/>
              <w:left w:val="nil"/>
              <w:bottom w:val="nil"/>
              <w:right w:val="nil"/>
            </w:tcBorders>
            <w:shd w:val="clear" w:color="auto" w:fill="auto"/>
            <w:tcMar>
              <w:top w:w="100" w:type="dxa"/>
              <w:left w:w="120" w:type="dxa"/>
              <w:bottom w:w="100" w:type="dxa"/>
              <w:right w:w="120" w:type="dxa"/>
            </w:tcMar>
          </w:tcPr>
          <w:p w14:paraId="5C7870FF"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4(10%) </w:t>
            </w:r>
          </w:p>
        </w:tc>
        <w:tc>
          <w:tcPr>
            <w:tcW w:w="1215" w:type="dxa"/>
            <w:tcBorders>
              <w:top w:val="nil"/>
              <w:left w:val="nil"/>
              <w:bottom w:val="nil"/>
              <w:right w:val="nil"/>
            </w:tcBorders>
            <w:shd w:val="clear" w:color="auto" w:fill="auto"/>
            <w:tcMar>
              <w:top w:w="100" w:type="dxa"/>
              <w:left w:w="120" w:type="dxa"/>
              <w:bottom w:w="100" w:type="dxa"/>
              <w:right w:w="120" w:type="dxa"/>
            </w:tcMar>
          </w:tcPr>
          <w:p w14:paraId="1393C0DA"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36(90%) </w:t>
            </w:r>
          </w:p>
        </w:tc>
        <w:tc>
          <w:tcPr>
            <w:tcW w:w="1380" w:type="dxa"/>
            <w:tcBorders>
              <w:top w:val="nil"/>
              <w:left w:val="nil"/>
              <w:bottom w:val="nil"/>
              <w:right w:val="nil"/>
            </w:tcBorders>
            <w:shd w:val="clear" w:color="auto" w:fill="auto"/>
            <w:tcMar>
              <w:top w:w="100" w:type="dxa"/>
              <w:left w:w="120" w:type="dxa"/>
              <w:bottom w:w="100" w:type="dxa"/>
              <w:right w:w="120" w:type="dxa"/>
            </w:tcMar>
          </w:tcPr>
          <w:p w14:paraId="265A3959"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45" w:type="dxa"/>
            <w:tcBorders>
              <w:top w:val="nil"/>
              <w:left w:val="nil"/>
              <w:bottom w:val="nil"/>
              <w:right w:val="nil"/>
            </w:tcBorders>
            <w:shd w:val="clear" w:color="auto" w:fill="auto"/>
            <w:tcMar>
              <w:top w:w="100" w:type="dxa"/>
              <w:left w:w="120" w:type="dxa"/>
              <w:bottom w:w="100" w:type="dxa"/>
              <w:right w:w="120" w:type="dxa"/>
            </w:tcMar>
          </w:tcPr>
          <w:p w14:paraId="6E56D01D"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7(17.5%) </w:t>
            </w:r>
          </w:p>
        </w:tc>
        <w:tc>
          <w:tcPr>
            <w:tcW w:w="1245" w:type="dxa"/>
            <w:tcBorders>
              <w:top w:val="nil"/>
              <w:left w:val="nil"/>
              <w:bottom w:val="nil"/>
              <w:right w:val="nil"/>
            </w:tcBorders>
            <w:shd w:val="clear" w:color="auto" w:fill="auto"/>
            <w:tcMar>
              <w:top w:w="100" w:type="dxa"/>
              <w:left w:w="120" w:type="dxa"/>
              <w:bottom w:w="100" w:type="dxa"/>
              <w:right w:w="120" w:type="dxa"/>
            </w:tcMar>
          </w:tcPr>
          <w:p w14:paraId="137ADF00"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33(82.5%)</w:t>
            </w:r>
          </w:p>
        </w:tc>
        <w:tc>
          <w:tcPr>
            <w:tcW w:w="1110" w:type="dxa"/>
            <w:tcBorders>
              <w:top w:val="nil"/>
              <w:left w:val="nil"/>
              <w:bottom w:val="nil"/>
              <w:right w:val="nil"/>
            </w:tcBorders>
            <w:shd w:val="clear" w:color="auto" w:fill="auto"/>
            <w:tcMar>
              <w:top w:w="100" w:type="dxa"/>
              <w:left w:w="120" w:type="dxa"/>
              <w:bottom w:w="100" w:type="dxa"/>
              <w:right w:w="120" w:type="dxa"/>
            </w:tcMar>
          </w:tcPr>
          <w:p w14:paraId="6BC9BD38"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CA0320" w14:paraId="0BF8C109" w14:textId="77777777" w:rsidTr="00B930EF">
        <w:trPr>
          <w:trHeight w:val="168"/>
        </w:trPr>
        <w:tc>
          <w:tcPr>
            <w:tcW w:w="1260" w:type="dxa"/>
            <w:tcBorders>
              <w:top w:val="nil"/>
              <w:left w:val="nil"/>
              <w:bottom w:val="single" w:sz="8" w:space="0" w:color="000000"/>
              <w:right w:val="nil"/>
            </w:tcBorders>
            <w:shd w:val="clear" w:color="auto" w:fill="auto"/>
            <w:tcMar>
              <w:top w:w="100" w:type="dxa"/>
              <w:left w:w="120" w:type="dxa"/>
              <w:bottom w:w="100" w:type="dxa"/>
              <w:right w:w="120" w:type="dxa"/>
            </w:tcMar>
          </w:tcPr>
          <w:p w14:paraId="2EB41ED3"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Post </w:t>
            </w:r>
          </w:p>
        </w:tc>
        <w:tc>
          <w:tcPr>
            <w:tcW w:w="1095" w:type="dxa"/>
            <w:tcBorders>
              <w:top w:val="nil"/>
              <w:left w:val="nil"/>
              <w:bottom w:val="single" w:sz="8" w:space="0" w:color="000000"/>
              <w:right w:val="nil"/>
            </w:tcBorders>
            <w:shd w:val="clear" w:color="auto" w:fill="auto"/>
            <w:tcMar>
              <w:top w:w="100" w:type="dxa"/>
              <w:left w:w="120" w:type="dxa"/>
              <w:bottom w:w="100" w:type="dxa"/>
              <w:right w:w="120" w:type="dxa"/>
            </w:tcMar>
          </w:tcPr>
          <w:p w14:paraId="4F0F4E3B"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7(17.5%)</w:t>
            </w:r>
          </w:p>
        </w:tc>
        <w:tc>
          <w:tcPr>
            <w:tcW w:w="1215" w:type="dxa"/>
            <w:tcBorders>
              <w:top w:val="nil"/>
              <w:left w:val="nil"/>
              <w:bottom w:val="single" w:sz="8" w:space="0" w:color="000000"/>
              <w:right w:val="nil"/>
            </w:tcBorders>
            <w:shd w:val="clear" w:color="auto" w:fill="auto"/>
            <w:tcMar>
              <w:top w:w="100" w:type="dxa"/>
              <w:left w:w="120" w:type="dxa"/>
              <w:bottom w:w="100" w:type="dxa"/>
              <w:right w:w="120" w:type="dxa"/>
            </w:tcMar>
          </w:tcPr>
          <w:p w14:paraId="19391583"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33(82.5%)</w:t>
            </w:r>
          </w:p>
        </w:tc>
        <w:tc>
          <w:tcPr>
            <w:tcW w:w="1380" w:type="dxa"/>
            <w:tcBorders>
              <w:top w:val="nil"/>
              <w:left w:val="nil"/>
              <w:bottom w:val="single" w:sz="8" w:space="0" w:color="000000"/>
              <w:right w:val="nil"/>
            </w:tcBorders>
            <w:shd w:val="clear" w:color="auto" w:fill="auto"/>
            <w:tcMar>
              <w:top w:w="100" w:type="dxa"/>
              <w:left w:w="120" w:type="dxa"/>
              <w:bottom w:w="100" w:type="dxa"/>
              <w:right w:w="120" w:type="dxa"/>
            </w:tcMar>
          </w:tcPr>
          <w:p w14:paraId="3DFB0188"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45" w:type="dxa"/>
            <w:tcBorders>
              <w:top w:val="nil"/>
              <w:left w:val="nil"/>
              <w:bottom w:val="single" w:sz="8" w:space="0" w:color="000000"/>
              <w:right w:val="nil"/>
            </w:tcBorders>
            <w:shd w:val="clear" w:color="auto" w:fill="auto"/>
            <w:tcMar>
              <w:top w:w="100" w:type="dxa"/>
              <w:left w:w="120" w:type="dxa"/>
              <w:bottom w:w="100" w:type="dxa"/>
              <w:right w:w="120" w:type="dxa"/>
            </w:tcMar>
          </w:tcPr>
          <w:p w14:paraId="6176880F"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11(27.5%)</w:t>
            </w:r>
          </w:p>
        </w:tc>
        <w:tc>
          <w:tcPr>
            <w:tcW w:w="1245" w:type="dxa"/>
            <w:tcBorders>
              <w:top w:val="nil"/>
              <w:left w:val="nil"/>
              <w:bottom w:val="single" w:sz="8" w:space="0" w:color="000000"/>
              <w:right w:val="nil"/>
            </w:tcBorders>
            <w:shd w:val="clear" w:color="auto" w:fill="auto"/>
            <w:tcMar>
              <w:top w:w="100" w:type="dxa"/>
              <w:left w:w="120" w:type="dxa"/>
              <w:bottom w:w="100" w:type="dxa"/>
              <w:right w:w="120" w:type="dxa"/>
            </w:tcMar>
          </w:tcPr>
          <w:p w14:paraId="1B4E967F" w14:textId="77777777" w:rsidR="00CA0320"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29(72.5%) </w:t>
            </w:r>
          </w:p>
        </w:tc>
        <w:tc>
          <w:tcPr>
            <w:tcW w:w="1110" w:type="dxa"/>
            <w:tcBorders>
              <w:top w:val="nil"/>
              <w:left w:val="nil"/>
              <w:bottom w:val="single" w:sz="8" w:space="0" w:color="000000"/>
              <w:right w:val="nil"/>
            </w:tcBorders>
            <w:shd w:val="clear" w:color="auto" w:fill="auto"/>
            <w:tcMar>
              <w:top w:w="100" w:type="dxa"/>
              <w:left w:w="120" w:type="dxa"/>
              <w:bottom w:w="100" w:type="dxa"/>
              <w:right w:w="120" w:type="dxa"/>
            </w:tcMar>
          </w:tcPr>
          <w:p w14:paraId="30F040F5" w14:textId="77777777" w:rsidR="00CA0320" w:rsidRDefault="00CA0320"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p>
        </w:tc>
      </w:tr>
    </w:tbl>
    <w:p w14:paraId="61123B6D"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137EB78A"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7F53F508" w14:textId="77777777" w:rsidR="00CA0320" w:rsidRPr="00ED37B1" w:rsidRDefault="0000114F">
      <w:pPr>
        <w:spacing w:after="0"/>
        <w:ind w:right="-100"/>
        <w:jc w:val="both"/>
        <w:rPr>
          <w:rFonts w:ascii="Times New Roman" w:eastAsia="Times New Roman" w:hAnsi="Times New Roman" w:cs="Times New Roman"/>
          <w:b/>
          <w:sz w:val="20"/>
          <w:szCs w:val="20"/>
        </w:rPr>
      </w:pPr>
      <w:r w:rsidRPr="00ED37B1">
        <w:rPr>
          <w:rFonts w:ascii="Times New Roman" w:eastAsia="Times New Roman" w:hAnsi="Times New Roman" w:cs="Times New Roman"/>
          <w:b/>
          <w:sz w:val="20"/>
          <w:szCs w:val="20"/>
        </w:rPr>
        <w:t>Tabla 2</w:t>
      </w:r>
    </w:p>
    <w:p w14:paraId="52EC342F" w14:textId="45ABAEFE" w:rsidR="00CA0320" w:rsidRPr="00ED37B1" w:rsidRDefault="0000114F">
      <w:pPr>
        <w:spacing w:after="0"/>
        <w:ind w:right="-100"/>
        <w:jc w:val="both"/>
        <w:rPr>
          <w:rFonts w:ascii="Times New Roman" w:eastAsia="Times New Roman" w:hAnsi="Times New Roman" w:cs="Times New Roman"/>
          <w:i/>
          <w:sz w:val="24"/>
          <w:szCs w:val="24"/>
        </w:rPr>
      </w:pPr>
      <w:r w:rsidRPr="00ED37B1">
        <w:rPr>
          <w:rFonts w:ascii="Times New Roman" w:eastAsia="Times New Roman" w:hAnsi="Times New Roman" w:cs="Times New Roman"/>
          <w:i/>
          <w:sz w:val="20"/>
          <w:szCs w:val="20"/>
        </w:rPr>
        <w:t xml:space="preserve"> Resultados de las </w:t>
      </w:r>
      <w:r w:rsidR="00ED37B1" w:rsidRPr="00ED37B1">
        <w:rPr>
          <w:rFonts w:ascii="Times New Roman" w:eastAsia="Times New Roman" w:hAnsi="Times New Roman" w:cs="Times New Roman"/>
          <w:i/>
          <w:sz w:val="20"/>
          <w:szCs w:val="20"/>
        </w:rPr>
        <w:t>medias totales</w:t>
      </w:r>
      <w:r w:rsidRPr="00ED37B1">
        <w:rPr>
          <w:rFonts w:ascii="Times New Roman" w:eastAsia="Times New Roman" w:hAnsi="Times New Roman" w:cs="Times New Roman"/>
          <w:i/>
          <w:sz w:val="20"/>
          <w:szCs w:val="20"/>
        </w:rPr>
        <w:t xml:space="preserve"> de las variables psicológicas</w:t>
      </w:r>
    </w:p>
    <w:tbl>
      <w:tblPr>
        <w:tblStyle w:val="a0"/>
        <w:tblW w:w="850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27"/>
        <w:gridCol w:w="2127"/>
        <w:gridCol w:w="2127"/>
        <w:gridCol w:w="2127"/>
      </w:tblGrid>
      <w:tr w:rsidR="00ED37B1" w:rsidRPr="00ED37B1" w14:paraId="67BB05D5" w14:textId="77777777">
        <w:trPr>
          <w:trHeight w:val="84"/>
        </w:trPr>
        <w:tc>
          <w:tcPr>
            <w:tcW w:w="2127" w:type="dxa"/>
            <w:tcBorders>
              <w:top w:val="single" w:sz="8" w:space="0" w:color="000000"/>
              <w:left w:val="nil"/>
              <w:bottom w:val="nil"/>
              <w:right w:val="nil"/>
            </w:tcBorders>
            <w:tcMar>
              <w:top w:w="100" w:type="dxa"/>
              <w:left w:w="100" w:type="dxa"/>
              <w:bottom w:w="100" w:type="dxa"/>
              <w:right w:w="100" w:type="dxa"/>
            </w:tcMar>
          </w:tcPr>
          <w:p w14:paraId="4A9AC7B7" w14:textId="77777777" w:rsidR="00CA0320" w:rsidRPr="00ED37B1" w:rsidRDefault="00CA0320"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p>
        </w:tc>
        <w:tc>
          <w:tcPr>
            <w:tcW w:w="2127" w:type="dxa"/>
            <w:tcBorders>
              <w:top w:val="single" w:sz="8" w:space="0" w:color="000000"/>
              <w:left w:val="nil"/>
              <w:bottom w:val="nil"/>
              <w:right w:val="nil"/>
            </w:tcBorders>
            <w:tcMar>
              <w:top w:w="100" w:type="dxa"/>
              <w:left w:w="100" w:type="dxa"/>
              <w:bottom w:w="100" w:type="dxa"/>
              <w:right w:w="100" w:type="dxa"/>
            </w:tcMar>
          </w:tcPr>
          <w:p w14:paraId="2EEC8CC0" w14:textId="77777777" w:rsidR="00CA0320" w:rsidRPr="00ED37B1"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sidRPr="00ED37B1">
              <w:rPr>
                <w:rFonts w:ascii="Times New Roman" w:eastAsia="Times New Roman" w:hAnsi="Times New Roman" w:cs="Times New Roman"/>
                <w:sz w:val="20"/>
                <w:szCs w:val="20"/>
              </w:rPr>
              <w:t>Depresión</w:t>
            </w:r>
          </w:p>
        </w:tc>
        <w:tc>
          <w:tcPr>
            <w:tcW w:w="2127" w:type="dxa"/>
            <w:tcBorders>
              <w:top w:val="single" w:sz="8" w:space="0" w:color="000000"/>
              <w:left w:val="nil"/>
              <w:bottom w:val="nil"/>
              <w:right w:val="nil"/>
            </w:tcBorders>
            <w:tcMar>
              <w:top w:w="100" w:type="dxa"/>
              <w:left w:w="100" w:type="dxa"/>
              <w:bottom w:w="100" w:type="dxa"/>
              <w:right w:w="100" w:type="dxa"/>
            </w:tcMar>
          </w:tcPr>
          <w:p w14:paraId="43E0705A" w14:textId="77777777" w:rsidR="00CA0320" w:rsidRPr="00ED37B1"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sidRPr="00ED37B1">
              <w:rPr>
                <w:rFonts w:ascii="Times New Roman" w:eastAsia="Times New Roman" w:hAnsi="Times New Roman" w:cs="Times New Roman"/>
                <w:sz w:val="20"/>
                <w:szCs w:val="20"/>
              </w:rPr>
              <w:t>Ansiedad Estado</w:t>
            </w:r>
          </w:p>
        </w:tc>
        <w:tc>
          <w:tcPr>
            <w:tcW w:w="2127" w:type="dxa"/>
            <w:tcBorders>
              <w:top w:val="single" w:sz="8" w:space="0" w:color="000000"/>
              <w:left w:val="nil"/>
              <w:bottom w:val="nil"/>
              <w:right w:val="nil"/>
            </w:tcBorders>
            <w:tcMar>
              <w:top w:w="100" w:type="dxa"/>
              <w:left w:w="100" w:type="dxa"/>
              <w:bottom w:w="100" w:type="dxa"/>
              <w:right w:w="100" w:type="dxa"/>
            </w:tcMar>
          </w:tcPr>
          <w:p w14:paraId="1442F4EE" w14:textId="77777777" w:rsidR="00CA0320" w:rsidRPr="00ED37B1"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sidRPr="00ED37B1">
              <w:rPr>
                <w:rFonts w:ascii="Times New Roman" w:eastAsia="Times New Roman" w:hAnsi="Times New Roman" w:cs="Times New Roman"/>
                <w:sz w:val="20"/>
                <w:szCs w:val="20"/>
              </w:rPr>
              <w:t>Ansiedad Rasgo</w:t>
            </w:r>
          </w:p>
        </w:tc>
      </w:tr>
      <w:tr w:rsidR="00ED37B1" w:rsidRPr="00ED37B1" w14:paraId="30CE9767" w14:textId="77777777">
        <w:trPr>
          <w:trHeight w:val="99"/>
        </w:trPr>
        <w:tc>
          <w:tcPr>
            <w:tcW w:w="2127" w:type="dxa"/>
            <w:tcBorders>
              <w:top w:val="nil"/>
              <w:left w:val="nil"/>
              <w:bottom w:val="nil"/>
              <w:right w:val="nil"/>
            </w:tcBorders>
            <w:tcMar>
              <w:top w:w="100" w:type="dxa"/>
              <w:left w:w="100" w:type="dxa"/>
              <w:bottom w:w="100" w:type="dxa"/>
              <w:right w:w="100" w:type="dxa"/>
            </w:tcMar>
          </w:tcPr>
          <w:p w14:paraId="0CDB9F23" w14:textId="77777777" w:rsidR="00CA0320" w:rsidRPr="00ED37B1"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sidRPr="00ED37B1">
              <w:rPr>
                <w:rFonts w:ascii="Times New Roman" w:eastAsia="Times New Roman" w:hAnsi="Times New Roman" w:cs="Times New Roman"/>
                <w:sz w:val="20"/>
                <w:szCs w:val="20"/>
              </w:rPr>
              <w:t>Media total PRE</w:t>
            </w:r>
          </w:p>
        </w:tc>
        <w:tc>
          <w:tcPr>
            <w:tcW w:w="2127" w:type="dxa"/>
            <w:tcBorders>
              <w:top w:val="nil"/>
              <w:left w:val="nil"/>
              <w:bottom w:val="nil"/>
              <w:right w:val="nil"/>
            </w:tcBorders>
            <w:tcMar>
              <w:top w:w="100" w:type="dxa"/>
              <w:left w:w="100" w:type="dxa"/>
              <w:bottom w:w="100" w:type="dxa"/>
              <w:right w:w="100" w:type="dxa"/>
            </w:tcMar>
          </w:tcPr>
          <w:p w14:paraId="6074C4A0" w14:textId="77777777" w:rsidR="00CA0320" w:rsidRPr="00ED37B1"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sidRPr="00ED37B1">
              <w:rPr>
                <w:rFonts w:ascii="Times New Roman" w:eastAsia="Times New Roman" w:hAnsi="Times New Roman" w:cs="Times New Roman"/>
                <w:sz w:val="20"/>
                <w:szCs w:val="20"/>
              </w:rPr>
              <w:t>23,88</w:t>
            </w:r>
          </w:p>
        </w:tc>
        <w:tc>
          <w:tcPr>
            <w:tcW w:w="2127" w:type="dxa"/>
            <w:tcBorders>
              <w:top w:val="nil"/>
              <w:left w:val="nil"/>
              <w:bottom w:val="nil"/>
              <w:right w:val="nil"/>
            </w:tcBorders>
            <w:tcMar>
              <w:top w:w="100" w:type="dxa"/>
              <w:left w:w="100" w:type="dxa"/>
              <w:bottom w:w="100" w:type="dxa"/>
              <w:right w:w="100" w:type="dxa"/>
            </w:tcMar>
          </w:tcPr>
          <w:p w14:paraId="7AA80FD4" w14:textId="77777777" w:rsidR="00CA0320" w:rsidRPr="00ED37B1"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sidRPr="00ED37B1">
              <w:rPr>
                <w:rFonts w:ascii="Times New Roman" w:eastAsia="Times New Roman" w:hAnsi="Times New Roman" w:cs="Times New Roman"/>
                <w:sz w:val="20"/>
                <w:szCs w:val="20"/>
              </w:rPr>
              <w:t>7,4</w:t>
            </w:r>
          </w:p>
        </w:tc>
        <w:tc>
          <w:tcPr>
            <w:tcW w:w="2127" w:type="dxa"/>
            <w:tcBorders>
              <w:top w:val="nil"/>
              <w:left w:val="nil"/>
              <w:bottom w:val="nil"/>
              <w:right w:val="nil"/>
            </w:tcBorders>
            <w:tcMar>
              <w:top w:w="100" w:type="dxa"/>
              <w:left w:w="100" w:type="dxa"/>
              <w:bottom w:w="100" w:type="dxa"/>
              <w:right w:w="100" w:type="dxa"/>
            </w:tcMar>
          </w:tcPr>
          <w:p w14:paraId="1C7432D3" w14:textId="77777777" w:rsidR="00CA0320" w:rsidRPr="00ED37B1"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sidRPr="00ED37B1">
              <w:rPr>
                <w:rFonts w:ascii="Times New Roman" w:eastAsia="Times New Roman" w:hAnsi="Times New Roman" w:cs="Times New Roman"/>
                <w:sz w:val="20"/>
                <w:szCs w:val="20"/>
              </w:rPr>
              <w:t>7,23</w:t>
            </w:r>
          </w:p>
        </w:tc>
      </w:tr>
      <w:tr w:rsidR="00ED37B1" w:rsidRPr="00ED37B1" w14:paraId="623B79A6" w14:textId="77777777">
        <w:tc>
          <w:tcPr>
            <w:tcW w:w="2127" w:type="dxa"/>
            <w:tcBorders>
              <w:top w:val="nil"/>
              <w:left w:val="nil"/>
              <w:bottom w:val="single" w:sz="8" w:space="0" w:color="000000"/>
              <w:right w:val="nil"/>
            </w:tcBorders>
            <w:tcMar>
              <w:top w:w="100" w:type="dxa"/>
              <w:left w:w="100" w:type="dxa"/>
              <w:bottom w:w="100" w:type="dxa"/>
              <w:right w:w="100" w:type="dxa"/>
            </w:tcMar>
          </w:tcPr>
          <w:p w14:paraId="00932097" w14:textId="77777777" w:rsidR="00CA0320" w:rsidRPr="00ED37B1"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sidRPr="00ED37B1">
              <w:rPr>
                <w:rFonts w:ascii="Times New Roman" w:eastAsia="Times New Roman" w:hAnsi="Times New Roman" w:cs="Times New Roman"/>
                <w:sz w:val="20"/>
                <w:szCs w:val="20"/>
              </w:rPr>
              <w:t>Media total POST</w:t>
            </w:r>
          </w:p>
        </w:tc>
        <w:tc>
          <w:tcPr>
            <w:tcW w:w="2127" w:type="dxa"/>
            <w:tcBorders>
              <w:top w:val="nil"/>
              <w:left w:val="nil"/>
              <w:bottom w:val="single" w:sz="8" w:space="0" w:color="000000"/>
              <w:right w:val="nil"/>
            </w:tcBorders>
            <w:tcMar>
              <w:top w:w="100" w:type="dxa"/>
              <w:left w:w="100" w:type="dxa"/>
              <w:bottom w:w="100" w:type="dxa"/>
              <w:right w:w="100" w:type="dxa"/>
            </w:tcMar>
          </w:tcPr>
          <w:p w14:paraId="2755EFFD" w14:textId="77777777" w:rsidR="00CA0320" w:rsidRPr="00ED37B1"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sidRPr="00ED37B1">
              <w:rPr>
                <w:rFonts w:ascii="Times New Roman" w:eastAsia="Times New Roman" w:hAnsi="Times New Roman" w:cs="Times New Roman"/>
                <w:sz w:val="20"/>
                <w:szCs w:val="20"/>
              </w:rPr>
              <w:t>18,1</w:t>
            </w:r>
          </w:p>
        </w:tc>
        <w:tc>
          <w:tcPr>
            <w:tcW w:w="2127" w:type="dxa"/>
            <w:tcBorders>
              <w:top w:val="nil"/>
              <w:left w:val="nil"/>
              <w:bottom w:val="single" w:sz="8" w:space="0" w:color="000000"/>
              <w:right w:val="nil"/>
            </w:tcBorders>
            <w:tcMar>
              <w:top w:w="100" w:type="dxa"/>
              <w:left w:w="100" w:type="dxa"/>
              <w:bottom w:w="100" w:type="dxa"/>
              <w:right w:w="100" w:type="dxa"/>
            </w:tcMar>
          </w:tcPr>
          <w:p w14:paraId="26E47A0E" w14:textId="77777777" w:rsidR="00CA0320" w:rsidRPr="00ED37B1"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sidRPr="00ED37B1">
              <w:rPr>
                <w:rFonts w:ascii="Times New Roman" w:eastAsia="Times New Roman" w:hAnsi="Times New Roman" w:cs="Times New Roman"/>
                <w:sz w:val="20"/>
                <w:szCs w:val="20"/>
              </w:rPr>
              <w:t>6,5</w:t>
            </w:r>
          </w:p>
        </w:tc>
        <w:tc>
          <w:tcPr>
            <w:tcW w:w="2127" w:type="dxa"/>
            <w:tcBorders>
              <w:top w:val="nil"/>
              <w:left w:val="nil"/>
              <w:bottom w:val="single" w:sz="8" w:space="0" w:color="000000"/>
              <w:right w:val="nil"/>
            </w:tcBorders>
            <w:tcMar>
              <w:top w:w="100" w:type="dxa"/>
              <w:left w:w="100" w:type="dxa"/>
              <w:bottom w:w="100" w:type="dxa"/>
              <w:right w:w="100" w:type="dxa"/>
            </w:tcMar>
          </w:tcPr>
          <w:p w14:paraId="262B3275" w14:textId="77777777" w:rsidR="00CA0320" w:rsidRPr="00ED37B1" w:rsidRDefault="0000114F" w:rsidP="00ED37B1">
            <w:pPr>
              <w:pBdr>
                <w:top w:val="nil"/>
                <w:left w:val="nil"/>
                <w:bottom w:val="nil"/>
                <w:right w:val="nil"/>
                <w:between w:val="nil"/>
              </w:pBdr>
              <w:spacing w:after="0" w:line="168" w:lineRule="auto"/>
              <w:ind w:right="-102"/>
              <w:jc w:val="both"/>
              <w:rPr>
                <w:rFonts w:ascii="Times New Roman" w:eastAsia="Times New Roman" w:hAnsi="Times New Roman" w:cs="Times New Roman"/>
                <w:sz w:val="20"/>
                <w:szCs w:val="20"/>
              </w:rPr>
            </w:pPr>
            <w:r w:rsidRPr="00ED37B1">
              <w:rPr>
                <w:rFonts w:ascii="Times New Roman" w:eastAsia="Times New Roman" w:hAnsi="Times New Roman" w:cs="Times New Roman"/>
                <w:sz w:val="20"/>
                <w:szCs w:val="20"/>
              </w:rPr>
              <w:t>6,5</w:t>
            </w:r>
          </w:p>
        </w:tc>
      </w:tr>
    </w:tbl>
    <w:p w14:paraId="1EB6ADE9" w14:textId="77777777" w:rsidR="00CA0320" w:rsidRPr="00ED37B1" w:rsidRDefault="00CA0320">
      <w:pPr>
        <w:spacing w:after="0" w:line="240" w:lineRule="auto"/>
        <w:ind w:firstLine="709"/>
        <w:jc w:val="both"/>
        <w:rPr>
          <w:rFonts w:ascii="Times New Roman" w:eastAsia="Times New Roman" w:hAnsi="Times New Roman" w:cs="Times New Roman"/>
          <w:sz w:val="24"/>
          <w:szCs w:val="24"/>
        </w:rPr>
      </w:pPr>
    </w:p>
    <w:p w14:paraId="613A8248" w14:textId="0E63B030" w:rsidR="00CA0320" w:rsidRDefault="0000114F">
      <w:pPr>
        <w:spacing w:after="0" w:line="240" w:lineRule="auto"/>
        <w:ind w:firstLine="709"/>
        <w:jc w:val="both"/>
        <w:rPr>
          <w:rFonts w:ascii="Times New Roman" w:eastAsia="Times New Roman" w:hAnsi="Times New Roman" w:cs="Times New Roman"/>
          <w:sz w:val="24"/>
          <w:szCs w:val="24"/>
        </w:rPr>
      </w:pPr>
      <w:r w:rsidRPr="00ED37B1">
        <w:rPr>
          <w:rFonts w:ascii="Times New Roman" w:eastAsia="Times New Roman" w:hAnsi="Times New Roman" w:cs="Times New Roman"/>
          <w:sz w:val="24"/>
          <w:szCs w:val="24"/>
        </w:rPr>
        <w:t xml:space="preserve">A </w:t>
      </w:r>
      <w:r w:rsidR="00ED37B1" w:rsidRPr="00ED37B1">
        <w:rPr>
          <w:rFonts w:ascii="Times New Roman" w:eastAsia="Times New Roman" w:hAnsi="Times New Roman" w:cs="Times New Roman"/>
          <w:sz w:val="24"/>
          <w:szCs w:val="24"/>
        </w:rPr>
        <w:t>continuación,</w:t>
      </w:r>
      <w:r w:rsidRPr="00ED37B1">
        <w:rPr>
          <w:rFonts w:ascii="Times New Roman" w:eastAsia="Times New Roman" w:hAnsi="Times New Roman" w:cs="Times New Roman"/>
          <w:sz w:val="24"/>
          <w:szCs w:val="24"/>
        </w:rPr>
        <w:t xml:space="preserve"> se observa una tabla (tabla 3) con las </w:t>
      </w:r>
      <w:proofErr w:type="spellStart"/>
      <w:r w:rsidRPr="00ED37B1">
        <w:rPr>
          <w:rFonts w:ascii="Times New Roman" w:eastAsia="Times New Roman" w:hAnsi="Times New Roman" w:cs="Times New Roman"/>
          <w:sz w:val="24"/>
          <w:szCs w:val="24"/>
        </w:rPr>
        <w:t>hipótesis</w:t>
      </w:r>
      <w:proofErr w:type="spellEnd"/>
      <w:r w:rsidRPr="00ED37B1">
        <w:rPr>
          <w:rFonts w:ascii="Times New Roman" w:eastAsia="Times New Roman" w:hAnsi="Times New Roman" w:cs="Times New Roman"/>
          <w:sz w:val="24"/>
          <w:szCs w:val="24"/>
        </w:rPr>
        <w:t xml:space="preserve"> analizadas, donde se muestra el grado de significación y la d de cohen. Así como la figura </w:t>
      </w:r>
      <w:r>
        <w:rPr>
          <w:rFonts w:ascii="Times New Roman" w:eastAsia="Times New Roman" w:hAnsi="Times New Roman" w:cs="Times New Roman"/>
          <w:sz w:val="24"/>
          <w:szCs w:val="24"/>
        </w:rPr>
        <w:t xml:space="preserve">1 que marca la tendencia de las medidas totales de los cuestionarios de depresión y ansiedad, y la figura 2 que muestra las puntuaciones de las variables psicológicas por los rangos propios de cada cuestionario. </w:t>
      </w:r>
    </w:p>
    <w:p w14:paraId="1CA4FEAB"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00CA98ED" w14:textId="77777777" w:rsidR="00CA0320" w:rsidRDefault="00CA0320">
      <w:pPr>
        <w:spacing w:after="0" w:line="240" w:lineRule="auto"/>
        <w:ind w:firstLine="709"/>
        <w:jc w:val="both"/>
        <w:rPr>
          <w:rFonts w:ascii="Times New Roman" w:eastAsia="Times New Roman" w:hAnsi="Times New Roman" w:cs="Times New Roman"/>
          <w:sz w:val="24"/>
          <w:szCs w:val="24"/>
        </w:rPr>
      </w:pPr>
    </w:p>
    <w:tbl>
      <w:tblPr>
        <w:tblStyle w:val="a1"/>
        <w:tblW w:w="8670"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3210"/>
        <w:gridCol w:w="1260"/>
        <w:gridCol w:w="660"/>
        <w:gridCol w:w="945"/>
        <w:gridCol w:w="2595"/>
      </w:tblGrid>
      <w:tr w:rsidR="00CA0320" w14:paraId="498DFD4D" w14:textId="77777777">
        <w:trPr>
          <w:trHeight w:val="605"/>
        </w:trPr>
        <w:tc>
          <w:tcPr>
            <w:tcW w:w="8670" w:type="dxa"/>
            <w:gridSpan w:val="5"/>
            <w:tcBorders>
              <w:top w:val="nil"/>
              <w:left w:val="nil"/>
              <w:bottom w:val="single" w:sz="8" w:space="0" w:color="000000"/>
              <w:right w:val="nil"/>
            </w:tcBorders>
            <w:tcMar>
              <w:top w:w="100" w:type="dxa"/>
              <w:left w:w="120" w:type="dxa"/>
              <w:bottom w:w="100" w:type="dxa"/>
              <w:right w:w="120" w:type="dxa"/>
            </w:tcMar>
          </w:tcPr>
          <w:p w14:paraId="7759756A" w14:textId="77777777" w:rsidR="00CA0320" w:rsidRDefault="0000114F">
            <w:pPr>
              <w:pBdr>
                <w:top w:val="nil"/>
                <w:left w:val="nil"/>
                <w:bottom w:val="nil"/>
                <w:right w:val="nil"/>
                <w:between w:val="nil"/>
              </w:pBdr>
              <w:spacing w:after="0" w:line="240" w:lineRule="auto"/>
              <w:ind w:righ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Tabla 3</w:t>
            </w:r>
          </w:p>
          <w:p w14:paraId="3DFA61FD" w14:textId="77777777" w:rsidR="00CA0320" w:rsidRDefault="0000114F">
            <w:pPr>
              <w:pBdr>
                <w:top w:val="nil"/>
                <w:left w:val="nil"/>
                <w:bottom w:val="nil"/>
                <w:right w:val="nil"/>
                <w:between w:val="nil"/>
              </w:pBdr>
              <w:spacing w:after="0" w:line="240" w:lineRule="auto"/>
              <w:ind w:right="-10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Hipótesis</w:t>
            </w:r>
            <w:proofErr w:type="spellEnd"/>
            <w:r>
              <w:rPr>
                <w:rFonts w:ascii="Times New Roman" w:eastAsia="Times New Roman" w:hAnsi="Times New Roman" w:cs="Times New Roman"/>
                <w:i/>
                <w:sz w:val="20"/>
                <w:szCs w:val="20"/>
              </w:rPr>
              <w:t xml:space="preserve"> contrastadas</w:t>
            </w:r>
          </w:p>
        </w:tc>
      </w:tr>
      <w:tr w:rsidR="00CA0320" w14:paraId="6B79DCA7" w14:textId="77777777">
        <w:trPr>
          <w:trHeight w:val="150"/>
        </w:trPr>
        <w:tc>
          <w:tcPr>
            <w:tcW w:w="8670" w:type="dxa"/>
            <w:gridSpan w:val="5"/>
            <w:tcBorders>
              <w:top w:val="nil"/>
              <w:left w:val="nil"/>
              <w:bottom w:val="nil"/>
              <w:right w:val="nil"/>
            </w:tcBorders>
            <w:shd w:val="clear" w:color="auto" w:fill="auto"/>
            <w:tcMar>
              <w:top w:w="100" w:type="dxa"/>
              <w:left w:w="120" w:type="dxa"/>
              <w:bottom w:w="100" w:type="dxa"/>
              <w:right w:w="120" w:type="dxa"/>
            </w:tcMar>
          </w:tcPr>
          <w:p w14:paraId="673B5D5E" w14:textId="77777777" w:rsidR="00CA0320" w:rsidRDefault="0000114F" w:rsidP="00ED37B1">
            <w:pPr>
              <w:pBdr>
                <w:top w:val="nil"/>
                <w:left w:val="nil"/>
                <w:bottom w:val="nil"/>
                <w:right w:val="nil"/>
                <w:between w:val="nil"/>
              </w:pBdr>
              <w:spacing w:after="0" w:line="192" w:lineRule="auto"/>
              <w:ind w:right="-10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Hipótesis</w:t>
            </w:r>
            <w:proofErr w:type="spellEnd"/>
            <w:r>
              <w:rPr>
                <w:rFonts w:ascii="Times New Roman" w:eastAsia="Times New Roman" w:hAnsi="Times New Roman" w:cs="Times New Roman"/>
                <w:sz w:val="20"/>
                <w:szCs w:val="20"/>
              </w:rPr>
              <w:t xml:space="preserve"> 1: El neurofeedback (Protocolo SMR) mejora la depresión de los pacientes con fibromialgia</w:t>
            </w:r>
          </w:p>
        </w:tc>
      </w:tr>
      <w:tr w:rsidR="00CA0320" w14:paraId="304E8116" w14:textId="77777777" w:rsidTr="0000114F">
        <w:trPr>
          <w:trHeight w:val="102"/>
        </w:trPr>
        <w:tc>
          <w:tcPr>
            <w:tcW w:w="3210" w:type="dxa"/>
            <w:tcBorders>
              <w:top w:val="nil"/>
              <w:left w:val="nil"/>
              <w:bottom w:val="nil"/>
              <w:right w:val="nil"/>
            </w:tcBorders>
            <w:shd w:val="clear" w:color="auto" w:fill="auto"/>
            <w:tcMar>
              <w:top w:w="100" w:type="dxa"/>
              <w:left w:w="120" w:type="dxa"/>
              <w:bottom w:w="100" w:type="dxa"/>
              <w:right w:w="120" w:type="dxa"/>
            </w:tcMar>
          </w:tcPr>
          <w:p w14:paraId="3D12D606"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Hipótesis</w:t>
            </w:r>
            <w:proofErr w:type="spellEnd"/>
            <w:r>
              <w:rPr>
                <w:rFonts w:ascii="Times New Roman" w:eastAsia="Times New Roman" w:hAnsi="Times New Roman" w:cs="Times New Roman"/>
                <w:sz w:val="20"/>
                <w:szCs w:val="20"/>
              </w:rPr>
              <w:t xml:space="preserve"> </w:t>
            </w:r>
          </w:p>
        </w:tc>
        <w:tc>
          <w:tcPr>
            <w:tcW w:w="1260" w:type="dxa"/>
            <w:tcBorders>
              <w:top w:val="nil"/>
              <w:left w:val="nil"/>
              <w:bottom w:val="nil"/>
              <w:right w:val="nil"/>
            </w:tcBorders>
            <w:shd w:val="clear" w:color="auto" w:fill="auto"/>
            <w:tcMar>
              <w:top w:w="100" w:type="dxa"/>
              <w:left w:w="120" w:type="dxa"/>
              <w:bottom w:w="100" w:type="dxa"/>
              <w:right w:w="120" w:type="dxa"/>
            </w:tcMar>
          </w:tcPr>
          <w:p w14:paraId="16A978A0"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Estadístico</w:t>
            </w:r>
          </w:p>
        </w:tc>
        <w:tc>
          <w:tcPr>
            <w:tcW w:w="660" w:type="dxa"/>
            <w:tcBorders>
              <w:top w:val="nil"/>
              <w:left w:val="nil"/>
              <w:bottom w:val="nil"/>
              <w:right w:val="nil"/>
            </w:tcBorders>
            <w:shd w:val="clear" w:color="auto" w:fill="auto"/>
            <w:tcMar>
              <w:top w:w="100" w:type="dxa"/>
              <w:left w:w="120" w:type="dxa"/>
              <w:bottom w:w="100" w:type="dxa"/>
              <w:right w:w="120" w:type="dxa"/>
            </w:tcMar>
          </w:tcPr>
          <w:p w14:paraId="7E8560CC"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p>
        </w:tc>
        <w:tc>
          <w:tcPr>
            <w:tcW w:w="945" w:type="dxa"/>
            <w:tcBorders>
              <w:top w:val="nil"/>
              <w:left w:val="nil"/>
              <w:bottom w:val="nil"/>
              <w:right w:val="nil"/>
            </w:tcBorders>
            <w:shd w:val="clear" w:color="auto" w:fill="auto"/>
            <w:tcMar>
              <w:top w:w="100" w:type="dxa"/>
              <w:left w:w="120" w:type="dxa"/>
              <w:bottom w:w="100" w:type="dxa"/>
              <w:right w:w="120" w:type="dxa"/>
            </w:tcMar>
          </w:tcPr>
          <w:p w14:paraId="5DDF67AC"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 de Cohen</w:t>
            </w:r>
          </w:p>
        </w:tc>
        <w:tc>
          <w:tcPr>
            <w:tcW w:w="2595" w:type="dxa"/>
            <w:tcBorders>
              <w:top w:val="nil"/>
              <w:left w:val="nil"/>
              <w:bottom w:val="nil"/>
              <w:right w:val="nil"/>
            </w:tcBorders>
            <w:shd w:val="clear" w:color="auto" w:fill="auto"/>
            <w:tcMar>
              <w:top w:w="100" w:type="dxa"/>
              <w:left w:w="120" w:type="dxa"/>
              <w:bottom w:w="100" w:type="dxa"/>
              <w:right w:w="120" w:type="dxa"/>
            </w:tcMar>
          </w:tcPr>
          <w:p w14:paraId="5E990B2C"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Resultado</w:t>
            </w:r>
          </w:p>
        </w:tc>
      </w:tr>
      <w:tr w:rsidR="00CA0320" w14:paraId="23A3C843" w14:textId="77777777">
        <w:tc>
          <w:tcPr>
            <w:tcW w:w="3210" w:type="dxa"/>
            <w:tcBorders>
              <w:top w:val="nil"/>
              <w:left w:val="nil"/>
              <w:bottom w:val="nil"/>
              <w:right w:val="nil"/>
            </w:tcBorders>
            <w:shd w:val="clear" w:color="auto" w:fill="auto"/>
            <w:tcMar>
              <w:top w:w="100" w:type="dxa"/>
              <w:left w:w="120" w:type="dxa"/>
              <w:bottom w:w="100" w:type="dxa"/>
              <w:right w:w="120" w:type="dxa"/>
            </w:tcMar>
          </w:tcPr>
          <w:p w14:paraId="4EBAE443" w14:textId="77777777" w:rsidR="00CA0320" w:rsidRDefault="0000114F" w:rsidP="00ED37B1">
            <w:pPr>
              <w:pBdr>
                <w:top w:val="nil"/>
                <w:left w:val="nil"/>
                <w:bottom w:val="nil"/>
                <w:right w:val="nil"/>
                <w:between w:val="nil"/>
              </w:pBdr>
              <w:spacing w:after="0" w:line="192" w:lineRule="auto"/>
              <w:ind w:right="-10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Hipótesis</w:t>
            </w:r>
            <w:proofErr w:type="spellEnd"/>
            <w:r>
              <w:rPr>
                <w:rFonts w:ascii="Times New Roman" w:eastAsia="Times New Roman" w:hAnsi="Times New Roman" w:cs="Times New Roman"/>
                <w:sz w:val="20"/>
                <w:szCs w:val="20"/>
              </w:rPr>
              <w:t xml:space="preserve"> 1: El neurofeedback (Protocolo SMR) mejora la depresión de los pacientes con fibromialgia</w:t>
            </w:r>
          </w:p>
        </w:tc>
        <w:tc>
          <w:tcPr>
            <w:tcW w:w="1260" w:type="dxa"/>
            <w:tcBorders>
              <w:top w:val="nil"/>
              <w:left w:val="nil"/>
              <w:bottom w:val="nil"/>
              <w:right w:val="nil"/>
            </w:tcBorders>
            <w:shd w:val="clear" w:color="auto" w:fill="auto"/>
            <w:tcMar>
              <w:top w:w="100" w:type="dxa"/>
              <w:left w:w="120" w:type="dxa"/>
              <w:bottom w:w="100" w:type="dxa"/>
              <w:right w:w="120" w:type="dxa"/>
            </w:tcMar>
          </w:tcPr>
          <w:p w14:paraId="72D3ABD0"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 de Wilcoxon</w:t>
            </w:r>
          </w:p>
        </w:tc>
        <w:tc>
          <w:tcPr>
            <w:tcW w:w="660" w:type="dxa"/>
            <w:tcBorders>
              <w:top w:val="nil"/>
              <w:left w:val="nil"/>
              <w:bottom w:val="nil"/>
              <w:right w:val="nil"/>
            </w:tcBorders>
            <w:shd w:val="clear" w:color="auto" w:fill="auto"/>
            <w:tcMar>
              <w:top w:w="100" w:type="dxa"/>
              <w:left w:w="120" w:type="dxa"/>
              <w:bottom w:w="100" w:type="dxa"/>
              <w:right w:w="120" w:type="dxa"/>
            </w:tcMar>
          </w:tcPr>
          <w:p w14:paraId="3D7343B9"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45" w:type="dxa"/>
            <w:tcBorders>
              <w:top w:val="nil"/>
              <w:left w:val="nil"/>
              <w:bottom w:val="nil"/>
              <w:right w:val="nil"/>
            </w:tcBorders>
            <w:shd w:val="clear" w:color="auto" w:fill="auto"/>
            <w:tcMar>
              <w:top w:w="100" w:type="dxa"/>
              <w:left w:w="120" w:type="dxa"/>
              <w:bottom w:w="100" w:type="dxa"/>
              <w:right w:w="120" w:type="dxa"/>
            </w:tcMar>
          </w:tcPr>
          <w:p w14:paraId="09F9DF1C"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,584</w:t>
            </w:r>
          </w:p>
        </w:tc>
        <w:tc>
          <w:tcPr>
            <w:tcW w:w="2595" w:type="dxa"/>
            <w:tcBorders>
              <w:top w:val="nil"/>
              <w:left w:val="nil"/>
              <w:bottom w:val="nil"/>
              <w:right w:val="nil"/>
            </w:tcBorders>
            <w:shd w:val="clear" w:color="auto" w:fill="auto"/>
            <w:tcMar>
              <w:top w:w="100" w:type="dxa"/>
              <w:left w:w="120" w:type="dxa"/>
              <w:bottom w:w="100" w:type="dxa"/>
              <w:right w:w="120" w:type="dxa"/>
            </w:tcMar>
          </w:tcPr>
          <w:p w14:paraId="51F0F2E9" w14:textId="77777777" w:rsidR="00CA0320" w:rsidRDefault="0000114F" w:rsidP="00ED37B1">
            <w:pPr>
              <w:pBdr>
                <w:top w:val="nil"/>
                <w:left w:val="nil"/>
                <w:bottom w:val="nil"/>
                <w:right w:val="nil"/>
                <w:between w:val="nil"/>
              </w:pBdr>
              <w:spacing w:after="0" w:line="192"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Rechazamos la </w:t>
            </w:r>
            <w:proofErr w:type="spellStart"/>
            <w:r>
              <w:rPr>
                <w:rFonts w:ascii="Times New Roman" w:eastAsia="Times New Roman" w:hAnsi="Times New Roman" w:cs="Times New Roman"/>
                <w:sz w:val="20"/>
                <w:szCs w:val="20"/>
              </w:rPr>
              <w:t>hipótesis</w:t>
            </w:r>
            <w:proofErr w:type="spellEnd"/>
            <w:r>
              <w:rPr>
                <w:rFonts w:ascii="Times New Roman" w:eastAsia="Times New Roman" w:hAnsi="Times New Roman" w:cs="Times New Roman"/>
                <w:sz w:val="20"/>
                <w:szCs w:val="20"/>
              </w:rPr>
              <w:t xml:space="preserve"> nula (,000&lt;0.05). Aceptamos la </w:t>
            </w:r>
            <w:proofErr w:type="spellStart"/>
            <w:r>
              <w:rPr>
                <w:rFonts w:ascii="Times New Roman" w:eastAsia="Times New Roman" w:hAnsi="Times New Roman" w:cs="Times New Roman"/>
                <w:sz w:val="20"/>
                <w:szCs w:val="20"/>
              </w:rPr>
              <w:t>hipótesis</w:t>
            </w:r>
            <w:proofErr w:type="spellEnd"/>
            <w:r>
              <w:rPr>
                <w:rFonts w:ascii="Times New Roman" w:eastAsia="Times New Roman" w:hAnsi="Times New Roman" w:cs="Times New Roman"/>
                <w:sz w:val="20"/>
                <w:szCs w:val="20"/>
              </w:rPr>
              <w:t xml:space="preserve"> de trabajo.</w:t>
            </w:r>
          </w:p>
        </w:tc>
      </w:tr>
      <w:tr w:rsidR="00CA0320" w14:paraId="724C629E" w14:textId="77777777" w:rsidTr="0000114F">
        <w:trPr>
          <w:trHeight w:val="206"/>
        </w:trPr>
        <w:tc>
          <w:tcPr>
            <w:tcW w:w="8670" w:type="dxa"/>
            <w:gridSpan w:val="5"/>
            <w:tcBorders>
              <w:top w:val="nil"/>
              <w:left w:val="nil"/>
              <w:bottom w:val="nil"/>
              <w:right w:val="nil"/>
            </w:tcBorders>
            <w:shd w:val="clear" w:color="auto" w:fill="auto"/>
            <w:tcMar>
              <w:top w:w="100" w:type="dxa"/>
              <w:left w:w="120" w:type="dxa"/>
              <w:bottom w:w="100" w:type="dxa"/>
              <w:right w:w="120" w:type="dxa"/>
            </w:tcMar>
          </w:tcPr>
          <w:p w14:paraId="5D46703B" w14:textId="77777777" w:rsidR="00CA0320" w:rsidRDefault="0000114F" w:rsidP="00ED37B1">
            <w:pPr>
              <w:pBdr>
                <w:top w:val="nil"/>
                <w:left w:val="nil"/>
                <w:bottom w:val="nil"/>
                <w:right w:val="nil"/>
                <w:between w:val="nil"/>
              </w:pBdr>
              <w:spacing w:after="0" w:line="192" w:lineRule="auto"/>
              <w:ind w:right="-10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Hipótesis</w:t>
            </w:r>
            <w:proofErr w:type="spellEnd"/>
            <w:r>
              <w:rPr>
                <w:rFonts w:ascii="Times New Roman" w:eastAsia="Times New Roman" w:hAnsi="Times New Roman" w:cs="Times New Roman"/>
                <w:sz w:val="20"/>
                <w:szCs w:val="20"/>
              </w:rPr>
              <w:t xml:space="preserve"> 2: Estudiar la ansiedad en relación con la aplicación del neurofeedback (Protocolo SMR) en pacientes con fibromialgia</w:t>
            </w:r>
          </w:p>
        </w:tc>
      </w:tr>
      <w:tr w:rsidR="00CA0320" w14:paraId="6076FAE1" w14:textId="77777777" w:rsidTr="0000114F">
        <w:trPr>
          <w:trHeight w:val="58"/>
        </w:trPr>
        <w:tc>
          <w:tcPr>
            <w:tcW w:w="3210" w:type="dxa"/>
            <w:tcBorders>
              <w:top w:val="nil"/>
              <w:left w:val="nil"/>
              <w:bottom w:val="nil"/>
              <w:right w:val="nil"/>
            </w:tcBorders>
            <w:shd w:val="clear" w:color="auto" w:fill="auto"/>
            <w:tcMar>
              <w:top w:w="100" w:type="dxa"/>
              <w:left w:w="120" w:type="dxa"/>
              <w:bottom w:w="100" w:type="dxa"/>
              <w:right w:w="120" w:type="dxa"/>
            </w:tcMar>
          </w:tcPr>
          <w:p w14:paraId="777049C5"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Hipótesis</w:t>
            </w:r>
            <w:proofErr w:type="spellEnd"/>
            <w:r>
              <w:rPr>
                <w:rFonts w:ascii="Times New Roman" w:eastAsia="Times New Roman" w:hAnsi="Times New Roman" w:cs="Times New Roman"/>
                <w:sz w:val="20"/>
                <w:szCs w:val="20"/>
              </w:rPr>
              <w:t xml:space="preserve"> </w:t>
            </w:r>
          </w:p>
        </w:tc>
        <w:tc>
          <w:tcPr>
            <w:tcW w:w="1260" w:type="dxa"/>
            <w:tcBorders>
              <w:top w:val="nil"/>
              <w:left w:val="nil"/>
              <w:bottom w:val="nil"/>
              <w:right w:val="nil"/>
            </w:tcBorders>
            <w:shd w:val="clear" w:color="auto" w:fill="auto"/>
            <w:tcMar>
              <w:top w:w="100" w:type="dxa"/>
              <w:left w:w="120" w:type="dxa"/>
              <w:bottom w:w="100" w:type="dxa"/>
              <w:right w:w="120" w:type="dxa"/>
            </w:tcMar>
          </w:tcPr>
          <w:p w14:paraId="29CB0CDE"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Estadístico</w:t>
            </w:r>
          </w:p>
        </w:tc>
        <w:tc>
          <w:tcPr>
            <w:tcW w:w="660" w:type="dxa"/>
            <w:tcBorders>
              <w:top w:val="nil"/>
              <w:left w:val="nil"/>
              <w:bottom w:val="nil"/>
              <w:right w:val="nil"/>
            </w:tcBorders>
            <w:shd w:val="clear" w:color="auto" w:fill="auto"/>
            <w:tcMar>
              <w:top w:w="100" w:type="dxa"/>
              <w:left w:w="120" w:type="dxa"/>
              <w:bottom w:w="100" w:type="dxa"/>
              <w:right w:w="120" w:type="dxa"/>
            </w:tcMar>
          </w:tcPr>
          <w:p w14:paraId="6DB975B1"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p>
        </w:tc>
        <w:tc>
          <w:tcPr>
            <w:tcW w:w="945" w:type="dxa"/>
            <w:tcBorders>
              <w:top w:val="nil"/>
              <w:left w:val="nil"/>
              <w:bottom w:val="nil"/>
              <w:right w:val="nil"/>
            </w:tcBorders>
            <w:shd w:val="clear" w:color="auto" w:fill="auto"/>
            <w:tcMar>
              <w:top w:w="100" w:type="dxa"/>
              <w:left w:w="120" w:type="dxa"/>
              <w:bottom w:w="100" w:type="dxa"/>
              <w:right w:w="120" w:type="dxa"/>
            </w:tcMar>
          </w:tcPr>
          <w:p w14:paraId="7EE4E75B"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 de Cohen</w:t>
            </w:r>
          </w:p>
        </w:tc>
        <w:tc>
          <w:tcPr>
            <w:tcW w:w="2595" w:type="dxa"/>
            <w:tcBorders>
              <w:top w:val="nil"/>
              <w:left w:val="nil"/>
              <w:bottom w:val="nil"/>
              <w:right w:val="nil"/>
            </w:tcBorders>
            <w:shd w:val="clear" w:color="auto" w:fill="auto"/>
            <w:tcMar>
              <w:top w:w="100" w:type="dxa"/>
              <w:left w:w="120" w:type="dxa"/>
              <w:bottom w:w="100" w:type="dxa"/>
              <w:right w:w="120" w:type="dxa"/>
            </w:tcMar>
          </w:tcPr>
          <w:p w14:paraId="2E8C892B"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Resultado</w:t>
            </w:r>
          </w:p>
        </w:tc>
      </w:tr>
      <w:tr w:rsidR="00CA0320" w14:paraId="505EE57C" w14:textId="77777777" w:rsidTr="0000114F">
        <w:trPr>
          <w:trHeight w:val="335"/>
        </w:trPr>
        <w:tc>
          <w:tcPr>
            <w:tcW w:w="3210" w:type="dxa"/>
            <w:tcBorders>
              <w:top w:val="nil"/>
              <w:left w:val="nil"/>
              <w:bottom w:val="nil"/>
              <w:right w:val="nil"/>
            </w:tcBorders>
            <w:shd w:val="clear" w:color="auto" w:fill="auto"/>
            <w:tcMar>
              <w:top w:w="100" w:type="dxa"/>
              <w:left w:w="120" w:type="dxa"/>
              <w:bottom w:w="100" w:type="dxa"/>
              <w:right w:w="120" w:type="dxa"/>
            </w:tcMar>
          </w:tcPr>
          <w:p w14:paraId="4F8375C9" w14:textId="77777777" w:rsidR="00CA0320" w:rsidRDefault="0000114F" w:rsidP="00ED37B1">
            <w:pPr>
              <w:pBdr>
                <w:top w:val="nil"/>
                <w:left w:val="nil"/>
                <w:bottom w:val="nil"/>
                <w:right w:val="nil"/>
                <w:between w:val="nil"/>
              </w:pBdr>
              <w:spacing w:after="0" w:line="192" w:lineRule="auto"/>
              <w:ind w:right="-10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Hipótesis</w:t>
            </w:r>
            <w:proofErr w:type="spellEnd"/>
            <w:r>
              <w:rPr>
                <w:rFonts w:ascii="Times New Roman" w:eastAsia="Times New Roman" w:hAnsi="Times New Roman" w:cs="Times New Roman"/>
                <w:sz w:val="20"/>
                <w:szCs w:val="20"/>
              </w:rPr>
              <w:t xml:space="preserve"> 2.1: El neurofeedback</w:t>
            </w:r>
          </w:p>
          <w:p w14:paraId="014A7704" w14:textId="44899441" w:rsidR="00CA0320" w:rsidRDefault="0000114F" w:rsidP="00ED37B1">
            <w:pPr>
              <w:pBdr>
                <w:top w:val="nil"/>
                <w:left w:val="nil"/>
                <w:bottom w:val="nil"/>
                <w:right w:val="nil"/>
                <w:between w:val="nil"/>
              </w:pBdr>
              <w:spacing w:after="0" w:line="192"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(Protocolo SMR) mejora la ansiedad estado de los pacientes con fibromialgia.</w:t>
            </w:r>
          </w:p>
        </w:tc>
        <w:tc>
          <w:tcPr>
            <w:tcW w:w="1260" w:type="dxa"/>
            <w:tcBorders>
              <w:top w:val="nil"/>
              <w:left w:val="nil"/>
              <w:bottom w:val="nil"/>
              <w:right w:val="nil"/>
            </w:tcBorders>
            <w:shd w:val="clear" w:color="auto" w:fill="auto"/>
            <w:tcMar>
              <w:top w:w="100" w:type="dxa"/>
              <w:left w:w="120" w:type="dxa"/>
              <w:bottom w:w="100" w:type="dxa"/>
              <w:right w:w="120" w:type="dxa"/>
            </w:tcMar>
          </w:tcPr>
          <w:p w14:paraId="20C48383"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 de Wilcoxon</w:t>
            </w:r>
          </w:p>
        </w:tc>
        <w:tc>
          <w:tcPr>
            <w:tcW w:w="660" w:type="dxa"/>
            <w:tcBorders>
              <w:top w:val="nil"/>
              <w:left w:val="nil"/>
              <w:bottom w:val="nil"/>
              <w:right w:val="nil"/>
            </w:tcBorders>
            <w:shd w:val="clear" w:color="auto" w:fill="auto"/>
            <w:tcMar>
              <w:top w:w="100" w:type="dxa"/>
              <w:left w:w="120" w:type="dxa"/>
              <w:bottom w:w="100" w:type="dxa"/>
              <w:right w:w="120" w:type="dxa"/>
            </w:tcMar>
          </w:tcPr>
          <w:p w14:paraId="2DF5EEC4"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45" w:type="dxa"/>
            <w:tcBorders>
              <w:top w:val="nil"/>
              <w:left w:val="nil"/>
              <w:bottom w:val="nil"/>
              <w:right w:val="nil"/>
            </w:tcBorders>
            <w:shd w:val="clear" w:color="auto" w:fill="auto"/>
            <w:tcMar>
              <w:top w:w="100" w:type="dxa"/>
              <w:left w:w="120" w:type="dxa"/>
              <w:bottom w:w="100" w:type="dxa"/>
              <w:right w:w="120" w:type="dxa"/>
            </w:tcMar>
          </w:tcPr>
          <w:p w14:paraId="4ED5A0B1"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,565</w:t>
            </w:r>
          </w:p>
        </w:tc>
        <w:tc>
          <w:tcPr>
            <w:tcW w:w="2595" w:type="dxa"/>
            <w:tcBorders>
              <w:top w:val="nil"/>
              <w:left w:val="nil"/>
              <w:bottom w:val="nil"/>
              <w:right w:val="nil"/>
            </w:tcBorders>
            <w:shd w:val="clear" w:color="auto" w:fill="auto"/>
            <w:tcMar>
              <w:top w:w="100" w:type="dxa"/>
              <w:left w:w="120" w:type="dxa"/>
              <w:bottom w:w="100" w:type="dxa"/>
              <w:right w:w="120" w:type="dxa"/>
            </w:tcMar>
          </w:tcPr>
          <w:p w14:paraId="7482936E" w14:textId="77777777" w:rsidR="00CA0320" w:rsidRDefault="0000114F" w:rsidP="00ED37B1">
            <w:pPr>
              <w:pBdr>
                <w:top w:val="nil"/>
                <w:left w:val="nil"/>
                <w:bottom w:val="nil"/>
                <w:right w:val="nil"/>
                <w:between w:val="nil"/>
              </w:pBdr>
              <w:spacing w:after="0" w:line="192"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Rechazamos la </w:t>
            </w:r>
            <w:proofErr w:type="spellStart"/>
            <w:r>
              <w:rPr>
                <w:rFonts w:ascii="Times New Roman" w:eastAsia="Times New Roman" w:hAnsi="Times New Roman" w:cs="Times New Roman"/>
                <w:sz w:val="20"/>
                <w:szCs w:val="20"/>
              </w:rPr>
              <w:t>hipótesis</w:t>
            </w:r>
            <w:proofErr w:type="spellEnd"/>
            <w:r>
              <w:rPr>
                <w:rFonts w:ascii="Times New Roman" w:eastAsia="Times New Roman" w:hAnsi="Times New Roman" w:cs="Times New Roman"/>
                <w:sz w:val="20"/>
                <w:szCs w:val="20"/>
              </w:rPr>
              <w:t xml:space="preserve"> nula (,000&lt;0.05). Aceptamos la </w:t>
            </w:r>
            <w:proofErr w:type="spellStart"/>
            <w:r>
              <w:rPr>
                <w:rFonts w:ascii="Times New Roman" w:eastAsia="Times New Roman" w:hAnsi="Times New Roman" w:cs="Times New Roman"/>
                <w:sz w:val="20"/>
                <w:szCs w:val="20"/>
              </w:rPr>
              <w:t>hipótesis</w:t>
            </w:r>
            <w:proofErr w:type="spellEnd"/>
            <w:r>
              <w:rPr>
                <w:rFonts w:ascii="Times New Roman" w:eastAsia="Times New Roman" w:hAnsi="Times New Roman" w:cs="Times New Roman"/>
                <w:sz w:val="20"/>
                <w:szCs w:val="20"/>
              </w:rPr>
              <w:t xml:space="preserve"> de trabajo.</w:t>
            </w:r>
          </w:p>
        </w:tc>
      </w:tr>
      <w:tr w:rsidR="00CA0320" w14:paraId="12CB21F4" w14:textId="77777777" w:rsidTr="0000114F">
        <w:trPr>
          <w:trHeight w:val="548"/>
        </w:trPr>
        <w:tc>
          <w:tcPr>
            <w:tcW w:w="3210" w:type="dxa"/>
            <w:tcBorders>
              <w:top w:val="nil"/>
              <w:left w:val="nil"/>
              <w:bottom w:val="single" w:sz="8" w:space="0" w:color="000000"/>
              <w:right w:val="nil"/>
            </w:tcBorders>
            <w:shd w:val="clear" w:color="auto" w:fill="auto"/>
            <w:tcMar>
              <w:top w:w="100" w:type="dxa"/>
              <w:left w:w="120" w:type="dxa"/>
              <w:bottom w:w="100" w:type="dxa"/>
              <w:right w:w="120" w:type="dxa"/>
            </w:tcMar>
          </w:tcPr>
          <w:p w14:paraId="6396B012" w14:textId="77777777" w:rsidR="00CA0320" w:rsidRDefault="0000114F" w:rsidP="00ED37B1">
            <w:pPr>
              <w:pBdr>
                <w:top w:val="nil"/>
                <w:left w:val="nil"/>
                <w:bottom w:val="nil"/>
                <w:right w:val="nil"/>
                <w:between w:val="nil"/>
              </w:pBdr>
              <w:spacing w:after="0" w:line="192" w:lineRule="auto"/>
              <w:ind w:right="-10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Hipótesis</w:t>
            </w:r>
            <w:proofErr w:type="spellEnd"/>
            <w:r>
              <w:rPr>
                <w:rFonts w:ascii="Times New Roman" w:eastAsia="Times New Roman" w:hAnsi="Times New Roman" w:cs="Times New Roman"/>
                <w:sz w:val="20"/>
                <w:szCs w:val="20"/>
              </w:rPr>
              <w:t xml:space="preserve"> 2.2: El neurofeedback (Protocolo SMR) mejora la ansiedad rasgo de los pacientes con fibromialgia.</w:t>
            </w:r>
          </w:p>
        </w:tc>
        <w:tc>
          <w:tcPr>
            <w:tcW w:w="1260" w:type="dxa"/>
            <w:tcBorders>
              <w:top w:val="nil"/>
              <w:left w:val="nil"/>
              <w:bottom w:val="single" w:sz="8" w:space="0" w:color="000000"/>
              <w:right w:val="nil"/>
            </w:tcBorders>
            <w:shd w:val="clear" w:color="auto" w:fill="auto"/>
            <w:tcMar>
              <w:top w:w="100" w:type="dxa"/>
              <w:left w:w="120" w:type="dxa"/>
              <w:bottom w:w="100" w:type="dxa"/>
              <w:right w:w="120" w:type="dxa"/>
            </w:tcMar>
          </w:tcPr>
          <w:p w14:paraId="26ED7D34"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 de Wilcoxon</w:t>
            </w:r>
          </w:p>
        </w:tc>
        <w:tc>
          <w:tcPr>
            <w:tcW w:w="660" w:type="dxa"/>
            <w:tcBorders>
              <w:top w:val="nil"/>
              <w:left w:val="nil"/>
              <w:bottom w:val="single" w:sz="8" w:space="0" w:color="000000"/>
              <w:right w:val="nil"/>
            </w:tcBorders>
            <w:shd w:val="clear" w:color="auto" w:fill="auto"/>
            <w:tcMar>
              <w:top w:w="100" w:type="dxa"/>
              <w:left w:w="120" w:type="dxa"/>
              <w:bottom w:w="100" w:type="dxa"/>
              <w:right w:w="120" w:type="dxa"/>
            </w:tcMar>
          </w:tcPr>
          <w:p w14:paraId="7FE9057C"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945" w:type="dxa"/>
            <w:tcBorders>
              <w:top w:val="nil"/>
              <w:left w:val="nil"/>
              <w:bottom w:val="single" w:sz="8" w:space="0" w:color="000000"/>
              <w:right w:val="nil"/>
            </w:tcBorders>
            <w:shd w:val="clear" w:color="auto" w:fill="auto"/>
            <w:tcMar>
              <w:top w:w="100" w:type="dxa"/>
              <w:left w:w="120" w:type="dxa"/>
              <w:bottom w:w="100" w:type="dxa"/>
              <w:right w:w="120" w:type="dxa"/>
            </w:tcMar>
          </w:tcPr>
          <w:p w14:paraId="29845ED5" w14:textId="77777777" w:rsidR="00CA0320" w:rsidRDefault="0000114F" w:rsidP="00ED37B1">
            <w:pPr>
              <w:pBdr>
                <w:top w:val="nil"/>
                <w:left w:val="nil"/>
                <w:bottom w:val="nil"/>
                <w:right w:val="nil"/>
                <w:between w:val="nil"/>
              </w:pBdr>
              <w:spacing w:after="0" w:line="192" w:lineRule="auto"/>
              <w:ind w:right="-1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w:t>
            </w:r>
          </w:p>
        </w:tc>
        <w:tc>
          <w:tcPr>
            <w:tcW w:w="2595" w:type="dxa"/>
            <w:tcBorders>
              <w:top w:val="nil"/>
              <w:left w:val="nil"/>
              <w:bottom w:val="single" w:sz="8" w:space="0" w:color="000000"/>
              <w:right w:val="nil"/>
            </w:tcBorders>
            <w:shd w:val="clear" w:color="auto" w:fill="auto"/>
            <w:tcMar>
              <w:top w:w="100" w:type="dxa"/>
              <w:left w:w="120" w:type="dxa"/>
              <w:bottom w:w="100" w:type="dxa"/>
              <w:right w:w="120" w:type="dxa"/>
            </w:tcMar>
          </w:tcPr>
          <w:p w14:paraId="5636E3B9" w14:textId="77777777" w:rsidR="00CA0320" w:rsidRDefault="0000114F" w:rsidP="00ED37B1">
            <w:pPr>
              <w:pBdr>
                <w:top w:val="nil"/>
                <w:left w:val="nil"/>
                <w:bottom w:val="nil"/>
                <w:right w:val="nil"/>
                <w:between w:val="nil"/>
              </w:pBdr>
              <w:spacing w:after="0" w:line="192"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Rechazamos la </w:t>
            </w:r>
            <w:proofErr w:type="spellStart"/>
            <w:r>
              <w:rPr>
                <w:rFonts w:ascii="Times New Roman" w:eastAsia="Times New Roman" w:hAnsi="Times New Roman" w:cs="Times New Roman"/>
                <w:sz w:val="20"/>
                <w:szCs w:val="20"/>
              </w:rPr>
              <w:t>hipótesis</w:t>
            </w:r>
            <w:proofErr w:type="spellEnd"/>
            <w:r>
              <w:rPr>
                <w:rFonts w:ascii="Times New Roman" w:eastAsia="Times New Roman" w:hAnsi="Times New Roman" w:cs="Times New Roman"/>
                <w:sz w:val="20"/>
                <w:szCs w:val="20"/>
              </w:rPr>
              <w:t xml:space="preserve"> nula (,000&lt;0.05). Aceptamos la </w:t>
            </w:r>
            <w:proofErr w:type="spellStart"/>
            <w:r>
              <w:rPr>
                <w:rFonts w:ascii="Times New Roman" w:eastAsia="Times New Roman" w:hAnsi="Times New Roman" w:cs="Times New Roman"/>
                <w:sz w:val="20"/>
                <w:szCs w:val="20"/>
              </w:rPr>
              <w:t>hipótesis</w:t>
            </w:r>
            <w:proofErr w:type="spellEnd"/>
            <w:r>
              <w:rPr>
                <w:rFonts w:ascii="Times New Roman" w:eastAsia="Times New Roman" w:hAnsi="Times New Roman" w:cs="Times New Roman"/>
                <w:sz w:val="20"/>
                <w:szCs w:val="20"/>
              </w:rPr>
              <w:t xml:space="preserve"> de trabajo.</w:t>
            </w:r>
          </w:p>
        </w:tc>
      </w:tr>
    </w:tbl>
    <w:p w14:paraId="15E236C7" w14:textId="77777777" w:rsidR="00CA0320" w:rsidRDefault="0000114F">
      <w:pPr>
        <w:shd w:val="clear" w:color="auto" w:fill="FFFFFF"/>
        <w:spacing w:after="0" w:line="240" w:lineRule="auto"/>
        <w:jc w:val="both"/>
        <w:rPr>
          <w:rFonts w:ascii="Arial" w:eastAsia="Arial" w:hAnsi="Arial" w:cs="Arial"/>
          <w:sz w:val="28"/>
          <w:szCs w:val="28"/>
        </w:rPr>
      </w:pPr>
      <w:r>
        <w:rPr>
          <w:rFonts w:ascii="Times New Roman" w:eastAsia="Times New Roman" w:hAnsi="Times New Roman" w:cs="Times New Roman"/>
          <w:sz w:val="20"/>
          <w:szCs w:val="20"/>
        </w:rPr>
        <w:t>* Correlación significativa para p &lt;.05</w:t>
      </w:r>
    </w:p>
    <w:p w14:paraId="225C3F6B" w14:textId="77777777" w:rsidR="00CA0320" w:rsidRDefault="00CA0320">
      <w:pPr>
        <w:shd w:val="clear" w:color="auto" w:fill="FFFFFF"/>
        <w:spacing w:after="0" w:line="240" w:lineRule="auto"/>
        <w:jc w:val="both"/>
        <w:rPr>
          <w:rFonts w:ascii="Arial" w:eastAsia="Arial" w:hAnsi="Arial" w:cs="Arial"/>
          <w:sz w:val="28"/>
          <w:szCs w:val="28"/>
        </w:rPr>
      </w:pPr>
    </w:p>
    <w:tbl>
      <w:tblPr>
        <w:tblStyle w:val="a2"/>
        <w:tblW w:w="8715" w:type="dxa"/>
        <w:tblInd w:w="0" w:type="dxa"/>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465"/>
        <w:gridCol w:w="250"/>
      </w:tblGrid>
      <w:tr w:rsidR="00CA0320" w14:paraId="764A7144" w14:textId="77777777">
        <w:tc>
          <w:tcPr>
            <w:tcW w:w="8714" w:type="dxa"/>
            <w:gridSpan w:val="2"/>
          </w:tcPr>
          <w:p w14:paraId="47F9BE84" w14:textId="397DDAE4" w:rsidR="00CA0320" w:rsidRDefault="0000114F">
            <w:pPr>
              <w:jc w:val="both"/>
            </w:pPr>
            <w:r>
              <w:rPr>
                <w:i/>
              </w:rPr>
              <w:t>Figura 1:</w:t>
            </w:r>
            <w:r w:rsidR="00ED37B1">
              <w:rPr>
                <w:i/>
              </w:rPr>
              <w:t xml:space="preserve"> </w:t>
            </w:r>
            <w:r>
              <w:t xml:space="preserve">Resultados de las medias totales PRE/POST de las variables medias en </w:t>
            </w:r>
            <w:r w:rsidR="00ED37B1">
              <w:t>los cuestionarios</w:t>
            </w:r>
            <w:r>
              <w:t xml:space="preserve"> depresión y ansiedad estado y rasgo. En la parte superior la</w:t>
            </w:r>
            <w:r w:rsidR="00ED37B1">
              <w:t>s</w:t>
            </w:r>
            <w:r>
              <w:t xml:space="preserve"> medidas PRE/POST del cuestionario Beck </w:t>
            </w:r>
            <w:proofErr w:type="spellStart"/>
            <w:r>
              <w:t>Depression</w:t>
            </w:r>
            <w:proofErr w:type="spellEnd"/>
            <w:r>
              <w:t xml:space="preserve"> </w:t>
            </w:r>
            <w:proofErr w:type="spellStart"/>
            <w:r>
              <w:t>Inventory</w:t>
            </w:r>
            <w:proofErr w:type="spellEnd"/>
            <w:r>
              <w:t xml:space="preserve">. En la parte inferior las medias del cuestionario </w:t>
            </w:r>
            <w:proofErr w:type="spellStart"/>
            <w:r>
              <w:t>State-Trait</w:t>
            </w:r>
            <w:proofErr w:type="spellEnd"/>
            <w:r>
              <w:t xml:space="preserve"> </w:t>
            </w:r>
            <w:proofErr w:type="spellStart"/>
            <w:r>
              <w:t>Anxiety</w:t>
            </w:r>
            <w:proofErr w:type="spellEnd"/>
            <w:r>
              <w:t xml:space="preserve"> </w:t>
            </w:r>
            <w:proofErr w:type="spellStart"/>
            <w:r>
              <w:t>Inventory</w:t>
            </w:r>
            <w:proofErr w:type="spellEnd"/>
            <w:r>
              <w:t>. En la parte izquierda la</w:t>
            </w:r>
            <w:r w:rsidR="00ED37B1">
              <w:t>s</w:t>
            </w:r>
            <w:r>
              <w:t xml:space="preserve"> medidas PRE/POST en ansiedad estado y en la parte inferior derecha la medida PRE/POST en ansiedad rasgo</w:t>
            </w:r>
            <w:r w:rsidR="00ED37B1">
              <w:t>.</w:t>
            </w:r>
          </w:p>
          <w:p w14:paraId="530EB534" w14:textId="77777777" w:rsidR="00CA0320" w:rsidRDefault="00CA0320">
            <w:pPr>
              <w:rPr>
                <w:i/>
              </w:rPr>
            </w:pPr>
          </w:p>
        </w:tc>
      </w:tr>
      <w:tr w:rsidR="00CA0320" w14:paraId="5E248F7A" w14:textId="77777777">
        <w:tc>
          <w:tcPr>
            <w:tcW w:w="8585" w:type="dxa"/>
            <w:tcBorders>
              <w:right w:val="nil"/>
            </w:tcBorders>
          </w:tcPr>
          <w:p w14:paraId="20E834B1" w14:textId="77777777" w:rsidR="00CA0320" w:rsidRDefault="0000114F">
            <w:r>
              <w:rPr>
                <w:noProof/>
              </w:rPr>
              <w:lastRenderedPageBreak/>
              <w:drawing>
                <wp:inline distT="114300" distB="114300" distL="114300" distR="114300" wp14:anchorId="57083EEB" wp14:editId="7262A0B9">
                  <wp:extent cx="4934903" cy="2619375"/>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t="3406" r="2060" b="10495"/>
                          <a:stretch>
                            <a:fillRect/>
                          </a:stretch>
                        </pic:blipFill>
                        <pic:spPr>
                          <a:xfrm>
                            <a:off x="0" y="0"/>
                            <a:ext cx="4934903" cy="2619375"/>
                          </a:xfrm>
                          <a:prstGeom prst="rect">
                            <a:avLst/>
                          </a:prstGeom>
                          <a:ln/>
                        </pic:spPr>
                      </pic:pic>
                    </a:graphicData>
                  </a:graphic>
                </wp:inline>
              </w:drawing>
            </w:r>
          </w:p>
        </w:tc>
        <w:tc>
          <w:tcPr>
            <w:tcW w:w="129" w:type="dxa"/>
            <w:tcBorders>
              <w:left w:val="nil"/>
            </w:tcBorders>
          </w:tcPr>
          <w:p w14:paraId="073A2EDD" w14:textId="77777777" w:rsidR="00CA0320" w:rsidRDefault="00CA0320"/>
        </w:tc>
      </w:tr>
    </w:tbl>
    <w:p w14:paraId="3BA12831" w14:textId="77777777" w:rsidR="00CA0320" w:rsidRDefault="00CA0320">
      <w:pPr>
        <w:spacing w:after="0" w:line="240" w:lineRule="auto"/>
        <w:jc w:val="both"/>
        <w:rPr>
          <w:rFonts w:ascii="Times New Roman" w:eastAsia="Times New Roman" w:hAnsi="Times New Roman" w:cs="Times New Roman"/>
          <w:sz w:val="24"/>
          <w:szCs w:val="24"/>
        </w:rPr>
      </w:pPr>
    </w:p>
    <w:p w14:paraId="308FB6B8" w14:textId="2CE0BB98" w:rsidR="00CA0320" w:rsidRPr="00ED37B1" w:rsidRDefault="0000114F">
      <w:pPr>
        <w:spacing w:after="0" w:line="240" w:lineRule="auto"/>
        <w:jc w:val="both"/>
        <w:rPr>
          <w:rFonts w:ascii="Times New Roman" w:eastAsia="Times New Roman" w:hAnsi="Times New Roman" w:cs="Times New Roman"/>
          <w:sz w:val="24"/>
          <w:szCs w:val="24"/>
        </w:rPr>
      </w:pPr>
      <w:r w:rsidRPr="00ED37B1">
        <w:rPr>
          <w:rFonts w:ascii="Times New Roman" w:eastAsia="Times New Roman" w:hAnsi="Times New Roman" w:cs="Times New Roman"/>
          <w:i/>
          <w:sz w:val="24"/>
          <w:szCs w:val="24"/>
        </w:rPr>
        <w:t>Figura 2:</w:t>
      </w:r>
      <w:r w:rsidR="00ED37B1" w:rsidRPr="00ED37B1">
        <w:rPr>
          <w:rFonts w:ascii="Times New Roman" w:eastAsia="Times New Roman" w:hAnsi="Times New Roman" w:cs="Times New Roman"/>
          <w:i/>
          <w:sz w:val="24"/>
          <w:szCs w:val="24"/>
        </w:rPr>
        <w:t xml:space="preserve"> </w:t>
      </w:r>
      <w:r w:rsidRPr="00ED37B1">
        <w:rPr>
          <w:rFonts w:ascii="Times New Roman" w:eastAsia="Times New Roman" w:hAnsi="Times New Roman" w:cs="Times New Roman"/>
          <w:sz w:val="24"/>
          <w:szCs w:val="24"/>
        </w:rPr>
        <w:t xml:space="preserve">Resultado de las puntuaciones </w:t>
      </w:r>
      <w:r w:rsidR="00ED37B1" w:rsidRPr="00ED37B1">
        <w:rPr>
          <w:rFonts w:ascii="Times New Roman" w:eastAsia="Times New Roman" w:hAnsi="Times New Roman" w:cs="Times New Roman"/>
          <w:sz w:val="24"/>
          <w:szCs w:val="24"/>
        </w:rPr>
        <w:t>de los cuestionarios</w:t>
      </w:r>
      <w:r w:rsidRPr="00ED37B1">
        <w:rPr>
          <w:rFonts w:ascii="Times New Roman" w:eastAsia="Times New Roman" w:hAnsi="Times New Roman" w:cs="Times New Roman"/>
          <w:sz w:val="24"/>
          <w:szCs w:val="24"/>
        </w:rPr>
        <w:t xml:space="preserve"> de ansiedad y depresión por los rangos propios de cada cuestionario. En la parte izquierda las puntuaciones del cuestionari</w:t>
      </w:r>
      <w:r w:rsidRPr="00ED37B1">
        <w:rPr>
          <w:rFonts w:ascii="Times New Roman" w:eastAsia="Times New Roman" w:hAnsi="Times New Roman" w:cs="Times New Roman"/>
          <w:b/>
          <w:sz w:val="24"/>
          <w:szCs w:val="24"/>
        </w:rPr>
        <w:t>o</w:t>
      </w:r>
      <w:r w:rsidRPr="00ED37B1">
        <w:rPr>
          <w:rFonts w:ascii="Times New Roman" w:eastAsia="Times New Roman" w:hAnsi="Times New Roman" w:cs="Times New Roman"/>
          <w:sz w:val="24"/>
          <w:szCs w:val="24"/>
        </w:rPr>
        <w:t xml:space="preserve"> </w:t>
      </w:r>
      <w:proofErr w:type="spellStart"/>
      <w:r w:rsidRPr="00ED37B1">
        <w:rPr>
          <w:rFonts w:ascii="Times New Roman" w:eastAsia="Times New Roman" w:hAnsi="Times New Roman" w:cs="Times New Roman"/>
          <w:sz w:val="24"/>
          <w:szCs w:val="24"/>
        </w:rPr>
        <w:t>State-Trait</w:t>
      </w:r>
      <w:proofErr w:type="spellEnd"/>
      <w:r w:rsidRPr="00ED37B1">
        <w:rPr>
          <w:rFonts w:ascii="Times New Roman" w:eastAsia="Times New Roman" w:hAnsi="Times New Roman" w:cs="Times New Roman"/>
          <w:sz w:val="24"/>
          <w:szCs w:val="24"/>
        </w:rPr>
        <w:t xml:space="preserve"> </w:t>
      </w:r>
      <w:proofErr w:type="spellStart"/>
      <w:r w:rsidRPr="00ED37B1">
        <w:rPr>
          <w:rFonts w:ascii="Times New Roman" w:eastAsia="Times New Roman" w:hAnsi="Times New Roman" w:cs="Times New Roman"/>
          <w:sz w:val="24"/>
          <w:szCs w:val="24"/>
        </w:rPr>
        <w:t>Anxiety</w:t>
      </w:r>
      <w:proofErr w:type="spellEnd"/>
      <w:r w:rsidRPr="00ED37B1">
        <w:rPr>
          <w:rFonts w:ascii="Times New Roman" w:eastAsia="Times New Roman" w:hAnsi="Times New Roman" w:cs="Times New Roman"/>
          <w:sz w:val="24"/>
          <w:szCs w:val="24"/>
        </w:rPr>
        <w:t xml:space="preserve"> </w:t>
      </w:r>
      <w:proofErr w:type="spellStart"/>
      <w:r w:rsidRPr="00ED37B1">
        <w:rPr>
          <w:rFonts w:ascii="Times New Roman" w:eastAsia="Times New Roman" w:hAnsi="Times New Roman" w:cs="Times New Roman"/>
          <w:sz w:val="24"/>
          <w:szCs w:val="24"/>
        </w:rPr>
        <w:t>Inventory</w:t>
      </w:r>
      <w:proofErr w:type="spellEnd"/>
      <w:r w:rsidRPr="00ED37B1">
        <w:rPr>
          <w:rFonts w:ascii="Times New Roman" w:eastAsia="Times New Roman" w:hAnsi="Times New Roman" w:cs="Times New Roman"/>
          <w:sz w:val="24"/>
          <w:szCs w:val="24"/>
        </w:rPr>
        <w:t xml:space="preserve">, y en la parte derecha las puntuaciones del Beck </w:t>
      </w:r>
      <w:proofErr w:type="spellStart"/>
      <w:r w:rsidRPr="00ED37B1">
        <w:rPr>
          <w:rFonts w:ascii="Times New Roman" w:eastAsia="Times New Roman" w:hAnsi="Times New Roman" w:cs="Times New Roman"/>
          <w:sz w:val="24"/>
          <w:szCs w:val="24"/>
        </w:rPr>
        <w:t>Depression</w:t>
      </w:r>
      <w:proofErr w:type="spellEnd"/>
      <w:r w:rsidRPr="00ED37B1">
        <w:rPr>
          <w:rFonts w:ascii="Times New Roman" w:eastAsia="Times New Roman" w:hAnsi="Times New Roman" w:cs="Times New Roman"/>
          <w:sz w:val="24"/>
          <w:szCs w:val="24"/>
        </w:rPr>
        <w:t xml:space="preserve"> </w:t>
      </w:r>
      <w:proofErr w:type="spellStart"/>
      <w:r w:rsidRPr="00ED37B1">
        <w:rPr>
          <w:rFonts w:ascii="Times New Roman" w:eastAsia="Times New Roman" w:hAnsi="Times New Roman" w:cs="Times New Roman"/>
          <w:sz w:val="24"/>
          <w:szCs w:val="24"/>
        </w:rPr>
        <w:t>Inventory</w:t>
      </w:r>
      <w:proofErr w:type="spellEnd"/>
      <w:r w:rsidRPr="00ED37B1">
        <w:rPr>
          <w:rFonts w:ascii="Times New Roman" w:eastAsia="Times New Roman" w:hAnsi="Times New Roman" w:cs="Times New Roman"/>
          <w:sz w:val="24"/>
          <w:szCs w:val="24"/>
        </w:rPr>
        <w:t>.</w:t>
      </w:r>
    </w:p>
    <w:p w14:paraId="14617F4C" w14:textId="77777777" w:rsidR="00CA0320" w:rsidRDefault="00CA0320">
      <w:pPr>
        <w:spacing w:after="0" w:line="240" w:lineRule="auto"/>
        <w:jc w:val="both"/>
        <w:rPr>
          <w:rFonts w:ascii="Times New Roman" w:eastAsia="Times New Roman" w:hAnsi="Times New Roman" w:cs="Times New Roman"/>
          <w:sz w:val="24"/>
          <w:szCs w:val="24"/>
        </w:rPr>
      </w:pPr>
    </w:p>
    <w:tbl>
      <w:tblPr>
        <w:tblStyle w:val="a3"/>
        <w:tblW w:w="918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245"/>
        <w:gridCol w:w="4935"/>
      </w:tblGrid>
      <w:tr w:rsidR="00CA0320" w14:paraId="7D5B0A45" w14:textId="77777777">
        <w:tc>
          <w:tcPr>
            <w:tcW w:w="4245" w:type="dxa"/>
            <w:shd w:val="clear" w:color="auto" w:fill="auto"/>
            <w:tcMar>
              <w:top w:w="100" w:type="dxa"/>
              <w:left w:w="100" w:type="dxa"/>
              <w:bottom w:w="100" w:type="dxa"/>
              <w:right w:w="100" w:type="dxa"/>
            </w:tcMar>
          </w:tcPr>
          <w:p w14:paraId="7B5D40E6" w14:textId="77777777" w:rsidR="00CA0320" w:rsidRDefault="0000114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CBCD3DD" wp14:editId="0318AC77">
                  <wp:extent cx="2404110" cy="184277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3192" t="4865" r="3122" b="5771"/>
                          <a:stretch>
                            <a:fillRect/>
                          </a:stretch>
                        </pic:blipFill>
                        <pic:spPr>
                          <a:xfrm>
                            <a:off x="0" y="0"/>
                            <a:ext cx="2404110" cy="1842770"/>
                          </a:xfrm>
                          <a:prstGeom prst="rect">
                            <a:avLst/>
                          </a:prstGeom>
                          <a:ln/>
                        </pic:spPr>
                      </pic:pic>
                    </a:graphicData>
                  </a:graphic>
                </wp:inline>
              </w:drawing>
            </w:r>
          </w:p>
        </w:tc>
        <w:tc>
          <w:tcPr>
            <w:tcW w:w="4935" w:type="dxa"/>
            <w:shd w:val="clear" w:color="auto" w:fill="auto"/>
            <w:tcMar>
              <w:top w:w="100" w:type="dxa"/>
              <w:left w:w="100" w:type="dxa"/>
              <w:bottom w:w="100" w:type="dxa"/>
              <w:right w:w="100" w:type="dxa"/>
            </w:tcMar>
          </w:tcPr>
          <w:p w14:paraId="438FC3E5" w14:textId="77777777" w:rsidR="00CA0320" w:rsidRDefault="0000114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49D0946" wp14:editId="7779BD89">
                  <wp:extent cx="2785110" cy="188150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735" t="3038" r="4267" b="4879"/>
                          <a:stretch>
                            <a:fillRect/>
                          </a:stretch>
                        </pic:blipFill>
                        <pic:spPr>
                          <a:xfrm>
                            <a:off x="0" y="0"/>
                            <a:ext cx="2785110" cy="1881505"/>
                          </a:xfrm>
                          <a:prstGeom prst="rect">
                            <a:avLst/>
                          </a:prstGeom>
                          <a:ln/>
                        </pic:spPr>
                      </pic:pic>
                    </a:graphicData>
                  </a:graphic>
                </wp:inline>
              </w:drawing>
            </w:r>
          </w:p>
        </w:tc>
      </w:tr>
    </w:tbl>
    <w:p w14:paraId="01028D22" w14:textId="77777777" w:rsidR="00CA0320" w:rsidRDefault="00CA0320" w:rsidP="00DB510D">
      <w:pPr>
        <w:spacing w:after="0" w:line="240" w:lineRule="auto"/>
        <w:jc w:val="both"/>
        <w:rPr>
          <w:rFonts w:ascii="Times New Roman" w:eastAsia="Times New Roman" w:hAnsi="Times New Roman" w:cs="Times New Roman"/>
          <w:sz w:val="24"/>
          <w:szCs w:val="24"/>
        </w:rPr>
      </w:pPr>
      <w:bookmarkStart w:id="1" w:name="_GoBack"/>
      <w:bookmarkEnd w:id="1"/>
    </w:p>
    <w:p w14:paraId="59ECFC0F" w14:textId="77777777" w:rsidR="00CA0320" w:rsidRDefault="00CA0320">
      <w:pPr>
        <w:spacing w:after="0" w:line="240" w:lineRule="auto"/>
        <w:ind w:firstLine="709"/>
        <w:jc w:val="both"/>
        <w:rPr>
          <w:rFonts w:ascii="Times New Roman" w:eastAsia="Times New Roman" w:hAnsi="Times New Roman" w:cs="Times New Roman"/>
          <w:sz w:val="24"/>
          <w:szCs w:val="24"/>
        </w:rPr>
      </w:pPr>
    </w:p>
    <w:p w14:paraId="738EB9D1" w14:textId="77777777" w:rsidR="00CA0320" w:rsidRDefault="0000114F">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457B8195" w14:textId="77777777" w:rsidR="00CA0320" w:rsidRDefault="00CA0320">
      <w:pPr>
        <w:spacing w:after="0" w:line="240" w:lineRule="auto"/>
        <w:ind w:firstLine="709"/>
        <w:jc w:val="both"/>
        <w:rPr>
          <w:rFonts w:ascii="Times New Roman" w:eastAsia="Times New Roman" w:hAnsi="Times New Roman" w:cs="Times New Roman"/>
          <w:b/>
          <w:sz w:val="24"/>
          <w:szCs w:val="24"/>
        </w:rPr>
      </w:pPr>
    </w:p>
    <w:p w14:paraId="2E27184E" w14:textId="77777777" w:rsidR="00CA0320"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relación con el objetivo principal de esta investigación, que es evaluar cómo el condicionamiento instrumental generado por el neurofeedback repercute en los trastornos psicológicos de depresión y ansiedad en pacientes con fibromialgia, se aprecia que hay una mejoría de las variables, depresión, ansiedad. Esta mejoría en las variables puede estar explicada por el aprendizaje que presentan los participantes y su capacidad de adaptarse a la exigencia de la terapia de neurofeedback.</w:t>
      </w:r>
    </w:p>
    <w:p w14:paraId="2CDC46BF" w14:textId="4D3C4AB3" w:rsidR="00CA0320" w:rsidRPr="00ED37B1" w:rsidRDefault="0000114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 múltiples los estudios que muestran la incidencia de los trastornos depresivos y de ansiedad en pacientes con fibromialgia (</w:t>
      </w:r>
      <w:proofErr w:type="spellStart"/>
      <w:r>
        <w:rPr>
          <w:rFonts w:ascii="Times New Roman" w:eastAsia="Times New Roman" w:hAnsi="Times New Roman" w:cs="Times New Roman"/>
          <w:sz w:val="24"/>
          <w:szCs w:val="24"/>
        </w:rPr>
        <w:t>Homannet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Stefanello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Góes</w:t>
      </w:r>
      <w:proofErr w:type="spellEnd"/>
      <w:r>
        <w:rPr>
          <w:rFonts w:ascii="Times New Roman" w:eastAsia="Times New Roman" w:hAnsi="Times New Roman" w:cs="Times New Roman"/>
          <w:sz w:val="24"/>
          <w:szCs w:val="24"/>
        </w:rPr>
        <w:t xml:space="preserve">, Breda, Paiva &amp; </w:t>
      </w:r>
      <w:proofErr w:type="spellStart"/>
      <w:r>
        <w:rPr>
          <w:rFonts w:ascii="Times New Roman" w:eastAsia="Times New Roman" w:hAnsi="Times New Roman" w:cs="Times New Roman"/>
          <w:sz w:val="24"/>
          <w:szCs w:val="24"/>
        </w:rPr>
        <w:t>Leite</w:t>
      </w:r>
      <w:proofErr w:type="spellEnd"/>
      <w:r>
        <w:rPr>
          <w:rFonts w:ascii="Times New Roman" w:eastAsia="Times New Roman" w:hAnsi="Times New Roman" w:cs="Times New Roman"/>
          <w:sz w:val="24"/>
          <w:szCs w:val="24"/>
        </w:rPr>
        <w:t xml:space="preserve">, 2012; Goldenberg, 2010; </w:t>
      </w:r>
      <w:proofErr w:type="spellStart"/>
      <w:r>
        <w:rPr>
          <w:rFonts w:ascii="Times New Roman" w:eastAsia="Times New Roman" w:hAnsi="Times New Roman" w:cs="Times New Roman"/>
          <w:sz w:val="24"/>
          <w:szCs w:val="24"/>
        </w:rPr>
        <w:t>Falcão</w:t>
      </w:r>
      <w:proofErr w:type="spellEnd"/>
      <w:r>
        <w:rPr>
          <w:rFonts w:ascii="Times New Roman" w:eastAsia="Times New Roman" w:hAnsi="Times New Roman" w:cs="Times New Roman"/>
          <w:sz w:val="24"/>
          <w:szCs w:val="24"/>
        </w:rPr>
        <w:t xml:space="preserve">, Sales, </w:t>
      </w:r>
      <w:proofErr w:type="spellStart"/>
      <w:r>
        <w:rPr>
          <w:rFonts w:ascii="Times New Roman" w:eastAsia="Times New Roman" w:hAnsi="Times New Roman" w:cs="Times New Roman"/>
          <w:sz w:val="24"/>
          <w:szCs w:val="24"/>
        </w:rPr>
        <w:t>Leite</w:t>
      </w:r>
      <w:proofErr w:type="spellEnd"/>
      <w:r>
        <w:rPr>
          <w:rFonts w:ascii="Times New Roman" w:eastAsia="Times New Roman" w:hAnsi="Times New Roman" w:cs="Times New Roman"/>
          <w:sz w:val="24"/>
          <w:szCs w:val="24"/>
        </w:rPr>
        <w:t xml:space="preserve">, Feldman, </w:t>
      </w:r>
      <w:proofErr w:type="spellStart"/>
      <w:r>
        <w:rPr>
          <w:rFonts w:ascii="Times New Roman" w:eastAsia="Times New Roman" w:hAnsi="Times New Roman" w:cs="Times New Roman"/>
          <w:sz w:val="24"/>
          <w:szCs w:val="24"/>
        </w:rPr>
        <w:t>Valim</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Natour</w:t>
      </w:r>
      <w:proofErr w:type="spellEnd"/>
      <w:r>
        <w:rPr>
          <w:rFonts w:ascii="Times New Roman" w:eastAsia="Times New Roman" w:hAnsi="Times New Roman" w:cs="Times New Roman"/>
          <w:sz w:val="24"/>
          <w:szCs w:val="24"/>
        </w:rPr>
        <w:t>, 2008)</w:t>
      </w:r>
      <w:r>
        <w:rPr>
          <w:rFonts w:ascii="Times New Roman" w:eastAsia="Times New Roman" w:hAnsi="Times New Roman" w:cs="Times New Roman"/>
          <w:color w:val="FF0000"/>
          <w:sz w:val="24"/>
          <w:szCs w:val="24"/>
        </w:rPr>
        <w:t xml:space="preserve"> </w:t>
      </w:r>
      <w:r w:rsidRPr="00ED37B1">
        <w:rPr>
          <w:rFonts w:ascii="Times New Roman" w:eastAsia="Times New Roman" w:hAnsi="Times New Roman" w:cs="Times New Roman"/>
          <w:sz w:val="24"/>
          <w:szCs w:val="24"/>
        </w:rPr>
        <w:t>pero apenas hay estudios cuy</w:t>
      </w:r>
      <w:r w:rsidR="00ED37B1" w:rsidRPr="00ED37B1">
        <w:rPr>
          <w:rFonts w:ascii="Times New Roman" w:eastAsia="Times New Roman" w:hAnsi="Times New Roman" w:cs="Times New Roman"/>
          <w:sz w:val="24"/>
          <w:szCs w:val="24"/>
        </w:rPr>
        <w:t>a</w:t>
      </w:r>
      <w:r w:rsidRPr="00ED37B1">
        <w:rPr>
          <w:rFonts w:ascii="Times New Roman" w:eastAsia="Times New Roman" w:hAnsi="Times New Roman" w:cs="Times New Roman"/>
          <w:sz w:val="24"/>
          <w:szCs w:val="24"/>
        </w:rPr>
        <w:t xml:space="preserve"> variable independiente sea el tratamiento de neurofeedback, y mucho más concreto, mediante un protocolo de SMR en pacientes con fibromialgia (</w:t>
      </w:r>
      <w:proofErr w:type="spellStart"/>
      <w:r w:rsidRPr="00ED37B1">
        <w:rPr>
          <w:rFonts w:ascii="Times New Roman" w:eastAsia="Times New Roman" w:hAnsi="Times New Roman" w:cs="Times New Roman"/>
          <w:sz w:val="24"/>
          <w:szCs w:val="24"/>
        </w:rPr>
        <w:t>Kayiran</w:t>
      </w:r>
      <w:proofErr w:type="spellEnd"/>
      <w:r w:rsidRPr="00ED37B1">
        <w:rPr>
          <w:rFonts w:ascii="Times New Roman" w:eastAsia="Times New Roman" w:hAnsi="Times New Roman" w:cs="Times New Roman"/>
          <w:sz w:val="24"/>
          <w:szCs w:val="24"/>
        </w:rPr>
        <w:t xml:space="preserve"> et al, 2010; </w:t>
      </w:r>
      <w:proofErr w:type="spellStart"/>
      <w:r w:rsidRPr="00ED37B1">
        <w:rPr>
          <w:rFonts w:ascii="Times New Roman" w:eastAsia="Times New Roman" w:hAnsi="Times New Roman" w:cs="Times New Roman"/>
          <w:sz w:val="24"/>
          <w:szCs w:val="24"/>
        </w:rPr>
        <w:t>Pavlenko</w:t>
      </w:r>
      <w:proofErr w:type="spellEnd"/>
      <w:r w:rsidRPr="00ED37B1">
        <w:rPr>
          <w:rFonts w:ascii="Times New Roman" w:eastAsia="Times New Roman" w:hAnsi="Times New Roman" w:cs="Times New Roman"/>
          <w:sz w:val="24"/>
          <w:szCs w:val="24"/>
        </w:rPr>
        <w:t xml:space="preserve"> et at, 2009). En nuestro estudio, al igual que es de </w:t>
      </w:r>
      <w:proofErr w:type="spellStart"/>
      <w:r w:rsidRPr="00ED37B1">
        <w:rPr>
          <w:rFonts w:ascii="Times New Roman" w:eastAsia="Times New Roman" w:hAnsi="Times New Roman" w:cs="Times New Roman"/>
          <w:sz w:val="24"/>
          <w:szCs w:val="24"/>
        </w:rPr>
        <w:t>Kayiran</w:t>
      </w:r>
      <w:proofErr w:type="spellEnd"/>
      <w:r w:rsidRPr="00ED37B1">
        <w:rPr>
          <w:rFonts w:ascii="Times New Roman" w:eastAsia="Times New Roman" w:hAnsi="Times New Roman" w:cs="Times New Roman"/>
          <w:sz w:val="24"/>
          <w:szCs w:val="24"/>
        </w:rPr>
        <w:t xml:space="preserve"> et al. 2010, se </w:t>
      </w:r>
      <w:r>
        <w:rPr>
          <w:rFonts w:ascii="Times New Roman" w:eastAsia="Times New Roman" w:hAnsi="Times New Roman" w:cs="Times New Roman"/>
          <w:sz w:val="24"/>
          <w:szCs w:val="24"/>
        </w:rPr>
        <w:t xml:space="preserve">hace consciente la mejora de la depresión y ansiedad como variable psicológica. Según los objetivos descritos en el trabajo de investigación, se </w:t>
      </w:r>
      <w:r>
        <w:rPr>
          <w:rFonts w:ascii="Times New Roman" w:eastAsia="Times New Roman" w:hAnsi="Times New Roman" w:cs="Times New Roman"/>
          <w:sz w:val="24"/>
          <w:szCs w:val="24"/>
        </w:rPr>
        <w:lastRenderedPageBreak/>
        <w:t xml:space="preserve">expone que el entrenamiento mediante la técnica de neurofeedback ha provocado un cambio en los patrones eléctricos cerebrales, especialmente si se atiende al moldeamiento que ha sufrido el ratio SMR/Theta. El moldeamiento de las ondas cerebrales es un proceso complejo de entender y entrenar, motivo por el cual los pacientes presentan cambios lentos y no siempre constantes. En esta investigación, los pacientes con fibromialgia se han adaptado de forma adecuada a los requisitos que el entrenador ha marcado en el software utilizado para la investigación. El esfuerzo cognitivo necesario que han realizado los pacientes con fibromialgia para moldear su electroencefalograma se debe a la terapia de </w:t>
      </w:r>
      <w:r w:rsidRPr="00ED37B1">
        <w:rPr>
          <w:rFonts w:ascii="Times New Roman" w:eastAsia="Times New Roman" w:hAnsi="Times New Roman" w:cs="Times New Roman"/>
          <w:sz w:val="24"/>
          <w:szCs w:val="24"/>
        </w:rPr>
        <w:t>neurofeedback, y según lo expuesto por Stahl (2012), la activación de los procesos inhibitorio podría ser beneficioso para reducir la estimulación global en este tipo de pacientes.</w:t>
      </w:r>
    </w:p>
    <w:p w14:paraId="1992E222" w14:textId="77777777" w:rsidR="00CA0320" w:rsidRPr="00ED37B1" w:rsidRDefault="0000114F">
      <w:pPr>
        <w:spacing w:after="0" w:line="240" w:lineRule="auto"/>
        <w:ind w:firstLine="709"/>
        <w:jc w:val="both"/>
        <w:rPr>
          <w:rFonts w:ascii="Times New Roman" w:eastAsia="Times New Roman" w:hAnsi="Times New Roman" w:cs="Times New Roman"/>
          <w:sz w:val="24"/>
          <w:szCs w:val="24"/>
        </w:rPr>
      </w:pPr>
      <w:r w:rsidRPr="00ED37B1">
        <w:rPr>
          <w:rFonts w:ascii="Times New Roman" w:eastAsia="Times New Roman" w:hAnsi="Times New Roman" w:cs="Times New Roman"/>
          <w:sz w:val="24"/>
          <w:szCs w:val="24"/>
        </w:rPr>
        <w:t xml:space="preserve">Este estudio muestra que aumento del ratio SMR/Theta contribuye a mantener un equilibrio en las funciones cerebrales, como ya expuso </w:t>
      </w:r>
      <w:proofErr w:type="spellStart"/>
      <w:r w:rsidRPr="00ED37B1">
        <w:rPr>
          <w:rFonts w:ascii="Times New Roman" w:eastAsia="Times New Roman" w:hAnsi="Times New Roman" w:cs="Times New Roman"/>
          <w:sz w:val="24"/>
          <w:szCs w:val="24"/>
        </w:rPr>
        <w:t>Sterman</w:t>
      </w:r>
      <w:proofErr w:type="spellEnd"/>
      <w:r w:rsidRPr="00ED37B1">
        <w:rPr>
          <w:rFonts w:ascii="Times New Roman" w:eastAsia="Times New Roman" w:hAnsi="Times New Roman" w:cs="Times New Roman"/>
          <w:sz w:val="24"/>
          <w:szCs w:val="24"/>
        </w:rPr>
        <w:t xml:space="preserve"> (2000), lo cual permite que los pacientes con fibromialgia atiendan mejor a los estímulos externos. El aumento del ratio, facilita y potencia los mecanismos inhibitorios del sistema nervioso </w:t>
      </w:r>
      <w:r>
        <w:rPr>
          <w:rFonts w:ascii="Times New Roman" w:eastAsia="Times New Roman" w:hAnsi="Times New Roman" w:cs="Times New Roman"/>
          <w:sz w:val="24"/>
          <w:szCs w:val="24"/>
        </w:rPr>
        <w:t xml:space="preserve">central y, como resultado, la información sensorial que llega al cerebro puede filtrarse y clasificarse mejor. Como resultado se obtiene un sistema nervioso menos saturado de estímulos y con mayor capacidad de procesamiento, debido a esto el porcentaje de pacientes que al inicio del estudio presentaban un diagnóstico depresivo era del 60.5% y tras la aplicación de la terapia, es un 32.5%. En cuanto a los pacientes con ansiedad-estado un 90% presentaban más de 5 en puntuaciones </w:t>
      </w:r>
      <w:proofErr w:type="spellStart"/>
      <w:r>
        <w:rPr>
          <w:rFonts w:ascii="Times New Roman" w:eastAsia="Times New Roman" w:hAnsi="Times New Roman" w:cs="Times New Roman"/>
          <w:sz w:val="24"/>
          <w:szCs w:val="24"/>
        </w:rPr>
        <w:t>decatipo</w:t>
      </w:r>
      <w:proofErr w:type="spellEnd"/>
      <w:r>
        <w:rPr>
          <w:rFonts w:ascii="Times New Roman" w:eastAsia="Times New Roman" w:hAnsi="Times New Roman" w:cs="Times New Roman"/>
          <w:sz w:val="24"/>
          <w:szCs w:val="24"/>
        </w:rPr>
        <w:t xml:space="preserve"> y tras la aplicación del neurofeedback, este porcentaje disminuyó a un 82.5%. En cuanto a la ansiedad-rasgo un 82.5% presentaban más de 5 en puntuaciones </w:t>
      </w:r>
      <w:proofErr w:type="spellStart"/>
      <w:r>
        <w:rPr>
          <w:rFonts w:ascii="Times New Roman" w:eastAsia="Times New Roman" w:hAnsi="Times New Roman" w:cs="Times New Roman"/>
          <w:sz w:val="24"/>
          <w:szCs w:val="24"/>
        </w:rPr>
        <w:t>decatipo</w:t>
      </w:r>
      <w:proofErr w:type="spellEnd"/>
      <w:r>
        <w:rPr>
          <w:rFonts w:ascii="Times New Roman" w:eastAsia="Times New Roman" w:hAnsi="Times New Roman" w:cs="Times New Roman"/>
          <w:sz w:val="24"/>
          <w:szCs w:val="24"/>
        </w:rPr>
        <w:t xml:space="preserve"> y tras la aplicación del neurofeedback, este porcentaje disminuyó a un 72.5%. Si se observa el valor la d de Cohen en las </w:t>
      </w:r>
      <w:proofErr w:type="spellStart"/>
      <w:r>
        <w:rPr>
          <w:rFonts w:ascii="Times New Roman" w:eastAsia="Times New Roman" w:hAnsi="Times New Roman" w:cs="Times New Roman"/>
          <w:sz w:val="24"/>
          <w:szCs w:val="24"/>
        </w:rPr>
        <w:t>hipótesis</w:t>
      </w:r>
      <w:proofErr w:type="spellEnd"/>
      <w:r>
        <w:rPr>
          <w:rFonts w:ascii="Times New Roman" w:eastAsia="Times New Roman" w:hAnsi="Times New Roman" w:cs="Times New Roman"/>
          <w:sz w:val="24"/>
          <w:szCs w:val="24"/>
        </w:rPr>
        <w:t xml:space="preserve"> se observa que presentan un valor medio, lo que indica que la diferencia entre el </w:t>
      </w:r>
      <w:r w:rsidRPr="00ED37B1">
        <w:rPr>
          <w:rFonts w:ascii="Times New Roman" w:eastAsia="Times New Roman" w:hAnsi="Times New Roman" w:cs="Times New Roman"/>
          <w:sz w:val="24"/>
          <w:szCs w:val="24"/>
        </w:rPr>
        <w:t xml:space="preserve">grupo antes y después del tratamiento de neurofeedback presentan un tamaño del efecto medio. Estos resultados van en consonancia con los estudios de </w:t>
      </w:r>
      <w:proofErr w:type="spellStart"/>
      <w:r w:rsidRPr="00ED37B1">
        <w:rPr>
          <w:rFonts w:ascii="Times New Roman" w:eastAsia="Times New Roman" w:hAnsi="Times New Roman" w:cs="Times New Roman"/>
          <w:sz w:val="24"/>
          <w:szCs w:val="24"/>
        </w:rPr>
        <w:t>Pavlenko</w:t>
      </w:r>
      <w:proofErr w:type="spellEnd"/>
      <w:r w:rsidRPr="00ED37B1">
        <w:rPr>
          <w:rFonts w:ascii="Times New Roman" w:eastAsia="Times New Roman" w:hAnsi="Times New Roman" w:cs="Times New Roman"/>
          <w:sz w:val="24"/>
          <w:szCs w:val="24"/>
        </w:rPr>
        <w:t xml:space="preserve"> et al.  (2009), que también describe el aumento en la estabilidad emocional general de los pacientes con fibromialgia tras la aplicación de la terapia de neurofeedback mediante el entrenamiento de los SMR.  </w:t>
      </w:r>
    </w:p>
    <w:p w14:paraId="32F9F68A" w14:textId="77777777" w:rsidR="00CA0320" w:rsidRDefault="0000114F">
      <w:pPr>
        <w:spacing w:after="0" w:line="240" w:lineRule="auto"/>
        <w:ind w:firstLine="709"/>
        <w:jc w:val="both"/>
        <w:rPr>
          <w:rFonts w:ascii="Times New Roman" w:eastAsia="Times New Roman" w:hAnsi="Times New Roman" w:cs="Times New Roman"/>
          <w:sz w:val="24"/>
          <w:szCs w:val="24"/>
        </w:rPr>
      </w:pPr>
      <w:r w:rsidRPr="00ED37B1">
        <w:rPr>
          <w:rFonts w:ascii="Times New Roman" w:eastAsia="Times New Roman" w:hAnsi="Times New Roman" w:cs="Times New Roman"/>
          <w:sz w:val="24"/>
          <w:szCs w:val="24"/>
        </w:rPr>
        <w:t xml:space="preserve">Según las </w:t>
      </w:r>
      <w:proofErr w:type="spellStart"/>
      <w:r w:rsidRPr="00ED37B1">
        <w:rPr>
          <w:rFonts w:ascii="Times New Roman" w:eastAsia="Times New Roman" w:hAnsi="Times New Roman" w:cs="Times New Roman"/>
          <w:sz w:val="24"/>
          <w:szCs w:val="24"/>
        </w:rPr>
        <w:t>hipótesis</w:t>
      </w:r>
      <w:proofErr w:type="spellEnd"/>
      <w:r w:rsidRPr="00ED37B1">
        <w:rPr>
          <w:rFonts w:ascii="Times New Roman" w:eastAsia="Times New Roman" w:hAnsi="Times New Roman" w:cs="Times New Roman"/>
          <w:sz w:val="24"/>
          <w:szCs w:val="24"/>
        </w:rPr>
        <w:t xml:space="preserve"> planteadas y los resultados expuestos, se concluye que el neurofeedback mejora significativamente los trastornos de depresión y ansiedad </w:t>
      </w:r>
      <w:r>
        <w:rPr>
          <w:rFonts w:ascii="Times New Roman" w:eastAsia="Times New Roman" w:hAnsi="Times New Roman" w:cs="Times New Roman"/>
          <w:sz w:val="24"/>
          <w:szCs w:val="24"/>
        </w:rPr>
        <w:t>en pacientes con fibromialgia por lo que podría ser una posible solución a los problemas planteados por estos pacientes.</w:t>
      </w:r>
    </w:p>
    <w:p w14:paraId="3A73CAD9" w14:textId="77777777" w:rsidR="00CA0320" w:rsidRDefault="00CA0320">
      <w:pPr>
        <w:spacing w:after="0" w:line="240" w:lineRule="auto"/>
        <w:rPr>
          <w:rFonts w:ascii="Times New Roman" w:eastAsia="Times New Roman" w:hAnsi="Times New Roman" w:cs="Times New Roman"/>
          <w:b/>
          <w:sz w:val="24"/>
          <w:szCs w:val="24"/>
        </w:rPr>
      </w:pPr>
    </w:p>
    <w:p w14:paraId="0739C1F3" w14:textId="77777777" w:rsidR="00CA0320" w:rsidRDefault="00CA0320">
      <w:pPr>
        <w:spacing w:after="0" w:line="240" w:lineRule="auto"/>
        <w:ind w:firstLine="709"/>
        <w:rPr>
          <w:rFonts w:ascii="Times New Roman" w:eastAsia="Times New Roman" w:hAnsi="Times New Roman" w:cs="Times New Roman"/>
          <w:b/>
          <w:sz w:val="24"/>
          <w:szCs w:val="24"/>
        </w:rPr>
      </w:pPr>
    </w:p>
    <w:p w14:paraId="4DD235F5" w14:textId="77777777" w:rsidR="00CA0320" w:rsidRDefault="00CA0320">
      <w:pPr>
        <w:spacing w:after="0" w:line="240" w:lineRule="auto"/>
        <w:ind w:firstLine="709"/>
        <w:rPr>
          <w:rFonts w:ascii="Times New Roman" w:eastAsia="Times New Roman" w:hAnsi="Times New Roman" w:cs="Times New Roman"/>
          <w:b/>
          <w:sz w:val="24"/>
          <w:szCs w:val="24"/>
        </w:rPr>
      </w:pPr>
    </w:p>
    <w:p w14:paraId="146CD811" w14:textId="77777777" w:rsidR="00CA0320" w:rsidRDefault="0000114F">
      <w:pPr>
        <w:spacing w:after="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Bibliografía:</w:t>
      </w:r>
    </w:p>
    <w:p w14:paraId="2EA9B268" w14:textId="77777777" w:rsidR="00CA0320" w:rsidRDefault="00CA0320">
      <w:pPr>
        <w:spacing w:after="0" w:line="240" w:lineRule="auto"/>
        <w:ind w:firstLine="709"/>
        <w:rPr>
          <w:rFonts w:ascii="Times New Roman" w:eastAsia="Times New Roman" w:hAnsi="Times New Roman" w:cs="Times New Roman"/>
          <w:b/>
          <w:sz w:val="24"/>
          <w:szCs w:val="24"/>
        </w:rPr>
      </w:pPr>
    </w:p>
    <w:p w14:paraId="3F2E1C65" w14:textId="77777777" w:rsidR="00CA0320" w:rsidRDefault="00CA0320">
      <w:pPr>
        <w:spacing w:after="0" w:line="240" w:lineRule="auto"/>
        <w:ind w:firstLine="709"/>
        <w:rPr>
          <w:rFonts w:ascii="Times New Roman" w:eastAsia="Times New Roman" w:hAnsi="Times New Roman" w:cs="Times New Roman"/>
          <w:b/>
          <w:sz w:val="24"/>
          <w:szCs w:val="24"/>
        </w:rPr>
      </w:pPr>
    </w:p>
    <w:p w14:paraId="670415A5" w14:textId="77777777" w:rsidR="00CA0320" w:rsidRDefault="0000114F">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Beck, A. T., Ward, C. H., </w:t>
      </w:r>
      <w:proofErr w:type="spellStart"/>
      <w:r>
        <w:rPr>
          <w:rFonts w:ascii="Times New Roman" w:eastAsia="Times New Roman" w:hAnsi="Times New Roman" w:cs="Times New Roman"/>
          <w:sz w:val="24"/>
          <w:szCs w:val="24"/>
        </w:rPr>
        <w:t>Mendelson</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Mock</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Erbaugh</w:t>
      </w:r>
      <w:proofErr w:type="spellEnd"/>
      <w:r>
        <w:rPr>
          <w:rFonts w:ascii="Times New Roman" w:eastAsia="Times New Roman" w:hAnsi="Times New Roman" w:cs="Times New Roman"/>
          <w:sz w:val="24"/>
          <w:szCs w:val="24"/>
        </w:rPr>
        <w:t xml:space="preserve">, J. (1961).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inventory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measuring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Arch</w:t>
      </w:r>
      <w:proofErr w:type="spellEnd"/>
      <w:r>
        <w:rPr>
          <w:rFonts w:ascii="Times New Roman" w:eastAsia="Times New Roman" w:hAnsi="Times New Roman" w:cs="Times New Roman"/>
          <w:i/>
          <w:sz w:val="24"/>
          <w:szCs w:val="24"/>
        </w:rPr>
        <w:t xml:space="preserve"> Gen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4, </w:t>
      </w:r>
      <w:r>
        <w:rPr>
          <w:rFonts w:ascii="Times New Roman" w:eastAsia="Times New Roman" w:hAnsi="Times New Roman" w:cs="Times New Roman"/>
          <w:sz w:val="24"/>
          <w:szCs w:val="24"/>
        </w:rPr>
        <w:t xml:space="preserve">561-71. </w:t>
      </w:r>
    </w:p>
    <w:p w14:paraId="22BF5BAC" w14:textId="77777777" w:rsidR="00CA0320" w:rsidRDefault="0000114F">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Beck, A., </w:t>
      </w:r>
      <w:proofErr w:type="spellStart"/>
      <w:r>
        <w:rPr>
          <w:rFonts w:ascii="Times New Roman" w:eastAsia="Times New Roman" w:hAnsi="Times New Roman" w:cs="Times New Roman"/>
          <w:sz w:val="24"/>
          <w:szCs w:val="24"/>
        </w:rPr>
        <w:t>Steer</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Carbin</w:t>
      </w:r>
      <w:proofErr w:type="spellEnd"/>
      <w:r>
        <w:rPr>
          <w:rFonts w:ascii="Times New Roman" w:eastAsia="Times New Roman" w:hAnsi="Times New Roman" w:cs="Times New Roman"/>
          <w:sz w:val="24"/>
          <w:szCs w:val="24"/>
        </w:rPr>
        <w:t xml:space="preserve">, M. (1988). </w:t>
      </w:r>
      <w:proofErr w:type="spellStart"/>
      <w:r>
        <w:rPr>
          <w:rFonts w:ascii="Times New Roman" w:eastAsia="Times New Roman" w:hAnsi="Times New Roman" w:cs="Times New Roman"/>
          <w:sz w:val="24"/>
          <w:szCs w:val="24"/>
        </w:rPr>
        <w:t>Psychometric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Beck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Inventory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Twenty-five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years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Clinical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xml:space="preserve">(1), 77-100. </w:t>
      </w:r>
      <w:hyperlink r:id="rId9">
        <w:r>
          <w:rPr>
            <w:rFonts w:ascii="Times New Roman" w:eastAsia="Times New Roman" w:hAnsi="Times New Roman" w:cs="Times New Roman"/>
            <w:color w:val="0000FF"/>
            <w:sz w:val="24"/>
            <w:szCs w:val="24"/>
            <w:u w:val="single"/>
          </w:rPr>
          <w:t>http://dx.doi.org/10.1016/0272-7358(88)90050-5</w:t>
        </w:r>
      </w:hyperlink>
    </w:p>
    <w:p w14:paraId="222C8B36"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Boomershine</w:t>
      </w:r>
      <w:proofErr w:type="spellEnd"/>
      <w:r>
        <w:rPr>
          <w:rFonts w:ascii="Times New Roman" w:eastAsia="Times New Roman" w:hAnsi="Times New Roman" w:cs="Times New Roman"/>
          <w:sz w:val="24"/>
          <w:szCs w:val="24"/>
        </w:rPr>
        <w:t>, C. S. (2015). </w:t>
      </w:r>
      <w:proofErr w:type="spellStart"/>
      <w:r>
        <w:rPr>
          <w:rFonts w:ascii="Times New Roman" w:eastAsia="Times New Roman" w:hAnsi="Times New Roman" w:cs="Times New Roman"/>
          <w:sz w:val="24"/>
          <w:szCs w:val="24"/>
        </w:rPr>
        <w:t>Fibromyalgia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prototypical</w:t>
      </w:r>
      <w:proofErr w:type="spellEnd"/>
      <w:r>
        <w:rPr>
          <w:rFonts w:ascii="Times New Roman" w:eastAsia="Times New Roman" w:hAnsi="Times New Roman" w:cs="Times New Roman"/>
          <w:sz w:val="24"/>
          <w:szCs w:val="24"/>
        </w:rPr>
        <w:t xml:space="preserve"> central </w:t>
      </w:r>
      <w:proofErr w:type="spellStart"/>
      <w:r>
        <w:rPr>
          <w:rFonts w:ascii="Times New Roman" w:eastAsia="Times New Roman" w:hAnsi="Times New Roman" w:cs="Times New Roman"/>
          <w:sz w:val="24"/>
          <w:szCs w:val="24"/>
        </w:rPr>
        <w:t>sensitivity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syndrome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Current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Rheumatology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Reviews</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(2), 131-145.</w:t>
      </w:r>
    </w:p>
    <w:p w14:paraId="21E55329" w14:textId="77777777" w:rsidR="00CA0320" w:rsidRDefault="0000114F">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Conde, V., &amp; </w:t>
      </w:r>
      <w:proofErr w:type="spellStart"/>
      <w:r>
        <w:rPr>
          <w:rFonts w:ascii="Times New Roman" w:eastAsia="Times New Roman" w:hAnsi="Times New Roman" w:cs="Times New Roman"/>
          <w:sz w:val="24"/>
          <w:szCs w:val="24"/>
        </w:rPr>
        <w:t>Useros</w:t>
      </w:r>
      <w:proofErr w:type="spellEnd"/>
      <w:r>
        <w:rPr>
          <w:rFonts w:ascii="Times New Roman" w:eastAsia="Times New Roman" w:hAnsi="Times New Roman" w:cs="Times New Roman"/>
          <w:sz w:val="24"/>
          <w:szCs w:val="24"/>
        </w:rPr>
        <w:t xml:space="preserve">, E. (1975). Adaptación castellana de la escala de evaluación conductual para la depresión de Beck. </w:t>
      </w:r>
      <w:proofErr w:type="spellStart"/>
      <w:r>
        <w:rPr>
          <w:rFonts w:ascii="Times New Roman" w:eastAsia="Times New Roman" w:hAnsi="Times New Roman" w:cs="Times New Roman"/>
          <w:i/>
          <w:sz w:val="24"/>
          <w:szCs w:val="24"/>
        </w:rPr>
        <w:t>Rev</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Psiquiatr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Psicol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Eur</w:t>
      </w:r>
      <w:proofErr w:type="spellEnd"/>
      <w:r>
        <w:rPr>
          <w:rFonts w:ascii="Times New Roman" w:eastAsia="Times New Roman" w:hAnsi="Times New Roman" w:cs="Times New Roman"/>
          <w:i/>
          <w:sz w:val="24"/>
          <w:szCs w:val="24"/>
        </w:rPr>
        <w:t xml:space="preserve"> Am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(217-36).</w:t>
      </w:r>
    </w:p>
    <w:p w14:paraId="75B41CBD"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Egner</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Gruzelier</w:t>
      </w:r>
      <w:proofErr w:type="spellEnd"/>
      <w:r>
        <w:rPr>
          <w:rFonts w:ascii="Times New Roman" w:eastAsia="Times New Roman" w:hAnsi="Times New Roman" w:cs="Times New Roman"/>
          <w:sz w:val="24"/>
          <w:szCs w:val="24"/>
        </w:rPr>
        <w:t xml:space="preserve">, J. (2001). </w:t>
      </w:r>
      <w:proofErr w:type="spellStart"/>
      <w:r>
        <w:rPr>
          <w:rFonts w:ascii="Times New Roman" w:eastAsia="Times New Roman" w:hAnsi="Times New Roman" w:cs="Times New Roman"/>
          <w:sz w:val="24"/>
          <w:szCs w:val="24"/>
        </w:rPr>
        <w:t>Learned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self-regulation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EEG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components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attention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event-related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potentials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humans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Neuroreport</w:t>
      </w:r>
      <w:proofErr w:type="spellEnd"/>
      <w:r>
        <w:rPr>
          <w:rFonts w:ascii="Times New Roman" w:eastAsia="Times New Roman" w:hAnsi="Times New Roman" w:cs="Times New Roman"/>
          <w:i/>
          <w:sz w:val="24"/>
          <w:szCs w:val="24"/>
        </w:rPr>
        <w:t>, 12</w:t>
      </w:r>
      <w:r>
        <w:rPr>
          <w:rFonts w:ascii="Times New Roman" w:eastAsia="Times New Roman" w:hAnsi="Times New Roman" w:cs="Times New Roman"/>
          <w:sz w:val="24"/>
          <w:szCs w:val="24"/>
        </w:rPr>
        <w:t xml:space="preserve">(18), 4155-4159. </w:t>
      </w:r>
      <w:hyperlink r:id="rId10">
        <w:r>
          <w:rPr>
            <w:rFonts w:ascii="Times New Roman" w:eastAsia="Times New Roman" w:hAnsi="Times New Roman" w:cs="Times New Roman"/>
            <w:color w:val="0000FF"/>
            <w:sz w:val="24"/>
            <w:szCs w:val="24"/>
            <w:u w:val="single"/>
          </w:rPr>
          <w:t>http://dx.doi.org/10.1097/00001756-200112210-00058</w:t>
        </w:r>
      </w:hyperlink>
    </w:p>
    <w:p w14:paraId="19BF7E7E"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Falcão</w:t>
      </w:r>
      <w:proofErr w:type="spellEnd"/>
      <w:r>
        <w:rPr>
          <w:rFonts w:ascii="Times New Roman" w:eastAsia="Times New Roman" w:hAnsi="Times New Roman" w:cs="Times New Roman"/>
          <w:sz w:val="24"/>
          <w:szCs w:val="24"/>
        </w:rPr>
        <w:t xml:space="preserve">, D. M., Sales, L., </w:t>
      </w:r>
      <w:proofErr w:type="spellStart"/>
      <w:r>
        <w:rPr>
          <w:rFonts w:ascii="Times New Roman" w:eastAsia="Times New Roman" w:hAnsi="Times New Roman" w:cs="Times New Roman"/>
          <w:sz w:val="24"/>
          <w:szCs w:val="24"/>
        </w:rPr>
        <w:t>Leite</w:t>
      </w:r>
      <w:proofErr w:type="spellEnd"/>
      <w:r>
        <w:rPr>
          <w:rFonts w:ascii="Times New Roman" w:eastAsia="Times New Roman" w:hAnsi="Times New Roman" w:cs="Times New Roman"/>
          <w:sz w:val="24"/>
          <w:szCs w:val="24"/>
        </w:rPr>
        <w:t xml:space="preserve">, J., Feldman, D., </w:t>
      </w:r>
      <w:proofErr w:type="spellStart"/>
      <w:r>
        <w:rPr>
          <w:rFonts w:ascii="Times New Roman" w:eastAsia="Times New Roman" w:hAnsi="Times New Roman" w:cs="Times New Roman"/>
          <w:sz w:val="24"/>
          <w:szCs w:val="24"/>
        </w:rPr>
        <w:t>Valim</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Natour</w:t>
      </w:r>
      <w:proofErr w:type="spellEnd"/>
      <w:r>
        <w:rPr>
          <w:rFonts w:ascii="Times New Roman" w:eastAsia="Times New Roman" w:hAnsi="Times New Roman" w:cs="Times New Roman"/>
          <w:sz w:val="24"/>
          <w:szCs w:val="24"/>
        </w:rPr>
        <w:t xml:space="preserve">, J. (2008). </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therapy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fibromyalgia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syndrome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randomized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controlled</w:t>
      </w:r>
      <w:proofErr w:type="spellEnd"/>
      <w:r>
        <w:rPr>
          <w:rFonts w:ascii="Times New Roman" w:eastAsia="Times New Roman" w:hAnsi="Times New Roman" w:cs="Times New Roman"/>
          <w:sz w:val="24"/>
          <w:szCs w:val="24"/>
        </w:rPr>
        <w:t xml:space="preserve"> trial. </w:t>
      </w:r>
      <w:r>
        <w:rPr>
          <w:rFonts w:ascii="Times New Roman" w:eastAsia="Times New Roman" w:hAnsi="Times New Roman" w:cs="Times New Roman"/>
          <w:i/>
          <w:sz w:val="24"/>
          <w:szCs w:val="24"/>
        </w:rPr>
        <w:t xml:space="preserve">J </w:t>
      </w:r>
      <w:proofErr w:type="spellStart"/>
      <w:r>
        <w:rPr>
          <w:rFonts w:ascii="Times New Roman" w:eastAsia="Times New Roman" w:hAnsi="Times New Roman" w:cs="Times New Roman"/>
          <w:i/>
          <w:sz w:val="24"/>
          <w:szCs w:val="24"/>
        </w:rPr>
        <w:t>Musculoskelet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Pain</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16</w:t>
      </w:r>
      <w:r>
        <w:rPr>
          <w:rFonts w:ascii="Times New Roman" w:eastAsia="Times New Roman" w:hAnsi="Times New Roman" w:cs="Times New Roman"/>
          <w:sz w:val="24"/>
          <w:szCs w:val="24"/>
        </w:rPr>
        <w:t>(3),133-40.</w:t>
      </w:r>
    </w:p>
    <w:p w14:paraId="626456C0"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Fitzcharles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Shir</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Ablin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Buskila</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Amital</w:t>
      </w:r>
      <w:proofErr w:type="spellEnd"/>
      <w:r>
        <w:rPr>
          <w:rFonts w:ascii="Times New Roman" w:eastAsia="Times New Roman" w:hAnsi="Times New Roman" w:cs="Times New Roman"/>
          <w:sz w:val="24"/>
          <w:szCs w:val="24"/>
        </w:rPr>
        <w:t xml:space="preserve">, H., Henningsen, P., &amp; </w:t>
      </w:r>
      <w:proofErr w:type="spellStart"/>
      <w:r>
        <w:rPr>
          <w:rFonts w:ascii="Times New Roman" w:eastAsia="Times New Roman" w:hAnsi="Times New Roman" w:cs="Times New Roman"/>
          <w:sz w:val="24"/>
          <w:szCs w:val="24"/>
        </w:rPr>
        <w:t>Häuser</w:t>
      </w:r>
      <w:proofErr w:type="spellEnd"/>
      <w:r>
        <w:rPr>
          <w:rFonts w:ascii="Times New Roman" w:eastAsia="Times New Roman" w:hAnsi="Times New Roman" w:cs="Times New Roman"/>
          <w:sz w:val="24"/>
          <w:szCs w:val="24"/>
        </w:rPr>
        <w:t xml:space="preserve">, W. (2013). </w:t>
      </w:r>
      <w:proofErr w:type="spellStart"/>
      <w:r>
        <w:rPr>
          <w:rFonts w:ascii="Times New Roman" w:eastAsia="Times New Roman" w:hAnsi="Times New Roman" w:cs="Times New Roman"/>
          <w:sz w:val="24"/>
          <w:szCs w:val="24"/>
        </w:rPr>
        <w:t>Classification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Diagnosis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Fibromyalgia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Syndrome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Recommendations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Evidence-Based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Interdisciplinary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Guidelines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Evidence-Based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Complementary</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Alternative</w:t>
      </w:r>
      <w:proofErr w:type="spellEnd"/>
      <w:r>
        <w:rPr>
          <w:rFonts w:ascii="Times New Roman" w:eastAsia="Times New Roman" w:hAnsi="Times New Roman" w:cs="Times New Roman"/>
          <w:i/>
          <w:sz w:val="24"/>
          <w:szCs w:val="24"/>
        </w:rPr>
        <w:t xml:space="preserve"> Medicine</w:t>
      </w:r>
      <w:r>
        <w:rPr>
          <w:rFonts w:ascii="Times New Roman" w:eastAsia="Times New Roman" w:hAnsi="Times New Roman" w:cs="Times New Roman"/>
          <w:sz w:val="24"/>
          <w:szCs w:val="24"/>
        </w:rPr>
        <w:t xml:space="preserve">, 1-9. </w:t>
      </w:r>
      <w:hyperlink r:id="rId11">
        <w:r>
          <w:rPr>
            <w:rFonts w:ascii="Times New Roman" w:eastAsia="Times New Roman" w:hAnsi="Times New Roman" w:cs="Times New Roman"/>
            <w:color w:val="0000FF"/>
            <w:sz w:val="24"/>
            <w:szCs w:val="24"/>
            <w:u w:val="single"/>
          </w:rPr>
          <w:t>http://dx.doi.org/10.1155/2013/528952</w:t>
        </w:r>
      </w:hyperlink>
    </w:p>
    <w:p w14:paraId="3E60FFAF"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Fitzcharles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Ste</w:t>
      </w:r>
      <w:proofErr w:type="spellEnd"/>
      <w:r>
        <w:rPr>
          <w:rFonts w:ascii="Times New Roman" w:eastAsia="Times New Roman" w:hAnsi="Times New Roman" w:cs="Times New Roman"/>
          <w:sz w:val="24"/>
          <w:szCs w:val="24"/>
        </w:rPr>
        <w:t xml:space="preserve">-Marie, P., Goldenberg, D., Pereira, J., </w:t>
      </w:r>
      <w:proofErr w:type="spellStart"/>
      <w:r>
        <w:rPr>
          <w:rFonts w:ascii="Times New Roman" w:eastAsia="Times New Roman" w:hAnsi="Times New Roman" w:cs="Times New Roman"/>
          <w:sz w:val="24"/>
          <w:szCs w:val="24"/>
        </w:rPr>
        <w:t>Abbey</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Choinière</w:t>
      </w:r>
      <w:proofErr w:type="spellEnd"/>
      <w:r>
        <w:rPr>
          <w:rFonts w:ascii="Times New Roman" w:eastAsia="Times New Roman" w:hAnsi="Times New Roman" w:cs="Times New Roman"/>
          <w:sz w:val="24"/>
          <w:szCs w:val="24"/>
        </w:rPr>
        <w:t xml:space="preserve">, M. et al. (2013). 2012 Canadian </w:t>
      </w:r>
      <w:proofErr w:type="spellStart"/>
      <w:r>
        <w:rPr>
          <w:rFonts w:ascii="Times New Roman" w:eastAsia="Times New Roman" w:hAnsi="Times New Roman" w:cs="Times New Roman"/>
          <w:sz w:val="24"/>
          <w:szCs w:val="24"/>
        </w:rPr>
        <w:t>Guidelines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Diagnosis and Management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Fibromyalgia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Syndrome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Executive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Summary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Pain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 xml:space="preserve">(3), 119-126. </w:t>
      </w:r>
      <w:hyperlink r:id="rId12">
        <w:r>
          <w:rPr>
            <w:rFonts w:ascii="Times New Roman" w:eastAsia="Times New Roman" w:hAnsi="Times New Roman" w:cs="Times New Roman"/>
            <w:color w:val="0000FF"/>
            <w:sz w:val="24"/>
            <w:szCs w:val="24"/>
            <w:u w:val="single"/>
          </w:rPr>
          <w:t>http://dx.doi.org/10.1155/2013/918216</w:t>
        </w:r>
      </w:hyperlink>
    </w:p>
    <w:p w14:paraId="2A3DA0B0"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Garg</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Deodhar</w:t>
      </w:r>
      <w:proofErr w:type="spellEnd"/>
      <w:r>
        <w:rPr>
          <w:rFonts w:ascii="Times New Roman" w:eastAsia="Times New Roman" w:hAnsi="Times New Roman" w:cs="Times New Roman"/>
          <w:sz w:val="24"/>
          <w:szCs w:val="24"/>
        </w:rPr>
        <w:t xml:space="preserve">, A. (2012). New and </w:t>
      </w:r>
      <w:proofErr w:type="spellStart"/>
      <w:r>
        <w:rPr>
          <w:rFonts w:ascii="Times New Roman" w:eastAsia="Times New Roman" w:hAnsi="Times New Roman" w:cs="Times New Roman"/>
          <w:sz w:val="24"/>
          <w:szCs w:val="24"/>
        </w:rPr>
        <w:t>modified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fibromyalgia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Ambiguity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uncertainty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difficulties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complicate</w:t>
      </w:r>
      <w:proofErr w:type="spellEnd"/>
      <w:r>
        <w:rPr>
          <w:rFonts w:ascii="Times New Roman" w:eastAsia="Times New Roman" w:hAnsi="Times New Roman" w:cs="Times New Roman"/>
          <w:sz w:val="24"/>
          <w:szCs w:val="24"/>
        </w:rPr>
        <w:t xml:space="preserve"> diagnosis and </w:t>
      </w:r>
      <w:proofErr w:type="spellStart"/>
      <w:r>
        <w:rPr>
          <w:rFonts w:ascii="Times New Roman" w:eastAsia="Times New Roman" w:hAnsi="Times New Roman" w:cs="Times New Roman"/>
          <w:sz w:val="24"/>
          <w:szCs w:val="24"/>
        </w:rPr>
        <w:t>management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 </w:t>
      </w:r>
      <w:proofErr w:type="spellStart"/>
      <w:r>
        <w:rPr>
          <w:rFonts w:ascii="Times New Roman" w:eastAsia="Times New Roman" w:hAnsi="Times New Roman" w:cs="Times New Roman"/>
          <w:i/>
          <w:sz w:val="24"/>
          <w:szCs w:val="24"/>
        </w:rPr>
        <w:t>Musculoskel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Med</w:t>
      </w:r>
      <w:proofErr w:type="spellEnd"/>
      <w:r>
        <w:rPr>
          <w:rFonts w:ascii="Times New Roman" w:eastAsia="Times New Roman" w:hAnsi="Times New Roman" w:cs="Times New Roman"/>
          <w:i/>
          <w:sz w:val="24"/>
          <w:szCs w:val="24"/>
        </w:rPr>
        <w:t>. 29</w:t>
      </w:r>
      <w:r>
        <w:rPr>
          <w:rFonts w:ascii="Times New Roman" w:eastAsia="Times New Roman" w:hAnsi="Times New Roman" w:cs="Times New Roman"/>
          <w:sz w:val="24"/>
          <w:szCs w:val="24"/>
        </w:rPr>
        <w:t>, 1–5.</w:t>
      </w:r>
    </w:p>
    <w:p w14:paraId="194A37B0" w14:textId="77777777" w:rsidR="00CA0320" w:rsidRDefault="0000114F">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Goldenberg, D. L. (2002).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interface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mood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disturbances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rheumatic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diseases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Semin </w:t>
      </w:r>
      <w:proofErr w:type="spellStart"/>
      <w:r>
        <w:rPr>
          <w:rFonts w:ascii="Times New Roman" w:eastAsia="Times New Roman" w:hAnsi="Times New Roman" w:cs="Times New Roman"/>
          <w:i/>
          <w:sz w:val="24"/>
          <w:szCs w:val="24"/>
        </w:rPr>
        <w:t>Arthritis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Rheum</w:t>
      </w:r>
      <w:proofErr w:type="spellEnd"/>
      <w:r>
        <w:rPr>
          <w:rFonts w:ascii="Times New Roman" w:eastAsia="Times New Roman" w:hAnsi="Times New Roman" w:cs="Times New Roman"/>
          <w:sz w:val="24"/>
          <w:szCs w:val="24"/>
        </w:rPr>
        <w:t>, 40(</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),15-31.</w:t>
      </w:r>
    </w:p>
    <w:p w14:paraId="4F4713CF" w14:textId="77777777" w:rsidR="00CA0320" w:rsidRDefault="0000114F">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Guillén, A. &amp; </w:t>
      </w:r>
      <w:proofErr w:type="spellStart"/>
      <w:r>
        <w:rPr>
          <w:rFonts w:ascii="Times New Roman" w:eastAsia="Times New Roman" w:hAnsi="Times New Roman" w:cs="Times New Roman"/>
          <w:sz w:val="24"/>
          <w:szCs w:val="24"/>
        </w:rPr>
        <w:t>Buela</w:t>
      </w:r>
      <w:proofErr w:type="spellEnd"/>
      <w:r>
        <w:rPr>
          <w:rFonts w:ascii="Times New Roman" w:eastAsia="Times New Roman" w:hAnsi="Times New Roman" w:cs="Times New Roman"/>
          <w:sz w:val="24"/>
          <w:szCs w:val="24"/>
        </w:rPr>
        <w:t xml:space="preserve">, G. (2011). Actualización psicométrica y funcionamiento diferencial de los ítems en el </w:t>
      </w:r>
      <w:proofErr w:type="spellStart"/>
      <w:r>
        <w:rPr>
          <w:rFonts w:ascii="Times New Roman" w:eastAsia="Times New Roman" w:hAnsi="Times New Roman" w:cs="Times New Roman"/>
          <w:sz w:val="24"/>
          <w:szCs w:val="24"/>
        </w:rPr>
        <w:t>State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Anxiety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Inventory</w:t>
      </w:r>
      <w:proofErr w:type="spellEnd"/>
      <w:r>
        <w:rPr>
          <w:rFonts w:ascii="Times New Roman" w:eastAsia="Times New Roman" w:hAnsi="Times New Roman" w:cs="Times New Roman"/>
          <w:sz w:val="24"/>
          <w:szCs w:val="24"/>
        </w:rPr>
        <w:t xml:space="preserve"> (STAI). </w:t>
      </w:r>
      <w:proofErr w:type="spellStart"/>
      <w:r>
        <w:rPr>
          <w:rFonts w:ascii="Times New Roman" w:eastAsia="Times New Roman" w:hAnsi="Times New Roman" w:cs="Times New Roman"/>
          <w:i/>
          <w:sz w:val="24"/>
          <w:szCs w:val="24"/>
        </w:rPr>
        <w:t>Psicothema</w:t>
      </w:r>
      <w:proofErr w:type="spellEnd"/>
      <w:r>
        <w:rPr>
          <w:rFonts w:ascii="Times New Roman" w:eastAsia="Times New Roman" w:hAnsi="Times New Roman" w:cs="Times New Roman"/>
          <w:i/>
          <w:sz w:val="24"/>
          <w:szCs w:val="24"/>
        </w:rPr>
        <w:t>, 23</w:t>
      </w:r>
      <w:r>
        <w:rPr>
          <w:rFonts w:ascii="Times New Roman" w:eastAsia="Times New Roman" w:hAnsi="Times New Roman" w:cs="Times New Roman"/>
          <w:sz w:val="24"/>
          <w:szCs w:val="24"/>
        </w:rPr>
        <w:t>(3), 510-515.</w:t>
      </w:r>
    </w:p>
    <w:p w14:paraId="74CFC0DE"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Homann</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Stefanello</w:t>
      </w:r>
      <w:proofErr w:type="spellEnd"/>
      <w:r>
        <w:rPr>
          <w:rFonts w:ascii="Times New Roman" w:eastAsia="Times New Roman" w:hAnsi="Times New Roman" w:cs="Times New Roman"/>
          <w:sz w:val="24"/>
          <w:szCs w:val="24"/>
        </w:rPr>
        <w:t xml:space="preserve">, J. M. F., </w:t>
      </w:r>
      <w:proofErr w:type="spellStart"/>
      <w:r>
        <w:rPr>
          <w:rFonts w:ascii="Times New Roman" w:eastAsia="Times New Roman" w:hAnsi="Times New Roman" w:cs="Times New Roman"/>
          <w:sz w:val="24"/>
          <w:szCs w:val="24"/>
        </w:rPr>
        <w:t>Góes</w:t>
      </w:r>
      <w:proofErr w:type="spellEnd"/>
      <w:r>
        <w:rPr>
          <w:rFonts w:ascii="Times New Roman" w:eastAsia="Times New Roman" w:hAnsi="Times New Roman" w:cs="Times New Roman"/>
          <w:sz w:val="24"/>
          <w:szCs w:val="24"/>
        </w:rPr>
        <w:t xml:space="preserve">, S. M., Breda, C. A., Paiva, E. S., </w:t>
      </w:r>
      <w:proofErr w:type="spellStart"/>
      <w:r>
        <w:rPr>
          <w:rFonts w:ascii="Times New Roman" w:eastAsia="Times New Roman" w:hAnsi="Times New Roman" w:cs="Times New Roman"/>
          <w:sz w:val="24"/>
          <w:szCs w:val="24"/>
        </w:rPr>
        <w:t>Leite</w:t>
      </w:r>
      <w:proofErr w:type="spellEnd"/>
      <w:r>
        <w:rPr>
          <w:rFonts w:ascii="Times New Roman" w:eastAsia="Times New Roman" w:hAnsi="Times New Roman" w:cs="Times New Roman"/>
          <w:sz w:val="24"/>
          <w:szCs w:val="24"/>
        </w:rPr>
        <w:t xml:space="preserve">, N. (2012). </w:t>
      </w:r>
      <w:proofErr w:type="spellStart"/>
      <w:r>
        <w:rPr>
          <w:rFonts w:ascii="Times New Roman" w:eastAsia="Times New Roman" w:hAnsi="Times New Roman" w:cs="Times New Roman"/>
          <w:sz w:val="24"/>
          <w:szCs w:val="24"/>
        </w:rPr>
        <w:t>Percepção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estresse</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sintomas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depressivos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funcionalidade</w:t>
      </w:r>
      <w:proofErr w:type="spellEnd"/>
      <w:r>
        <w:rPr>
          <w:rFonts w:ascii="Times New Roman" w:eastAsia="Times New Roman" w:hAnsi="Times New Roman" w:cs="Times New Roman"/>
          <w:sz w:val="24"/>
          <w:szCs w:val="24"/>
        </w:rPr>
        <w:t xml:space="preserve"> e impacto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qualidade</w:t>
      </w:r>
      <w:proofErr w:type="spellEnd"/>
      <w:r>
        <w:rPr>
          <w:rFonts w:ascii="Times New Roman" w:eastAsia="Times New Roman" w:hAnsi="Times New Roman" w:cs="Times New Roman"/>
          <w:sz w:val="24"/>
          <w:szCs w:val="24"/>
        </w:rPr>
        <w:t xml:space="preserve"> de vida em </w:t>
      </w:r>
      <w:proofErr w:type="spellStart"/>
      <w:r>
        <w:rPr>
          <w:rFonts w:ascii="Times New Roman" w:eastAsia="Times New Roman" w:hAnsi="Times New Roman" w:cs="Times New Roman"/>
          <w:sz w:val="24"/>
          <w:szCs w:val="24"/>
        </w:rPr>
        <w:t>mulheres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w:t>
      </w:r>
      <w:proofErr w:type="spellEnd"/>
      <w:r>
        <w:rPr>
          <w:rFonts w:ascii="Times New Roman" w:eastAsia="Times New Roman" w:hAnsi="Times New Roman" w:cs="Times New Roman"/>
          <w:sz w:val="24"/>
          <w:szCs w:val="24"/>
        </w:rPr>
        <w:t xml:space="preserve"> fibromialgia. </w:t>
      </w:r>
      <w:proofErr w:type="spellStart"/>
      <w:r>
        <w:rPr>
          <w:rFonts w:ascii="Times New Roman" w:eastAsia="Times New Roman" w:hAnsi="Times New Roman" w:cs="Times New Roman"/>
          <w:i/>
          <w:sz w:val="24"/>
          <w:szCs w:val="24"/>
        </w:rPr>
        <w:t>Rev</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Bras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Reumatol</w:t>
      </w:r>
      <w:proofErr w:type="spellEnd"/>
      <w:r>
        <w:rPr>
          <w:rFonts w:ascii="Times New Roman" w:eastAsia="Times New Roman" w:hAnsi="Times New Roman" w:cs="Times New Roman"/>
          <w:sz w:val="24"/>
          <w:szCs w:val="24"/>
        </w:rPr>
        <w:t>, 52(</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324-30.</w:t>
      </w:r>
    </w:p>
    <w:p w14:paraId="6126E83A" w14:textId="77777777" w:rsidR="00CA0320" w:rsidRDefault="0000114F">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Jensen, M., </w:t>
      </w:r>
      <w:proofErr w:type="spellStart"/>
      <w:r>
        <w:rPr>
          <w:rFonts w:ascii="Times New Roman" w:eastAsia="Times New Roman" w:hAnsi="Times New Roman" w:cs="Times New Roman"/>
          <w:sz w:val="24"/>
          <w:szCs w:val="24"/>
        </w:rPr>
        <w:t>Hakimian</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Sherlin</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Fregni</w:t>
      </w:r>
      <w:proofErr w:type="spellEnd"/>
      <w:r>
        <w:rPr>
          <w:rFonts w:ascii="Times New Roman" w:eastAsia="Times New Roman" w:hAnsi="Times New Roman" w:cs="Times New Roman"/>
          <w:sz w:val="24"/>
          <w:szCs w:val="24"/>
        </w:rPr>
        <w:t xml:space="preserve">, F. (2008). New </w:t>
      </w:r>
      <w:proofErr w:type="spellStart"/>
      <w:r>
        <w:rPr>
          <w:rFonts w:ascii="Times New Roman" w:eastAsia="Times New Roman" w:hAnsi="Times New Roman" w:cs="Times New Roman"/>
          <w:sz w:val="24"/>
          <w:szCs w:val="24"/>
        </w:rPr>
        <w:t>Insights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Neuromodulatory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Pain</w:t>
      </w:r>
      <w:proofErr w:type="spellEnd"/>
      <w:r>
        <w:rPr>
          <w:rFonts w:ascii="Times New Roman" w:eastAsia="Times New Roman" w:hAnsi="Times New Roman" w:cs="Times New Roman"/>
          <w:i/>
          <w:sz w:val="24"/>
          <w:szCs w:val="24"/>
        </w:rPr>
        <w:t>, 9</w:t>
      </w:r>
      <w:r>
        <w:rPr>
          <w:rFonts w:ascii="Times New Roman" w:eastAsia="Times New Roman" w:hAnsi="Times New Roman" w:cs="Times New Roman"/>
          <w:sz w:val="24"/>
          <w:szCs w:val="24"/>
        </w:rPr>
        <w:t xml:space="preserve">(3), 193-199. </w:t>
      </w:r>
      <w:hyperlink r:id="rId13">
        <w:r>
          <w:rPr>
            <w:rFonts w:ascii="Times New Roman" w:eastAsia="Times New Roman" w:hAnsi="Times New Roman" w:cs="Times New Roman"/>
            <w:color w:val="0000FF"/>
            <w:sz w:val="24"/>
            <w:szCs w:val="24"/>
            <w:u w:val="single"/>
          </w:rPr>
          <w:t>http://dx.doi.org/10.1016/j.jpain.2007.11.003</w:t>
        </w:r>
      </w:hyperlink>
    </w:p>
    <w:p w14:paraId="2CA7E259"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Kayıran</w:t>
      </w:r>
      <w:proofErr w:type="spellEnd"/>
      <w:r>
        <w:rPr>
          <w:rFonts w:ascii="Times New Roman" w:eastAsia="Times New Roman" w:hAnsi="Times New Roman" w:cs="Times New Roman"/>
          <w:sz w:val="24"/>
          <w:szCs w:val="24"/>
        </w:rPr>
        <w:t xml:space="preserve">, S., Dursun, E., Dursun, N., </w:t>
      </w:r>
      <w:proofErr w:type="spellStart"/>
      <w:r>
        <w:rPr>
          <w:rFonts w:ascii="Times New Roman" w:eastAsia="Times New Roman" w:hAnsi="Times New Roman" w:cs="Times New Roman"/>
          <w:sz w:val="24"/>
          <w:szCs w:val="24"/>
        </w:rPr>
        <w:t>Ermutlu</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Karamürsel</w:t>
      </w:r>
      <w:proofErr w:type="spellEnd"/>
      <w:r>
        <w:rPr>
          <w:rFonts w:ascii="Times New Roman" w:eastAsia="Times New Roman" w:hAnsi="Times New Roman" w:cs="Times New Roman"/>
          <w:sz w:val="24"/>
          <w:szCs w:val="24"/>
        </w:rPr>
        <w:t xml:space="preserve">, S. (2010). Neurofeedback </w:t>
      </w:r>
      <w:proofErr w:type="spellStart"/>
      <w:r>
        <w:rPr>
          <w:rFonts w:ascii="Times New Roman" w:eastAsia="Times New Roman" w:hAnsi="Times New Roman" w:cs="Times New Roman"/>
          <w:sz w:val="24"/>
          <w:szCs w:val="24"/>
        </w:rPr>
        <w:t>Intervention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Fibromyalgia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Syndrome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Randomized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Controlled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Trial. </w:t>
      </w:r>
      <w:proofErr w:type="spellStart"/>
      <w:r>
        <w:rPr>
          <w:rFonts w:ascii="Times New Roman" w:eastAsia="Times New Roman" w:hAnsi="Times New Roman" w:cs="Times New Roman"/>
          <w:i/>
          <w:sz w:val="24"/>
          <w:szCs w:val="24"/>
        </w:rPr>
        <w:t>Applied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Psychophysiology</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Biofeedback</w:t>
      </w:r>
      <w:proofErr w:type="spellEnd"/>
      <w:r>
        <w:rPr>
          <w:rFonts w:ascii="Times New Roman" w:eastAsia="Times New Roman" w:hAnsi="Times New Roman" w:cs="Times New Roman"/>
          <w:i/>
          <w:sz w:val="24"/>
          <w:szCs w:val="24"/>
        </w:rPr>
        <w:t>, 35</w:t>
      </w:r>
      <w:r>
        <w:rPr>
          <w:rFonts w:ascii="Times New Roman" w:eastAsia="Times New Roman" w:hAnsi="Times New Roman" w:cs="Times New Roman"/>
          <w:sz w:val="24"/>
          <w:szCs w:val="24"/>
        </w:rPr>
        <w:t xml:space="preserve">(4), 293-302. </w:t>
      </w:r>
      <w:hyperlink r:id="rId14">
        <w:r>
          <w:rPr>
            <w:rFonts w:ascii="Times New Roman" w:eastAsia="Times New Roman" w:hAnsi="Times New Roman" w:cs="Times New Roman"/>
            <w:color w:val="0000FF"/>
            <w:sz w:val="24"/>
            <w:szCs w:val="24"/>
            <w:u w:val="single"/>
          </w:rPr>
          <w:t>http://dx.doi.org/10.1007/s10484-010-9135-9</w:t>
        </w:r>
      </w:hyperlink>
    </w:p>
    <w:p w14:paraId="3FA32BAD"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Menche</w:t>
      </w:r>
      <w:proofErr w:type="spellEnd"/>
      <w:r>
        <w:rPr>
          <w:rFonts w:ascii="Times New Roman" w:eastAsia="Times New Roman" w:hAnsi="Times New Roman" w:cs="Times New Roman"/>
          <w:sz w:val="24"/>
          <w:szCs w:val="24"/>
        </w:rPr>
        <w:t xml:space="preserve">, D. S. (2001). </w:t>
      </w:r>
      <w:proofErr w:type="spellStart"/>
      <w:r>
        <w:rPr>
          <w:rFonts w:ascii="Times New Roman" w:eastAsia="Times New Roman" w:hAnsi="Times New Roman" w:cs="Times New Roman"/>
          <w:sz w:val="24"/>
          <w:szCs w:val="24"/>
        </w:rPr>
        <w:t>Correlation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osteoarthritic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cartilage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damage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levels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proteinases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proteinase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inhibitors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synovial</w:t>
      </w:r>
      <w:proofErr w:type="spellEnd"/>
      <w:r>
        <w:rPr>
          <w:rFonts w:ascii="Times New Roman" w:eastAsia="Times New Roman" w:hAnsi="Times New Roman" w:cs="Times New Roman"/>
          <w:sz w:val="24"/>
          <w:szCs w:val="24"/>
        </w:rPr>
        <w:t xml:space="preserve"> fluid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joint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Arthroscopy</w:t>
      </w:r>
      <w:proofErr w:type="spellEnd"/>
      <w:r>
        <w:rPr>
          <w:rFonts w:ascii="Times New Roman" w:eastAsia="Times New Roman" w:hAnsi="Times New Roman" w:cs="Times New Roman"/>
          <w:i/>
          <w:sz w:val="24"/>
          <w:szCs w:val="24"/>
        </w:rPr>
        <w:t>, 17</w:t>
      </w:r>
      <w:r>
        <w:rPr>
          <w:rFonts w:ascii="Times New Roman" w:eastAsia="Times New Roman" w:hAnsi="Times New Roman" w:cs="Times New Roman"/>
          <w:sz w:val="24"/>
          <w:szCs w:val="24"/>
        </w:rPr>
        <w:t>(7), 790.</w:t>
      </w:r>
    </w:p>
    <w:p w14:paraId="71CF604A"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Pavlenko</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Chernyi</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Goubkina</w:t>
      </w:r>
      <w:proofErr w:type="spellEnd"/>
      <w:r>
        <w:rPr>
          <w:rFonts w:ascii="Times New Roman" w:eastAsia="Times New Roman" w:hAnsi="Times New Roman" w:cs="Times New Roman"/>
          <w:sz w:val="24"/>
          <w:szCs w:val="24"/>
        </w:rPr>
        <w:t xml:space="preserve">, D. (2009). EEG </w:t>
      </w:r>
      <w:proofErr w:type="spellStart"/>
      <w:r>
        <w:rPr>
          <w:rFonts w:ascii="Times New Roman" w:eastAsia="Times New Roman" w:hAnsi="Times New Roman" w:cs="Times New Roman"/>
          <w:sz w:val="24"/>
          <w:szCs w:val="24"/>
        </w:rPr>
        <w:t>Correlates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Anxiety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Emotional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Stability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Adult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Neurophysiology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41</w:t>
      </w:r>
      <w:r>
        <w:rPr>
          <w:rFonts w:ascii="Times New Roman" w:eastAsia="Times New Roman" w:hAnsi="Times New Roman" w:cs="Times New Roman"/>
          <w:sz w:val="24"/>
          <w:szCs w:val="24"/>
        </w:rPr>
        <w:t xml:space="preserve">(5), 337-345. </w:t>
      </w:r>
      <w:hyperlink r:id="rId15">
        <w:r>
          <w:rPr>
            <w:rFonts w:ascii="Times New Roman" w:eastAsia="Times New Roman" w:hAnsi="Times New Roman" w:cs="Times New Roman"/>
            <w:color w:val="0000FF"/>
            <w:sz w:val="24"/>
            <w:szCs w:val="24"/>
            <w:u w:val="single"/>
          </w:rPr>
          <w:t>http://dx.doi.org/10.1007/s11062-010-9111-2</w:t>
        </w:r>
      </w:hyperlink>
    </w:p>
    <w:p w14:paraId="3BADEBEC" w14:textId="77777777" w:rsidR="00CA0320" w:rsidRDefault="0000114F">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Richter P., Werner J. &amp; </w:t>
      </w:r>
      <w:proofErr w:type="spellStart"/>
      <w:r>
        <w:rPr>
          <w:rFonts w:ascii="Times New Roman" w:eastAsia="Times New Roman" w:hAnsi="Times New Roman" w:cs="Times New Roman"/>
          <w:sz w:val="24"/>
          <w:szCs w:val="24"/>
        </w:rPr>
        <w:t>Heerlein</w:t>
      </w:r>
      <w:proofErr w:type="spellEnd"/>
      <w:r>
        <w:rPr>
          <w:rFonts w:ascii="Times New Roman" w:eastAsia="Times New Roman" w:hAnsi="Times New Roman" w:cs="Times New Roman"/>
          <w:sz w:val="24"/>
          <w:szCs w:val="24"/>
        </w:rPr>
        <w:t xml:space="preserve">, A. (1998).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validity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Beck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Inventory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review</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Psychopathology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31</w:t>
      </w:r>
      <w:r>
        <w:rPr>
          <w:rFonts w:ascii="Times New Roman" w:eastAsia="Times New Roman" w:hAnsi="Times New Roman" w:cs="Times New Roman"/>
          <w:sz w:val="24"/>
          <w:szCs w:val="24"/>
        </w:rPr>
        <w:t>, 160-168.</w:t>
      </w:r>
    </w:p>
    <w:p w14:paraId="1A408C16"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Spielberger</w:t>
      </w:r>
      <w:proofErr w:type="spellEnd"/>
      <w:r>
        <w:rPr>
          <w:rFonts w:ascii="Times New Roman" w:eastAsia="Times New Roman" w:hAnsi="Times New Roman" w:cs="Times New Roman"/>
          <w:sz w:val="24"/>
          <w:szCs w:val="24"/>
        </w:rPr>
        <w:t xml:space="preserve"> C.D., </w:t>
      </w:r>
      <w:proofErr w:type="spellStart"/>
      <w:r>
        <w:rPr>
          <w:rFonts w:ascii="Times New Roman" w:eastAsia="Times New Roman" w:hAnsi="Times New Roman" w:cs="Times New Roman"/>
          <w:sz w:val="24"/>
          <w:szCs w:val="24"/>
        </w:rPr>
        <w:t>Gorsuch</w:t>
      </w:r>
      <w:proofErr w:type="spellEnd"/>
      <w:r>
        <w:rPr>
          <w:rFonts w:ascii="Times New Roman" w:eastAsia="Times New Roman" w:hAnsi="Times New Roman" w:cs="Times New Roman"/>
          <w:sz w:val="24"/>
          <w:szCs w:val="24"/>
        </w:rPr>
        <w:t xml:space="preserve">, R.L. &amp; </w:t>
      </w:r>
      <w:proofErr w:type="spellStart"/>
      <w:r>
        <w:rPr>
          <w:rFonts w:ascii="Times New Roman" w:eastAsia="Times New Roman" w:hAnsi="Times New Roman" w:cs="Times New Roman"/>
          <w:sz w:val="24"/>
          <w:szCs w:val="24"/>
        </w:rPr>
        <w:t>Lushene</w:t>
      </w:r>
      <w:proofErr w:type="spellEnd"/>
      <w:r>
        <w:rPr>
          <w:rFonts w:ascii="Times New Roman" w:eastAsia="Times New Roman" w:hAnsi="Times New Roman" w:cs="Times New Roman"/>
          <w:sz w:val="24"/>
          <w:szCs w:val="24"/>
        </w:rPr>
        <w:t xml:space="preserve">, R.E. (1982). </w:t>
      </w:r>
      <w:r>
        <w:rPr>
          <w:rFonts w:ascii="Times New Roman" w:eastAsia="Times New Roman" w:hAnsi="Times New Roman" w:cs="Times New Roman"/>
          <w:i/>
          <w:sz w:val="24"/>
          <w:szCs w:val="24"/>
        </w:rPr>
        <w:t>Cuestionario de Ansiedad Estado/Rasgo</w:t>
      </w:r>
      <w:r>
        <w:rPr>
          <w:rFonts w:ascii="Times New Roman" w:eastAsia="Times New Roman" w:hAnsi="Times New Roman" w:cs="Times New Roman"/>
          <w:sz w:val="24"/>
          <w:szCs w:val="24"/>
        </w:rPr>
        <w:t>. Madrid: TEA.</w:t>
      </w:r>
    </w:p>
    <w:p w14:paraId="394AE92E"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Spielberger</w:t>
      </w:r>
      <w:proofErr w:type="spellEnd"/>
      <w:r>
        <w:rPr>
          <w:rFonts w:ascii="Times New Roman" w:eastAsia="Times New Roman" w:hAnsi="Times New Roman" w:cs="Times New Roman"/>
          <w:sz w:val="24"/>
          <w:szCs w:val="24"/>
        </w:rPr>
        <w:t xml:space="preserve">, C. D., </w:t>
      </w:r>
      <w:proofErr w:type="spellStart"/>
      <w:r>
        <w:rPr>
          <w:rFonts w:ascii="Times New Roman" w:eastAsia="Times New Roman" w:hAnsi="Times New Roman" w:cs="Times New Roman"/>
          <w:sz w:val="24"/>
          <w:szCs w:val="24"/>
        </w:rPr>
        <w:t>Gorsuch</w:t>
      </w:r>
      <w:proofErr w:type="spellEnd"/>
      <w:r>
        <w:rPr>
          <w:rFonts w:ascii="Times New Roman" w:eastAsia="Times New Roman" w:hAnsi="Times New Roman" w:cs="Times New Roman"/>
          <w:sz w:val="24"/>
          <w:szCs w:val="24"/>
        </w:rPr>
        <w:t xml:space="preserve">, R. L. &amp; </w:t>
      </w:r>
      <w:proofErr w:type="spellStart"/>
      <w:r>
        <w:rPr>
          <w:rFonts w:ascii="Times New Roman" w:eastAsia="Times New Roman" w:hAnsi="Times New Roman" w:cs="Times New Roman"/>
          <w:sz w:val="24"/>
          <w:szCs w:val="24"/>
        </w:rPr>
        <w:t>Lushene</w:t>
      </w:r>
      <w:proofErr w:type="spellEnd"/>
      <w:r>
        <w:rPr>
          <w:rFonts w:ascii="Times New Roman" w:eastAsia="Times New Roman" w:hAnsi="Times New Roman" w:cs="Times New Roman"/>
          <w:sz w:val="24"/>
          <w:szCs w:val="24"/>
        </w:rPr>
        <w:t xml:space="preserve">, R. E. (1970). </w:t>
      </w:r>
      <w:r>
        <w:rPr>
          <w:rFonts w:ascii="Times New Roman" w:eastAsia="Times New Roman" w:hAnsi="Times New Roman" w:cs="Times New Roman"/>
          <w:i/>
          <w:sz w:val="24"/>
          <w:szCs w:val="24"/>
        </w:rPr>
        <w:t xml:space="preserve">STAI Manual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State-Trait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Anxiety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Inventory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Sef-Evaluation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Questionnaire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Palo Alto California: </w:t>
      </w:r>
      <w:proofErr w:type="spellStart"/>
      <w:r>
        <w:rPr>
          <w:rFonts w:ascii="Times New Roman" w:eastAsia="Times New Roman" w:hAnsi="Times New Roman" w:cs="Times New Roman"/>
          <w:sz w:val="24"/>
          <w:szCs w:val="24"/>
        </w:rPr>
        <w:t>Consulting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Psychologists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w:t>
      </w:r>
    </w:p>
    <w:p w14:paraId="09E0649A" w14:textId="77777777" w:rsidR="00CA0320" w:rsidRDefault="0000114F">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Stahl, S. M. (2013). </w:t>
      </w:r>
      <w:proofErr w:type="spellStart"/>
      <w:r>
        <w:rPr>
          <w:rFonts w:ascii="Times New Roman" w:eastAsia="Times New Roman" w:hAnsi="Times New Roman" w:cs="Times New Roman"/>
          <w:i/>
          <w:sz w:val="24"/>
          <w:szCs w:val="24"/>
        </w:rPr>
        <w:t>Stahl's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Essential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Psychopharmacology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Neuroscientific</w:t>
      </w:r>
      <w:proofErr w:type="spellEnd"/>
      <w:r>
        <w:rPr>
          <w:rFonts w:ascii="Times New Roman" w:eastAsia="Times New Roman" w:hAnsi="Times New Roman" w:cs="Times New Roman"/>
          <w:i/>
          <w:sz w:val="24"/>
          <w:szCs w:val="24"/>
        </w:rPr>
        <w:t xml:space="preserve"> Basis and </w:t>
      </w:r>
      <w:proofErr w:type="spellStart"/>
      <w:r>
        <w:rPr>
          <w:rFonts w:ascii="Times New Roman" w:eastAsia="Times New Roman" w:hAnsi="Times New Roman" w:cs="Times New Roman"/>
          <w:i/>
          <w:sz w:val="24"/>
          <w:szCs w:val="24"/>
        </w:rPr>
        <w:t>Practical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Applications</w:t>
      </w:r>
      <w:proofErr w:type="spellEnd"/>
      <w:r>
        <w:rPr>
          <w:rFonts w:ascii="Times New Roman" w:eastAsia="Times New Roman" w:hAnsi="Times New Roman" w:cs="Times New Roman"/>
          <w:sz w:val="24"/>
          <w:szCs w:val="24"/>
        </w:rPr>
        <w:t xml:space="preserve">. Cambridge, UK: Cambridge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w:t>
      </w:r>
    </w:p>
    <w:p w14:paraId="00802817"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Sterman</w:t>
      </w:r>
      <w:proofErr w:type="spellEnd"/>
      <w:r>
        <w:rPr>
          <w:rFonts w:ascii="Times New Roman" w:eastAsia="Times New Roman" w:hAnsi="Times New Roman" w:cs="Times New Roman"/>
          <w:sz w:val="24"/>
          <w:szCs w:val="24"/>
        </w:rPr>
        <w:t xml:space="preserve">, M. (2000). Basic </w:t>
      </w:r>
      <w:proofErr w:type="spellStart"/>
      <w:r>
        <w:rPr>
          <w:rFonts w:ascii="Times New Roman" w:eastAsia="Times New Roman" w:hAnsi="Times New Roman" w:cs="Times New Roman"/>
          <w:sz w:val="24"/>
          <w:szCs w:val="24"/>
        </w:rPr>
        <w:t>Concepts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Findings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Seizure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EEG </w:t>
      </w:r>
      <w:proofErr w:type="spellStart"/>
      <w:r>
        <w:rPr>
          <w:rFonts w:ascii="Times New Roman" w:eastAsia="Times New Roman" w:hAnsi="Times New Roman" w:cs="Times New Roman"/>
          <w:sz w:val="24"/>
          <w:szCs w:val="24"/>
        </w:rPr>
        <w:t>Operant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Conditioning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Clinical</w:t>
      </w:r>
      <w:proofErr w:type="spellEnd"/>
      <w:r>
        <w:rPr>
          <w:rFonts w:ascii="Times New Roman" w:eastAsia="Times New Roman" w:hAnsi="Times New Roman" w:cs="Times New Roman"/>
          <w:i/>
          <w:sz w:val="24"/>
          <w:szCs w:val="24"/>
        </w:rPr>
        <w:t xml:space="preserve"> EEG And </w:t>
      </w:r>
      <w:proofErr w:type="spellStart"/>
      <w:r>
        <w:rPr>
          <w:rFonts w:ascii="Times New Roman" w:eastAsia="Times New Roman" w:hAnsi="Times New Roman" w:cs="Times New Roman"/>
          <w:i/>
          <w:sz w:val="24"/>
          <w:szCs w:val="24"/>
        </w:rPr>
        <w:t>Neuroscience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31</w:t>
      </w:r>
      <w:r>
        <w:rPr>
          <w:rFonts w:ascii="Times New Roman" w:eastAsia="Times New Roman" w:hAnsi="Times New Roman" w:cs="Times New Roman"/>
          <w:sz w:val="24"/>
          <w:szCs w:val="24"/>
        </w:rPr>
        <w:t xml:space="preserve">(1), 45-55. </w:t>
      </w:r>
      <w:hyperlink r:id="rId16">
        <w:r>
          <w:rPr>
            <w:rFonts w:ascii="Times New Roman" w:eastAsia="Times New Roman" w:hAnsi="Times New Roman" w:cs="Times New Roman"/>
            <w:color w:val="0000FF"/>
            <w:sz w:val="24"/>
            <w:szCs w:val="24"/>
            <w:u w:val="single"/>
          </w:rPr>
          <w:t>http://dx.doi.org/10.1177/155005940003100111</w:t>
        </w:r>
      </w:hyperlink>
    </w:p>
    <w:p w14:paraId="4F8E9A0D" w14:textId="77777777" w:rsidR="00CA0320" w:rsidRDefault="0000114F">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Thoughttechnology</w:t>
      </w:r>
      <w:proofErr w:type="spellEnd"/>
      <w:r>
        <w:rPr>
          <w:rFonts w:ascii="Times New Roman" w:eastAsia="Times New Roman" w:hAnsi="Times New Roman" w:cs="Times New Roman"/>
          <w:sz w:val="24"/>
          <w:szCs w:val="24"/>
        </w:rPr>
        <w:t xml:space="preserve"> (2018). Recuperado de </w:t>
      </w:r>
      <w:hyperlink r:id="rId17">
        <w:r>
          <w:rPr>
            <w:rFonts w:ascii="Times New Roman" w:eastAsia="Times New Roman" w:hAnsi="Times New Roman" w:cs="Times New Roman"/>
            <w:color w:val="0000FF"/>
            <w:sz w:val="24"/>
            <w:szCs w:val="24"/>
            <w:u w:val="single"/>
          </w:rPr>
          <w:t>http://thoughttechnology.com/</w:t>
        </w:r>
      </w:hyperlink>
    </w:p>
    <w:p w14:paraId="2CB8B832" w14:textId="77777777" w:rsidR="00CA0320" w:rsidRDefault="0000114F">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Yunus, M. (2012).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Prevalence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Fibromyalgia</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Chronic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Conditions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Pain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Treatment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2012</w:t>
      </w:r>
      <w:r>
        <w:rPr>
          <w:rFonts w:ascii="Times New Roman" w:eastAsia="Times New Roman" w:hAnsi="Times New Roman" w:cs="Times New Roman"/>
          <w:sz w:val="24"/>
          <w:szCs w:val="24"/>
        </w:rPr>
        <w:t xml:space="preserve">, 1-8. </w:t>
      </w:r>
      <w:hyperlink r:id="rId18">
        <w:r>
          <w:rPr>
            <w:rFonts w:ascii="Times New Roman" w:eastAsia="Times New Roman" w:hAnsi="Times New Roman" w:cs="Times New Roman"/>
            <w:color w:val="0000FF"/>
            <w:sz w:val="24"/>
            <w:szCs w:val="24"/>
            <w:u w:val="single"/>
          </w:rPr>
          <w:t>http://dx.doi.org/10.1155/2012/584573</w:t>
        </w:r>
      </w:hyperlink>
    </w:p>
    <w:p w14:paraId="457F2271" w14:textId="77777777" w:rsidR="00CA0320" w:rsidRDefault="00CA0320">
      <w:pPr>
        <w:spacing w:line="240" w:lineRule="auto"/>
        <w:ind w:firstLine="709"/>
        <w:jc w:val="both"/>
        <w:rPr>
          <w:rFonts w:ascii="Times New Roman" w:eastAsia="Times New Roman" w:hAnsi="Times New Roman" w:cs="Times New Roman"/>
          <w:sz w:val="24"/>
          <w:szCs w:val="24"/>
        </w:rPr>
      </w:pPr>
    </w:p>
    <w:p w14:paraId="39591F72" w14:textId="77777777" w:rsidR="00CA0320" w:rsidRDefault="00CA0320">
      <w:pPr>
        <w:spacing w:line="240" w:lineRule="auto"/>
        <w:ind w:left="709" w:hanging="709"/>
        <w:jc w:val="both"/>
        <w:rPr>
          <w:rFonts w:ascii="Times New Roman" w:eastAsia="Times New Roman" w:hAnsi="Times New Roman" w:cs="Times New Roman"/>
          <w:sz w:val="24"/>
          <w:szCs w:val="24"/>
        </w:rPr>
      </w:pPr>
    </w:p>
    <w:p w14:paraId="2B181C73" w14:textId="77777777" w:rsidR="00CA0320" w:rsidRDefault="00CA0320">
      <w:pPr>
        <w:spacing w:line="240" w:lineRule="auto"/>
      </w:pPr>
    </w:p>
    <w:sectPr w:rsidR="00CA032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20"/>
    <w:rsid w:val="0000114F"/>
    <w:rsid w:val="00B930EF"/>
    <w:rsid w:val="00CA0320"/>
    <w:rsid w:val="00DB510D"/>
    <w:rsid w:val="00ED37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4FE1"/>
  <w15:docId w15:val="{FD2A63AE-C8DD-4BC1-8159-9A120F27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8A1083"/>
    <w:pPr>
      <w:ind w:left="720" w:firstLine="709"/>
      <w:contextualSpacing/>
    </w:pPr>
    <w:rPr>
      <w:rFonts w:eastAsiaTheme="minorHAnsi"/>
      <w:lang w:eastAsia="en-US"/>
    </w:rPr>
  </w:style>
  <w:style w:type="paragraph" w:styleId="Descripcin">
    <w:name w:val="caption"/>
    <w:basedOn w:val="Normal"/>
    <w:next w:val="Normal"/>
    <w:uiPriority w:val="35"/>
    <w:unhideWhenUsed/>
    <w:qFormat/>
    <w:rsid w:val="004E136A"/>
    <w:pPr>
      <w:spacing w:line="240" w:lineRule="auto"/>
      <w:ind w:firstLine="709"/>
    </w:pPr>
    <w:rPr>
      <w:rFonts w:eastAsiaTheme="minorHAnsi"/>
      <w:b/>
      <w:bCs/>
      <w:color w:val="4F81BD" w:themeColor="accent1"/>
      <w:sz w:val="18"/>
      <w:szCs w:val="18"/>
      <w:lang w:eastAsia="en-US"/>
    </w:rPr>
  </w:style>
  <w:style w:type="paragraph" w:styleId="Textodeglobo">
    <w:name w:val="Balloon Text"/>
    <w:basedOn w:val="Normal"/>
    <w:link w:val="TextodegloboCar"/>
    <w:uiPriority w:val="99"/>
    <w:unhideWhenUsed/>
    <w:rsid w:val="004E136A"/>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rsid w:val="004E136A"/>
    <w:rPr>
      <w:rFonts w:ascii="Tahoma" w:eastAsiaTheme="minorHAnsi" w:hAnsi="Tahoma" w:cs="Tahoma"/>
      <w:sz w:val="16"/>
      <w:szCs w:val="16"/>
      <w:lang w:eastAsia="en-US"/>
    </w:rPr>
  </w:style>
  <w:style w:type="paragraph" w:styleId="Sinespaciado">
    <w:name w:val="No Spacing"/>
    <w:uiPriority w:val="1"/>
    <w:qFormat/>
    <w:rsid w:val="004E136A"/>
    <w:pPr>
      <w:spacing w:after="0" w:line="240" w:lineRule="auto"/>
      <w:ind w:firstLine="709"/>
    </w:pPr>
    <w:rPr>
      <w:rFonts w:eastAsiaTheme="minorHAnsi"/>
      <w:lang w:eastAsia="en-US"/>
    </w:rPr>
  </w:style>
  <w:style w:type="table" w:customStyle="1" w:styleId="tablasAPA6ed">
    <w:name w:val="tablas APA 6ed"/>
    <w:basedOn w:val="Tablanormal"/>
    <w:uiPriority w:val="99"/>
    <w:qFormat/>
    <w:rsid w:val="004E136A"/>
    <w:pPr>
      <w:spacing w:after="0" w:line="240" w:lineRule="auto"/>
      <w:jc w:val="center"/>
    </w:pPr>
    <w:rPr>
      <w:rFonts w:ascii="Times New Roman" w:hAnsi="Times New Roman"/>
      <w:sz w:val="24"/>
      <w:lang w:eastAsia="en-US"/>
    </w:rPr>
    <w:tblPr>
      <w:tblBorders>
        <w:top w:val="single" w:sz="18" w:space="0" w:color="000000"/>
        <w:bottom w:val="single" w:sz="18" w:space="0" w:color="000000"/>
      </w:tblBorders>
    </w:tblPr>
    <w:tcPr>
      <w:vAlign w:val="center"/>
    </w:tcPr>
    <w:tblStylePr w:type="firstRow">
      <w:rPr>
        <w:rFonts w:ascii="Times New Roman" w:hAnsi="Times New Roman" w:cs="Times New Roman" w:hint="default"/>
        <w:b/>
        <w:sz w:val="24"/>
        <w:szCs w:val="24"/>
      </w:rPr>
      <w:tblPr/>
      <w:tcPr>
        <w:tcBorders>
          <w:bottom w:val="single" w:sz="18" w:space="0" w:color="000000"/>
        </w:tcBorders>
      </w:tcPr>
    </w:tblStylePr>
    <w:tblStylePr w:type="firstCol">
      <w:pPr>
        <w:jc w:val="left"/>
      </w:pPr>
      <w:rPr>
        <w:rFonts w:ascii="Times New Roman" w:hAnsi="Times New Roman" w:cs="Times New Roman" w:hint="default"/>
        <w:b/>
        <w:sz w:val="24"/>
        <w:szCs w:val="24"/>
      </w:rPr>
    </w:tblStylePr>
  </w:style>
  <w:style w:type="character" w:styleId="Hipervnculo">
    <w:name w:val="Hyperlink"/>
    <w:basedOn w:val="Fuentedeprrafopredeter"/>
    <w:uiPriority w:val="99"/>
    <w:unhideWhenUsed/>
    <w:rsid w:val="009C4960"/>
    <w:rPr>
      <w:color w:val="0000FF" w:themeColor="hyperlink"/>
      <w:u w:val="single"/>
    </w:rPr>
  </w:style>
  <w:style w:type="table" w:styleId="Tablaconcuadrcula">
    <w:name w:val="Table Grid"/>
    <w:basedOn w:val="Tablanormal"/>
    <w:uiPriority w:val="59"/>
    <w:rsid w:val="004273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E4283"/>
    <w:pPr>
      <w:autoSpaceDE w:val="0"/>
      <w:autoSpaceDN w:val="0"/>
      <w:adjustRightInd w:val="0"/>
      <w:spacing w:after="0" w:line="240" w:lineRule="auto"/>
    </w:pPr>
    <w:rPr>
      <w:color w:val="000000"/>
      <w:sz w:val="24"/>
      <w:szCs w:val="24"/>
    </w:rPr>
  </w:style>
  <w:style w:type="character" w:styleId="Refdecomentario">
    <w:name w:val="annotation reference"/>
    <w:basedOn w:val="Fuentedeprrafopredeter"/>
    <w:uiPriority w:val="99"/>
    <w:semiHidden/>
    <w:unhideWhenUsed/>
    <w:rsid w:val="003A2228"/>
    <w:rPr>
      <w:sz w:val="16"/>
      <w:szCs w:val="16"/>
    </w:rPr>
  </w:style>
  <w:style w:type="paragraph" w:styleId="Textocomentario">
    <w:name w:val="annotation text"/>
    <w:basedOn w:val="Normal"/>
    <w:link w:val="TextocomentarioCar"/>
    <w:uiPriority w:val="99"/>
    <w:semiHidden/>
    <w:unhideWhenUsed/>
    <w:rsid w:val="003A22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2228"/>
    <w:rPr>
      <w:sz w:val="20"/>
      <w:szCs w:val="20"/>
    </w:rPr>
  </w:style>
  <w:style w:type="paragraph" w:styleId="Asuntodelcomentario">
    <w:name w:val="annotation subject"/>
    <w:basedOn w:val="Textocomentario"/>
    <w:next w:val="Textocomentario"/>
    <w:link w:val="AsuntodelcomentarioCar"/>
    <w:uiPriority w:val="99"/>
    <w:semiHidden/>
    <w:unhideWhenUsed/>
    <w:rsid w:val="003A2228"/>
    <w:rPr>
      <w:b/>
      <w:bCs/>
    </w:rPr>
  </w:style>
  <w:style w:type="character" w:customStyle="1" w:styleId="AsuntodelcomentarioCar">
    <w:name w:val="Asunto del comentario Car"/>
    <w:basedOn w:val="TextocomentarioCar"/>
    <w:link w:val="Asuntodelcomentario"/>
    <w:uiPriority w:val="99"/>
    <w:semiHidden/>
    <w:rsid w:val="003A2228"/>
    <w:rPr>
      <w:b/>
      <w:bCs/>
      <w:sz w:val="20"/>
      <w:szCs w:val="20"/>
    </w:rPr>
  </w:style>
  <w:style w:type="character" w:styleId="Hipervnculovisitado">
    <w:name w:val="FollowedHyperlink"/>
    <w:basedOn w:val="Fuentedeprrafopredeter"/>
    <w:uiPriority w:val="99"/>
    <w:semiHidden/>
    <w:unhideWhenUsed/>
    <w:rsid w:val="006E43E5"/>
    <w:rPr>
      <w:color w:val="800080" w:themeColor="followedHyperlink"/>
      <w:u w:val="single"/>
    </w:rPr>
  </w:style>
  <w:style w:type="table" w:customStyle="1" w:styleId="tablasAPA6ed1">
    <w:name w:val="tablas APA 6ed1"/>
    <w:basedOn w:val="Tablanormal"/>
    <w:uiPriority w:val="99"/>
    <w:qFormat/>
    <w:rsid w:val="00C437F2"/>
    <w:pPr>
      <w:spacing w:after="0" w:line="240" w:lineRule="auto"/>
      <w:jc w:val="center"/>
    </w:pPr>
    <w:rPr>
      <w:rFonts w:ascii="Times New Roman" w:hAnsi="Times New Roman"/>
      <w:sz w:val="24"/>
      <w:lang w:eastAsia="en-US"/>
    </w:rPr>
    <w:tblPr>
      <w:tblBorders>
        <w:top w:val="single" w:sz="18" w:space="0" w:color="000000"/>
        <w:bottom w:val="single" w:sz="18" w:space="0" w:color="000000"/>
      </w:tblBorders>
    </w:tblPr>
    <w:tcPr>
      <w:vAlign w:val="center"/>
    </w:tcPr>
    <w:tblStylePr w:type="firstRow">
      <w:rPr>
        <w:rFonts w:ascii="Times New Roman" w:hAnsi="Times New Roman" w:cs="Times New Roman" w:hint="default"/>
        <w:b/>
        <w:sz w:val="24"/>
        <w:szCs w:val="24"/>
      </w:rPr>
      <w:tblPr/>
      <w:tcPr>
        <w:tcBorders>
          <w:bottom w:val="single" w:sz="18" w:space="0" w:color="000000"/>
        </w:tcBorders>
      </w:tcPr>
    </w:tblStylePr>
    <w:tblStylePr w:type="firstCol">
      <w:pPr>
        <w:jc w:val="left"/>
      </w:pPr>
      <w:rPr>
        <w:rFonts w:ascii="Times New Roman" w:hAnsi="Times New Roman" w:cs="Times New Roman" w:hint="default"/>
        <w:b/>
        <w:sz w:val="24"/>
        <w:szCs w:val="24"/>
      </w:r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jc w:val="center"/>
    </w:pPr>
    <w:rPr>
      <w:rFonts w:ascii="Times New Roman" w:eastAsia="Times New Roman" w:hAnsi="Times New Roman" w:cs="Times New Roman"/>
      <w:sz w:val="24"/>
      <w:szCs w:val="24"/>
    </w:rPr>
    <w:tblPr>
      <w:tblStyleRowBandSize w:val="1"/>
      <w:tblStyleColBandSize w:val="1"/>
      <w:tblCellMar>
        <w:left w:w="115" w:type="dxa"/>
        <w:right w:w="115" w:type="dxa"/>
      </w:tblCellMar>
    </w:tblPr>
    <w:tcPr>
      <w:vAlign w:val="center"/>
    </w:tc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dx.doi.org/10.1016/j.jpain.2007.11.003" TargetMode="External"/><Relationship Id="rId18" Type="http://schemas.openxmlformats.org/officeDocument/2006/relationships/hyperlink" Target="http://dx.doi.org/10.1155/2012/584573"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dx.doi.org/10.1155/2013/918216" TargetMode="External"/><Relationship Id="rId17" Type="http://schemas.openxmlformats.org/officeDocument/2006/relationships/hyperlink" Target="http://thoughttechnology.com/" TargetMode="External"/><Relationship Id="rId2" Type="http://schemas.openxmlformats.org/officeDocument/2006/relationships/numbering" Target="numbering.xml"/><Relationship Id="rId16" Type="http://schemas.openxmlformats.org/officeDocument/2006/relationships/hyperlink" Target="http://dx.doi.org/10.1177/1550059400031001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dx.doi.org/10.1155/2013/528952" TargetMode="External"/><Relationship Id="rId5" Type="http://schemas.openxmlformats.org/officeDocument/2006/relationships/webSettings" Target="webSettings.xml"/><Relationship Id="rId15" Type="http://schemas.openxmlformats.org/officeDocument/2006/relationships/hyperlink" Target="http://dx.doi.org/10.1007/s11062-010-9111-2" TargetMode="External"/><Relationship Id="rId10" Type="http://schemas.openxmlformats.org/officeDocument/2006/relationships/hyperlink" Target="http://dx.doi.org/10.1097/00001756-200112210-0005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016/0272-7358(88)90050-5" TargetMode="External"/><Relationship Id="rId14" Type="http://schemas.openxmlformats.org/officeDocument/2006/relationships/hyperlink" Target="http://dx.doi.org/10.1007/s10484-010-9135-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V4KeBUrTNKWL9ufCdcuLNQ3iOg==">AMUW2mU1VMJYrrVcppXYdytnzy264zmvxQJvAbty6/ppvGsjwIea33PEyyrXjCr8M75v1e2dIw8dupbBbEXQ7QfiKvCCt/DQsamAaFF73nAPp7tbRr5rzG22b3NH6cxGayvrHW83N8KJUX6cWqe9vYFAmnCkmH2TU11TKMLRSHHsXciFxqJ6CpCZ7z5yhDltV/Gi/dyS8eiPoSyoHrzxHjQm1EQWxtNjqe54AjqG+sMiRqtC8nAjYWA=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3949</Words>
  <Characters>21722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Barbosa</dc:creator>
  <cp:lastModifiedBy>Carlos Barbosa</cp:lastModifiedBy>
  <cp:revision>3</cp:revision>
  <dcterms:created xsi:type="dcterms:W3CDTF">2018-05-23T09:30:00Z</dcterms:created>
  <dcterms:modified xsi:type="dcterms:W3CDTF">2020-03-15T13:03:00Z</dcterms:modified>
</cp:coreProperties>
</file>