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C1" w:rsidRDefault="00336C1E" w:rsidP="00336C1E">
      <w:pPr>
        <w:pStyle w:val="Sinespaciado1"/>
        <w:spacing w:line="480" w:lineRule="auto"/>
        <w:jc w:val="center"/>
      </w:pPr>
      <w:r w:rsidRPr="00C74B30">
        <w:t xml:space="preserve">Relación entre experimentar </w:t>
      </w:r>
      <w:r w:rsidR="00BC0DC1" w:rsidRPr="00C74B30">
        <w:t>eventos vitales</w:t>
      </w:r>
      <w:r w:rsidRPr="00C74B30">
        <w:t xml:space="preserve"> estresantes y su severidad</w:t>
      </w:r>
    </w:p>
    <w:p w:rsidR="00CD3DE0" w:rsidRDefault="00CD3DE0" w:rsidP="00336C1E">
      <w:pPr>
        <w:pStyle w:val="Sinespaciado1"/>
        <w:spacing w:line="480" w:lineRule="auto"/>
        <w:jc w:val="center"/>
      </w:pPr>
      <w:r>
        <w:t xml:space="preserve">Flora J. </w:t>
      </w:r>
      <w:r w:rsidR="009F0698">
        <w:t>García-</w:t>
      </w:r>
      <w:r>
        <w:t>Camargo</w:t>
      </w:r>
      <w:r w:rsidR="009F0698">
        <w:t xml:space="preserve"> </w:t>
      </w:r>
      <w:r>
        <w:t>y Laura Acuña</w:t>
      </w:r>
      <w:r w:rsidR="0005216F" w:rsidRPr="0005216F">
        <w:rPr>
          <w:vertAlign w:val="superscript"/>
        </w:rPr>
        <w:t>1</w:t>
      </w:r>
    </w:p>
    <w:p w:rsidR="00CD3DE0" w:rsidRPr="00C74B30" w:rsidRDefault="00CD3DE0" w:rsidP="00336C1E">
      <w:pPr>
        <w:pStyle w:val="Sinespaciado1"/>
        <w:spacing w:line="480" w:lineRule="auto"/>
        <w:jc w:val="center"/>
      </w:pPr>
      <w:r>
        <w:t>Universidad Nacional Autónoma de México</w:t>
      </w:r>
    </w:p>
    <w:p w:rsidR="008E621E" w:rsidRPr="00C74B30" w:rsidRDefault="009E203E" w:rsidP="007A09CB">
      <w:pPr>
        <w:pStyle w:val="Sinespaciado1"/>
        <w:spacing w:line="480" w:lineRule="auto"/>
        <w:ind w:firstLine="708"/>
      </w:pPr>
      <w:r>
        <w:rPr>
          <w:lang w:val="es-ES_tradnl"/>
        </w:rPr>
        <w:t>E</w:t>
      </w:r>
      <w:r w:rsidR="00670245" w:rsidRPr="00C74B30">
        <w:rPr>
          <w:lang w:val="es-ES_tradnl"/>
        </w:rPr>
        <w:t>xperimentar eventos vitales predice un deterioro en la salud</w:t>
      </w:r>
      <w:r w:rsidR="006C11BA" w:rsidRPr="00C74B30">
        <w:rPr>
          <w:lang w:val="es-ES_tradnl"/>
        </w:rPr>
        <w:t xml:space="preserve">, </w:t>
      </w:r>
      <w:r>
        <w:rPr>
          <w:lang w:val="es-ES_tradnl"/>
        </w:rPr>
        <w:t xml:space="preserve">pero </w:t>
      </w:r>
      <w:r w:rsidR="006C11BA" w:rsidRPr="00C74B30">
        <w:rPr>
          <w:lang w:val="es-ES_tradnl"/>
        </w:rPr>
        <w:t xml:space="preserve">se desconocía </w:t>
      </w:r>
      <w:r>
        <w:rPr>
          <w:lang w:val="es-ES_tradnl"/>
        </w:rPr>
        <w:t xml:space="preserve">si </w:t>
      </w:r>
      <w:r w:rsidR="006C11BA" w:rsidRPr="00C74B30">
        <w:rPr>
          <w:lang w:val="es-ES_tradnl"/>
        </w:rPr>
        <w:t>experimenta</w:t>
      </w:r>
      <w:r>
        <w:rPr>
          <w:lang w:val="es-ES_tradnl"/>
        </w:rPr>
        <w:t>rlos afecta l</w:t>
      </w:r>
      <w:r w:rsidR="006C11BA" w:rsidRPr="00C74B30">
        <w:rPr>
          <w:lang w:val="es-ES_tradnl"/>
        </w:rPr>
        <w:t xml:space="preserve">a magnitud de los puntajes </w:t>
      </w:r>
      <w:r>
        <w:rPr>
          <w:lang w:val="es-ES_tradnl"/>
        </w:rPr>
        <w:t>p</w:t>
      </w:r>
      <w:r w:rsidR="006C11BA" w:rsidRPr="00C74B30">
        <w:rPr>
          <w:lang w:val="es-ES_tradnl"/>
        </w:rPr>
        <w:t xml:space="preserve">ara cuantificar el estrés.  </w:t>
      </w:r>
      <w:r w:rsidR="007A09CB" w:rsidRPr="00C74B30">
        <w:t xml:space="preserve">El </w:t>
      </w:r>
      <w:r>
        <w:t xml:space="preserve">estudio averiguó </w:t>
      </w:r>
      <w:r w:rsidR="007A09CB" w:rsidRPr="00C74B30">
        <w:t>la relación entre haber experimentado eventos vitales</w:t>
      </w:r>
      <w:r w:rsidR="008A4CE4" w:rsidRPr="00C74B30">
        <w:t xml:space="preserve"> </w:t>
      </w:r>
      <w:r w:rsidR="009448B4">
        <w:t>y su severidad</w:t>
      </w:r>
      <w:r w:rsidR="007A09CB" w:rsidRPr="00C74B30">
        <w:t xml:space="preserve">.  </w:t>
      </w:r>
      <w:r w:rsidR="006C11BA" w:rsidRPr="00C74B30">
        <w:t>A</w:t>
      </w:r>
      <w:r>
        <w:t>dultos</w:t>
      </w:r>
      <w:r w:rsidR="006C11BA" w:rsidRPr="00C74B30">
        <w:t xml:space="preserve"> (N = 670) </w:t>
      </w:r>
      <w:r w:rsidR="008A4CE4" w:rsidRPr="00C74B30">
        <w:t xml:space="preserve">juzgaron </w:t>
      </w:r>
      <w:r>
        <w:t xml:space="preserve">la </w:t>
      </w:r>
      <w:r w:rsidR="008A4CE4" w:rsidRPr="00C74B30">
        <w:t xml:space="preserve">severidad de eventos que habían </w:t>
      </w:r>
      <w:r>
        <w:t xml:space="preserve">y que no habían </w:t>
      </w:r>
      <w:r w:rsidR="008A4CE4" w:rsidRPr="00C74B30">
        <w:t>experimentado</w:t>
      </w:r>
      <w:r w:rsidR="007A09CB" w:rsidRPr="00C74B30">
        <w:t xml:space="preserve">.  </w:t>
      </w:r>
      <w:r>
        <w:t>L</w:t>
      </w:r>
      <w:r w:rsidR="008A4CE4" w:rsidRPr="00C74B30">
        <w:t xml:space="preserve">os participantes </w:t>
      </w:r>
      <w:r>
        <w:t xml:space="preserve">juzgaron como más severos </w:t>
      </w:r>
      <w:r w:rsidR="008A4CE4" w:rsidRPr="00C74B30">
        <w:t xml:space="preserve">los eventos experimentados </w:t>
      </w:r>
      <w:r w:rsidR="007A09CB" w:rsidRPr="00C74B30">
        <w:t xml:space="preserve">que </w:t>
      </w:r>
      <w:r w:rsidR="008A4CE4" w:rsidRPr="00C74B30">
        <w:t>los no experimentados</w:t>
      </w:r>
      <w:r w:rsidR="009448B4">
        <w:t xml:space="preserve">.  Esto </w:t>
      </w:r>
      <w:r w:rsidR="008A4CE4" w:rsidRPr="00C74B30">
        <w:t xml:space="preserve">sugirió que los puntajes </w:t>
      </w:r>
      <w:r w:rsidR="009448B4">
        <w:t xml:space="preserve">empleados </w:t>
      </w:r>
      <w:r w:rsidR="008A4CE4" w:rsidRPr="00C74B30">
        <w:t xml:space="preserve">actualmente para cuantificar el estrés subestiman el impacto </w:t>
      </w:r>
      <w:r w:rsidR="00781653" w:rsidRPr="00C74B30">
        <w:t xml:space="preserve">nocivo </w:t>
      </w:r>
      <w:r w:rsidR="008A4CE4" w:rsidRPr="00C74B30">
        <w:t xml:space="preserve">de los eventos.  </w:t>
      </w:r>
      <w:r w:rsidR="009448B4">
        <w:t>L</w:t>
      </w:r>
      <w:r w:rsidR="005C57F9" w:rsidRPr="00C74B30">
        <w:t xml:space="preserve">as mujeres juzgaron </w:t>
      </w:r>
      <w:r w:rsidR="00087683">
        <w:t xml:space="preserve">todos </w:t>
      </w:r>
      <w:r w:rsidR="005C57F9" w:rsidRPr="00C74B30">
        <w:t>los eventos como más severos que los hombres</w:t>
      </w:r>
      <w:r w:rsidR="00087683">
        <w:t>.  L</w:t>
      </w:r>
      <w:r w:rsidR="005C57F9" w:rsidRPr="00C74B30">
        <w:t xml:space="preserve">os jóvenes </w:t>
      </w:r>
      <w:r w:rsidR="00087683">
        <w:t xml:space="preserve">juzgaron como más severos los eventos no experimentados mientras que </w:t>
      </w:r>
      <w:r w:rsidR="005C57F9" w:rsidRPr="00C74B30">
        <w:t xml:space="preserve">las personas de clase baja juzgaron como más severos </w:t>
      </w:r>
      <w:r w:rsidR="00087683">
        <w:t xml:space="preserve">que sus contrapartes </w:t>
      </w:r>
      <w:r w:rsidR="005C57F9" w:rsidRPr="00C74B30">
        <w:t xml:space="preserve">los eventos que </w:t>
      </w:r>
      <w:r w:rsidR="00087683">
        <w:t>h</w:t>
      </w:r>
      <w:r w:rsidR="005C57F9" w:rsidRPr="00C74B30">
        <w:t xml:space="preserve">abían experimentado.  </w:t>
      </w:r>
      <w:r w:rsidR="00087683">
        <w:t xml:space="preserve">Se concluyó que </w:t>
      </w:r>
      <w:r w:rsidR="005C57F9" w:rsidRPr="00C74B30">
        <w:t xml:space="preserve">la asignación de puntajes de una cierta magnitud </w:t>
      </w:r>
      <w:r w:rsidR="00087683">
        <w:t xml:space="preserve">está </w:t>
      </w:r>
      <w:r w:rsidR="005C57F9" w:rsidRPr="00C74B30">
        <w:t>relacionada con experimentar los sucesos y no con las características socio</w:t>
      </w:r>
      <w:r w:rsidR="00742749">
        <w:t>-</w:t>
      </w:r>
      <w:r w:rsidR="005C57F9" w:rsidRPr="00C74B30">
        <w:t xml:space="preserve">demográficas de </w:t>
      </w:r>
      <w:r w:rsidR="0003544B" w:rsidRPr="00C74B30">
        <w:t>los jueces</w:t>
      </w:r>
      <w:r w:rsidR="005C57F9" w:rsidRPr="00C74B30">
        <w:t>.</w:t>
      </w:r>
      <w:r w:rsidR="008A4CE4" w:rsidRPr="00C74B30">
        <w:t xml:space="preserve">    </w:t>
      </w:r>
    </w:p>
    <w:p w:rsidR="0003544B" w:rsidRDefault="0003544B" w:rsidP="00CF6268">
      <w:pPr>
        <w:pStyle w:val="Sinespaciado1"/>
        <w:spacing w:line="480" w:lineRule="auto"/>
      </w:pPr>
    </w:p>
    <w:p w:rsidR="00CF6268" w:rsidRPr="00742749" w:rsidRDefault="00CF6268" w:rsidP="00CF6268">
      <w:pPr>
        <w:pStyle w:val="Sinespaciado1"/>
        <w:spacing w:line="480" w:lineRule="auto"/>
      </w:pPr>
      <w:r>
        <w:t>Palabras clave: eventos vitales, estrés psicológico, cuantificación del estrés, escala de reajuste social, adultos</w:t>
      </w:r>
    </w:p>
    <w:p w:rsidR="0003544B" w:rsidRPr="00CF6268" w:rsidRDefault="0003544B" w:rsidP="00214903">
      <w:pPr>
        <w:pStyle w:val="Sinespaciado1"/>
        <w:spacing w:line="480" w:lineRule="auto"/>
        <w:ind w:firstLine="708"/>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03544B">
      <w:pPr>
        <w:pStyle w:val="Sinespaciado1"/>
        <w:spacing w:line="480" w:lineRule="auto"/>
        <w:ind w:firstLine="708"/>
        <w:jc w:val="center"/>
        <w:rPr>
          <w:lang w:val="en-US"/>
        </w:rPr>
      </w:pPr>
      <w:r w:rsidRPr="00C74B30">
        <w:rPr>
          <w:lang w:val="en-US"/>
        </w:rPr>
        <w:lastRenderedPageBreak/>
        <w:t>Relation between experiencing stressful life events and their severity</w:t>
      </w:r>
    </w:p>
    <w:p w:rsidR="00F318C3" w:rsidRDefault="00F318C3" w:rsidP="00214903">
      <w:pPr>
        <w:pStyle w:val="Sinespaciado1"/>
        <w:spacing w:line="480" w:lineRule="auto"/>
        <w:ind w:firstLine="708"/>
        <w:rPr>
          <w:lang w:val="en-US"/>
        </w:rPr>
      </w:pPr>
    </w:p>
    <w:p w:rsidR="008E621E" w:rsidRPr="00C74B30" w:rsidRDefault="009448B4" w:rsidP="00214903">
      <w:pPr>
        <w:pStyle w:val="Sinespaciado1"/>
        <w:spacing w:line="480" w:lineRule="auto"/>
        <w:ind w:firstLine="708"/>
        <w:rPr>
          <w:lang w:val="en-US"/>
        </w:rPr>
      </w:pPr>
      <w:r>
        <w:rPr>
          <w:lang w:val="en-US"/>
        </w:rPr>
        <w:t>Although e</w:t>
      </w:r>
      <w:r w:rsidR="00781653" w:rsidRPr="00C74B30">
        <w:rPr>
          <w:lang w:val="en-US"/>
        </w:rPr>
        <w:t xml:space="preserve">xperiencing </w:t>
      </w:r>
      <w:r w:rsidR="006C11BA" w:rsidRPr="00C74B30">
        <w:rPr>
          <w:lang w:val="en-US"/>
        </w:rPr>
        <w:t xml:space="preserve">life events predicts </w:t>
      </w:r>
      <w:r>
        <w:rPr>
          <w:lang w:val="en-US"/>
        </w:rPr>
        <w:t xml:space="preserve">health </w:t>
      </w:r>
      <w:r w:rsidR="00D831AF" w:rsidRPr="00C74B30">
        <w:rPr>
          <w:lang w:val="en-US"/>
        </w:rPr>
        <w:t>deterioration</w:t>
      </w:r>
      <w:r>
        <w:rPr>
          <w:lang w:val="en-US"/>
        </w:rPr>
        <w:t xml:space="preserve">, it was unknown whether </w:t>
      </w:r>
      <w:r w:rsidR="00781653" w:rsidRPr="00C74B30">
        <w:rPr>
          <w:lang w:val="en-US"/>
        </w:rPr>
        <w:t xml:space="preserve">such experience </w:t>
      </w:r>
      <w:r>
        <w:rPr>
          <w:lang w:val="en-US"/>
        </w:rPr>
        <w:t xml:space="preserve">affects </w:t>
      </w:r>
      <w:r w:rsidR="006C11BA" w:rsidRPr="00C74B30">
        <w:rPr>
          <w:lang w:val="en-US"/>
        </w:rPr>
        <w:t>the magnitude of</w:t>
      </w:r>
      <w:r w:rsidR="00742749">
        <w:rPr>
          <w:lang w:val="en-US"/>
        </w:rPr>
        <w:t xml:space="preserve"> the scores used to quantify </w:t>
      </w:r>
      <w:r w:rsidR="006C11BA" w:rsidRPr="00C74B30">
        <w:rPr>
          <w:lang w:val="en-US"/>
        </w:rPr>
        <w:t xml:space="preserve">stress.  The study </w:t>
      </w:r>
      <w:r>
        <w:rPr>
          <w:lang w:val="en-US"/>
        </w:rPr>
        <w:t xml:space="preserve">investigated the </w:t>
      </w:r>
      <w:r w:rsidR="006C11BA" w:rsidRPr="00C74B30">
        <w:rPr>
          <w:lang w:val="en-US"/>
        </w:rPr>
        <w:t xml:space="preserve">relation between </w:t>
      </w:r>
      <w:r w:rsidR="00D831AF" w:rsidRPr="00C74B30">
        <w:rPr>
          <w:lang w:val="en-US"/>
        </w:rPr>
        <w:t>having experience</w:t>
      </w:r>
      <w:r w:rsidR="00781653" w:rsidRPr="00C74B30">
        <w:rPr>
          <w:lang w:val="en-US"/>
        </w:rPr>
        <w:t>d</w:t>
      </w:r>
      <w:r w:rsidR="00D831AF" w:rsidRPr="00C74B30">
        <w:rPr>
          <w:lang w:val="en-US"/>
        </w:rPr>
        <w:t xml:space="preserve"> </w:t>
      </w:r>
      <w:r w:rsidR="006C11BA" w:rsidRPr="00C74B30">
        <w:rPr>
          <w:lang w:val="en-US"/>
        </w:rPr>
        <w:t xml:space="preserve">life events </w:t>
      </w:r>
      <w:r>
        <w:rPr>
          <w:lang w:val="en-US"/>
        </w:rPr>
        <w:t>and its severity.  A</w:t>
      </w:r>
      <w:r w:rsidR="00D831AF" w:rsidRPr="00C74B30">
        <w:rPr>
          <w:lang w:val="en-US"/>
        </w:rPr>
        <w:t>dults (N = 670) judged the degree of severit</w:t>
      </w:r>
      <w:r>
        <w:rPr>
          <w:lang w:val="en-US"/>
        </w:rPr>
        <w:t>y of life events that they had and had not e</w:t>
      </w:r>
      <w:r w:rsidR="00D831AF" w:rsidRPr="00C74B30">
        <w:rPr>
          <w:lang w:val="en-US"/>
        </w:rPr>
        <w:t xml:space="preserve">xperienced.  </w:t>
      </w:r>
      <w:r>
        <w:rPr>
          <w:lang w:val="en-US"/>
        </w:rPr>
        <w:t>P</w:t>
      </w:r>
      <w:r w:rsidR="00D831AF" w:rsidRPr="00C74B30">
        <w:rPr>
          <w:lang w:val="en-US"/>
        </w:rPr>
        <w:t>articipants</w:t>
      </w:r>
      <w:r>
        <w:rPr>
          <w:lang w:val="en-US"/>
        </w:rPr>
        <w:t xml:space="preserve"> judged as more severe </w:t>
      </w:r>
      <w:r w:rsidR="00D831AF" w:rsidRPr="00C74B30">
        <w:rPr>
          <w:lang w:val="en-US"/>
        </w:rPr>
        <w:t>events they had experienced than those they had not.  This result suggest</w:t>
      </w:r>
      <w:r>
        <w:rPr>
          <w:lang w:val="en-US"/>
        </w:rPr>
        <w:t>ed</w:t>
      </w:r>
      <w:r w:rsidR="00D831AF" w:rsidRPr="00C74B30">
        <w:rPr>
          <w:lang w:val="en-US"/>
        </w:rPr>
        <w:t xml:space="preserve"> that </w:t>
      </w:r>
      <w:r>
        <w:rPr>
          <w:lang w:val="en-US"/>
        </w:rPr>
        <w:t xml:space="preserve">actual scores used </w:t>
      </w:r>
      <w:r w:rsidR="00D831AF" w:rsidRPr="00C74B30">
        <w:rPr>
          <w:lang w:val="en-US"/>
        </w:rPr>
        <w:t xml:space="preserve">to quantify stress underestimate the harmful </w:t>
      </w:r>
      <w:r w:rsidR="00781653" w:rsidRPr="00C74B30">
        <w:rPr>
          <w:lang w:val="en-US"/>
        </w:rPr>
        <w:t xml:space="preserve">effect </w:t>
      </w:r>
      <w:r w:rsidR="00D831AF" w:rsidRPr="00C74B30">
        <w:rPr>
          <w:lang w:val="en-US"/>
        </w:rPr>
        <w:t xml:space="preserve">of </w:t>
      </w:r>
      <w:r>
        <w:rPr>
          <w:lang w:val="en-US"/>
        </w:rPr>
        <w:t xml:space="preserve">life </w:t>
      </w:r>
      <w:r w:rsidR="00D831AF" w:rsidRPr="00C74B30">
        <w:rPr>
          <w:lang w:val="en-US"/>
        </w:rPr>
        <w:t xml:space="preserve">events. </w:t>
      </w:r>
      <w:r>
        <w:rPr>
          <w:lang w:val="en-US"/>
        </w:rPr>
        <w:t>W</w:t>
      </w:r>
      <w:r w:rsidR="00D831AF" w:rsidRPr="00C74B30">
        <w:rPr>
          <w:lang w:val="en-US"/>
        </w:rPr>
        <w:t xml:space="preserve">omen judged </w:t>
      </w:r>
      <w:r w:rsidR="00087683">
        <w:rPr>
          <w:lang w:val="en-US"/>
        </w:rPr>
        <w:t xml:space="preserve">all </w:t>
      </w:r>
      <w:r w:rsidR="00D831AF" w:rsidRPr="00C74B30">
        <w:rPr>
          <w:lang w:val="en-US"/>
        </w:rPr>
        <w:t>events as more severe than men</w:t>
      </w:r>
      <w:r w:rsidR="00087683">
        <w:rPr>
          <w:lang w:val="en-US"/>
        </w:rPr>
        <w:t>. Y</w:t>
      </w:r>
      <w:r w:rsidR="00D831AF" w:rsidRPr="00C74B30">
        <w:rPr>
          <w:lang w:val="en-US"/>
        </w:rPr>
        <w:t xml:space="preserve">oung participants </w:t>
      </w:r>
      <w:r w:rsidR="00087683">
        <w:rPr>
          <w:lang w:val="en-US"/>
        </w:rPr>
        <w:t xml:space="preserve">judged as more severe events they had not experienced, while those </w:t>
      </w:r>
      <w:r w:rsidR="00D831AF" w:rsidRPr="00C74B30">
        <w:rPr>
          <w:lang w:val="en-US"/>
        </w:rPr>
        <w:t>from a low social class</w:t>
      </w:r>
      <w:r w:rsidR="00781653" w:rsidRPr="00C74B30">
        <w:rPr>
          <w:lang w:val="en-US"/>
        </w:rPr>
        <w:t xml:space="preserve"> judged as more severe </w:t>
      </w:r>
      <w:r w:rsidR="00087683">
        <w:rPr>
          <w:lang w:val="en-US"/>
        </w:rPr>
        <w:t xml:space="preserve">than their counterparts </w:t>
      </w:r>
      <w:r w:rsidR="00781653" w:rsidRPr="00C74B30">
        <w:rPr>
          <w:lang w:val="en-US"/>
        </w:rPr>
        <w:t>t</w:t>
      </w:r>
      <w:r w:rsidR="00087683">
        <w:rPr>
          <w:lang w:val="en-US"/>
        </w:rPr>
        <w:t>he events they had experienced</w:t>
      </w:r>
      <w:r w:rsidR="00781653" w:rsidRPr="00C74B30">
        <w:rPr>
          <w:lang w:val="en-US"/>
        </w:rPr>
        <w:t xml:space="preserve">.  </w:t>
      </w:r>
      <w:r w:rsidR="00087683">
        <w:rPr>
          <w:lang w:val="en-US"/>
        </w:rPr>
        <w:t>It was concluded that t</w:t>
      </w:r>
      <w:r w:rsidR="00781653" w:rsidRPr="00C74B30">
        <w:rPr>
          <w:lang w:val="en-US"/>
        </w:rPr>
        <w:t xml:space="preserve">he magnitude of the scores assigned to the events seems to be related with having experienced them and not with the socio-demographic characteristics of the judges. </w:t>
      </w:r>
      <w:r w:rsidR="00D831AF" w:rsidRPr="00C74B30">
        <w:rPr>
          <w:lang w:val="en-US"/>
        </w:rPr>
        <w:t xml:space="preserve">    </w:t>
      </w:r>
    </w:p>
    <w:p w:rsidR="00CF6268" w:rsidRDefault="00CF6268" w:rsidP="00CF6268">
      <w:pPr>
        <w:pStyle w:val="Sinespaciado1"/>
        <w:spacing w:line="480" w:lineRule="auto"/>
        <w:rPr>
          <w:lang w:val="en-US"/>
        </w:rPr>
      </w:pPr>
    </w:p>
    <w:p w:rsidR="00CF6268" w:rsidRPr="00C74B30" w:rsidRDefault="00CF6268" w:rsidP="00CF6268">
      <w:pPr>
        <w:pStyle w:val="Sinespaciado1"/>
        <w:spacing w:line="480" w:lineRule="auto"/>
        <w:rPr>
          <w:lang w:val="en-US"/>
        </w:rPr>
      </w:pPr>
      <w:r>
        <w:rPr>
          <w:lang w:val="en-US"/>
        </w:rPr>
        <w:t>Key words: life events, psychological stress, stress quantification, social readjustment rating scale, adults</w:t>
      </w: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Default="008E621E" w:rsidP="00214903">
      <w:pPr>
        <w:pStyle w:val="Sinespaciado1"/>
        <w:spacing w:line="480" w:lineRule="auto"/>
        <w:ind w:firstLine="708"/>
        <w:rPr>
          <w:lang w:val="en-US"/>
        </w:rPr>
      </w:pPr>
    </w:p>
    <w:p w:rsidR="00214903" w:rsidRPr="00C74B30" w:rsidRDefault="00214903" w:rsidP="00214903">
      <w:pPr>
        <w:pStyle w:val="Sinespaciado1"/>
        <w:spacing w:line="480" w:lineRule="auto"/>
        <w:ind w:firstLine="708"/>
        <w:rPr>
          <w:lang w:val="es-MX"/>
        </w:rPr>
      </w:pPr>
      <w:r w:rsidRPr="00C74B30">
        <w:lastRenderedPageBreak/>
        <w:t xml:space="preserve">Holmes y </w:t>
      </w:r>
      <w:proofErr w:type="spellStart"/>
      <w:r w:rsidRPr="00C74B30">
        <w:t>Rahe</w:t>
      </w:r>
      <w:proofErr w:type="spellEnd"/>
      <w:r w:rsidRPr="00C74B30">
        <w:t xml:space="preserve"> (1967) </w:t>
      </w:r>
      <w:r w:rsidR="00CB1A80" w:rsidRPr="00C74B30">
        <w:t xml:space="preserve">listaron en </w:t>
      </w:r>
      <w:r w:rsidRPr="00C74B30">
        <w:t>la Escala de Reajuste Social (SRRS, por sus siglas en inglés)</w:t>
      </w:r>
      <w:r w:rsidR="00CB1A80" w:rsidRPr="00C74B30">
        <w:t xml:space="preserve"> 43 eventos vitales que están relacionados con la aparición de una enfermedad</w:t>
      </w:r>
      <w:r w:rsidRPr="00C74B30">
        <w:t>.  Un evento vital se refiere a un cambio importante en la vida de una persona (</w:t>
      </w:r>
      <w:proofErr w:type="spellStart"/>
      <w:r w:rsidRPr="00C74B30">
        <w:t>e.g.</w:t>
      </w:r>
      <w:proofErr w:type="spellEnd"/>
      <w:r w:rsidRPr="00C74B30">
        <w:t xml:space="preserve">, la muerte de un ser querido, la obtención de un premio sobresaliente) que altera el equilibrio y que </w:t>
      </w:r>
      <w:r w:rsidR="00CB1A80" w:rsidRPr="00C74B30">
        <w:t xml:space="preserve">requiere un ajuste a la </w:t>
      </w:r>
      <w:r w:rsidRPr="00C74B30">
        <w:t xml:space="preserve">nueva situación.  El reajuste necesario al experimentar un evento vital según Holmes y </w:t>
      </w:r>
      <w:proofErr w:type="spellStart"/>
      <w:r w:rsidRPr="00C74B30">
        <w:t>Rahe</w:t>
      </w:r>
      <w:proofErr w:type="spellEnd"/>
      <w:r w:rsidRPr="00C74B30">
        <w:t xml:space="preserve"> se refiere a la intensidad y a la duración del cambio en los patrones acostumbrados de vida.      </w:t>
      </w:r>
    </w:p>
    <w:p w:rsidR="008B7973" w:rsidRPr="00C74B30" w:rsidRDefault="00EB5D1B" w:rsidP="00DF066A">
      <w:pPr>
        <w:shd w:val="clear" w:color="auto" w:fill="FFFFFF"/>
        <w:spacing w:line="480" w:lineRule="auto"/>
        <w:ind w:firstLine="708"/>
      </w:pPr>
      <w:r w:rsidRPr="00C74B30">
        <w:rPr>
          <w:lang w:val="es-MX"/>
        </w:rPr>
        <w:t xml:space="preserve">Para cuantificar la severidad de cada evento vital, </w:t>
      </w:r>
      <w:r w:rsidR="00BC0DC1" w:rsidRPr="00C74B30">
        <w:rPr>
          <w:lang w:val="es-MX"/>
        </w:rPr>
        <w:t xml:space="preserve">Holmes y </w:t>
      </w:r>
      <w:proofErr w:type="spellStart"/>
      <w:r w:rsidR="00BC0DC1" w:rsidRPr="00C74B30">
        <w:rPr>
          <w:lang w:val="es-MX"/>
        </w:rPr>
        <w:t>Rahe</w:t>
      </w:r>
      <w:proofErr w:type="spellEnd"/>
      <w:r w:rsidR="00BC0DC1" w:rsidRPr="00C74B30">
        <w:rPr>
          <w:lang w:val="es-MX"/>
        </w:rPr>
        <w:t xml:space="preserve"> (1967) </w:t>
      </w:r>
      <w:r w:rsidR="00BC0DC1" w:rsidRPr="00C74B30">
        <w:t xml:space="preserve">pidieron a </w:t>
      </w:r>
      <w:r w:rsidR="00922926" w:rsidRPr="00C74B30">
        <w:t xml:space="preserve">jueces </w:t>
      </w:r>
      <w:r w:rsidR="00CB1A80" w:rsidRPr="00C74B30">
        <w:t xml:space="preserve">asignar puntajes </w:t>
      </w:r>
      <w:r w:rsidRPr="00C74B30">
        <w:t xml:space="preserve">considerando el grado de reajuste que una persona común requeriría para adaptarse a cada </w:t>
      </w:r>
      <w:r w:rsidR="00742749">
        <w:t>evento vital</w:t>
      </w:r>
      <w:r w:rsidRPr="00C74B30">
        <w:t xml:space="preserve">.  </w:t>
      </w:r>
      <w:r w:rsidR="00BC0DC1" w:rsidRPr="00C74B30">
        <w:t xml:space="preserve">Al promedio de los puntajes asignados por los jueces </w:t>
      </w:r>
      <w:r w:rsidR="0030532C" w:rsidRPr="00C74B30">
        <w:t xml:space="preserve">le llamaron </w:t>
      </w:r>
      <w:r w:rsidR="00BC0DC1" w:rsidRPr="00C74B30">
        <w:t>puntaje de cambio de vida (LCU, por sus siglas en inglés).</w:t>
      </w:r>
      <w:r w:rsidR="00FA7636" w:rsidRPr="00C74B30">
        <w:t xml:space="preserve">  </w:t>
      </w:r>
      <w:r w:rsidRPr="00C74B30">
        <w:t>Para predecir el tipo y la gravedad de la enfermedad que una persona puede adquirir</w:t>
      </w:r>
      <w:r w:rsidR="009040C7" w:rsidRPr="00C74B30">
        <w:t xml:space="preserve">, </w:t>
      </w:r>
      <w:r w:rsidRPr="00C74B30">
        <w:t xml:space="preserve">ésta debe señalar cuáles de los 43 eventos de la SRRS experimentó.  A cada evento </w:t>
      </w:r>
      <w:r w:rsidR="00742749">
        <w:t>s</w:t>
      </w:r>
      <w:r w:rsidR="009040C7" w:rsidRPr="00C74B30">
        <w:t xml:space="preserve">e </w:t>
      </w:r>
      <w:r w:rsidRPr="00C74B30">
        <w:t xml:space="preserve">le asigna el puntaje LCU correspondiente.  La suma de los puntajes LCU indica el grado de estrés al que </w:t>
      </w:r>
      <w:r w:rsidR="001971BD" w:rsidRPr="00C74B30">
        <w:t xml:space="preserve">estuvo </w:t>
      </w:r>
      <w:r w:rsidRPr="00C74B30">
        <w:t>sometida una persona</w:t>
      </w:r>
      <w:r w:rsidR="001971BD" w:rsidRPr="00C74B30">
        <w:t xml:space="preserve"> durante un periodo de tiempo</w:t>
      </w:r>
      <w:r w:rsidR="00742749">
        <w:t xml:space="preserve"> (</w:t>
      </w:r>
      <w:proofErr w:type="spellStart"/>
      <w:r w:rsidR="00742749">
        <w:t>e.g.</w:t>
      </w:r>
      <w:proofErr w:type="spellEnd"/>
      <w:r w:rsidR="00742749">
        <w:t>,</w:t>
      </w:r>
      <w:r w:rsidR="008852A3" w:rsidRPr="00C74B30">
        <w:t xml:space="preserve"> los últimos seis meses)</w:t>
      </w:r>
      <w:r w:rsidRPr="00C74B30">
        <w:t xml:space="preserve">. </w:t>
      </w:r>
      <w:r w:rsidR="001971BD" w:rsidRPr="00C74B30">
        <w:t xml:space="preserve"> </w:t>
      </w:r>
      <w:r w:rsidRPr="00C74B30">
        <w:t xml:space="preserve">En múltiples estudios se ha mostrado que </w:t>
      </w:r>
      <w:r w:rsidR="009040C7" w:rsidRPr="00C74B30">
        <w:t>l</w:t>
      </w:r>
      <w:r w:rsidR="001163A4" w:rsidRPr="00C74B30">
        <w:t>a suma de puntajes LCU es</w:t>
      </w:r>
      <w:r w:rsidR="009040C7" w:rsidRPr="00C74B30">
        <w:t xml:space="preserve"> un </w:t>
      </w:r>
      <w:proofErr w:type="spellStart"/>
      <w:r w:rsidR="009040C7" w:rsidRPr="00C74B30">
        <w:t>predictor</w:t>
      </w:r>
      <w:proofErr w:type="spellEnd"/>
      <w:r w:rsidR="009040C7" w:rsidRPr="00C74B30">
        <w:t xml:space="preserve"> confiable de </w:t>
      </w:r>
      <w:r w:rsidRPr="00C74B30">
        <w:t>la propensión de las personas para adquirir una enfermedad (</w:t>
      </w:r>
      <w:proofErr w:type="spellStart"/>
      <w:r w:rsidRPr="00C74B30">
        <w:t>e.g.</w:t>
      </w:r>
      <w:proofErr w:type="spellEnd"/>
      <w:r w:rsidRPr="00C74B30">
        <w:t xml:space="preserve">, </w:t>
      </w:r>
      <w:proofErr w:type="spellStart"/>
      <w:r w:rsidRPr="00C74B30">
        <w:rPr>
          <w:lang w:val="es-MX"/>
        </w:rPr>
        <w:t>Chung</w:t>
      </w:r>
      <w:proofErr w:type="spellEnd"/>
      <w:r w:rsidR="001C0370" w:rsidRPr="00C74B30">
        <w:rPr>
          <w:lang w:val="es-MX"/>
        </w:rPr>
        <w:t xml:space="preserve">, </w:t>
      </w:r>
      <w:proofErr w:type="spellStart"/>
      <w:r w:rsidR="001C0370" w:rsidRPr="00C74B30">
        <w:t>Symons</w:t>
      </w:r>
      <w:proofErr w:type="spellEnd"/>
      <w:r w:rsidR="001C0370" w:rsidRPr="00C74B30">
        <w:t xml:space="preserve">, </w:t>
      </w:r>
      <w:proofErr w:type="spellStart"/>
      <w:r w:rsidR="001C0370" w:rsidRPr="00C74B30">
        <w:t>Gilliam</w:t>
      </w:r>
      <w:proofErr w:type="spellEnd"/>
      <w:r w:rsidR="001C0370" w:rsidRPr="00C74B30">
        <w:t xml:space="preserve">, &amp; </w:t>
      </w:r>
      <w:proofErr w:type="spellStart"/>
      <w:r w:rsidR="001C0370" w:rsidRPr="00C74B30">
        <w:t>Kaminski</w:t>
      </w:r>
      <w:proofErr w:type="spellEnd"/>
      <w:r w:rsidRPr="00C74B30">
        <w:rPr>
          <w:lang w:val="es-MX"/>
        </w:rPr>
        <w:t xml:space="preserve">, 2010; </w:t>
      </w:r>
      <w:proofErr w:type="spellStart"/>
      <w:r w:rsidRPr="00C74B30">
        <w:rPr>
          <w:lang w:val="es-MX"/>
        </w:rPr>
        <w:t>Welsh</w:t>
      </w:r>
      <w:proofErr w:type="spellEnd"/>
      <w:r w:rsidRPr="00C74B30">
        <w:rPr>
          <w:lang w:val="es-MX"/>
        </w:rPr>
        <w:t>, 2009; Woods</w:t>
      </w:r>
      <w:r w:rsidR="00EA6918" w:rsidRPr="00C74B30">
        <w:rPr>
          <w:lang w:val="es-MX"/>
        </w:rPr>
        <w:t xml:space="preserve">, </w:t>
      </w:r>
      <w:r w:rsidR="00EA6918" w:rsidRPr="00C74B30">
        <w:t xml:space="preserve">Racine, &amp; </w:t>
      </w:r>
      <w:proofErr w:type="spellStart"/>
      <w:r w:rsidR="00EA6918" w:rsidRPr="00C74B30">
        <w:t>Klump</w:t>
      </w:r>
      <w:proofErr w:type="spellEnd"/>
      <w:r w:rsidRPr="00C74B30">
        <w:rPr>
          <w:lang w:val="es-MX"/>
        </w:rPr>
        <w:t>, 2010</w:t>
      </w:r>
      <w:r w:rsidRPr="00C74B30">
        <w:t xml:space="preserve">). </w:t>
      </w:r>
      <w:r w:rsidR="008852A3" w:rsidRPr="00C74B30">
        <w:t xml:space="preserve"> </w:t>
      </w:r>
      <w:r w:rsidRPr="00C74B30">
        <w:t>Se ha documentado que la suma de puntajes LCU mayores a 300 puntos predicen enfermedades graves como infartos al miocardio y aún cáncer, mientras que puntajes menores a 100 puntos predicen enfermedades leves como gripes o dolores de cabeza (cf.</w:t>
      </w:r>
      <w:r w:rsidR="00A90036" w:rsidRPr="00C74B30">
        <w:t xml:space="preserve"> </w:t>
      </w:r>
      <w:proofErr w:type="spellStart"/>
      <w:r w:rsidR="00A90036" w:rsidRPr="00C74B30">
        <w:t>Wyler</w:t>
      </w:r>
      <w:proofErr w:type="spellEnd"/>
      <w:r w:rsidR="00A90036" w:rsidRPr="00C74B30">
        <w:t xml:space="preserve">, </w:t>
      </w:r>
      <w:proofErr w:type="spellStart"/>
      <w:r w:rsidR="00A90036" w:rsidRPr="00C74B30">
        <w:t>Masuda</w:t>
      </w:r>
      <w:proofErr w:type="spellEnd"/>
      <w:r w:rsidR="00A90036" w:rsidRPr="00C74B30">
        <w:t>, &amp; Hol</w:t>
      </w:r>
      <w:r w:rsidR="009040C7" w:rsidRPr="00C74B30">
        <w:t>m</w:t>
      </w:r>
      <w:r w:rsidR="00A90036" w:rsidRPr="00C74B30">
        <w:t>e</w:t>
      </w:r>
      <w:r w:rsidR="009040C7" w:rsidRPr="00C74B30">
        <w:t>s, 1971</w:t>
      </w:r>
      <w:r w:rsidRPr="00C74B30">
        <w:t xml:space="preserve">). </w:t>
      </w:r>
      <w:r w:rsidR="001971BD" w:rsidRPr="00C74B30">
        <w:t xml:space="preserve"> </w:t>
      </w:r>
      <w:r w:rsidRPr="00C74B30">
        <w:t>Así, el hecho de haber experimentado los suces</w:t>
      </w:r>
      <w:r w:rsidR="001163A4" w:rsidRPr="00C74B30">
        <w:t>os es el factor determinante de l</w:t>
      </w:r>
      <w:r w:rsidRPr="00C74B30">
        <w:t>a gravedad de las enfermedades que un individuo puede adquirir.</w:t>
      </w:r>
      <w:r w:rsidR="009040C7" w:rsidRPr="00C74B30">
        <w:t xml:space="preserve"> </w:t>
      </w:r>
      <w:r w:rsidRPr="00C74B30">
        <w:t xml:space="preserve"> No obstante, </w:t>
      </w:r>
      <w:r w:rsidR="009040C7" w:rsidRPr="00C74B30">
        <w:t xml:space="preserve">en ningún estudio se </w:t>
      </w:r>
      <w:r w:rsidRPr="00C74B30">
        <w:t xml:space="preserve">averiguó si </w:t>
      </w:r>
      <w:r w:rsidR="009040C7" w:rsidRPr="00C74B30">
        <w:t xml:space="preserve">los jueces que asignaron los puntajes LCU habían experimentado los eventos.  </w:t>
      </w:r>
      <w:proofErr w:type="spellStart"/>
      <w:r w:rsidR="00BC0DC1" w:rsidRPr="00C74B30">
        <w:t>Rosenberg</w:t>
      </w:r>
      <w:proofErr w:type="spellEnd"/>
      <w:r w:rsidR="00BC0DC1" w:rsidRPr="00C74B30">
        <w:t xml:space="preserve"> y </w:t>
      </w:r>
      <w:proofErr w:type="spellStart"/>
      <w:r w:rsidR="00BC0DC1" w:rsidRPr="00C74B30">
        <w:t>Dohrenwend</w:t>
      </w:r>
      <w:proofErr w:type="spellEnd"/>
      <w:r w:rsidR="00BC0DC1" w:rsidRPr="00C74B30">
        <w:t xml:space="preserve"> (1975) señalaron que </w:t>
      </w:r>
      <w:r w:rsidR="009040C7" w:rsidRPr="00C74B30">
        <w:t xml:space="preserve">la experiencia de los jueces afrontando los sucesos podría afectar cómo juzgaron la </w:t>
      </w:r>
      <w:r w:rsidR="00BC0DC1" w:rsidRPr="00C74B30">
        <w:t xml:space="preserve">severidad </w:t>
      </w:r>
      <w:r w:rsidR="009040C7" w:rsidRPr="00C74B30">
        <w:t xml:space="preserve">de cada evento vital.  </w:t>
      </w:r>
      <w:r w:rsidR="00DF066A" w:rsidRPr="00C74B30">
        <w:t xml:space="preserve">  </w:t>
      </w:r>
    </w:p>
    <w:p w:rsidR="001E3403" w:rsidRPr="00C74B30" w:rsidRDefault="00881BC7" w:rsidP="001E3403">
      <w:pPr>
        <w:pStyle w:val="Sinespaciado1"/>
        <w:spacing w:line="480" w:lineRule="auto"/>
        <w:ind w:firstLine="708"/>
      </w:pPr>
      <w:r w:rsidRPr="00C74B30">
        <w:t>E</w:t>
      </w:r>
      <w:r w:rsidR="00DF066A" w:rsidRPr="00C74B30">
        <w:t xml:space="preserve">n algunos estudios se </w:t>
      </w:r>
      <w:r w:rsidR="008A469D" w:rsidRPr="00C74B30">
        <w:t xml:space="preserve">buscó averiguar </w:t>
      </w:r>
      <w:r w:rsidR="00842B7F" w:rsidRPr="00C74B30">
        <w:t xml:space="preserve">la relación entre </w:t>
      </w:r>
      <w:r w:rsidR="00DF066A" w:rsidRPr="00C74B30">
        <w:t xml:space="preserve">haber experimentado los eventos vitales </w:t>
      </w:r>
      <w:r w:rsidR="00842B7F" w:rsidRPr="00C74B30">
        <w:t xml:space="preserve">y cómo se juzga </w:t>
      </w:r>
      <w:r w:rsidRPr="00C74B30">
        <w:t xml:space="preserve">su </w:t>
      </w:r>
      <w:r w:rsidR="00DF066A" w:rsidRPr="00C74B30">
        <w:t>severidad</w:t>
      </w:r>
      <w:r w:rsidRPr="00C74B30">
        <w:t xml:space="preserve"> (</w:t>
      </w:r>
      <w:proofErr w:type="spellStart"/>
      <w:r w:rsidRPr="00C74B30">
        <w:t>e.g.</w:t>
      </w:r>
      <w:proofErr w:type="spellEnd"/>
      <w:r w:rsidRPr="00C74B30">
        <w:t xml:space="preserve">, </w:t>
      </w:r>
      <w:proofErr w:type="spellStart"/>
      <w:r w:rsidR="00842B7F" w:rsidRPr="00C74B30">
        <w:t>Hurst</w:t>
      </w:r>
      <w:proofErr w:type="spellEnd"/>
      <w:r w:rsidR="00842B7F" w:rsidRPr="00C74B30">
        <w:t xml:space="preserve">, Jenkins, &amp; Rose, 1978; </w:t>
      </w:r>
      <w:proofErr w:type="spellStart"/>
      <w:r w:rsidRPr="00C74B30">
        <w:rPr>
          <w:lang w:val="es-MX"/>
        </w:rPr>
        <w:t>Lundberg</w:t>
      </w:r>
      <w:proofErr w:type="spellEnd"/>
      <w:r w:rsidRPr="00C74B30">
        <w:rPr>
          <w:lang w:val="es-MX"/>
        </w:rPr>
        <w:t xml:space="preserve">, </w:t>
      </w:r>
      <w:proofErr w:type="spellStart"/>
      <w:r w:rsidRPr="00C74B30">
        <w:rPr>
          <w:lang w:val="es-MX"/>
        </w:rPr>
        <w:t>Theorell</w:t>
      </w:r>
      <w:proofErr w:type="spellEnd"/>
      <w:r w:rsidRPr="00C74B30">
        <w:rPr>
          <w:lang w:val="es-MX"/>
        </w:rPr>
        <w:t xml:space="preserve">, &amp; </w:t>
      </w:r>
      <w:proofErr w:type="spellStart"/>
      <w:r w:rsidRPr="00C74B30">
        <w:rPr>
          <w:lang w:val="es-MX"/>
        </w:rPr>
        <w:lastRenderedPageBreak/>
        <w:t>Lind</w:t>
      </w:r>
      <w:proofErr w:type="spellEnd"/>
      <w:r w:rsidRPr="00C74B30">
        <w:rPr>
          <w:lang w:val="es-MX"/>
        </w:rPr>
        <w:t>, 1975;</w:t>
      </w:r>
      <w:r w:rsidRPr="00C74B30">
        <w:t xml:space="preserve"> </w:t>
      </w:r>
      <w:proofErr w:type="spellStart"/>
      <w:r w:rsidRPr="00C74B30">
        <w:t>Masuda</w:t>
      </w:r>
      <w:proofErr w:type="spellEnd"/>
      <w:r w:rsidRPr="00C74B30">
        <w:t xml:space="preserve">, </w:t>
      </w:r>
      <w:proofErr w:type="spellStart"/>
      <w:r w:rsidRPr="00C74B30">
        <w:t>Wong</w:t>
      </w:r>
      <w:proofErr w:type="spellEnd"/>
      <w:r w:rsidRPr="00C74B30">
        <w:t xml:space="preserve">, </w:t>
      </w:r>
      <w:proofErr w:type="spellStart"/>
      <w:r w:rsidRPr="00C74B30">
        <w:t>Felicetta</w:t>
      </w:r>
      <w:proofErr w:type="spellEnd"/>
      <w:r w:rsidRPr="00C74B30">
        <w:t xml:space="preserve">, &amp; Holmes, 1975; </w:t>
      </w:r>
      <w:proofErr w:type="spellStart"/>
      <w:r w:rsidR="00842B7F" w:rsidRPr="00C74B30">
        <w:t>Paykel</w:t>
      </w:r>
      <w:proofErr w:type="spellEnd"/>
      <w:r w:rsidR="00842B7F" w:rsidRPr="00C74B30">
        <w:t xml:space="preserve">, </w:t>
      </w:r>
      <w:proofErr w:type="spellStart"/>
      <w:r w:rsidR="00842B7F" w:rsidRPr="00C74B30">
        <w:t>Prusoff</w:t>
      </w:r>
      <w:proofErr w:type="spellEnd"/>
      <w:r w:rsidR="00842B7F" w:rsidRPr="00C74B30">
        <w:t>, &amp;</w:t>
      </w:r>
      <w:r w:rsidR="00515880" w:rsidRPr="00C74B30">
        <w:t xml:space="preserve"> </w:t>
      </w:r>
      <w:proofErr w:type="spellStart"/>
      <w:r w:rsidR="00842B7F" w:rsidRPr="00C74B30">
        <w:t>Uhlenhuth</w:t>
      </w:r>
      <w:proofErr w:type="spellEnd"/>
      <w:r w:rsidR="00842B7F" w:rsidRPr="00C74B30">
        <w:t>, 1971;</w:t>
      </w:r>
      <w:r w:rsidRPr="00C74B30">
        <w:t xml:space="preserve"> </w:t>
      </w:r>
      <w:proofErr w:type="spellStart"/>
      <w:r w:rsidRPr="00C74B30">
        <w:t>Schless</w:t>
      </w:r>
      <w:proofErr w:type="spellEnd"/>
      <w:r w:rsidRPr="00C74B30">
        <w:t xml:space="preserve">, </w:t>
      </w:r>
      <w:proofErr w:type="spellStart"/>
      <w:r w:rsidRPr="00C74B30">
        <w:t>Schwartz</w:t>
      </w:r>
      <w:proofErr w:type="spellEnd"/>
      <w:r w:rsidRPr="00C74B30">
        <w:t xml:space="preserve">, </w:t>
      </w:r>
      <w:proofErr w:type="spellStart"/>
      <w:r w:rsidRPr="00C74B30">
        <w:t>Goetz</w:t>
      </w:r>
      <w:proofErr w:type="spellEnd"/>
      <w:r w:rsidRPr="00C74B30">
        <w:t xml:space="preserve">, </w:t>
      </w:r>
      <w:r w:rsidRPr="00C74B30">
        <w:rPr>
          <w:color w:val="000000"/>
        </w:rPr>
        <w:t>&amp;</w:t>
      </w:r>
      <w:r w:rsidRPr="00C74B30">
        <w:t xml:space="preserve"> </w:t>
      </w:r>
      <w:proofErr w:type="spellStart"/>
      <w:r w:rsidRPr="00C74B30">
        <w:t>Mendels</w:t>
      </w:r>
      <w:proofErr w:type="spellEnd"/>
      <w:r w:rsidRPr="00C74B30">
        <w:t xml:space="preserve">, 1974; </w:t>
      </w:r>
      <w:proofErr w:type="spellStart"/>
      <w:r w:rsidRPr="00C74B30">
        <w:t>Volicer</w:t>
      </w:r>
      <w:proofErr w:type="spellEnd"/>
      <w:r w:rsidRPr="00C74B30">
        <w:t>, 1973).</w:t>
      </w:r>
      <w:r w:rsidR="001E3403" w:rsidRPr="00C74B30">
        <w:t xml:space="preserve">  C</w:t>
      </w:r>
      <w:r w:rsidRPr="00C74B30">
        <w:t xml:space="preserve">on el fin de contar con personas que hubieran estado sujetas a estrés, </w:t>
      </w:r>
      <w:r w:rsidR="001E3403" w:rsidRPr="00C74B30">
        <w:t xml:space="preserve">en esos estudios </w:t>
      </w:r>
      <w:r w:rsidRPr="00C74B30">
        <w:t xml:space="preserve">se incluyó como jueces a personas que estaban padeciendo alguna enfermedad física o psicológica </w:t>
      </w:r>
      <w:r w:rsidR="001E3403" w:rsidRPr="00C74B30">
        <w:t>(</w:t>
      </w:r>
      <w:proofErr w:type="spellStart"/>
      <w:r w:rsidR="001E3403" w:rsidRPr="00C74B30">
        <w:t>e.g.</w:t>
      </w:r>
      <w:proofErr w:type="spellEnd"/>
      <w:r w:rsidR="001E3403" w:rsidRPr="00C74B30">
        <w:t xml:space="preserve">, sobrevivientes de un infarto, deprimidos) </w:t>
      </w:r>
      <w:r w:rsidRPr="00C74B30">
        <w:t>o que tenían alguna profesión altamente estresante (</w:t>
      </w:r>
      <w:proofErr w:type="spellStart"/>
      <w:r w:rsidRPr="00C74B30">
        <w:t>e.g.</w:t>
      </w:r>
      <w:proofErr w:type="spellEnd"/>
      <w:r w:rsidRPr="00C74B30">
        <w:t xml:space="preserve">, controladores aéreos).  </w:t>
      </w:r>
      <w:r w:rsidR="001163A4" w:rsidRPr="00C74B30">
        <w:t>L</w:t>
      </w:r>
      <w:r w:rsidRPr="00C74B30">
        <w:t>os resultados</w:t>
      </w:r>
      <w:r w:rsidR="00842B7F" w:rsidRPr="00C74B30">
        <w:t xml:space="preserve"> </w:t>
      </w:r>
      <w:r w:rsidR="001163A4" w:rsidRPr="00C74B30">
        <w:t>mostraron que e</w:t>
      </w:r>
      <w:r w:rsidR="00842B7F" w:rsidRPr="00C74B30">
        <w:t>n general aq</w:t>
      </w:r>
      <w:r w:rsidRPr="00C74B30">
        <w:t>uellos que habían experimentado los eventos vitales les asignaron puntajes más altos que quienes no los habían experimentado.</w:t>
      </w:r>
      <w:r w:rsidR="001E3403" w:rsidRPr="00C74B30">
        <w:t xml:space="preserve">  Un problema con esos estudios </w:t>
      </w:r>
      <w:r w:rsidR="00842B7F" w:rsidRPr="00C74B30">
        <w:t xml:space="preserve">radicó en </w:t>
      </w:r>
      <w:r w:rsidR="001E3403" w:rsidRPr="00C74B30">
        <w:t xml:space="preserve">las características de las muestras, ya que </w:t>
      </w:r>
      <w:r w:rsidR="00842B7F" w:rsidRPr="00C74B30">
        <w:t xml:space="preserve">el hecho de que </w:t>
      </w:r>
      <w:r w:rsidR="001E3403" w:rsidRPr="00C74B30">
        <w:t xml:space="preserve">los jueces </w:t>
      </w:r>
      <w:r w:rsidR="00742749">
        <w:t xml:space="preserve">estuvieran sujetos a estrés pudo conllevar un </w:t>
      </w:r>
      <w:r w:rsidR="001E3403" w:rsidRPr="00C74B30">
        <w:t xml:space="preserve">estado de ánimo pesimista que los condujo a evaluar los eventos vitales que habían experimentado como más severos que </w:t>
      </w:r>
      <w:r w:rsidR="0030532C" w:rsidRPr="00C74B30">
        <w:t xml:space="preserve">los que no </w:t>
      </w:r>
      <w:r w:rsidR="00BC4544">
        <w:t xml:space="preserve">los </w:t>
      </w:r>
      <w:r w:rsidR="0030532C" w:rsidRPr="00C74B30">
        <w:t>habían e</w:t>
      </w:r>
      <w:r w:rsidR="001E3403" w:rsidRPr="00C74B30">
        <w:t xml:space="preserve">xperimentado.  </w:t>
      </w:r>
    </w:p>
    <w:p w:rsidR="00937FCC" w:rsidRPr="00C74B30" w:rsidRDefault="001E3403" w:rsidP="00BC0DC1">
      <w:pPr>
        <w:pStyle w:val="Sinespaciado1"/>
        <w:spacing w:line="480" w:lineRule="auto"/>
        <w:ind w:firstLine="708"/>
      </w:pPr>
      <w:r w:rsidRPr="00C74B30">
        <w:t xml:space="preserve">Con el fin de </w:t>
      </w:r>
      <w:r w:rsidR="0030532C" w:rsidRPr="00C74B30">
        <w:t xml:space="preserve">subsanar el posible sesgo debido a las características de los jueces, en otros estudios se averiguó </w:t>
      </w:r>
      <w:r w:rsidRPr="00C74B30">
        <w:t xml:space="preserve">el efecto de la experiencia con los eventos vitales con jueces </w:t>
      </w:r>
      <w:r w:rsidR="0030532C" w:rsidRPr="00C74B30">
        <w:t>a quienes no se les había di</w:t>
      </w:r>
      <w:r w:rsidR="00515880" w:rsidRPr="00C74B30">
        <w:t>agnosticado una enfermedad (</w:t>
      </w:r>
      <w:proofErr w:type="spellStart"/>
      <w:r w:rsidR="008A469D" w:rsidRPr="00C74B30">
        <w:t>e.g.</w:t>
      </w:r>
      <w:proofErr w:type="spellEnd"/>
      <w:r w:rsidR="008A469D" w:rsidRPr="00C74B30">
        <w:t xml:space="preserve">, Acuña, </w:t>
      </w:r>
      <w:r w:rsidR="001D37B6" w:rsidRPr="00C74B30">
        <w:t>González</w:t>
      </w:r>
      <w:r w:rsidR="00556E7E">
        <w:t>-García</w:t>
      </w:r>
      <w:r w:rsidR="001D37B6" w:rsidRPr="00C74B30">
        <w:t xml:space="preserve">, &amp; </w:t>
      </w:r>
      <w:proofErr w:type="spellStart"/>
      <w:r w:rsidR="001D37B6" w:rsidRPr="00C74B30">
        <w:t>Bruner</w:t>
      </w:r>
      <w:proofErr w:type="spellEnd"/>
      <w:r w:rsidR="001D37B6" w:rsidRPr="00C74B30">
        <w:t>, 2010</w:t>
      </w:r>
      <w:r w:rsidR="008A469D" w:rsidRPr="00C74B30">
        <w:t xml:space="preserve">; </w:t>
      </w:r>
      <w:proofErr w:type="spellStart"/>
      <w:r w:rsidR="008A469D" w:rsidRPr="00C74B30">
        <w:rPr>
          <w:lang w:val="es-MX"/>
        </w:rPr>
        <w:t>Horowitz</w:t>
      </w:r>
      <w:proofErr w:type="spellEnd"/>
      <w:r w:rsidR="008A469D" w:rsidRPr="00C74B30">
        <w:rPr>
          <w:lang w:val="es-MX"/>
        </w:rPr>
        <w:t xml:space="preserve">, </w:t>
      </w:r>
      <w:proofErr w:type="spellStart"/>
      <w:r w:rsidR="008A469D" w:rsidRPr="00C74B30">
        <w:rPr>
          <w:lang w:val="es-MX"/>
        </w:rPr>
        <w:t>Schaefer</w:t>
      </w:r>
      <w:proofErr w:type="spellEnd"/>
      <w:r w:rsidR="008A469D" w:rsidRPr="00C74B30">
        <w:rPr>
          <w:lang w:val="es-MX"/>
        </w:rPr>
        <w:t>, &amp;</w:t>
      </w:r>
      <w:r w:rsidR="00BC0DC1" w:rsidRPr="00C74B30">
        <w:rPr>
          <w:lang w:val="es-MX"/>
        </w:rPr>
        <w:t xml:space="preserve"> </w:t>
      </w:r>
      <w:proofErr w:type="spellStart"/>
      <w:r w:rsidR="00BC0DC1" w:rsidRPr="00C74B30">
        <w:rPr>
          <w:lang w:val="es-MX"/>
        </w:rPr>
        <w:t>Cooney</w:t>
      </w:r>
      <w:proofErr w:type="spellEnd"/>
      <w:r w:rsidR="008A469D" w:rsidRPr="00C74B30">
        <w:rPr>
          <w:lang w:val="es-MX"/>
        </w:rPr>
        <w:t xml:space="preserve">, </w:t>
      </w:r>
      <w:r w:rsidR="00BC0DC1" w:rsidRPr="00C74B30">
        <w:rPr>
          <w:lang w:val="es-MX"/>
        </w:rPr>
        <w:t>1977)</w:t>
      </w:r>
      <w:r w:rsidR="00C5435C" w:rsidRPr="00C74B30">
        <w:rPr>
          <w:lang w:val="es-MX"/>
        </w:rPr>
        <w:t xml:space="preserve">.  Los resultados </w:t>
      </w:r>
      <w:r w:rsidR="007C78BF" w:rsidRPr="00C74B30">
        <w:rPr>
          <w:lang w:val="es-MX"/>
        </w:rPr>
        <w:t>no fueron consistentes</w:t>
      </w:r>
      <w:r w:rsidR="00692814">
        <w:rPr>
          <w:lang w:val="es-MX"/>
        </w:rPr>
        <w:t>, dado que la experiencia afrontando los sucesos no se relacionó sistemáticamente con la magnitud de los puntajes</w:t>
      </w:r>
      <w:r w:rsidR="007C78BF" w:rsidRPr="00C74B30">
        <w:rPr>
          <w:lang w:val="es-MX"/>
        </w:rPr>
        <w:t>.</w:t>
      </w:r>
      <w:r w:rsidR="003434EF" w:rsidRPr="00C74B30">
        <w:rPr>
          <w:lang w:val="es-MX"/>
        </w:rPr>
        <w:t xml:space="preserve">  </w:t>
      </w:r>
      <w:r w:rsidR="003434EF" w:rsidRPr="00C74B30">
        <w:t xml:space="preserve">En algunos </w:t>
      </w:r>
      <w:r w:rsidR="00692814">
        <w:t>estudios</w:t>
      </w:r>
      <w:r w:rsidR="001971BD" w:rsidRPr="00C74B30">
        <w:t xml:space="preserve"> s</w:t>
      </w:r>
      <w:r w:rsidR="00C5435C" w:rsidRPr="00C74B30">
        <w:t xml:space="preserve">e encontró que </w:t>
      </w:r>
      <w:r w:rsidR="003434EF" w:rsidRPr="00C74B30">
        <w:t xml:space="preserve">quienes habían experimentado </w:t>
      </w:r>
      <w:r w:rsidR="001971BD" w:rsidRPr="00C74B30">
        <w:t xml:space="preserve">los </w:t>
      </w:r>
      <w:r w:rsidR="003434EF" w:rsidRPr="00C74B30">
        <w:t>eventos los juzgaron como más severos que quienes no los habían experimentado (</w:t>
      </w:r>
      <w:proofErr w:type="spellStart"/>
      <w:r w:rsidR="003434EF" w:rsidRPr="00C74B30">
        <w:t>e.g.</w:t>
      </w:r>
      <w:proofErr w:type="spellEnd"/>
      <w:r w:rsidR="003434EF" w:rsidRPr="00C74B30">
        <w:t xml:space="preserve">, </w:t>
      </w:r>
      <w:r w:rsidR="001D37B6" w:rsidRPr="00C74B30">
        <w:t>Acuña et al</w:t>
      </w:r>
      <w:r w:rsidR="00F87C72" w:rsidRPr="00C74B30">
        <w:t>., 2010</w:t>
      </w:r>
      <w:r w:rsidR="003434EF" w:rsidRPr="00C74B30">
        <w:t xml:space="preserve">; </w:t>
      </w:r>
      <w:proofErr w:type="spellStart"/>
      <w:r w:rsidR="003434EF" w:rsidRPr="00C74B30">
        <w:t>Horowitz</w:t>
      </w:r>
      <w:proofErr w:type="spellEnd"/>
      <w:r w:rsidR="003434EF" w:rsidRPr="00C74B30">
        <w:t xml:space="preserve"> et al., 1977).  </w:t>
      </w:r>
      <w:r w:rsidR="00692814">
        <w:t xml:space="preserve">No obstante, también se reportó </w:t>
      </w:r>
      <w:r w:rsidR="008852A3" w:rsidRPr="00C74B30">
        <w:t xml:space="preserve">que </w:t>
      </w:r>
      <w:r w:rsidR="003434EF" w:rsidRPr="00C74B30">
        <w:t xml:space="preserve">quienes </w:t>
      </w:r>
      <w:r w:rsidR="00C5435C" w:rsidRPr="00C74B30">
        <w:t>no habían experimentado</w:t>
      </w:r>
      <w:r w:rsidR="00692814">
        <w:t xml:space="preserve"> los </w:t>
      </w:r>
      <w:r w:rsidR="008852A3" w:rsidRPr="00C74B30">
        <w:t>s</w:t>
      </w:r>
      <w:r w:rsidR="00C5435C" w:rsidRPr="00C74B30">
        <w:t xml:space="preserve">ucesos </w:t>
      </w:r>
      <w:r w:rsidR="008852A3" w:rsidRPr="00C74B30">
        <w:t xml:space="preserve">fueron quienes </w:t>
      </w:r>
      <w:r w:rsidR="00C5435C" w:rsidRPr="00C74B30">
        <w:t xml:space="preserve">los </w:t>
      </w:r>
      <w:r w:rsidR="007E60F0" w:rsidRPr="00C74B30">
        <w:t>juzgaron como más severos</w:t>
      </w:r>
      <w:r w:rsidR="00692814">
        <w:t xml:space="preserve"> o bien que </w:t>
      </w:r>
      <w:r w:rsidR="007E60F0" w:rsidRPr="00C74B30">
        <w:t>la experiencia a</w:t>
      </w:r>
      <w:r w:rsidR="003434EF" w:rsidRPr="00C74B30">
        <w:t>frontando los sucesos no afectó la magnitud de los puntajes asignados por los jueces</w:t>
      </w:r>
      <w:r w:rsidR="001163A4" w:rsidRPr="00C74B30">
        <w:t xml:space="preserve"> (Acuña et al., 2010; </w:t>
      </w:r>
      <w:proofErr w:type="spellStart"/>
      <w:r w:rsidR="00BC0DC1" w:rsidRPr="00C74B30">
        <w:t>Rosenberg</w:t>
      </w:r>
      <w:proofErr w:type="spellEnd"/>
      <w:r w:rsidR="00BC0DC1" w:rsidRPr="00C74B30">
        <w:t xml:space="preserve"> &amp; </w:t>
      </w:r>
      <w:proofErr w:type="spellStart"/>
      <w:r w:rsidR="00BC0DC1" w:rsidRPr="00C74B30">
        <w:t>Dohrenwend</w:t>
      </w:r>
      <w:proofErr w:type="spellEnd"/>
      <w:r w:rsidR="00BC0DC1" w:rsidRPr="00C74B30">
        <w:t xml:space="preserve">, 1975; </w:t>
      </w:r>
      <w:proofErr w:type="spellStart"/>
      <w:r w:rsidR="00BC0DC1" w:rsidRPr="00C74B30">
        <w:t>Ruch</w:t>
      </w:r>
      <w:proofErr w:type="spellEnd"/>
      <w:r w:rsidR="00BC0DC1" w:rsidRPr="00C74B30">
        <w:t xml:space="preserve"> &amp; Holmes, 1971; </w:t>
      </w:r>
      <w:proofErr w:type="spellStart"/>
      <w:r w:rsidR="00BC0DC1" w:rsidRPr="00C74B30">
        <w:t>Tomoda</w:t>
      </w:r>
      <w:proofErr w:type="spellEnd"/>
      <w:r w:rsidR="00BC0DC1" w:rsidRPr="00C74B30">
        <w:t>, 1997).</w:t>
      </w:r>
      <w:r w:rsidR="007C78BF" w:rsidRPr="00C74B30">
        <w:t xml:space="preserve">  Un problema con </w:t>
      </w:r>
      <w:r w:rsidR="00515880" w:rsidRPr="00C74B30">
        <w:t xml:space="preserve">la mayoría </w:t>
      </w:r>
      <w:r w:rsidR="00692814">
        <w:t xml:space="preserve">de los </w:t>
      </w:r>
      <w:r w:rsidR="007C78BF" w:rsidRPr="00C74B30">
        <w:t xml:space="preserve">estudios </w:t>
      </w:r>
      <w:r w:rsidR="00692814">
        <w:t xml:space="preserve">hechos con personas sanas </w:t>
      </w:r>
      <w:r w:rsidR="007C78BF" w:rsidRPr="00C74B30">
        <w:t xml:space="preserve">fue que </w:t>
      </w:r>
      <w:r w:rsidR="00D27113" w:rsidRPr="00C74B30">
        <w:t xml:space="preserve">los </w:t>
      </w:r>
      <w:r w:rsidR="007C78BF" w:rsidRPr="00C74B30">
        <w:t xml:space="preserve">jueces </w:t>
      </w:r>
      <w:r w:rsidR="00D27113" w:rsidRPr="00C74B30">
        <w:t xml:space="preserve">fueron exclusivamente </w:t>
      </w:r>
      <w:r w:rsidR="007C78BF" w:rsidRPr="00C74B30">
        <w:t>estudiantes universitarios</w:t>
      </w:r>
      <w:r w:rsidR="00692814">
        <w:t xml:space="preserve">, lo cual cuestionó la generalidad de sus resultados </w:t>
      </w:r>
      <w:r w:rsidR="007C78BF" w:rsidRPr="00C74B30">
        <w:t>(</w:t>
      </w:r>
      <w:r w:rsidR="00515880" w:rsidRPr="00C74B30">
        <w:t>cf.</w:t>
      </w:r>
      <w:r w:rsidR="003434EF" w:rsidRPr="00C74B30">
        <w:t xml:space="preserve"> </w:t>
      </w:r>
      <w:proofErr w:type="spellStart"/>
      <w:r w:rsidR="00515880" w:rsidRPr="00C74B30">
        <w:t>Rosenberg</w:t>
      </w:r>
      <w:proofErr w:type="spellEnd"/>
      <w:r w:rsidR="00515880" w:rsidRPr="00C74B30">
        <w:t xml:space="preserve"> &amp; </w:t>
      </w:r>
      <w:proofErr w:type="spellStart"/>
      <w:r w:rsidR="00515880" w:rsidRPr="00C74B30">
        <w:t>Dohrenwend</w:t>
      </w:r>
      <w:proofErr w:type="spellEnd"/>
      <w:r w:rsidR="00515880" w:rsidRPr="00C74B30">
        <w:t>, 1975</w:t>
      </w:r>
      <w:r w:rsidR="007C78BF" w:rsidRPr="00C74B30">
        <w:t>)</w:t>
      </w:r>
      <w:r w:rsidR="00D27113" w:rsidRPr="00C74B30">
        <w:t xml:space="preserve">.  </w:t>
      </w:r>
      <w:r w:rsidR="007C78BF" w:rsidRPr="00C74B30">
        <w:t xml:space="preserve">  </w:t>
      </w:r>
    </w:p>
    <w:p w:rsidR="00937FCC" w:rsidRPr="00C74B30" w:rsidRDefault="00E9665A" w:rsidP="00BC0DC1">
      <w:pPr>
        <w:pStyle w:val="Sinespaciado1"/>
        <w:spacing w:line="480" w:lineRule="auto"/>
        <w:ind w:firstLine="708"/>
      </w:pPr>
      <w:r w:rsidRPr="00C74B30">
        <w:t xml:space="preserve">En </w:t>
      </w:r>
      <w:r w:rsidR="00692814">
        <w:t xml:space="preserve">diferentes </w:t>
      </w:r>
      <w:r w:rsidRPr="00C74B30">
        <w:t xml:space="preserve">estudios </w:t>
      </w:r>
      <w:r w:rsidR="00692814">
        <w:t xml:space="preserve">se reportó que </w:t>
      </w:r>
      <w:r w:rsidR="00937FCC" w:rsidRPr="00C74B30">
        <w:t xml:space="preserve">las mujeres, las personas jóvenes y aquellas de clase baja </w:t>
      </w:r>
      <w:r w:rsidR="002B06BB" w:rsidRPr="00C74B30">
        <w:t>tienden a asignar p</w:t>
      </w:r>
      <w:r w:rsidR="00DE385B" w:rsidRPr="00C74B30">
        <w:t xml:space="preserve">untajes más altos a los distintos sucesos que </w:t>
      </w:r>
      <w:r w:rsidR="00692814">
        <w:t xml:space="preserve">sus contrapartes </w:t>
      </w:r>
      <w:r w:rsidR="00937FCC" w:rsidRPr="00C74B30">
        <w:t>(</w:t>
      </w:r>
      <w:proofErr w:type="spellStart"/>
      <w:r w:rsidR="00937FCC" w:rsidRPr="00C74B30">
        <w:t>e.g.</w:t>
      </w:r>
      <w:proofErr w:type="spellEnd"/>
      <w:r w:rsidR="00937FCC" w:rsidRPr="00C74B30">
        <w:t xml:space="preserve">, </w:t>
      </w:r>
      <w:r w:rsidR="002B06BB" w:rsidRPr="00C74B30">
        <w:t>Acuña</w:t>
      </w:r>
      <w:r w:rsidR="00F77888" w:rsidRPr="00C74B30">
        <w:t>, González</w:t>
      </w:r>
      <w:r w:rsidR="00556E7E">
        <w:t>-García</w:t>
      </w:r>
      <w:r w:rsidR="00F77888" w:rsidRPr="00C74B30">
        <w:t xml:space="preserve">, &amp; </w:t>
      </w:r>
      <w:proofErr w:type="spellStart"/>
      <w:r w:rsidR="00F77888" w:rsidRPr="00C74B30">
        <w:t>Bruner</w:t>
      </w:r>
      <w:proofErr w:type="spellEnd"/>
      <w:r w:rsidR="00F87C72" w:rsidRPr="00C74B30">
        <w:t xml:space="preserve">, </w:t>
      </w:r>
      <w:r w:rsidR="002B06BB" w:rsidRPr="00C74B30">
        <w:t xml:space="preserve">2012; </w:t>
      </w:r>
      <w:proofErr w:type="spellStart"/>
      <w:r w:rsidR="002B06BB" w:rsidRPr="00C74B30">
        <w:t>Harkness</w:t>
      </w:r>
      <w:proofErr w:type="spellEnd"/>
      <w:r w:rsidR="002B06BB" w:rsidRPr="00C74B30">
        <w:t xml:space="preserve"> et al., 2010; </w:t>
      </w:r>
      <w:proofErr w:type="spellStart"/>
      <w:r w:rsidR="002B06BB" w:rsidRPr="00C74B30">
        <w:rPr>
          <w:lang w:val="es-MX"/>
        </w:rPr>
        <w:t>Matud</w:t>
      </w:r>
      <w:proofErr w:type="spellEnd"/>
      <w:r w:rsidR="002B06BB" w:rsidRPr="00C74B30">
        <w:rPr>
          <w:lang w:val="es-MX"/>
        </w:rPr>
        <w:t>, 2004</w:t>
      </w:r>
      <w:r w:rsidR="00937FCC" w:rsidRPr="00C74B30">
        <w:t>).</w:t>
      </w:r>
      <w:r w:rsidR="00301245">
        <w:t xml:space="preserve">  Este</w:t>
      </w:r>
      <w:r w:rsidR="00DE385B" w:rsidRPr="00C74B30">
        <w:t xml:space="preserve"> </w:t>
      </w:r>
      <w:r w:rsidR="00301245">
        <w:t xml:space="preserve">hallazgo </w:t>
      </w:r>
      <w:r w:rsidR="00DE385B" w:rsidRPr="00C74B30">
        <w:t xml:space="preserve">condujo a </w:t>
      </w:r>
      <w:r w:rsidR="00DE385B" w:rsidRPr="00C74B30">
        <w:lastRenderedPageBreak/>
        <w:t xml:space="preserve">los investigadores a suponer que los integrantes de </w:t>
      </w:r>
      <w:r w:rsidR="00692814">
        <w:t xml:space="preserve">esos </w:t>
      </w:r>
      <w:r w:rsidR="00DE385B" w:rsidRPr="00C74B30">
        <w:t>subgrupos sobreestima</w:t>
      </w:r>
      <w:r w:rsidR="00301245">
        <w:t xml:space="preserve">n la severidad de los </w:t>
      </w:r>
      <w:r w:rsidR="00DE385B" w:rsidRPr="00C74B30">
        <w:t>eventos vitales.</w:t>
      </w:r>
      <w:r w:rsidR="00937FCC" w:rsidRPr="00C74B30">
        <w:t xml:space="preserve">  No obstante,</w:t>
      </w:r>
      <w:r w:rsidR="00DE385B" w:rsidRPr="00C74B30">
        <w:t xml:space="preserve"> </w:t>
      </w:r>
      <w:r w:rsidR="002B06BB" w:rsidRPr="00C74B30">
        <w:t xml:space="preserve">también se ha documentado que </w:t>
      </w:r>
      <w:r w:rsidR="00DE385B" w:rsidRPr="00C74B30">
        <w:t>las mujeres, los jóvenes y</w:t>
      </w:r>
      <w:r w:rsidR="001971BD" w:rsidRPr="00C74B30">
        <w:t xml:space="preserve"> las personas </w:t>
      </w:r>
      <w:r w:rsidR="00DE385B" w:rsidRPr="00C74B30">
        <w:t>de clase baja reportan haber experimentado más eventos que sus contrapartes</w:t>
      </w:r>
      <w:r w:rsidR="002B06BB" w:rsidRPr="00C74B30">
        <w:t xml:space="preserve"> (</w:t>
      </w:r>
      <w:proofErr w:type="spellStart"/>
      <w:r w:rsidR="002B06BB" w:rsidRPr="00C74B30">
        <w:t>e.g.</w:t>
      </w:r>
      <w:proofErr w:type="spellEnd"/>
      <w:r w:rsidR="002B06BB" w:rsidRPr="00C74B30">
        <w:t>,</w:t>
      </w:r>
      <w:r w:rsidR="001F561D" w:rsidRPr="00C74B30">
        <w:rPr>
          <w:rFonts w:ascii="Arial" w:eastAsiaTheme="minorHAnsi" w:hAnsi="Arial" w:cs="Arial"/>
          <w:bCs/>
          <w:lang w:eastAsia="en-US"/>
        </w:rPr>
        <w:t xml:space="preserve"> </w:t>
      </w:r>
      <w:proofErr w:type="spellStart"/>
      <w:r w:rsidR="00763021">
        <w:t>Hatch</w:t>
      </w:r>
      <w:proofErr w:type="spellEnd"/>
      <w:r w:rsidR="00763021">
        <w:t xml:space="preserve"> &amp; </w:t>
      </w:r>
      <w:proofErr w:type="spellStart"/>
      <w:r w:rsidR="00763021">
        <w:t>Dohrenwend</w:t>
      </w:r>
      <w:proofErr w:type="spellEnd"/>
      <w:r w:rsidR="00763021">
        <w:t>, 2007</w:t>
      </w:r>
      <w:r w:rsidR="001F561D" w:rsidRPr="00C74B30">
        <w:rPr>
          <w:bCs/>
        </w:rPr>
        <w:t>)</w:t>
      </w:r>
      <w:r w:rsidR="00DE385B" w:rsidRPr="00C74B30">
        <w:t xml:space="preserve">.  </w:t>
      </w:r>
      <w:r w:rsidR="002B06BB" w:rsidRPr="00C74B30">
        <w:t xml:space="preserve">Es factible que la experiencia enfrentando los sucesos sea la responsable de las diferencias encontradas y no las características </w:t>
      </w:r>
      <w:proofErr w:type="spellStart"/>
      <w:r w:rsidR="002B06BB" w:rsidRPr="00C74B30">
        <w:t>sociodemográficas</w:t>
      </w:r>
      <w:proofErr w:type="spellEnd"/>
      <w:r w:rsidR="002B06BB" w:rsidRPr="00C74B30">
        <w:t xml:space="preserve"> de los jueces per se.</w:t>
      </w:r>
    </w:p>
    <w:p w:rsidR="008A6596" w:rsidRPr="00C74B30" w:rsidRDefault="00D27113" w:rsidP="008A6596">
      <w:pPr>
        <w:pStyle w:val="Sinespaciado1"/>
        <w:spacing w:line="480" w:lineRule="auto"/>
        <w:ind w:firstLine="708"/>
      </w:pPr>
      <w:r w:rsidRPr="00C74B30">
        <w:t>E</w:t>
      </w:r>
      <w:r w:rsidR="00BC0DC1" w:rsidRPr="00C74B30">
        <w:t xml:space="preserve">l </w:t>
      </w:r>
      <w:r w:rsidR="008A6596" w:rsidRPr="00C74B30">
        <w:t xml:space="preserve">primer </w:t>
      </w:r>
      <w:r w:rsidR="00BC0DC1" w:rsidRPr="00C74B30">
        <w:t xml:space="preserve">propósito del presente estudio </w:t>
      </w:r>
      <w:r w:rsidR="008A6596" w:rsidRPr="00C74B30">
        <w:t xml:space="preserve">fue averiguar la relación entre haber experimentado los eventos vitales incluidos en la SRRS con los juicios de adultos sobre su severidad.  Un segundo propósito fue averiguar la relación entre el sexo, la edad y la clase social de adultos </w:t>
      </w:r>
      <w:r w:rsidR="008536AF">
        <w:t xml:space="preserve">y </w:t>
      </w:r>
      <w:r w:rsidR="008A6596" w:rsidRPr="00C74B30">
        <w:t xml:space="preserve">de su experiencia con los eventos vitales con sus juicios sobre </w:t>
      </w:r>
      <w:r w:rsidR="008536AF">
        <w:t xml:space="preserve">su </w:t>
      </w:r>
      <w:r w:rsidR="008A6596" w:rsidRPr="00C74B30">
        <w:t>severidad.</w:t>
      </w:r>
    </w:p>
    <w:p w:rsidR="00BC0DC1" w:rsidRPr="00C74B30" w:rsidRDefault="00BC0DC1" w:rsidP="00BC0DC1">
      <w:pPr>
        <w:autoSpaceDE w:val="0"/>
        <w:autoSpaceDN w:val="0"/>
        <w:adjustRightInd w:val="0"/>
        <w:spacing w:line="480" w:lineRule="auto"/>
        <w:jc w:val="center"/>
        <w:rPr>
          <w:b/>
          <w:color w:val="000000"/>
        </w:rPr>
      </w:pPr>
      <w:r w:rsidRPr="00C74B30">
        <w:rPr>
          <w:b/>
          <w:color w:val="000000"/>
        </w:rPr>
        <w:t>Método</w:t>
      </w:r>
    </w:p>
    <w:p w:rsidR="00BC0DC1" w:rsidRPr="00C74B30" w:rsidRDefault="00BC0DC1" w:rsidP="00BC0DC1">
      <w:pPr>
        <w:pStyle w:val="Sinespaciado1"/>
        <w:spacing w:line="480" w:lineRule="auto"/>
        <w:rPr>
          <w:b/>
          <w:color w:val="000000"/>
        </w:rPr>
      </w:pPr>
      <w:r w:rsidRPr="00C74B30">
        <w:rPr>
          <w:b/>
          <w:color w:val="000000"/>
        </w:rPr>
        <w:t>Participantes</w:t>
      </w:r>
    </w:p>
    <w:p w:rsidR="00BC0DC1" w:rsidRPr="00C74B30" w:rsidRDefault="00624345" w:rsidP="00BC0DC1">
      <w:pPr>
        <w:pStyle w:val="Sinespaciado1"/>
        <w:spacing w:line="480" w:lineRule="auto"/>
        <w:ind w:firstLine="708"/>
        <w:rPr>
          <w:color w:val="000000"/>
        </w:rPr>
      </w:pPr>
      <w:r w:rsidRPr="00C74B30">
        <w:rPr>
          <w:color w:val="000000"/>
        </w:rPr>
        <w:t>Participaron voluntariamente 67</w:t>
      </w:r>
      <w:r w:rsidR="00BC0DC1" w:rsidRPr="00C74B30">
        <w:rPr>
          <w:color w:val="000000"/>
        </w:rPr>
        <w:t>0 personas adultas de entre 20 y 89 años, habitantes de la ciudad de México</w:t>
      </w:r>
      <w:r w:rsidR="00337948">
        <w:rPr>
          <w:color w:val="000000"/>
        </w:rPr>
        <w:t>“/</w:t>
      </w:r>
      <w:proofErr w:type="spellStart"/>
      <w:r w:rsidR="00337948">
        <w:rPr>
          <w:color w:val="000000"/>
        </w:rPr>
        <w:t>Mex</w:t>
      </w:r>
      <w:proofErr w:type="spellEnd"/>
      <w:r w:rsidR="00337948">
        <w:rPr>
          <w:color w:val="000000"/>
        </w:rPr>
        <w:t>”</w:t>
      </w:r>
      <w:r w:rsidR="00BC0DC1" w:rsidRPr="00C74B30">
        <w:rPr>
          <w:color w:val="000000"/>
        </w:rPr>
        <w:t>.</w:t>
      </w:r>
      <w:r w:rsidR="00824341" w:rsidRPr="00C74B30">
        <w:rPr>
          <w:color w:val="000000"/>
        </w:rPr>
        <w:t xml:space="preserve">  La muestra fue accidental e incluyó a personas que se ubicaban en lugares públicos y que </w:t>
      </w:r>
      <w:r w:rsidR="00F77888" w:rsidRPr="00C74B30">
        <w:rPr>
          <w:color w:val="000000"/>
        </w:rPr>
        <w:t xml:space="preserve">aceptaron </w:t>
      </w:r>
      <w:r w:rsidR="00824341" w:rsidRPr="00C74B30">
        <w:rPr>
          <w:color w:val="000000"/>
        </w:rPr>
        <w:t>participar en la investigación.</w:t>
      </w:r>
      <w:r w:rsidR="00BC0DC1" w:rsidRPr="00C74B30">
        <w:rPr>
          <w:color w:val="000000"/>
        </w:rPr>
        <w:t xml:space="preserve">  </w:t>
      </w:r>
      <w:r w:rsidR="00D27113" w:rsidRPr="00C74B30">
        <w:rPr>
          <w:color w:val="000000"/>
        </w:rPr>
        <w:t>S</w:t>
      </w:r>
      <w:r w:rsidR="00BC0DC1" w:rsidRPr="00C74B30">
        <w:rPr>
          <w:color w:val="000000"/>
        </w:rPr>
        <w:t>e dividió a los participantes en cuatro grupos de edad</w:t>
      </w:r>
      <w:r w:rsidR="00AF63A5" w:rsidRPr="00C74B30">
        <w:rPr>
          <w:color w:val="000000"/>
        </w:rPr>
        <w:t xml:space="preserve">: </w:t>
      </w:r>
      <w:r w:rsidR="00BC0DC1" w:rsidRPr="00C74B30">
        <w:rPr>
          <w:color w:val="000000"/>
        </w:rPr>
        <w:t>20</w:t>
      </w:r>
      <w:r w:rsidR="00F77888" w:rsidRPr="00C74B30">
        <w:rPr>
          <w:color w:val="000000"/>
        </w:rPr>
        <w:t>-</w:t>
      </w:r>
      <w:r w:rsidR="00BC0DC1" w:rsidRPr="00C74B30">
        <w:rPr>
          <w:color w:val="000000"/>
        </w:rPr>
        <w:t>29, 30</w:t>
      </w:r>
      <w:r w:rsidR="00F77888" w:rsidRPr="00C74B30">
        <w:rPr>
          <w:color w:val="000000"/>
        </w:rPr>
        <w:t>-</w:t>
      </w:r>
      <w:r w:rsidR="00BC0DC1" w:rsidRPr="00C74B30">
        <w:rPr>
          <w:color w:val="000000"/>
        </w:rPr>
        <w:t>39, 40</w:t>
      </w:r>
      <w:r w:rsidR="00F77888" w:rsidRPr="00C74B30">
        <w:rPr>
          <w:color w:val="000000"/>
        </w:rPr>
        <w:t>-</w:t>
      </w:r>
      <w:r w:rsidR="00BC0DC1" w:rsidRPr="00C74B30">
        <w:rPr>
          <w:color w:val="000000"/>
        </w:rPr>
        <w:t xml:space="preserve">49 y 50 años o más.  </w:t>
      </w:r>
      <w:r w:rsidR="008536AF">
        <w:rPr>
          <w:color w:val="000000"/>
        </w:rPr>
        <w:t xml:space="preserve">Se clasificó </w:t>
      </w:r>
      <w:r w:rsidR="00BC0DC1" w:rsidRPr="00C74B30">
        <w:rPr>
          <w:color w:val="000000"/>
        </w:rPr>
        <w:t>a los participantes</w:t>
      </w:r>
      <w:r w:rsidR="00D27113" w:rsidRPr="00C74B30">
        <w:rPr>
          <w:color w:val="000000"/>
        </w:rPr>
        <w:t xml:space="preserve"> en su respectiva </w:t>
      </w:r>
      <w:r w:rsidR="00A53987">
        <w:rPr>
          <w:color w:val="000000"/>
        </w:rPr>
        <w:t xml:space="preserve">clase social </w:t>
      </w:r>
      <w:r w:rsidR="008536AF">
        <w:rPr>
          <w:color w:val="000000"/>
        </w:rPr>
        <w:t xml:space="preserve">en base a </w:t>
      </w:r>
      <w:r w:rsidR="00BC0DC1" w:rsidRPr="00C74B30">
        <w:rPr>
          <w:color w:val="000000"/>
        </w:rPr>
        <w:t>los datos sobre el ingreso familiar mensu</w:t>
      </w:r>
      <w:r w:rsidR="00D27113" w:rsidRPr="00C74B30">
        <w:rPr>
          <w:color w:val="000000"/>
        </w:rPr>
        <w:t xml:space="preserve">al de </w:t>
      </w:r>
      <w:r w:rsidR="008536AF">
        <w:rPr>
          <w:color w:val="000000"/>
        </w:rPr>
        <w:t xml:space="preserve">los </w:t>
      </w:r>
      <w:r w:rsidR="00D27113" w:rsidRPr="00C74B30">
        <w:rPr>
          <w:color w:val="000000"/>
        </w:rPr>
        <w:t xml:space="preserve">habitantes de la ciudad de México </w:t>
      </w:r>
      <w:r w:rsidR="00A53987">
        <w:rPr>
          <w:color w:val="000000"/>
        </w:rPr>
        <w:t>reportados por</w:t>
      </w:r>
      <w:r w:rsidR="008536AF">
        <w:rPr>
          <w:color w:val="000000"/>
        </w:rPr>
        <w:t xml:space="preserve"> </w:t>
      </w:r>
      <w:r w:rsidR="00BC0DC1" w:rsidRPr="00C74B30">
        <w:rPr>
          <w:color w:val="000000"/>
        </w:rPr>
        <w:t xml:space="preserve">la Asociación Mexicana de Agencias de Investigación de Mercados y Opinión Pública (AMAI; López Romo, 2006).  </w:t>
      </w:r>
      <w:r w:rsidR="008536AF">
        <w:rPr>
          <w:color w:val="000000"/>
        </w:rPr>
        <w:t xml:space="preserve">Los participantes de clase baja fueron aquellos que reportaron </w:t>
      </w:r>
      <w:r w:rsidR="00BC0DC1" w:rsidRPr="00C74B30">
        <w:rPr>
          <w:color w:val="000000"/>
        </w:rPr>
        <w:t>un ingreso familiar</w:t>
      </w:r>
      <w:r w:rsidR="00F77888" w:rsidRPr="00C74B30">
        <w:rPr>
          <w:color w:val="000000"/>
        </w:rPr>
        <w:t xml:space="preserve"> </w:t>
      </w:r>
      <w:r w:rsidR="008536AF">
        <w:rPr>
          <w:color w:val="000000"/>
        </w:rPr>
        <w:t xml:space="preserve">mensual </w:t>
      </w:r>
      <w:r w:rsidR="00F77888" w:rsidRPr="00C74B30">
        <w:rPr>
          <w:color w:val="000000"/>
        </w:rPr>
        <w:t>menor a 500 dólares americanos</w:t>
      </w:r>
      <w:r w:rsidR="008536AF">
        <w:rPr>
          <w:color w:val="000000"/>
        </w:rPr>
        <w:t xml:space="preserve">.  El </w:t>
      </w:r>
      <w:r w:rsidR="00BC0DC1" w:rsidRPr="00C74B30">
        <w:rPr>
          <w:color w:val="000000"/>
        </w:rPr>
        <w:t xml:space="preserve">ingreso mensual </w:t>
      </w:r>
      <w:r w:rsidR="008536AF">
        <w:rPr>
          <w:color w:val="000000"/>
        </w:rPr>
        <w:t xml:space="preserve">de los participantes de clase media </w:t>
      </w:r>
      <w:r w:rsidR="00BC0DC1" w:rsidRPr="00C74B30">
        <w:rPr>
          <w:color w:val="000000"/>
        </w:rPr>
        <w:t xml:space="preserve">varió entre </w:t>
      </w:r>
      <w:r w:rsidR="00F77888" w:rsidRPr="00C74B30">
        <w:rPr>
          <w:color w:val="000000"/>
        </w:rPr>
        <w:t>501</w:t>
      </w:r>
      <w:r w:rsidR="00BC0DC1" w:rsidRPr="00C74B30">
        <w:rPr>
          <w:color w:val="000000"/>
        </w:rPr>
        <w:t xml:space="preserve"> y </w:t>
      </w:r>
      <w:r w:rsidR="00F77888" w:rsidRPr="00C74B30">
        <w:rPr>
          <w:color w:val="000000"/>
        </w:rPr>
        <w:t xml:space="preserve">2,692 dólares americanos </w:t>
      </w:r>
      <w:r w:rsidR="00BC0DC1" w:rsidRPr="00C74B30">
        <w:rPr>
          <w:color w:val="000000"/>
        </w:rPr>
        <w:t xml:space="preserve">y </w:t>
      </w:r>
      <w:r w:rsidR="008536AF">
        <w:rPr>
          <w:color w:val="000000"/>
        </w:rPr>
        <w:t xml:space="preserve">el de los de clase alta fue </w:t>
      </w:r>
      <w:r w:rsidR="00F77888" w:rsidRPr="00C74B30">
        <w:rPr>
          <w:color w:val="000000"/>
        </w:rPr>
        <w:t>igual o mayor a 2,691 dólares americanos.</w:t>
      </w:r>
      <w:r w:rsidR="00341E53" w:rsidRPr="00C74B30">
        <w:rPr>
          <w:color w:val="000000"/>
        </w:rPr>
        <w:t xml:space="preserve">  En la Tabla 1 se muestra el </w:t>
      </w:r>
      <w:r w:rsidR="008536AF">
        <w:rPr>
          <w:color w:val="000000"/>
        </w:rPr>
        <w:t xml:space="preserve">número y </w:t>
      </w:r>
      <w:r w:rsidR="00341E53" w:rsidRPr="00C74B30">
        <w:rPr>
          <w:color w:val="000000"/>
        </w:rPr>
        <w:t>porcentaje de participantes conforme su s</w:t>
      </w:r>
      <w:r w:rsidR="00BC0DC1" w:rsidRPr="00C74B30">
        <w:rPr>
          <w:color w:val="000000"/>
        </w:rPr>
        <w:t xml:space="preserve">exo, edad y clase social.  </w:t>
      </w:r>
      <w:r w:rsidR="008536AF">
        <w:rPr>
          <w:color w:val="000000"/>
        </w:rPr>
        <w:t>A</w:t>
      </w:r>
      <w:r w:rsidR="00824341" w:rsidRPr="00C74B30">
        <w:rPr>
          <w:color w:val="000000"/>
        </w:rPr>
        <w:t>proximadamente la mitad d</w:t>
      </w:r>
      <w:r w:rsidR="00BC0DC1" w:rsidRPr="00C74B30">
        <w:rPr>
          <w:color w:val="000000"/>
        </w:rPr>
        <w:t>e los pa</w:t>
      </w:r>
      <w:r w:rsidR="00AF63A5" w:rsidRPr="00C74B30">
        <w:rPr>
          <w:color w:val="000000"/>
        </w:rPr>
        <w:t xml:space="preserve">rticipantes fueron hombres </w:t>
      </w:r>
      <w:r w:rsidR="00BC0DC1" w:rsidRPr="00C74B30">
        <w:rPr>
          <w:color w:val="000000"/>
        </w:rPr>
        <w:t xml:space="preserve">y </w:t>
      </w:r>
      <w:r w:rsidR="00824341" w:rsidRPr="00C74B30">
        <w:rPr>
          <w:color w:val="000000"/>
        </w:rPr>
        <w:t xml:space="preserve">la otra mitad </w:t>
      </w:r>
      <w:r w:rsidR="00BC0DC1" w:rsidRPr="00C74B30">
        <w:rPr>
          <w:color w:val="000000"/>
        </w:rPr>
        <w:t>mujeres</w:t>
      </w:r>
      <w:r w:rsidR="00341E53" w:rsidRPr="00C74B30">
        <w:rPr>
          <w:color w:val="000000"/>
        </w:rPr>
        <w:t>.</w:t>
      </w:r>
      <w:r w:rsidR="00D27113" w:rsidRPr="00C74B30">
        <w:rPr>
          <w:color w:val="000000"/>
        </w:rPr>
        <w:t xml:space="preserve">  A</w:t>
      </w:r>
      <w:r w:rsidR="00BC0DC1" w:rsidRPr="00C74B30">
        <w:rPr>
          <w:color w:val="000000"/>
        </w:rPr>
        <w:t xml:space="preserve">proximadamente un 25% </w:t>
      </w:r>
      <w:r w:rsidR="00D27113" w:rsidRPr="00C74B30">
        <w:rPr>
          <w:color w:val="000000"/>
        </w:rPr>
        <w:t xml:space="preserve">de la muestra </w:t>
      </w:r>
      <w:r w:rsidR="00BC0DC1" w:rsidRPr="00C74B30">
        <w:rPr>
          <w:color w:val="000000"/>
        </w:rPr>
        <w:t xml:space="preserve">correspondió a personas de cada uno de los cuatro grupos de edad.  </w:t>
      </w:r>
      <w:r w:rsidR="00A53987">
        <w:rPr>
          <w:color w:val="000000"/>
        </w:rPr>
        <w:t>La mayoría fue clasificada</w:t>
      </w:r>
      <w:r w:rsidR="00824341" w:rsidRPr="00C74B30">
        <w:rPr>
          <w:color w:val="000000"/>
        </w:rPr>
        <w:t xml:space="preserve"> como de clase media (53.4%), un tercio como de clase baja (</w:t>
      </w:r>
      <w:r w:rsidRPr="00C74B30">
        <w:rPr>
          <w:color w:val="000000"/>
        </w:rPr>
        <w:t>36</w:t>
      </w:r>
      <w:r w:rsidR="00AF63A5" w:rsidRPr="00C74B30">
        <w:rPr>
          <w:color w:val="000000"/>
        </w:rPr>
        <w:t>.1</w:t>
      </w:r>
      <w:r w:rsidR="00BC0DC1" w:rsidRPr="00C74B30">
        <w:rPr>
          <w:color w:val="000000"/>
        </w:rPr>
        <w:t>%</w:t>
      </w:r>
      <w:r w:rsidR="00824341" w:rsidRPr="00C74B30">
        <w:rPr>
          <w:color w:val="000000"/>
        </w:rPr>
        <w:t xml:space="preserve">) y sólo </w:t>
      </w:r>
      <w:r w:rsidRPr="00C74B30">
        <w:rPr>
          <w:color w:val="000000"/>
        </w:rPr>
        <w:t xml:space="preserve">un </w:t>
      </w:r>
      <w:r w:rsidR="00AF63A5" w:rsidRPr="00C74B30">
        <w:rPr>
          <w:color w:val="000000"/>
        </w:rPr>
        <w:t>7.5</w:t>
      </w:r>
      <w:r w:rsidR="00BC0DC1" w:rsidRPr="00C74B30">
        <w:rPr>
          <w:color w:val="000000"/>
        </w:rPr>
        <w:t>% como de clase alta.</w:t>
      </w:r>
      <w:r w:rsidR="001971BD" w:rsidRPr="00C74B30">
        <w:rPr>
          <w:color w:val="000000"/>
        </w:rPr>
        <w:t xml:space="preserve">  </w:t>
      </w:r>
    </w:p>
    <w:p w:rsidR="00F2509A" w:rsidRPr="00C74B30" w:rsidRDefault="00F2509A" w:rsidP="00F2509A">
      <w:pPr>
        <w:pStyle w:val="Sinespaciado1"/>
        <w:spacing w:line="480" w:lineRule="auto"/>
        <w:rPr>
          <w:color w:val="000000"/>
        </w:rPr>
      </w:pPr>
      <w:r w:rsidRPr="00C74B30">
        <w:rPr>
          <w:color w:val="000000"/>
        </w:rPr>
        <w:lastRenderedPageBreak/>
        <w:t>Tabla 1</w:t>
      </w:r>
    </w:p>
    <w:p w:rsidR="00F2509A" w:rsidRPr="00C74B30" w:rsidRDefault="00F2509A" w:rsidP="00F2509A">
      <w:pPr>
        <w:spacing w:line="480" w:lineRule="auto"/>
      </w:pPr>
      <w:r w:rsidRPr="00C74B30">
        <w:t>Número y porcentaje de participantes en el estudio en función de su sexo, edad y clase social</w:t>
      </w:r>
    </w:p>
    <w:tbl>
      <w:tblPr>
        <w:tblpPr w:leftFromText="141" w:rightFromText="141" w:vertAnchor="text" w:horzAnchor="margin" w:tblpXSpec="center" w:tblpY="34"/>
        <w:tblW w:w="5463" w:type="dxa"/>
        <w:tblCellMar>
          <w:left w:w="70" w:type="dxa"/>
          <w:right w:w="70" w:type="dxa"/>
        </w:tblCellMar>
        <w:tblLook w:val="04A0"/>
      </w:tblPr>
      <w:tblGrid>
        <w:gridCol w:w="2222"/>
        <w:gridCol w:w="1694"/>
        <w:gridCol w:w="1547"/>
      </w:tblGrid>
      <w:tr w:rsidR="00F2509A" w:rsidRPr="00C74B30" w:rsidTr="00F2509A">
        <w:trPr>
          <w:trHeight w:val="221"/>
        </w:trPr>
        <w:tc>
          <w:tcPr>
            <w:tcW w:w="2222" w:type="dxa"/>
            <w:tcBorders>
              <w:top w:val="single" w:sz="4" w:space="0" w:color="auto"/>
              <w:left w:val="nil"/>
              <w:right w:val="nil"/>
            </w:tcBorders>
            <w:shd w:val="clear" w:color="auto" w:fill="auto"/>
            <w:noWrap/>
            <w:vAlign w:val="center"/>
          </w:tcPr>
          <w:p w:rsidR="00F2509A" w:rsidRPr="00C74B30" w:rsidRDefault="00F2509A" w:rsidP="00F2509A">
            <w:pPr>
              <w:rPr>
                <w:color w:val="000000"/>
              </w:rPr>
            </w:pPr>
            <w:r w:rsidRPr="00C74B30">
              <w:rPr>
                <w:color w:val="000000"/>
              </w:rPr>
              <w:t xml:space="preserve">Características </w:t>
            </w:r>
          </w:p>
        </w:tc>
        <w:tc>
          <w:tcPr>
            <w:tcW w:w="1694" w:type="dxa"/>
            <w:tcBorders>
              <w:top w:val="single" w:sz="4" w:space="0" w:color="auto"/>
              <w:left w:val="nil"/>
              <w:right w:val="nil"/>
            </w:tcBorders>
            <w:shd w:val="clear" w:color="000000" w:fill="FFFFFF"/>
            <w:noWrap/>
            <w:vAlign w:val="center"/>
          </w:tcPr>
          <w:p w:rsidR="00F2509A" w:rsidRPr="00C74B30" w:rsidRDefault="00F2509A" w:rsidP="00F2509A">
            <w:pPr>
              <w:jc w:val="center"/>
              <w:rPr>
                <w:color w:val="000000"/>
              </w:rPr>
            </w:pPr>
          </w:p>
        </w:tc>
        <w:tc>
          <w:tcPr>
            <w:tcW w:w="1547" w:type="dxa"/>
            <w:tcBorders>
              <w:top w:val="single" w:sz="4" w:space="0" w:color="auto"/>
              <w:left w:val="nil"/>
              <w:right w:val="nil"/>
            </w:tcBorders>
            <w:shd w:val="clear" w:color="000000" w:fill="FFFFFF"/>
            <w:noWrap/>
            <w:vAlign w:val="center"/>
          </w:tcPr>
          <w:p w:rsidR="00F2509A" w:rsidRPr="00C74B30" w:rsidRDefault="00F2509A" w:rsidP="00F2509A">
            <w:pPr>
              <w:jc w:val="center"/>
              <w:rPr>
                <w:color w:val="000000"/>
                <w:highlight w:val="yellow"/>
              </w:rPr>
            </w:pPr>
          </w:p>
        </w:tc>
      </w:tr>
      <w:tr w:rsidR="00F2509A" w:rsidRPr="00C74B30" w:rsidTr="00F2509A">
        <w:trPr>
          <w:trHeight w:val="221"/>
        </w:trPr>
        <w:tc>
          <w:tcPr>
            <w:tcW w:w="2222" w:type="dxa"/>
            <w:tcBorders>
              <w:left w:val="nil"/>
              <w:bottom w:val="single" w:sz="8" w:space="0" w:color="auto"/>
              <w:right w:val="nil"/>
            </w:tcBorders>
            <w:shd w:val="clear" w:color="auto" w:fill="auto"/>
            <w:noWrap/>
            <w:vAlign w:val="center"/>
          </w:tcPr>
          <w:p w:rsidR="00F2509A" w:rsidRPr="00C74B30" w:rsidRDefault="00F2509A" w:rsidP="00F2509A">
            <w:pPr>
              <w:rPr>
                <w:color w:val="000000"/>
              </w:rPr>
            </w:pPr>
            <w:proofErr w:type="spellStart"/>
            <w:r w:rsidRPr="00C74B30">
              <w:rPr>
                <w:color w:val="000000"/>
              </w:rPr>
              <w:t>sociodemográficas</w:t>
            </w:r>
            <w:proofErr w:type="spellEnd"/>
          </w:p>
        </w:tc>
        <w:tc>
          <w:tcPr>
            <w:tcW w:w="1694" w:type="dxa"/>
            <w:tcBorders>
              <w:left w:val="nil"/>
              <w:bottom w:val="single" w:sz="8" w:space="0" w:color="auto"/>
              <w:right w:val="nil"/>
            </w:tcBorders>
            <w:shd w:val="clear" w:color="auto" w:fill="auto"/>
            <w:noWrap/>
            <w:vAlign w:val="bottom"/>
          </w:tcPr>
          <w:p w:rsidR="00F2509A" w:rsidRPr="00C74B30" w:rsidRDefault="00F2509A" w:rsidP="00F2509A">
            <w:pPr>
              <w:jc w:val="center"/>
              <w:rPr>
                <w:color w:val="000000"/>
              </w:rPr>
            </w:pPr>
            <w:r w:rsidRPr="00C74B30">
              <w:rPr>
                <w:color w:val="000000"/>
              </w:rPr>
              <w:t>Número</w:t>
            </w:r>
          </w:p>
        </w:tc>
        <w:tc>
          <w:tcPr>
            <w:tcW w:w="1547" w:type="dxa"/>
            <w:tcBorders>
              <w:left w:val="nil"/>
              <w:bottom w:val="single" w:sz="8" w:space="0" w:color="auto"/>
              <w:right w:val="nil"/>
            </w:tcBorders>
            <w:shd w:val="clear" w:color="auto" w:fill="auto"/>
            <w:noWrap/>
            <w:vAlign w:val="bottom"/>
          </w:tcPr>
          <w:p w:rsidR="00F2509A" w:rsidRPr="00C74B30" w:rsidRDefault="00F2509A" w:rsidP="00F2509A">
            <w:pPr>
              <w:jc w:val="center"/>
              <w:rPr>
                <w:color w:val="000000"/>
              </w:rPr>
            </w:pPr>
            <w:r w:rsidRPr="00C74B30">
              <w:rPr>
                <w:color w:val="000000"/>
              </w:rPr>
              <w:t>%</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Sexo</w:t>
            </w:r>
          </w:p>
        </w:tc>
        <w:tc>
          <w:tcPr>
            <w:tcW w:w="1694" w:type="dxa"/>
            <w:tcBorders>
              <w:top w:val="nil"/>
              <w:left w:val="nil"/>
              <w:bottom w:val="nil"/>
              <w:right w:val="nil"/>
            </w:tcBorders>
            <w:shd w:val="clear" w:color="auto" w:fill="auto"/>
            <w:noWrap/>
            <w:vAlign w:val="center"/>
          </w:tcPr>
          <w:p w:rsidR="00F2509A" w:rsidRPr="00C74B30" w:rsidRDefault="00F2509A" w:rsidP="00F2509A">
            <w:pPr>
              <w:rPr>
                <w:color w:val="000000"/>
              </w:rP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Hombres</w:t>
            </w:r>
          </w:p>
        </w:tc>
        <w:tc>
          <w:tcPr>
            <w:tcW w:w="1694" w:type="dxa"/>
            <w:tcBorders>
              <w:top w:val="nil"/>
              <w:left w:val="nil"/>
              <w:bottom w:val="nil"/>
              <w:right w:val="nil"/>
            </w:tcBorders>
            <w:shd w:val="clear" w:color="000000" w:fill="FFFFFF"/>
            <w:noWrap/>
            <w:vAlign w:val="center"/>
          </w:tcPr>
          <w:p w:rsidR="00F2509A" w:rsidRPr="00C74B30" w:rsidRDefault="00F2509A" w:rsidP="00F2509A">
            <w:pPr>
              <w:jc w:val="center"/>
              <w:rPr>
                <w:color w:val="000000"/>
              </w:rPr>
            </w:pPr>
            <w:r w:rsidRPr="00C74B30">
              <w:rPr>
                <w:color w:val="000000"/>
              </w:rPr>
              <w:t>332</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49.6</w:t>
            </w:r>
          </w:p>
        </w:tc>
      </w:tr>
      <w:tr w:rsidR="00F2509A" w:rsidRPr="00C74B30" w:rsidTr="00F2509A">
        <w:trPr>
          <w:trHeight w:val="221"/>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Mujeres</w:t>
            </w:r>
          </w:p>
        </w:tc>
        <w:tc>
          <w:tcPr>
            <w:tcW w:w="1694" w:type="dxa"/>
            <w:tcBorders>
              <w:top w:val="nil"/>
              <w:left w:val="nil"/>
              <w:bottom w:val="nil"/>
              <w:right w:val="nil"/>
            </w:tcBorders>
            <w:shd w:val="clear" w:color="000000" w:fill="FFFFFF"/>
            <w:noWrap/>
            <w:vAlign w:val="center"/>
          </w:tcPr>
          <w:p w:rsidR="00F2509A" w:rsidRPr="00C74B30" w:rsidRDefault="00F2509A" w:rsidP="00F2509A">
            <w:pPr>
              <w:jc w:val="center"/>
              <w:rPr>
                <w:color w:val="000000"/>
              </w:rPr>
            </w:pPr>
            <w:r w:rsidRPr="00C74B30">
              <w:rPr>
                <w:color w:val="000000"/>
              </w:rPr>
              <w:t>338</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50.4</w:t>
            </w:r>
          </w:p>
        </w:tc>
      </w:tr>
      <w:tr w:rsidR="00F2509A" w:rsidRPr="00C74B30" w:rsidTr="00F2509A">
        <w:trPr>
          <w:trHeight w:val="212"/>
        </w:trPr>
        <w:tc>
          <w:tcPr>
            <w:tcW w:w="2222" w:type="dxa"/>
            <w:tcBorders>
              <w:top w:val="single" w:sz="8" w:space="0" w:color="auto"/>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Edad (años)</w:t>
            </w:r>
          </w:p>
        </w:tc>
        <w:tc>
          <w:tcPr>
            <w:tcW w:w="1694" w:type="dxa"/>
            <w:tcBorders>
              <w:top w:val="single" w:sz="8" w:space="0" w:color="auto"/>
              <w:left w:val="nil"/>
              <w:bottom w:val="nil"/>
              <w:right w:val="nil"/>
            </w:tcBorders>
            <w:shd w:val="clear" w:color="000000" w:fill="FFFFFF"/>
            <w:noWrap/>
            <w:vAlign w:val="center"/>
          </w:tcPr>
          <w:p w:rsidR="00F2509A" w:rsidRPr="00C74B30" w:rsidRDefault="00F2509A" w:rsidP="00F2509A">
            <w:pPr>
              <w:jc w:val="cente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20 a"/>
              </w:smartTagPr>
              <w:r w:rsidRPr="00C74B30">
                <w:rPr>
                  <w:color w:val="000000"/>
                </w:rPr>
                <w:t>20 a</w:t>
              </w:r>
            </w:smartTag>
            <w:r w:rsidRPr="00C74B30">
              <w:rPr>
                <w:color w:val="000000"/>
              </w:rPr>
              <w:t xml:space="preserve"> 29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187</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27.9</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30 a"/>
              </w:smartTagPr>
              <w:r w:rsidRPr="00C74B30">
                <w:rPr>
                  <w:color w:val="000000"/>
                </w:rPr>
                <w:t>30 a</w:t>
              </w:r>
            </w:smartTag>
            <w:r w:rsidRPr="00C74B30">
              <w:rPr>
                <w:color w:val="000000"/>
              </w:rPr>
              <w:t xml:space="preserve"> 39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159</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23.7</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40 a"/>
              </w:smartTagPr>
              <w:r w:rsidRPr="00C74B30">
                <w:rPr>
                  <w:color w:val="000000"/>
                </w:rPr>
                <w:t>40 a</w:t>
              </w:r>
            </w:smartTag>
            <w:r w:rsidRPr="00C74B30">
              <w:rPr>
                <w:color w:val="000000"/>
              </w:rPr>
              <w:t xml:space="preserve"> 49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166</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24.8</w:t>
            </w:r>
          </w:p>
        </w:tc>
      </w:tr>
      <w:tr w:rsidR="00F2509A" w:rsidRPr="00C74B30" w:rsidTr="00F2509A">
        <w:trPr>
          <w:trHeight w:val="221"/>
        </w:trPr>
        <w:tc>
          <w:tcPr>
            <w:tcW w:w="2222" w:type="dxa"/>
            <w:tcBorders>
              <w:top w:val="nil"/>
              <w:left w:val="nil"/>
              <w:bottom w:val="single" w:sz="8" w:space="0" w:color="auto"/>
              <w:right w:val="nil"/>
            </w:tcBorders>
            <w:shd w:val="clear" w:color="000000" w:fill="FFFFFF"/>
            <w:noWrap/>
            <w:vAlign w:val="center"/>
          </w:tcPr>
          <w:p w:rsidR="00F2509A" w:rsidRPr="00C74B30" w:rsidRDefault="00F2509A" w:rsidP="00F2509A">
            <w:pPr>
              <w:jc w:val="right"/>
              <w:rPr>
                <w:color w:val="000000"/>
              </w:rPr>
            </w:pPr>
            <w:r w:rsidRPr="00C74B30">
              <w:rPr>
                <w:color w:val="000000"/>
              </w:rPr>
              <w:t>50 o más</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158</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23.6</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Clase social</w:t>
            </w:r>
          </w:p>
        </w:tc>
        <w:tc>
          <w:tcPr>
            <w:tcW w:w="1694" w:type="dxa"/>
            <w:tcBorders>
              <w:top w:val="single" w:sz="8" w:space="0" w:color="auto"/>
              <w:left w:val="nil"/>
              <w:bottom w:val="nil"/>
              <w:right w:val="nil"/>
            </w:tcBorders>
            <w:shd w:val="clear" w:color="000000" w:fill="FFFFFF"/>
            <w:noWrap/>
            <w:vAlign w:val="center"/>
          </w:tcPr>
          <w:p w:rsidR="00F2509A" w:rsidRPr="00C74B30" w:rsidRDefault="00F2509A" w:rsidP="00F2509A">
            <w:pPr>
              <w:jc w:val="cente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 xml:space="preserve">Baja                                                                  </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242</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36.1</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Media</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358</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53.4</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Alta</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50</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7.5</w:t>
            </w:r>
          </w:p>
        </w:tc>
      </w:tr>
      <w:tr w:rsidR="00F2509A" w:rsidRPr="00C74B30" w:rsidTr="00F2509A">
        <w:trPr>
          <w:trHeight w:val="221"/>
        </w:trPr>
        <w:tc>
          <w:tcPr>
            <w:tcW w:w="2222" w:type="dxa"/>
            <w:tcBorders>
              <w:top w:val="nil"/>
              <w:left w:val="nil"/>
              <w:bottom w:val="single" w:sz="8" w:space="0" w:color="auto"/>
              <w:right w:val="nil"/>
            </w:tcBorders>
            <w:shd w:val="clear" w:color="auto" w:fill="auto"/>
            <w:noWrap/>
            <w:vAlign w:val="center"/>
          </w:tcPr>
          <w:p w:rsidR="00F2509A" w:rsidRPr="00C74B30" w:rsidRDefault="00F2509A" w:rsidP="00F2509A">
            <w:pPr>
              <w:jc w:val="right"/>
              <w:rPr>
                <w:color w:val="000000"/>
              </w:rPr>
            </w:pPr>
            <w:r w:rsidRPr="00C74B30">
              <w:rPr>
                <w:color w:val="000000"/>
              </w:rPr>
              <w:t>Sin dato</w:t>
            </w:r>
          </w:p>
        </w:tc>
        <w:tc>
          <w:tcPr>
            <w:tcW w:w="1694"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20</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rPr>
                <w:color w:val="000000"/>
              </w:rPr>
            </w:pPr>
            <w:r w:rsidRPr="00C74B30">
              <w:rPr>
                <w:color w:val="000000"/>
              </w:rPr>
              <w:t>           3.0</w:t>
            </w:r>
          </w:p>
        </w:tc>
      </w:tr>
    </w:tbl>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BC0DC1" w:rsidRPr="00C74B30" w:rsidRDefault="00BC0DC1" w:rsidP="00BC0DC1">
      <w:pPr>
        <w:pStyle w:val="Sinespaciado1"/>
        <w:spacing w:line="480" w:lineRule="auto"/>
        <w:rPr>
          <w:b/>
          <w:color w:val="000000"/>
        </w:rPr>
      </w:pPr>
      <w:r w:rsidRPr="00C74B30">
        <w:rPr>
          <w:b/>
          <w:color w:val="000000"/>
        </w:rPr>
        <w:t>Instrumentos</w:t>
      </w:r>
    </w:p>
    <w:p w:rsidR="00DB039E" w:rsidRDefault="00341E53" w:rsidP="00BC0DC1">
      <w:pPr>
        <w:pStyle w:val="Sinespaciado1"/>
        <w:spacing w:line="480" w:lineRule="auto"/>
        <w:ind w:firstLine="708"/>
        <w:rPr>
          <w:color w:val="000000"/>
        </w:rPr>
      </w:pPr>
      <w:r w:rsidRPr="00C74B30">
        <w:rPr>
          <w:color w:val="000000"/>
        </w:rPr>
        <w:t>Mediante un cuestionario de datos personales s</w:t>
      </w:r>
      <w:r w:rsidR="00BC0DC1" w:rsidRPr="00C74B30">
        <w:rPr>
          <w:color w:val="000000"/>
        </w:rPr>
        <w:t xml:space="preserve">e </w:t>
      </w:r>
      <w:r w:rsidR="008536AF">
        <w:rPr>
          <w:color w:val="000000"/>
        </w:rPr>
        <w:t xml:space="preserve">recabó </w:t>
      </w:r>
      <w:r w:rsidR="00BC0DC1" w:rsidRPr="00C74B30">
        <w:rPr>
          <w:color w:val="000000"/>
        </w:rPr>
        <w:t xml:space="preserve">información </w:t>
      </w:r>
      <w:r w:rsidR="008536AF">
        <w:rPr>
          <w:color w:val="000000"/>
        </w:rPr>
        <w:t>sobre el</w:t>
      </w:r>
      <w:r w:rsidR="00BC0DC1" w:rsidRPr="00C74B30">
        <w:rPr>
          <w:color w:val="000000"/>
        </w:rPr>
        <w:t xml:space="preserve"> sexo, edad e ingreso familiar mensual.</w:t>
      </w:r>
      <w:r w:rsidRPr="00C74B30">
        <w:rPr>
          <w:color w:val="000000"/>
        </w:rPr>
        <w:t xml:space="preserve"> </w:t>
      </w:r>
      <w:r w:rsidR="00BC0DC1" w:rsidRPr="00C74B30">
        <w:rPr>
          <w:color w:val="000000"/>
        </w:rPr>
        <w:t xml:space="preserve"> </w:t>
      </w:r>
      <w:r w:rsidR="000928C8" w:rsidRPr="00C74B30">
        <w:rPr>
          <w:color w:val="000000"/>
        </w:rPr>
        <w:t>Se</w:t>
      </w:r>
      <w:r w:rsidR="008536AF">
        <w:rPr>
          <w:color w:val="000000"/>
        </w:rPr>
        <w:t xml:space="preserve"> utilizó </w:t>
      </w:r>
      <w:r w:rsidR="00BC0DC1" w:rsidRPr="00C74B30">
        <w:rPr>
          <w:color w:val="000000"/>
        </w:rPr>
        <w:t>la</w:t>
      </w:r>
      <w:r w:rsidR="00CC12F3" w:rsidRPr="00C74B30">
        <w:rPr>
          <w:color w:val="000000"/>
        </w:rPr>
        <w:t xml:space="preserve"> versión en español de la</w:t>
      </w:r>
      <w:r w:rsidR="00BC0DC1" w:rsidRPr="00C74B30">
        <w:rPr>
          <w:color w:val="000000"/>
        </w:rPr>
        <w:t xml:space="preserve"> </w:t>
      </w:r>
      <w:r w:rsidR="008536AF">
        <w:rPr>
          <w:color w:val="000000"/>
        </w:rPr>
        <w:t xml:space="preserve">SRRS </w:t>
      </w:r>
      <w:r w:rsidR="00BC0DC1" w:rsidRPr="00C74B30">
        <w:rPr>
          <w:color w:val="000000"/>
        </w:rPr>
        <w:t>(</w:t>
      </w:r>
      <w:r w:rsidR="000928C8" w:rsidRPr="00C74B30">
        <w:rPr>
          <w:color w:val="000000"/>
        </w:rPr>
        <w:t xml:space="preserve">Acuña et al., 2012; </w:t>
      </w:r>
      <w:proofErr w:type="spellStart"/>
      <w:r w:rsidR="00BC0DC1" w:rsidRPr="00C74B30">
        <w:rPr>
          <w:color w:val="000000"/>
        </w:rPr>
        <w:t>Bruner</w:t>
      </w:r>
      <w:proofErr w:type="spellEnd"/>
      <w:r w:rsidR="00BC0DC1" w:rsidRPr="00C74B30">
        <w:rPr>
          <w:color w:val="000000"/>
        </w:rPr>
        <w:t xml:space="preserve"> et al., 1994), </w:t>
      </w:r>
      <w:r w:rsidR="008536AF">
        <w:rPr>
          <w:color w:val="000000"/>
        </w:rPr>
        <w:t>q</w:t>
      </w:r>
      <w:r w:rsidR="00BC0DC1" w:rsidRPr="00C74B30">
        <w:rPr>
          <w:color w:val="000000"/>
        </w:rPr>
        <w:t xml:space="preserve">ue </w:t>
      </w:r>
      <w:r w:rsidR="008536AF">
        <w:rPr>
          <w:color w:val="000000"/>
        </w:rPr>
        <w:t>lista</w:t>
      </w:r>
      <w:r w:rsidR="00BC0DC1" w:rsidRPr="00C74B30">
        <w:rPr>
          <w:color w:val="000000"/>
        </w:rPr>
        <w:t xml:space="preserve"> 43 eventos vitales.</w:t>
      </w:r>
      <w:r w:rsidRPr="00C74B30">
        <w:rPr>
          <w:color w:val="000000"/>
        </w:rPr>
        <w:t xml:space="preserve">  </w:t>
      </w:r>
      <w:r w:rsidR="008536AF">
        <w:rPr>
          <w:color w:val="000000"/>
        </w:rPr>
        <w:t>L</w:t>
      </w:r>
      <w:r w:rsidRPr="00C74B30">
        <w:rPr>
          <w:color w:val="000000"/>
        </w:rPr>
        <w:t>os</w:t>
      </w:r>
      <w:r w:rsidR="00BC0DC1" w:rsidRPr="00C74B30">
        <w:rPr>
          <w:color w:val="000000"/>
        </w:rPr>
        <w:t xml:space="preserve"> respondientes </w:t>
      </w:r>
      <w:r w:rsidR="008536AF">
        <w:rPr>
          <w:color w:val="000000"/>
        </w:rPr>
        <w:t xml:space="preserve">señalaron </w:t>
      </w:r>
      <w:r w:rsidR="00BC0DC1" w:rsidRPr="00C74B30">
        <w:rPr>
          <w:color w:val="000000"/>
        </w:rPr>
        <w:t>los eventos que habían experimentado alguna vez en su vida</w:t>
      </w:r>
      <w:r w:rsidR="00624345" w:rsidRPr="00C74B30">
        <w:rPr>
          <w:color w:val="000000"/>
        </w:rPr>
        <w:t xml:space="preserve"> y juzgar</w:t>
      </w:r>
      <w:r w:rsidR="008536AF">
        <w:rPr>
          <w:color w:val="000000"/>
        </w:rPr>
        <w:t>on</w:t>
      </w:r>
      <w:r w:rsidR="00624345" w:rsidRPr="00C74B30">
        <w:rPr>
          <w:color w:val="000000"/>
        </w:rPr>
        <w:t xml:space="preserve"> en </w:t>
      </w:r>
      <w:r w:rsidR="00BC0DC1" w:rsidRPr="00C74B30">
        <w:rPr>
          <w:color w:val="000000"/>
        </w:rPr>
        <w:t>una escala del 0</w:t>
      </w:r>
      <w:r w:rsidR="00624345" w:rsidRPr="00C74B30">
        <w:rPr>
          <w:color w:val="000000"/>
        </w:rPr>
        <w:t xml:space="preserve"> (nada de reajuste)</w:t>
      </w:r>
      <w:r w:rsidR="00BC0DC1" w:rsidRPr="00C74B30">
        <w:rPr>
          <w:color w:val="000000"/>
        </w:rPr>
        <w:t xml:space="preserve"> al 10</w:t>
      </w:r>
      <w:r w:rsidR="00624345" w:rsidRPr="00C74B30">
        <w:rPr>
          <w:color w:val="000000"/>
        </w:rPr>
        <w:t xml:space="preserve"> (reajuste extremo)</w:t>
      </w:r>
      <w:r w:rsidR="00BC0DC1" w:rsidRPr="00C74B30">
        <w:rPr>
          <w:color w:val="000000"/>
        </w:rPr>
        <w:t xml:space="preserve"> el grado de </w:t>
      </w:r>
      <w:r w:rsidR="00624345" w:rsidRPr="00C74B30">
        <w:rPr>
          <w:color w:val="000000"/>
        </w:rPr>
        <w:t>reajuste</w:t>
      </w:r>
      <w:r w:rsidR="00CC12F3" w:rsidRPr="00C74B30">
        <w:rPr>
          <w:color w:val="000000"/>
        </w:rPr>
        <w:t xml:space="preserve"> (</w:t>
      </w:r>
      <w:proofErr w:type="spellStart"/>
      <w:r w:rsidR="00CC12F3" w:rsidRPr="00C74B30">
        <w:rPr>
          <w:color w:val="000000"/>
        </w:rPr>
        <w:t>i.e.</w:t>
      </w:r>
      <w:proofErr w:type="spellEnd"/>
      <w:r w:rsidR="00CC12F3" w:rsidRPr="00C74B30">
        <w:rPr>
          <w:color w:val="000000"/>
        </w:rPr>
        <w:t xml:space="preserve">, </w:t>
      </w:r>
      <w:r w:rsidR="00CC12F3" w:rsidRPr="00C74B30">
        <w:t xml:space="preserve">la intensidad y la duración del cambio en los patrones acostumbrados de vida; cf. Holmes &amp; </w:t>
      </w:r>
      <w:proofErr w:type="spellStart"/>
      <w:r w:rsidR="00CC12F3" w:rsidRPr="00C74B30">
        <w:t>Rahe</w:t>
      </w:r>
      <w:proofErr w:type="spellEnd"/>
      <w:r w:rsidR="00CC12F3" w:rsidRPr="00C74B30">
        <w:t>, 1967)</w:t>
      </w:r>
      <w:r w:rsidR="00624345" w:rsidRPr="00C74B30">
        <w:rPr>
          <w:color w:val="000000"/>
        </w:rPr>
        <w:t xml:space="preserve"> que requirió cada uno después de experimentarlo.  En el caso de los eventos que no habían experimentado, </w:t>
      </w:r>
      <w:r w:rsidR="008536AF">
        <w:rPr>
          <w:color w:val="000000"/>
        </w:rPr>
        <w:t xml:space="preserve">juzgaron </w:t>
      </w:r>
      <w:r w:rsidR="00624345" w:rsidRPr="00C74B30">
        <w:rPr>
          <w:color w:val="000000"/>
        </w:rPr>
        <w:t xml:space="preserve">el grado de reajuste que </w:t>
      </w:r>
      <w:proofErr w:type="gramStart"/>
      <w:r w:rsidRPr="00C74B30">
        <w:rPr>
          <w:color w:val="000000"/>
        </w:rPr>
        <w:t>creían</w:t>
      </w:r>
      <w:proofErr w:type="gramEnd"/>
      <w:r w:rsidRPr="00C74B30">
        <w:rPr>
          <w:color w:val="000000"/>
        </w:rPr>
        <w:t xml:space="preserve"> que </w:t>
      </w:r>
      <w:r w:rsidR="00A53987">
        <w:rPr>
          <w:color w:val="000000"/>
        </w:rPr>
        <w:t xml:space="preserve">cada uno </w:t>
      </w:r>
      <w:r w:rsidR="00624345" w:rsidRPr="00C74B30">
        <w:rPr>
          <w:color w:val="000000"/>
        </w:rPr>
        <w:t>requeriría si</w:t>
      </w:r>
      <w:r w:rsidR="00BC0DC1" w:rsidRPr="00C74B30">
        <w:rPr>
          <w:color w:val="000000"/>
        </w:rPr>
        <w:t xml:space="preserve"> </w:t>
      </w:r>
      <w:r w:rsidR="00624345" w:rsidRPr="00C74B30">
        <w:rPr>
          <w:color w:val="000000"/>
        </w:rPr>
        <w:t>lo experimentaran</w:t>
      </w:r>
      <w:r w:rsidR="00BC0DC1" w:rsidRPr="00C74B30">
        <w:rPr>
          <w:color w:val="000000"/>
        </w:rPr>
        <w:t xml:space="preserve">.  </w:t>
      </w:r>
      <w:r w:rsidR="00DB039E" w:rsidRPr="00C74B30">
        <w:rPr>
          <w:color w:val="000000"/>
        </w:rPr>
        <w:t xml:space="preserve">La SRRS ha mostrado </w:t>
      </w:r>
      <w:r w:rsidR="00F77888" w:rsidRPr="00C74B30">
        <w:rPr>
          <w:color w:val="000000"/>
        </w:rPr>
        <w:t xml:space="preserve">ser confiable, </w:t>
      </w:r>
      <w:r w:rsidR="008536AF">
        <w:rPr>
          <w:color w:val="000000"/>
        </w:rPr>
        <w:t>dadas</w:t>
      </w:r>
      <w:r w:rsidR="00DB039E" w:rsidRPr="00C74B30">
        <w:rPr>
          <w:color w:val="000000"/>
        </w:rPr>
        <w:t xml:space="preserve"> </w:t>
      </w:r>
      <w:r w:rsidR="008536AF">
        <w:rPr>
          <w:color w:val="000000"/>
        </w:rPr>
        <w:t xml:space="preserve">las </w:t>
      </w:r>
      <w:r w:rsidR="00DB039E" w:rsidRPr="00C74B30">
        <w:rPr>
          <w:color w:val="000000"/>
        </w:rPr>
        <w:t>altas correlaciones por rangos entre el orden de severidad de los sucesos tanto entre jueces de diferentes países como de un mismo país (</w:t>
      </w:r>
      <w:proofErr w:type="spellStart"/>
      <w:r w:rsidR="00DB039E" w:rsidRPr="00C74B30">
        <w:rPr>
          <w:color w:val="000000"/>
        </w:rPr>
        <w:t>e.g.</w:t>
      </w:r>
      <w:proofErr w:type="spellEnd"/>
      <w:r w:rsidR="00DB039E" w:rsidRPr="00C74B30">
        <w:rPr>
          <w:color w:val="000000"/>
        </w:rPr>
        <w:t>,</w:t>
      </w:r>
      <w:r w:rsidR="00824341" w:rsidRPr="00C74B30">
        <w:rPr>
          <w:color w:val="000000"/>
        </w:rPr>
        <w:t xml:space="preserve"> Acuña et al., 2012; </w:t>
      </w:r>
      <w:proofErr w:type="spellStart"/>
      <w:r w:rsidR="007664E3" w:rsidRPr="00C74B30">
        <w:rPr>
          <w:color w:val="000000"/>
        </w:rPr>
        <w:t>Scully</w:t>
      </w:r>
      <w:proofErr w:type="spellEnd"/>
      <w:r w:rsidR="00824341" w:rsidRPr="00C74B30">
        <w:rPr>
          <w:color w:val="000000"/>
        </w:rPr>
        <w:t>,</w:t>
      </w:r>
      <w:r w:rsidR="007664E3" w:rsidRPr="00C74B30">
        <w:rPr>
          <w:color w:val="000000"/>
        </w:rPr>
        <w:t xml:space="preserve"> </w:t>
      </w:r>
      <w:proofErr w:type="spellStart"/>
      <w:r w:rsidR="007664E3" w:rsidRPr="00C74B30">
        <w:rPr>
          <w:color w:val="000000"/>
        </w:rPr>
        <w:t>Tossi</w:t>
      </w:r>
      <w:proofErr w:type="spellEnd"/>
      <w:r w:rsidR="007664E3" w:rsidRPr="00C74B30">
        <w:rPr>
          <w:color w:val="000000"/>
        </w:rPr>
        <w:t xml:space="preserve">, &amp; </w:t>
      </w:r>
      <w:proofErr w:type="spellStart"/>
      <w:r w:rsidR="007664E3" w:rsidRPr="00C74B30">
        <w:rPr>
          <w:color w:val="000000"/>
        </w:rPr>
        <w:t>Banning</w:t>
      </w:r>
      <w:proofErr w:type="spellEnd"/>
      <w:r w:rsidR="007664E3" w:rsidRPr="00C74B30">
        <w:rPr>
          <w:color w:val="000000"/>
        </w:rPr>
        <w:t>,</w:t>
      </w:r>
      <w:r w:rsidR="00824341" w:rsidRPr="00C74B30">
        <w:rPr>
          <w:color w:val="000000"/>
        </w:rPr>
        <w:t xml:space="preserve"> 2000</w:t>
      </w:r>
      <w:r w:rsidR="00DB039E" w:rsidRPr="00C74B30">
        <w:rPr>
          <w:color w:val="000000"/>
        </w:rPr>
        <w:t>).  Así mismo, ha mostrado ser válida para predecir la propensión de una persona para adquirir una enfermedad (</w:t>
      </w:r>
      <w:proofErr w:type="spellStart"/>
      <w:r w:rsidR="00DB039E" w:rsidRPr="00C74B30">
        <w:rPr>
          <w:color w:val="000000"/>
        </w:rPr>
        <w:t>e.g.</w:t>
      </w:r>
      <w:proofErr w:type="spellEnd"/>
      <w:r w:rsidR="00DB039E" w:rsidRPr="00C74B30">
        <w:rPr>
          <w:color w:val="000000"/>
        </w:rPr>
        <w:t>,</w:t>
      </w:r>
      <w:r w:rsidR="00824341" w:rsidRPr="00C74B30">
        <w:rPr>
          <w:color w:val="000000"/>
        </w:rPr>
        <w:t xml:space="preserve"> </w:t>
      </w:r>
      <w:proofErr w:type="spellStart"/>
      <w:r w:rsidR="00BC4544">
        <w:rPr>
          <w:lang w:val="es-MX"/>
        </w:rPr>
        <w:t>Chung</w:t>
      </w:r>
      <w:proofErr w:type="spellEnd"/>
      <w:r w:rsidR="00824341" w:rsidRPr="00C74B30">
        <w:rPr>
          <w:lang w:val="es-MX"/>
        </w:rPr>
        <w:t xml:space="preserve"> et al., 2010; </w:t>
      </w:r>
      <w:proofErr w:type="spellStart"/>
      <w:r w:rsidR="00824341" w:rsidRPr="00C74B30">
        <w:rPr>
          <w:lang w:val="es-MX"/>
        </w:rPr>
        <w:t>Welsh</w:t>
      </w:r>
      <w:proofErr w:type="spellEnd"/>
      <w:r w:rsidR="00824341" w:rsidRPr="00C74B30">
        <w:rPr>
          <w:lang w:val="es-MX"/>
        </w:rPr>
        <w:t>, 2009; Woods et al., 2010</w:t>
      </w:r>
      <w:r w:rsidR="00DB039E" w:rsidRPr="00C74B30">
        <w:rPr>
          <w:color w:val="000000"/>
        </w:rPr>
        <w:t xml:space="preserve">).  En el presente estudio se </w:t>
      </w:r>
      <w:r w:rsidR="006B6A0F" w:rsidRPr="00C74B30">
        <w:rPr>
          <w:color w:val="000000"/>
        </w:rPr>
        <w:t xml:space="preserve">encontró un </w:t>
      </w:r>
      <w:r w:rsidR="00DB039E" w:rsidRPr="00C74B30">
        <w:rPr>
          <w:color w:val="000000"/>
        </w:rPr>
        <w:t xml:space="preserve">alfa de </w:t>
      </w:r>
      <w:proofErr w:type="spellStart"/>
      <w:r w:rsidR="00DB039E" w:rsidRPr="00C74B30">
        <w:rPr>
          <w:color w:val="000000"/>
        </w:rPr>
        <w:t>Cronbach</w:t>
      </w:r>
      <w:proofErr w:type="spellEnd"/>
      <w:r w:rsidR="00DB039E" w:rsidRPr="00C74B30">
        <w:rPr>
          <w:color w:val="000000"/>
        </w:rPr>
        <w:t xml:space="preserve"> igual a .95 </w:t>
      </w:r>
      <w:r w:rsidR="00F2509A">
        <w:rPr>
          <w:color w:val="000000"/>
        </w:rPr>
        <w:t xml:space="preserve">para </w:t>
      </w:r>
      <w:r w:rsidR="00DB039E" w:rsidRPr="00C74B30">
        <w:rPr>
          <w:color w:val="000000"/>
        </w:rPr>
        <w:t>los 43 eventos en su conjunto.</w:t>
      </w:r>
      <w:r w:rsidR="00F2509A">
        <w:rPr>
          <w:color w:val="000000"/>
        </w:rPr>
        <w:t xml:space="preserve">  El alfa fue i</w:t>
      </w:r>
      <w:r w:rsidR="00DB039E" w:rsidRPr="00C74B30">
        <w:rPr>
          <w:color w:val="000000"/>
        </w:rPr>
        <w:t>gual a .85</w:t>
      </w:r>
      <w:r w:rsidR="00F2509A">
        <w:rPr>
          <w:color w:val="000000"/>
        </w:rPr>
        <w:t xml:space="preserve"> para los eventos experimentados</w:t>
      </w:r>
      <w:r w:rsidR="00DB039E" w:rsidRPr="00C74B30">
        <w:rPr>
          <w:color w:val="000000"/>
        </w:rPr>
        <w:t xml:space="preserve"> y </w:t>
      </w:r>
      <w:r w:rsidR="00F2509A">
        <w:rPr>
          <w:color w:val="000000"/>
        </w:rPr>
        <w:t xml:space="preserve">de .91 </w:t>
      </w:r>
      <w:r w:rsidR="006B6A0F" w:rsidRPr="00C74B30">
        <w:rPr>
          <w:color w:val="000000"/>
        </w:rPr>
        <w:t xml:space="preserve">para los </w:t>
      </w:r>
      <w:r w:rsidR="00F2509A">
        <w:rPr>
          <w:color w:val="000000"/>
        </w:rPr>
        <w:t>no experimentados.</w:t>
      </w:r>
    </w:p>
    <w:p w:rsidR="00F318C3" w:rsidRPr="00C74B30" w:rsidRDefault="00F318C3" w:rsidP="00F318C3">
      <w:pPr>
        <w:pStyle w:val="Sinespaciado1"/>
        <w:spacing w:line="480" w:lineRule="auto"/>
        <w:rPr>
          <w:b/>
          <w:color w:val="000000"/>
        </w:rPr>
      </w:pPr>
      <w:r w:rsidRPr="00C74B30">
        <w:rPr>
          <w:b/>
          <w:color w:val="000000"/>
        </w:rPr>
        <w:t>Procedimiento</w:t>
      </w:r>
    </w:p>
    <w:p w:rsidR="00F318C3" w:rsidRPr="00C74B30" w:rsidRDefault="00F318C3" w:rsidP="00F318C3">
      <w:pPr>
        <w:pStyle w:val="Sinespaciado1"/>
        <w:spacing w:line="480" w:lineRule="auto"/>
        <w:ind w:firstLine="708"/>
      </w:pPr>
      <w:r w:rsidRPr="00C74B30">
        <w:lastRenderedPageBreak/>
        <w:t xml:space="preserve">Se acudió a centros comerciales, parques, lugares de trabajo y escuelas y se solicitó la participación voluntaria de las personas.  Se </w:t>
      </w:r>
      <w:r w:rsidR="00F2509A">
        <w:t>informó a</w:t>
      </w:r>
      <w:r w:rsidRPr="00C74B30">
        <w:t xml:space="preserve"> los participantes que el propósito del estudio era conocer la manera en la que los mexicanos juzgan diferentes eventos de la vida.  </w:t>
      </w:r>
      <w:r w:rsidR="00F2509A">
        <w:t>E</w:t>
      </w:r>
      <w:r w:rsidRPr="00C74B30">
        <w:t>n el cuestionario se informó por escrito que las respuestas</w:t>
      </w:r>
      <w:r w:rsidR="00F2509A">
        <w:t xml:space="preserve"> eran anónimas y confidenciales, además </w:t>
      </w:r>
      <w:r w:rsidRPr="00C74B30">
        <w:t>el investigador lo reiteró verbalmente a los participantes</w:t>
      </w:r>
      <w:r w:rsidRPr="00C74B30">
        <w:rPr>
          <w:color w:val="000000"/>
        </w:rPr>
        <w:t>.</w:t>
      </w:r>
      <w:r w:rsidRPr="00C74B30">
        <w:t xml:space="preserve">  </w:t>
      </w:r>
    </w:p>
    <w:p w:rsidR="00BC0DC1" w:rsidRPr="00C74B30" w:rsidRDefault="00BC0DC1" w:rsidP="00BC0DC1">
      <w:pPr>
        <w:spacing w:line="480" w:lineRule="auto"/>
        <w:ind w:left="2832" w:firstLine="708"/>
        <w:rPr>
          <w:b/>
        </w:rPr>
      </w:pPr>
      <w:r w:rsidRPr="00C74B30">
        <w:rPr>
          <w:b/>
        </w:rPr>
        <w:t>Resultados</w:t>
      </w:r>
    </w:p>
    <w:p w:rsidR="00F958C0" w:rsidRPr="00C74B30" w:rsidRDefault="00251249" w:rsidP="00F753E8">
      <w:pPr>
        <w:spacing w:line="480" w:lineRule="auto"/>
        <w:ind w:firstLine="708"/>
      </w:pPr>
      <w:r w:rsidRPr="00C74B30">
        <w:t xml:space="preserve">El </w:t>
      </w:r>
      <w:r w:rsidR="00F77888" w:rsidRPr="00C74B30">
        <w:t xml:space="preserve">primer </w:t>
      </w:r>
      <w:r w:rsidRPr="00C74B30">
        <w:t xml:space="preserve">propósito del estudio fue averiguar el efecto de haber experimentado los eventos vitales incluidos en la SRRS sobre su severidad.  </w:t>
      </w:r>
      <w:r w:rsidR="00F2509A">
        <w:t>T</w:t>
      </w:r>
      <w:r w:rsidR="00972022" w:rsidRPr="00C74B30">
        <w:t>odos l</w:t>
      </w:r>
      <w:r w:rsidR="00F958C0" w:rsidRPr="00C74B30">
        <w:t xml:space="preserve">os participantes reportaron haber experimentado </w:t>
      </w:r>
      <w:r w:rsidR="00972022" w:rsidRPr="00C74B30">
        <w:t>por lo menos un evento vital durante su vida.  E</w:t>
      </w:r>
      <w:r w:rsidR="00CC12F3" w:rsidRPr="00C74B30">
        <w:t xml:space="preserve">n promedio </w:t>
      </w:r>
      <w:r w:rsidR="00972022" w:rsidRPr="00C74B30">
        <w:t xml:space="preserve">experimentaron </w:t>
      </w:r>
      <w:r w:rsidR="00F958C0" w:rsidRPr="00C74B30">
        <w:t>16.36</w:t>
      </w:r>
      <w:r w:rsidR="00CC12F3" w:rsidRPr="00C74B30">
        <w:t xml:space="preserve"> eventos</w:t>
      </w:r>
      <w:r w:rsidR="00F958C0" w:rsidRPr="00C74B30">
        <w:t xml:space="preserve"> (</w:t>
      </w:r>
      <w:r w:rsidR="00F958C0" w:rsidRPr="00C74B30">
        <w:rPr>
          <w:i/>
        </w:rPr>
        <w:t>D. E.</w:t>
      </w:r>
      <w:r w:rsidR="00F958C0" w:rsidRPr="00C74B30">
        <w:t xml:space="preserve"> = 7.03).  </w:t>
      </w:r>
    </w:p>
    <w:p w:rsidR="00F3631D" w:rsidRPr="00C74B30" w:rsidRDefault="00F2509A" w:rsidP="00F3631D">
      <w:pPr>
        <w:autoSpaceDE w:val="0"/>
        <w:autoSpaceDN w:val="0"/>
        <w:adjustRightInd w:val="0"/>
        <w:spacing w:line="480" w:lineRule="auto"/>
        <w:ind w:firstLine="708"/>
      </w:pPr>
      <w:r>
        <w:t>P</w:t>
      </w:r>
      <w:r w:rsidR="00F753E8" w:rsidRPr="00C74B30">
        <w:t xml:space="preserve">ara averiguar la </w:t>
      </w:r>
      <w:r>
        <w:t xml:space="preserve">relación entre la </w:t>
      </w:r>
      <w:r w:rsidR="00F753E8" w:rsidRPr="00C74B30">
        <w:t xml:space="preserve">experiencia </w:t>
      </w:r>
      <w:r>
        <w:t xml:space="preserve">y </w:t>
      </w:r>
      <w:r w:rsidR="00F753E8" w:rsidRPr="00C74B30">
        <w:t xml:space="preserve">la magnitud de los puntajes asignados por los </w:t>
      </w:r>
      <w:r>
        <w:t xml:space="preserve">participantes primero </w:t>
      </w:r>
      <w:r w:rsidR="00F753E8" w:rsidRPr="00C74B30">
        <w:t xml:space="preserve">se obtuvo la correlación por rangos entre el orden de severidad de los eventos y el reportado </w:t>
      </w:r>
      <w:r>
        <w:t xml:space="preserve">en un estudio hecho en México en el que se obtuvieron los puntajes LCU </w:t>
      </w:r>
      <w:r w:rsidRPr="00C74B30">
        <w:t xml:space="preserve">con una muestra de adultos con características </w:t>
      </w:r>
      <w:proofErr w:type="spellStart"/>
      <w:r w:rsidRPr="00C74B30">
        <w:t>sociodemográficas</w:t>
      </w:r>
      <w:proofErr w:type="spellEnd"/>
      <w:r w:rsidRPr="00C74B30">
        <w:t xml:space="preserve"> similares a las del es</w:t>
      </w:r>
      <w:r>
        <w:t xml:space="preserve">tudio actual (Acuña et al., 2012).  En segundo lugar, se compararon los puntajes medios asignados a los eventos por quienes reportaron haberlos y no haberlos experimentado.  El </w:t>
      </w:r>
      <w:r w:rsidR="00270946" w:rsidRPr="00C74B30">
        <w:rPr>
          <w:color w:val="000000"/>
        </w:rPr>
        <w:t xml:space="preserve">coeficiente de correlación </w:t>
      </w:r>
      <w:r>
        <w:rPr>
          <w:color w:val="000000"/>
        </w:rPr>
        <w:t xml:space="preserve">por rangos entre la muestra total y la muestra de Acuña et al. </w:t>
      </w:r>
      <w:proofErr w:type="gramStart"/>
      <w:r>
        <w:rPr>
          <w:color w:val="000000"/>
        </w:rPr>
        <w:t>fue</w:t>
      </w:r>
      <w:proofErr w:type="gramEnd"/>
      <w:r>
        <w:rPr>
          <w:color w:val="000000"/>
        </w:rPr>
        <w:t xml:space="preserve"> alto y significativo </w:t>
      </w:r>
      <w:r w:rsidR="00270946" w:rsidRPr="00C74B30">
        <w:rPr>
          <w:i/>
          <w:color w:val="000000"/>
        </w:rPr>
        <w:t>rho</w:t>
      </w:r>
      <w:r w:rsidR="00270946" w:rsidRPr="00C74B30">
        <w:rPr>
          <w:color w:val="000000"/>
        </w:rPr>
        <w:t xml:space="preserve"> = .71, </w:t>
      </w:r>
      <w:r w:rsidR="00270946" w:rsidRPr="00C74B30">
        <w:rPr>
          <w:i/>
          <w:color w:val="000000"/>
        </w:rPr>
        <w:t xml:space="preserve">p </w:t>
      </w:r>
      <w:r w:rsidR="00270946" w:rsidRPr="00C74B30">
        <w:rPr>
          <w:color w:val="000000"/>
        </w:rPr>
        <w:t xml:space="preserve">&lt; .001.  </w:t>
      </w:r>
      <w:r w:rsidR="00F958C0" w:rsidRPr="00C74B30">
        <w:rPr>
          <w:color w:val="000000"/>
        </w:rPr>
        <w:t>La magnitud de la correlación aumentó a .76 cuando se consideró a quienes reportaron no h</w:t>
      </w:r>
      <w:r w:rsidR="00A53987">
        <w:rPr>
          <w:color w:val="000000"/>
        </w:rPr>
        <w:t xml:space="preserve">aber experimentado los sucesos y </w:t>
      </w:r>
      <w:r w:rsidR="00F958C0" w:rsidRPr="00C74B30">
        <w:rPr>
          <w:color w:val="000000"/>
        </w:rPr>
        <w:t>disminuyó a .60 cuando se consideró a quienes habían experimentado los eventos vitales.</w:t>
      </w:r>
      <w:r w:rsidR="00F3631D" w:rsidRPr="00C74B30">
        <w:rPr>
          <w:color w:val="000000"/>
        </w:rPr>
        <w:t xml:space="preserve">  </w:t>
      </w:r>
    </w:p>
    <w:p w:rsidR="00F958C0" w:rsidRPr="00C74B30" w:rsidRDefault="00F958C0" w:rsidP="00F958C0">
      <w:pPr>
        <w:spacing w:line="480" w:lineRule="auto"/>
        <w:ind w:firstLine="708"/>
        <w:rPr>
          <w:lang w:val="es-MX"/>
        </w:rPr>
      </w:pPr>
      <w:r w:rsidRPr="00C74B30">
        <w:rPr>
          <w:color w:val="000000"/>
        </w:rPr>
        <w:t>En la Tabla</w:t>
      </w:r>
      <w:r w:rsidR="00D92C0C" w:rsidRPr="00C74B30">
        <w:rPr>
          <w:color w:val="000000"/>
        </w:rPr>
        <w:t xml:space="preserve"> 2</w:t>
      </w:r>
      <w:r w:rsidRPr="00C74B30">
        <w:rPr>
          <w:color w:val="000000"/>
        </w:rPr>
        <w:t xml:space="preserve"> se muestran los rangos </w:t>
      </w:r>
      <w:r w:rsidR="00FD677D">
        <w:rPr>
          <w:color w:val="000000"/>
        </w:rPr>
        <w:t xml:space="preserve">de </w:t>
      </w:r>
      <w:r w:rsidRPr="00C74B30">
        <w:rPr>
          <w:color w:val="000000"/>
        </w:rPr>
        <w:t xml:space="preserve">los </w:t>
      </w:r>
      <w:r w:rsidR="00F753E8" w:rsidRPr="00C74B30">
        <w:rPr>
          <w:color w:val="000000"/>
        </w:rPr>
        <w:t xml:space="preserve">43 </w:t>
      </w:r>
      <w:r w:rsidRPr="00C74B30">
        <w:rPr>
          <w:color w:val="000000"/>
        </w:rPr>
        <w:t xml:space="preserve">eventos de la SRRS </w:t>
      </w:r>
      <w:r w:rsidR="00FE7A56" w:rsidRPr="00C74B30">
        <w:rPr>
          <w:color w:val="000000"/>
        </w:rPr>
        <w:t xml:space="preserve">reportados por Acuña et al. (2012) y los </w:t>
      </w:r>
      <w:r w:rsidRPr="00C74B30">
        <w:rPr>
          <w:color w:val="000000"/>
        </w:rPr>
        <w:t xml:space="preserve">obtenidos </w:t>
      </w:r>
      <w:r w:rsidR="00DA01F5">
        <w:rPr>
          <w:color w:val="000000"/>
        </w:rPr>
        <w:t xml:space="preserve">en el presente estudio </w:t>
      </w:r>
      <w:r w:rsidRPr="00C74B30">
        <w:rPr>
          <w:color w:val="000000"/>
        </w:rPr>
        <w:t xml:space="preserve">con la muestra total </w:t>
      </w:r>
      <w:r w:rsidR="00DA01F5">
        <w:rPr>
          <w:color w:val="000000"/>
        </w:rPr>
        <w:t xml:space="preserve">y con quienes </w:t>
      </w:r>
      <w:r w:rsidR="00C21A00">
        <w:rPr>
          <w:color w:val="000000"/>
        </w:rPr>
        <w:t xml:space="preserve">habían y no habían experimentado </w:t>
      </w:r>
      <w:r w:rsidR="00F753E8" w:rsidRPr="00C74B30">
        <w:rPr>
          <w:color w:val="000000"/>
        </w:rPr>
        <w:t xml:space="preserve">los eventos.  </w:t>
      </w:r>
      <w:r w:rsidR="00D92C0C" w:rsidRPr="00C74B30">
        <w:rPr>
          <w:color w:val="000000"/>
        </w:rPr>
        <w:t>L</w:t>
      </w:r>
      <w:r w:rsidR="00637E23" w:rsidRPr="00C74B30">
        <w:rPr>
          <w:color w:val="000000"/>
        </w:rPr>
        <w:t xml:space="preserve">a muestra total y quienes no habían experimentado los eventos vitales coincidieron con los del </w:t>
      </w:r>
      <w:r w:rsidRPr="00C74B30">
        <w:rPr>
          <w:color w:val="000000"/>
        </w:rPr>
        <w:t xml:space="preserve">estudio de Acuña et al. </w:t>
      </w:r>
      <w:proofErr w:type="gramStart"/>
      <w:r w:rsidR="00637E23" w:rsidRPr="00C74B30">
        <w:rPr>
          <w:color w:val="000000"/>
        </w:rPr>
        <w:t>respecto</w:t>
      </w:r>
      <w:proofErr w:type="gramEnd"/>
      <w:r w:rsidR="00637E23" w:rsidRPr="00C74B30">
        <w:rPr>
          <w:color w:val="000000"/>
        </w:rPr>
        <w:t xml:space="preserve"> a que </w:t>
      </w:r>
      <w:r w:rsidR="00FD677D">
        <w:rPr>
          <w:color w:val="000000"/>
        </w:rPr>
        <w:t xml:space="preserve">la </w:t>
      </w:r>
      <w:r w:rsidRPr="00C74B30">
        <w:rPr>
          <w:color w:val="000000"/>
        </w:rPr>
        <w:t xml:space="preserve">muerte del cónyuge, </w:t>
      </w:r>
      <w:r w:rsidR="00FD677D">
        <w:rPr>
          <w:color w:val="000000"/>
        </w:rPr>
        <w:t xml:space="preserve">el </w:t>
      </w:r>
      <w:r w:rsidRPr="00C74B30">
        <w:rPr>
          <w:color w:val="000000"/>
        </w:rPr>
        <w:t xml:space="preserve">encarcelamiento y </w:t>
      </w:r>
      <w:r w:rsidR="00FD677D">
        <w:rPr>
          <w:color w:val="000000"/>
        </w:rPr>
        <w:t xml:space="preserve">la </w:t>
      </w:r>
      <w:r w:rsidRPr="00C74B30">
        <w:rPr>
          <w:color w:val="000000"/>
        </w:rPr>
        <w:t>muerte de un familiar cercano son</w:t>
      </w:r>
      <w:r w:rsidR="00637E23" w:rsidRPr="00C74B30">
        <w:rPr>
          <w:color w:val="000000"/>
        </w:rPr>
        <w:t xml:space="preserve"> </w:t>
      </w:r>
      <w:r w:rsidRPr="00C74B30">
        <w:rPr>
          <w:color w:val="000000"/>
        </w:rPr>
        <w:t>los más severos.</w:t>
      </w:r>
      <w:r w:rsidR="00637E23" w:rsidRPr="00C74B30">
        <w:rPr>
          <w:color w:val="000000"/>
        </w:rPr>
        <w:t xml:space="preserve">  </w:t>
      </w:r>
      <w:r w:rsidRPr="00C74B30">
        <w:rPr>
          <w:lang w:val="es-MX"/>
        </w:rPr>
        <w:t xml:space="preserve">Si </w:t>
      </w:r>
      <w:r w:rsidR="00F753E8" w:rsidRPr="00C74B30">
        <w:rPr>
          <w:lang w:val="es-MX"/>
        </w:rPr>
        <w:t xml:space="preserve">bien hubo muchas inversiones en el orden de severidad de los eventos entre ambos estudios hechos en México, </w:t>
      </w:r>
      <w:r w:rsidR="001A5B82" w:rsidRPr="00C74B30">
        <w:rPr>
          <w:lang w:val="es-MX"/>
        </w:rPr>
        <w:t xml:space="preserve">en la </w:t>
      </w:r>
      <w:r w:rsidR="001A5B82" w:rsidRPr="00C74B30">
        <w:rPr>
          <w:lang w:val="es-MX"/>
        </w:rPr>
        <w:lastRenderedPageBreak/>
        <w:t xml:space="preserve">mayoría de los casos </w:t>
      </w:r>
      <w:r w:rsidRPr="00C74B30">
        <w:t xml:space="preserve">sólo se trató de </w:t>
      </w:r>
      <w:r w:rsidR="00F753E8" w:rsidRPr="00C74B30">
        <w:t xml:space="preserve">diferencias </w:t>
      </w:r>
      <w:r w:rsidRPr="00C74B30">
        <w:t xml:space="preserve">de un </w:t>
      </w:r>
      <w:r w:rsidR="00270946" w:rsidRPr="00C74B30">
        <w:t>rango</w:t>
      </w:r>
      <w:r w:rsidRPr="00C74B30">
        <w:t>.</w:t>
      </w:r>
      <w:r w:rsidR="00DA01F5">
        <w:t xml:space="preserve">  En cambio, hubo diferencias </w:t>
      </w:r>
      <w:r w:rsidR="00FD677D">
        <w:t xml:space="preserve">de más de cinco rangos </w:t>
      </w:r>
      <w:r w:rsidRPr="00C74B30">
        <w:rPr>
          <w:lang w:val="es-MX"/>
        </w:rPr>
        <w:t>cuando se consideró a quienes habían experimentado</w:t>
      </w:r>
      <w:r w:rsidR="00FD677D">
        <w:rPr>
          <w:lang w:val="es-MX"/>
        </w:rPr>
        <w:t xml:space="preserve"> los eventos</w:t>
      </w:r>
      <w:r w:rsidRPr="00C74B30">
        <w:rPr>
          <w:lang w:val="es-MX"/>
        </w:rPr>
        <w:t>.</w:t>
      </w:r>
      <w:r w:rsidR="00DA01F5">
        <w:rPr>
          <w:lang w:val="es-MX"/>
        </w:rPr>
        <w:t xml:space="preserve">  </w:t>
      </w:r>
      <w:r w:rsidR="00DA01F5" w:rsidRPr="00C74B30">
        <w:rPr>
          <w:lang w:val="es-MX"/>
        </w:rPr>
        <w:t xml:space="preserve">Por ejemplo, mientras que al evento cambio en la frecuencia de discusiones con la pareja </w:t>
      </w:r>
      <w:r w:rsidR="00C21A00">
        <w:rPr>
          <w:lang w:val="es-MX"/>
        </w:rPr>
        <w:t>le correspondió el quinto rango</w:t>
      </w:r>
      <w:r w:rsidR="00675121">
        <w:rPr>
          <w:lang w:val="es-MX"/>
        </w:rPr>
        <w:t xml:space="preserve"> en el presente estudio</w:t>
      </w:r>
      <w:r w:rsidR="00C21A00">
        <w:rPr>
          <w:lang w:val="es-MX"/>
        </w:rPr>
        <w:t>,</w:t>
      </w:r>
      <w:r w:rsidR="00DA01F5" w:rsidRPr="00C74B30">
        <w:rPr>
          <w:lang w:val="es-MX"/>
        </w:rPr>
        <w:t xml:space="preserve"> </w:t>
      </w:r>
      <w:r w:rsidR="00C21A00">
        <w:rPr>
          <w:lang w:val="es-MX"/>
        </w:rPr>
        <w:t xml:space="preserve">el rango de ese mismo suceso </w:t>
      </w:r>
      <w:r w:rsidR="00DA01F5" w:rsidRPr="00C74B30">
        <w:rPr>
          <w:lang w:val="es-MX"/>
        </w:rPr>
        <w:t>en el estudio de Acuña et al.</w:t>
      </w:r>
      <w:r w:rsidR="00C21A00">
        <w:rPr>
          <w:lang w:val="es-MX"/>
        </w:rPr>
        <w:t xml:space="preserve"> </w:t>
      </w:r>
      <w:proofErr w:type="gramStart"/>
      <w:r w:rsidR="00C21A00">
        <w:rPr>
          <w:lang w:val="es-MX"/>
        </w:rPr>
        <w:t>fue</w:t>
      </w:r>
      <w:proofErr w:type="gramEnd"/>
      <w:r w:rsidR="00C21A00">
        <w:rPr>
          <w:lang w:val="es-MX"/>
        </w:rPr>
        <w:t xml:space="preserve"> el </w:t>
      </w:r>
      <w:r w:rsidR="00DA01F5" w:rsidRPr="00C74B30">
        <w:rPr>
          <w:lang w:val="es-MX"/>
        </w:rPr>
        <w:t>23.</w:t>
      </w:r>
      <w:r w:rsidR="00DA01F5">
        <w:rPr>
          <w:lang w:val="es-MX"/>
        </w:rPr>
        <w:t xml:space="preserve">  Quienes experimentaron los eventos </w:t>
      </w:r>
      <w:r w:rsidR="00DA01F5" w:rsidRPr="00C74B30">
        <w:rPr>
          <w:lang w:val="es-MX"/>
        </w:rPr>
        <w:t xml:space="preserve">sólo acordaron con los del estudio de Acuña et al. </w:t>
      </w:r>
      <w:proofErr w:type="gramStart"/>
      <w:r w:rsidR="00DA01F5" w:rsidRPr="00C74B30">
        <w:rPr>
          <w:lang w:val="es-MX"/>
        </w:rPr>
        <w:t>en</w:t>
      </w:r>
      <w:proofErr w:type="gramEnd"/>
      <w:r w:rsidR="00DA01F5" w:rsidRPr="00C74B30">
        <w:rPr>
          <w:lang w:val="es-MX"/>
        </w:rPr>
        <w:t xml:space="preserve"> que la muerte del cónyuge es el evento más severo de la lista y la muerte de un familiar cercano es el tercero más severo.  Por tanto, experimentar los eventos afectó el orden de su severidad.</w:t>
      </w:r>
      <w:r w:rsidRPr="00C74B30">
        <w:rPr>
          <w:lang w:val="es-MX"/>
        </w:rPr>
        <w:t xml:space="preserve"> </w:t>
      </w:r>
      <w:r w:rsidR="00637E23" w:rsidRPr="00C74B30">
        <w:rPr>
          <w:lang w:val="es-MX"/>
        </w:rPr>
        <w:t xml:space="preserve"> </w:t>
      </w:r>
    </w:p>
    <w:p w:rsidR="00DA01F5" w:rsidRPr="00C74B30" w:rsidRDefault="00DA01F5" w:rsidP="00DA01F5">
      <w:pPr>
        <w:spacing w:line="480" w:lineRule="auto"/>
        <w:ind w:firstLine="708"/>
      </w:pPr>
      <w:r w:rsidRPr="00C74B30">
        <w:rPr>
          <w:color w:val="000000"/>
        </w:rPr>
        <w:t xml:space="preserve">En la Tabla 3 se muestran las medias </w:t>
      </w:r>
      <w:r w:rsidRPr="00C74B30">
        <w:t xml:space="preserve">de los puntajes de reajuste asignados a cada </w:t>
      </w:r>
      <w:r w:rsidR="00FD677D">
        <w:t>evento  vital</w:t>
      </w:r>
      <w:r w:rsidRPr="00C74B30">
        <w:t xml:space="preserve"> por quienes los habían y </w:t>
      </w:r>
      <w:r w:rsidR="00C21A00">
        <w:t>n</w:t>
      </w:r>
      <w:r w:rsidRPr="00C74B30">
        <w:t>o los habían experimentado</w:t>
      </w:r>
      <w:r w:rsidRPr="00C74B30">
        <w:rPr>
          <w:color w:val="000000"/>
        </w:rPr>
        <w:t xml:space="preserve">.  </w:t>
      </w:r>
      <w:r>
        <w:rPr>
          <w:color w:val="000000"/>
        </w:rPr>
        <w:t>L</w:t>
      </w:r>
      <w:r w:rsidRPr="00C74B30">
        <w:t xml:space="preserve">os primeros </w:t>
      </w:r>
      <w:r w:rsidR="00FD677D">
        <w:t xml:space="preserve">35 </w:t>
      </w:r>
      <w:r w:rsidRPr="00C74B30">
        <w:t xml:space="preserve">eventos </w:t>
      </w:r>
      <w:r>
        <w:t xml:space="preserve">en la tabla son aquellos cuyos puntajes </w:t>
      </w:r>
      <w:r w:rsidRPr="00C74B30">
        <w:t xml:space="preserve">medios fueron mayores según los juicios de quienes los habían experimentado.  Los eventos están ordenados del más al menos severo.  Los últimos ocho eventos </w:t>
      </w:r>
      <w:r w:rsidR="00C21A00">
        <w:t xml:space="preserve">en </w:t>
      </w:r>
      <w:r w:rsidRPr="00C74B30">
        <w:t xml:space="preserve">la tabla corresponden a </w:t>
      </w:r>
      <w:r>
        <w:t xml:space="preserve">aquellos </w:t>
      </w:r>
      <w:r w:rsidRPr="00C74B30">
        <w:t xml:space="preserve">cuyas medias fueron de mayor magnitud conforme los juicios de quienes no los habían experimentado.  Mediante un coeficiente de concordancia de Kendall se encontró que los participantes que experimentaron los sucesos asignaron consistente y confiablemente puntajes </w:t>
      </w:r>
      <w:r w:rsidR="00FD677D">
        <w:t xml:space="preserve">medios </w:t>
      </w:r>
      <w:r w:rsidRPr="00C74B30">
        <w:t xml:space="preserve">mayores </w:t>
      </w:r>
      <w:r w:rsidR="00FD677D">
        <w:t xml:space="preserve">a los eventos </w:t>
      </w:r>
      <w:r w:rsidRPr="00C74B30">
        <w:t xml:space="preserve">que quienes no los experimentaron </w:t>
      </w:r>
      <w:r w:rsidRPr="00C74B30">
        <w:rPr>
          <w:i/>
        </w:rPr>
        <w:t>W</w:t>
      </w:r>
      <w:r w:rsidRPr="00C74B30">
        <w:t xml:space="preserve"> = .394, </w:t>
      </w:r>
      <w:r w:rsidRPr="00C74B30">
        <w:rPr>
          <w:i/>
        </w:rPr>
        <w:t>X</w:t>
      </w:r>
      <w:r w:rsidRPr="00C74B30">
        <w:rPr>
          <w:i/>
          <w:vertAlign w:val="superscript"/>
        </w:rPr>
        <w:t>2</w:t>
      </w:r>
      <w:r w:rsidRPr="00C74B30">
        <w:t xml:space="preserve">(1) = 16.95, </w:t>
      </w:r>
      <w:r w:rsidRPr="00C74B30">
        <w:rPr>
          <w:i/>
        </w:rPr>
        <w:t xml:space="preserve">p </w:t>
      </w:r>
      <w:r w:rsidRPr="00C74B30">
        <w:t>&gt; .001 (rangos medios = 1.81 y 1.19, respectivamente</w:t>
      </w:r>
      <w:r w:rsidR="00C21A00">
        <w:t>)</w:t>
      </w:r>
      <w:r w:rsidRPr="00C74B30">
        <w:t xml:space="preserve">.  Únicamente en el caso de ocho eventos </w:t>
      </w:r>
      <w:r w:rsidRPr="00C74B30">
        <w:rPr>
          <w:lang w:val="es-MX"/>
        </w:rPr>
        <w:t xml:space="preserve">quienes no los habían experimentado los consideraron como más severos que quienes los habían experimentado.  </w:t>
      </w:r>
      <w:r w:rsidRPr="00C74B30">
        <w:t>Cuatro de esos acontecimientos (encarcelamiento, despido del trabajo, divorcio y muerte de un amigo cercano) fueron de los más graves de la lista, dado que les correspondió un rango dentro de los 10 primeros (ver Tabla 2)</w:t>
      </w:r>
      <w:r w:rsidR="00FD677D">
        <w:t xml:space="preserve"> </w:t>
      </w:r>
      <w:r w:rsidR="00FD677D" w:rsidRPr="00C74B30">
        <w:t>y los otros cuatro (embarazo, adquisición de un préstamo, matrimonio y cambio a un nuevo tipo de trabajo) tuvieron rangos dentro de los primeros 25.</w:t>
      </w:r>
      <w:r>
        <w:t xml:space="preserve">  </w:t>
      </w:r>
      <w:r w:rsidRPr="00C74B30">
        <w:t xml:space="preserve">Este hallazgo sugirió que el efecto de la experiencia con los eventos vitales podría variar en función de la gravedad de los sucesos.  </w:t>
      </w:r>
    </w:p>
    <w:p w:rsidR="00675121" w:rsidRDefault="00675121" w:rsidP="00C74B30">
      <w:pPr>
        <w:spacing w:line="480" w:lineRule="auto"/>
      </w:pPr>
    </w:p>
    <w:p w:rsidR="00675121" w:rsidRDefault="00675121" w:rsidP="00C74B30">
      <w:pPr>
        <w:spacing w:line="480" w:lineRule="auto"/>
      </w:pPr>
    </w:p>
    <w:p w:rsidR="00675121" w:rsidRDefault="00675121" w:rsidP="00C74B30">
      <w:pPr>
        <w:spacing w:line="480" w:lineRule="auto"/>
      </w:pPr>
    </w:p>
    <w:p w:rsidR="00C74B30" w:rsidRPr="00C74B30" w:rsidRDefault="00C74B30" w:rsidP="00C74B30">
      <w:pPr>
        <w:spacing w:line="480" w:lineRule="auto"/>
      </w:pPr>
      <w:r w:rsidRPr="00C74B30">
        <w:lastRenderedPageBreak/>
        <w:t>Tabla 2</w:t>
      </w:r>
    </w:p>
    <w:p w:rsidR="00C74B30" w:rsidRPr="00C74B30" w:rsidRDefault="00C74B30" w:rsidP="00C74B30">
      <w:pPr>
        <w:spacing w:line="480" w:lineRule="auto"/>
        <w:rPr>
          <w:color w:val="000000"/>
        </w:rPr>
      </w:pPr>
      <w:r w:rsidRPr="00C74B30">
        <w:rPr>
          <w:color w:val="000000"/>
        </w:rPr>
        <w:t>Rangos correspondientes al orden de severidad de los 43 eventos vitales de la SRRS reportados por Acuña et al. (2012) y los obtenidos en el estudio actual con la muestra total y por los participantes que no experimentaron y que experimentaron los sucesos</w:t>
      </w:r>
    </w:p>
    <w:tbl>
      <w:tblPr>
        <w:tblW w:w="10085" w:type="dxa"/>
        <w:jc w:val="center"/>
        <w:tblInd w:w="-184" w:type="dxa"/>
        <w:tblBorders>
          <w:top w:val="single" w:sz="8" w:space="0" w:color="auto"/>
          <w:bottom w:val="single" w:sz="8" w:space="0" w:color="auto"/>
        </w:tblBorders>
        <w:tblCellMar>
          <w:left w:w="70" w:type="dxa"/>
          <w:right w:w="70" w:type="dxa"/>
        </w:tblCellMar>
        <w:tblLook w:val="04A0"/>
      </w:tblPr>
      <w:tblGrid>
        <w:gridCol w:w="863"/>
        <w:gridCol w:w="4671"/>
        <w:gridCol w:w="744"/>
        <w:gridCol w:w="825"/>
        <w:gridCol w:w="1478"/>
        <w:gridCol w:w="1504"/>
      </w:tblGrid>
      <w:tr w:rsidR="00C74B30" w:rsidRPr="00301245" w:rsidTr="00BD253E">
        <w:trPr>
          <w:trHeight w:val="241"/>
          <w:jc w:val="center"/>
        </w:trPr>
        <w:tc>
          <w:tcPr>
            <w:tcW w:w="863"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Número de evento</w:t>
            </w:r>
          </w:p>
        </w:tc>
        <w:tc>
          <w:tcPr>
            <w:tcW w:w="4671" w:type="dxa"/>
            <w:vMerge w:val="restart"/>
            <w:tcBorders>
              <w:bottom w:val="nil"/>
            </w:tcBorders>
            <w:shd w:val="clear" w:color="auto" w:fill="auto"/>
            <w:noWrap/>
            <w:vAlign w:val="center"/>
          </w:tcPr>
          <w:p w:rsidR="00C74B30" w:rsidRPr="00301245" w:rsidRDefault="00C74B30" w:rsidP="00F318C3">
            <w:pPr>
              <w:rPr>
                <w:color w:val="000000"/>
                <w:sz w:val="20"/>
                <w:szCs w:val="20"/>
              </w:rPr>
            </w:pPr>
            <w:r w:rsidRPr="00301245">
              <w:rPr>
                <w:color w:val="000000"/>
                <w:sz w:val="20"/>
                <w:szCs w:val="20"/>
              </w:rPr>
              <w:t xml:space="preserve">      Eventos vitales</w:t>
            </w:r>
          </w:p>
        </w:tc>
        <w:tc>
          <w:tcPr>
            <w:tcW w:w="744"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Acuña et al.</w:t>
            </w:r>
          </w:p>
        </w:tc>
        <w:tc>
          <w:tcPr>
            <w:tcW w:w="825"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Muestra total</w:t>
            </w:r>
          </w:p>
        </w:tc>
        <w:tc>
          <w:tcPr>
            <w:tcW w:w="1478" w:type="dxa"/>
            <w:vMerge w:val="restart"/>
            <w:tcBorders>
              <w:bottom w:val="nil"/>
            </w:tcBorders>
            <w:shd w:val="clear" w:color="auto" w:fill="auto"/>
            <w:noWrap/>
            <w:vAlign w:val="center"/>
          </w:tcPr>
          <w:p w:rsidR="00C74B30" w:rsidRPr="00301245" w:rsidRDefault="00FD677D" w:rsidP="00F318C3">
            <w:pPr>
              <w:jc w:val="center"/>
              <w:rPr>
                <w:color w:val="000000"/>
                <w:sz w:val="20"/>
                <w:szCs w:val="20"/>
              </w:rPr>
            </w:pPr>
            <w:r w:rsidRPr="00301245">
              <w:rPr>
                <w:color w:val="000000"/>
                <w:sz w:val="20"/>
                <w:szCs w:val="20"/>
              </w:rPr>
              <w:t xml:space="preserve">Participantes </w:t>
            </w:r>
            <w:r w:rsidR="00C74B30" w:rsidRPr="00301245">
              <w:rPr>
                <w:color w:val="000000"/>
                <w:sz w:val="20"/>
                <w:szCs w:val="20"/>
              </w:rPr>
              <w:t>que no experimentaron los eventos</w:t>
            </w:r>
          </w:p>
        </w:tc>
        <w:tc>
          <w:tcPr>
            <w:tcW w:w="1504" w:type="dxa"/>
            <w:vMerge w:val="restart"/>
            <w:tcBorders>
              <w:bottom w:val="nil"/>
            </w:tcBorders>
            <w:shd w:val="clear" w:color="auto" w:fill="auto"/>
            <w:vAlign w:val="center"/>
          </w:tcPr>
          <w:p w:rsidR="00C74B30" w:rsidRPr="00301245" w:rsidRDefault="00C74B30" w:rsidP="00F318C3">
            <w:pPr>
              <w:jc w:val="center"/>
              <w:rPr>
                <w:color w:val="000000"/>
                <w:sz w:val="20"/>
                <w:szCs w:val="20"/>
              </w:rPr>
            </w:pPr>
            <w:r w:rsidRPr="00301245">
              <w:rPr>
                <w:color w:val="000000"/>
                <w:sz w:val="20"/>
                <w:szCs w:val="20"/>
              </w:rPr>
              <w:t>Participantes que experimentaron los eventos</w:t>
            </w:r>
          </w:p>
        </w:tc>
      </w:tr>
      <w:tr w:rsidR="00C74B30" w:rsidRPr="00301245" w:rsidTr="00BD253E">
        <w:trPr>
          <w:trHeight w:val="35"/>
          <w:jc w:val="center"/>
        </w:trPr>
        <w:tc>
          <w:tcPr>
            <w:tcW w:w="863"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4671" w:type="dxa"/>
            <w:vMerge/>
            <w:tcBorders>
              <w:top w:val="nil"/>
              <w:bottom w:val="single" w:sz="8" w:space="0" w:color="auto"/>
            </w:tcBorders>
            <w:vAlign w:val="center"/>
          </w:tcPr>
          <w:p w:rsidR="00C74B30" w:rsidRPr="00301245" w:rsidRDefault="00C74B30" w:rsidP="00F318C3">
            <w:pPr>
              <w:jc w:val="center"/>
              <w:rPr>
                <w:color w:val="000000"/>
                <w:sz w:val="20"/>
                <w:szCs w:val="20"/>
              </w:rPr>
            </w:pPr>
          </w:p>
        </w:tc>
        <w:tc>
          <w:tcPr>
            <w:tcW w:w="744"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825"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1478" w:type="dxa"/>
            <w:vMerge/>
            <w:tcBorders>
              <w:top w:val="nil"/>
              <w:bottom w:val="single" w:sz="8" w:space="0" w:color="auto"/>
            </w:tcBorders>
            <w:vAlign w:val="center"/>
          </w:tcPr>
          <w:p w:rsidR="00C74B30" w:rsidRPr="00301245" w:rsidRDefault="00C74B30" w:rsidP="00F318C3">
            <w:pPr>
              <w:rPr>
                <w:color w:val="000000"/>
                <w:sz w:val="20"/>
                <w:szCs w:val="20"/>
              </w:rPr>
            </w:pPr>
          </w:p>
        </w:tc>
        <w:tc>
          <w:tcPr>
            <w:tcW w:w="1504" w:type="dxa"/>
            <w:vMerge/>
            <w:tcBorders>
              <w:top w:val="nil"/>
              <w:bottom w:val="single" w:sz="8" w:space="0" w:color="auto"/>
            </w:tcBorders>
            <w:vAlign w:val="center"/>
          </w:tcPr>
          <w:p w:rsidR="00C74B30" w:rsidRPr="00301245" w:rsidRDefault="00C74B30" w:rsidP="00F318C3">
            <w:pPr>
              <w:rPr>
                <w:color w:val="000000"/>
                <w:sz w:val="20"/>
                <w:szCs w:val="20"/>
              </w:rPr>
            </w:pPr>
          </w:p>
        </w:tc>
      </w:tr>
      <w:tr w:rsidR="00C74B30" w:rsidRPr="00301245" w:rsidTr="00BD253E">
        <w:trPr>
          <w:trHeight w:val="241"/>
          <w:jc w:val="center"/>
        </w:trPr>
        <w:tc>
          <w:tcPr>
            <w:tcW w:w="863" w:type="dxa"/>
            <w:tcBorders>
              <w:top w:val="single" w:sz="8" w:space="0" w:color="auto"/>
            </w:tcBorders>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4</w:t>
            </w:r>
          </w:p>
        </w:tc>
        <w:tc>
          <w:tcPr>
            <w:tcW w:w="4671" w:type="dxa"/>
            <w:tcBorders>
              <w:top w:val="single" w:sz="8" w:space="0" w:color="auto"/>
            </w:tcBorders>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del cónyuge</w:t>
            </w:r>
          </w:p>
        </w:tc>
        <w:tc>
          <w:tcPr>
            <w:tcW w:w="744"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825"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1478"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1504"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Encarcelamiento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 un familiar cercano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Enfermedad o lesión grave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Despido del 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14</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 salud de miembro de la</w:t>
            </w:r>
            <w:r w:rsidR="00BD253E">
              <w:rPr>
                <w:color w:val="000000"/>
                <w:sz w:val="20"/>
                <w:szCs w:val="20"/>
              </w:rPr>
              <w:t xml:space="preserve"> </w:t>
            </w:r>
            <w:r w:rsidRPr="00301245">
              <w:rPr>
                <w:color w:val="000000"/>
                <w:sz w:val="20"/>
                <w:szCs w:val="20"/>
              </w:rPr>
              <w:t>familia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Divorcio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Reajuste mayor en el negocio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Separación marital</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 un amigo(a) cercano(a)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en la frecuencia de discusiones con la pareja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 situación financiera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Problemas con el jefe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los hábitos de sueño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Adquirir hipoteca para comprar casa, negocio, etc.</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w:t>
            </w:r>
            <w:r w:rsidR="00BD253E">
              <w:rPr>
                <w:color w:val="000000"/>
                <w:sz w:val="20"/>
                <w:szCs w:val="20"/>
              </w:rPr>
              <w:t xml:space="preserve">tante de responsabilidades en el </w:t>
            </w:r>
            <w:r w:rsidRPr="00301245">
              <w:rPr>
                <w:color w:val="000000"/>
                <w:sz w:val="20"/>
                <w:szCs w:val="20"/>
              </w:rPr>
              <w:t>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Hijo(a) se va del hogar</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Dificultades sexuales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Esposa(o) empieza o deja de trabajar</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Embarazo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Pago anticipado de hipoteca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condiciones u horarios de</w:t>
            </w:r>
            <w:r w:rsidR="00BD253E">
              <w:rPr>
                <w:color w:val="000000"/>
                <w:sz w:val="20"/>
                <w:szCs w:val="20"/>
              </w:rPr>
              <w:t xml:space="preserve"> </w:t>
            </w:r>
            <w:r w:rsidRPr="00301245">
              <w:rPr>
                <w:color w:val="000000"/>
                <w:sz w:val="20"/>
                <w:szCs w:val="20"/>
              </w:rPr>
              <w:t>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34</w:t>
            </w:r>
          </w:p>
        </w:tc>
        <w:tc>
          <w:tcPr>
            <w:tcW w:w="4671" w:type="dxa"/>
            <w:shd w:val="clear" w:color="auto" w:fill="auto"/>
            <w:noWrap/>
            <w:vAlign w:val="center"/>
          </w:tcPr>
          <w:p w:rsidR="00C74B30" w:rsidRPr="00301245" w:rsidRDefault="00BD253E" w:rsidP="00F318C3">
            <w:pPr>
              <w:rPr>
                <w:color w:val="000000"/>
                <w:sz w:val="20"/>
                <w:szCs w:val="20"/>
              </w:rPr>
            </w:pPr>
            <w:r>
              <w:rPr>
                <w:color w:val="000000"/>
                <w:sz w:val="20"/>
                <w:szCs w:val="20"/>
              </w:rPr>
              <w:t>Adquisición de un</w:t>
            </w:r>
            <w:r w:rsidR="00C74B30" w:rsidRPr="00301245">
              <w:rPr>
                <w:color w:val="000000"/>
                <w:sz w:val="20"/>
                <w:szCs w:val="20"/>
              </w:rPr>
              <w:t xml:space="preserve"> préstamo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a un nuevo tipo de 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Matrimonio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los hábitos alimenticios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condiciones de vivienda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de lugar de residencia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Problemas con parientes políticos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Violaciones menores a la ley</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Inicio o terminación de estudios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Jubilación</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24</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Reconciliación matrimonial</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Incorporación de un nuevo miembro a la familia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de escuela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12</w:t>
            </w:r>
          </w:p>
        </w:tc>
        <w:tc>
          <w:tcPr>
            <w:tcW w:w="4671" w:type="dxa"/>
            <w:shd w:val="clear" w:color="auto" w:fill="auto"/>
            <w:noWrap/>
            <w:vAlign w:val="center"/>
          </w:tcPr>
          <w:p w:rsidR="00C74B30" w:rsidRPr="00301245" w:rsidRDefault="00BD253E" w:rsidP="00BD253E">
            <w:pPr>
              <w:rPr>
                <w:color w:val="000000"/>
                <w:sz w:val="20"/>
                <w:szCs w:val="20"/>
              </w:rPr>
            </w:pPr>
            <w:r>
              <w:rPr>
                <w:color w:val="000000"/>
                <w:sz w:val="20"/>
                <w:szCs w:val="20"/>
              </w:rPr>
              <w:t>Obtención de un logro personal</w:t>
            </w:r>
            <w:r w:rsidR="00C74B30" w:rsidRPr="00301245">
              <w:rPr>
                <w:color w:val="000000"/>
                <w:sz w:val="20"/>
                <w:szCs w:val="20"/>
              </w:rPr>
              <w:t xml:space="preserve"> sobresaliente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número de reuniones familiares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de actividades recreativas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 xml:space="preserve">Cambio </w:t>
            </w:r>
            <w:r w:rsidR="00BD253E">
              <w:rPr>
                <w:color w:val="000000"/>
                <w:sz w:val="20"/>
                <w:szCs w:val="20"/>
              </w:rPr>
              <w:t xml:space="preserve">importante </w:t>
            </w:r>
            <w:r w:rsidRPr="00301245">
              <w:rPr>
                <w:color w:val="000000"/>
                <w:sz w:val="20"/>
                <w:szCs w:val="20"/>
              </w:rPr>
              <w:t>de hábitos personales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actividades sociales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prácticas religiosas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Navidad</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r>
      <w:tr w:rsidR="00C74B30" w:rsidRPr="00301245" w:rsidTr="00BD253E">
        <w:trPr>
          <w:trHeight w:val="252"/>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Vacaciones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r>
    </w:tbl>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r w:rsidRPr="00C74B30">
        <w:t xml:space="preserve">Tabla 3 </w:t>
      </w:r>
    </w:p>
    <w:p w:rsidR="00C74B30" w:rsidRPr="00C74B30" w:rsidRDefault="00C74B30" w:rsidP="00C74B30"/>
    <w:p w:rsidR="00C74B30" w:rsidRPr="00C74B30" w:rsidRDefault="00C74B30" w:rsidP="00C74B30">
      <w:pPr>
        <w:pStyle w:val="Piedepgina"/>
        <w:spacing w:line="480" w:lineRule="auto"/>
      </w:pPr>
      <w:r w:rsidRPr="00C74B30">
        <w:t>Medias del grado de reajuste correspondientes a los participantes que experimentaron y que no experimentaron los eventos vitales</w:t>
      </w:r>
    </w:p>
    <w:tbl>
      <w:tblPr>
        <w:tblW w:w="9229" w:type="dxa"/>
        <w:tblInd w:w="55" w:type="dxa"/>
        <w:tblLayout w:type="fixed"/>
        <w:tblCellMar>
          <w:left w:w="70" w:type="dxa"/>
          <w:right w:w="70" w:type="dxa"/>
        </w:tblCellMar>
        <w:tblLook w:val="04A0"/>
      </w:tblPr>
      <w:tblGrid>
        <w:gridCol w:w="829"/>
        <w:gridCol w:w="5423"/>
        <w:gridCol w:w="1560"/>
        <w:gridCol w:w="1417"/>
      </w:tblGrid>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5423"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1560"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BD253E">
            <w:pPr>
              <w:jc w:val="center"/>
              <w:rPr>
                <w:color w:val="000000"/>
                <w:sz w:val="20"/>
                <w:szCs w:val="20"/>
              </w:rPr>
            </w:pPr>
            <w:r w:rsidRPr="00C74B30">
              <w:rPr>
                <w:color w:val="000000"/>
                <w:sz w:val="20"/>
                <w:szCs w:val="20"/>
              </w:rPr>
              <w:t>Número</w:t>
            </w:r>
          </w:p>
        </w:tc>
        <w:tc>
          <w:tcPr>
            <w:tcW w:w="5423" w:type="dxa"/>
            <w:vMerge w:val="restart"/>
            <w:tcBorders>
              <w:top w:val="nil"/>
              <w:left w:val="nil"/>
              <w:bottom w:val="single" w:sz="8" w:space="0" w:color="000000"/>
              <w:right w:val="nil"/>
            </w:tcBorders>
            <w:shd w:val="clear" w:color="auto" w:fill="auto"/>
            <w:noWrap/>
            <w:vAlign w:val="center"/>
          </w:tcPr>
          <w:p w:rsidR="00C74B30" w:rsidRPr="00C74B30" w:rsidRDefault="00C74B30" w:rsidP="00BD253E">
            <w:pPr>
              <w:rPr>
                <w:color w:val="000000"/>
                <w:sz w:val="20"/>
                <w:szCs w:val="20"/>
              </w:rPr>
            </w:pPr>
            <w:r w:rsidRPr="00C74B30">
              <w:rPr>
                <w:color w:val="000000"/>
                <w:sz w:val="20"/>
                <w:szCs w:val="20"/>
              </w:rPr>
              <w:t>Eventos vitales</w:t>
            </w:r>
          </w:p>
        </w:tc>
        <w:tc>
          <w:tcPr>
            <w:tcW w:w="1560" w:type="dxa"/>
            <w:vMerge w:val="restart"/>
            <w:tcBorders>
              <w:top w:val="nil"/>
              <w:left w:val="nil"/>
              <w:bottom w:val="single" w:sz="8" w:space="0" w:color="000000"/>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Experimentado</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No</w:t>
            </w:r>
          </w:p>
        </w:tc>
      </w:tr>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BD253E" w:rsidP="00BD253E">
            <w:pPr>
              <w:jc w:val="center"/>
              <w:rPr>
                <w:color w:val="000000"/>
                <w:sz w:val="20"/>
                <w:szCs w:val="20"/>
              </w:rPr>
            </w:pPr>
            <w:r>
              <w:rPr>
                <w:color w:val="000000"/>
                <w:sz w:val="20"/>
                <w:szCs w:val="20"/>
              </w:rPr>
              <w:t>de evento</w:t>
            </w:r>
          </w:p>
        </w:tc>
        <w:tc>
          <w:tcPr>
            <w:tcW w:w="5423" w:type="dxa"/>
            <w:vMerge/>
            <w:tcBorders>
              <w:top w:val="nil"/>
              <w:left w:val="nil"/>
              <w:bottom w:val="single" w:sz="8" w:space="0" w:color="000000"/>
              <w:right w:val="nil"/>
            </w:tcBorders>
            <w:vAlign w:val="center"/>
          </w:tcPr>
          <w:p w:rsidR="00C74B30" w:rsidRPr="00C74B30" w:rsidRDefault="00C74B30" w:rsidP="00F318C3">
            <w:pPr>
              <w:rPr>
                <w:color w:val="000000"/>
                <w:sz w:val="20"/>
                <w:szCs w:val="20"/>
              </w:rPr>
            </w:pPr>
          </w:p>
        </w:tc>
        <w:tc>
          <w:tcPr>
            <w:tcW w:w="1560" w:type="dxa"/>
            <w:vMerge/>
            <w:tcBorders>
              <w:top w:val="nil"/>
              <w:left w:val="nil"/>
              <w:bottom w:val="single" w:sz="8" w:space="0" w:color="000000"/>
              <w:right w:val="nil"/>
            </w:tcBorders>
            <w:vAlign w:val="center"/>
          </w:tcPr>
          <w:p w:rsidR="00C74B30" w:rsidRPr="00C74B30" w:rsidRDefault="00C74B30" w:rsidP="00F318C3">
            <w:pPr>
              <w:jc w:val="center"/>
              <w:rPr>
                <w:color w:val="000000"/>
                <w:sz w:val="20"/>
                <w:szCs w:val="20"/>
              </w:rPr>
            </w:pP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experimentado</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del cónyuge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8.67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8.63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Enfermedad o lesión grave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8.00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7.30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 un familiar cercano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7.90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7.85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 salud de miembro de la familia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7.76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6.57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en la frecuencia de discusiones con la pareja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7.44</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6.21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Separación marital</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7.41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7.00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Reajuste mayor en el negocio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7.09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7.08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Problemas con el jefe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7.06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5.86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 situación financiera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6.92</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6.34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Problemas con parientes políticos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de responsabilidades en el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6.81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Dificultades sexuales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6.77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5.81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los hábitos de sueño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6.61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Esposa(o) empieza o deja de trabajar</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5.67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Hijo(a) se va del hogar</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5.93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Adquirir hipoteca para comprar casa, negocio, etc.</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6.34</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6.24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condiciones u horarios de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5.36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Pago anticipado de hipoteca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6.17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5.71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lugar de residencia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5.96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4.59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los hábitos alimenticios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5.80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4.62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condiciones de vivienda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5.79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4.83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Reconciliación matrimonial</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5.60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4.24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Jubilación</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5.26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4.76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Inicio o terminación de estudios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5.25</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4.06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escuela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número de reuniones familiares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5.05</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Violaciones menores a la ley</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5.00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4.85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de actividades recreativas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3.28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actividades sociales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3.30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Incorporación de un nuevo miembro a la familia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hábitos personales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4.77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Logros personales sobresalientes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4.18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prácticas religiosas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3.76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2.99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Navidad</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3.11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2.50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Vacaciones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2.53</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2.22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
                <w:bCs/>
                <w:color w:val="000000"/>
                <w:sz w:val="20"/>
                <w:szCs w:val="20"/>
              </w:rPr>
            </w:pP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Encarcelamiento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8.33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Despido del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7.38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7.61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Divorcio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6.67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7.22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 un amigo(a) cercano(a)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6.81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Embarazo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5.61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5.97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Adquirir préstamo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5.50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5.75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Matrimonio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5.60</w:t>
            </w:r>
          </w:p>
        </w:tc>
      </w:tr>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27</w:t>
            </w:r>
          </w:p>
        </w:tc>
        <w:tc>
          <w:tcPr>
            <w:tcW w:w="5423"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a un nuevo tipo de trabajo</w:t>
            </w:r>
          </w:p>
        </w:tc>
        <w:tc>
          <w:tcPr>
            <w:tcW w:w="1560"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5.56</w:t>
            </w: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5.58</w:t>
            </w:r>
          </w:p>
        </w:tc>
      </w:tr>
    </w:tbl>
    <w:p w:rsidR="00C74B30" w:rsidRDefault="00C74B30" w:rsidP="00750F0C">
      <w:pPr>
        <w:spacing w:line="480" w:lineRule="auto"/>
        <w:ind w:firstLine="708"/>
        <w:rPr>
          <w:lang w:val="es-MX"/>
        </w:rPr>
      </w:pPr>
    </w:p>
    <w:p w:rsidR="00091FF7" w:rsidRPr="00C74B30" w:rsidRDefault="00091FF7" w:rsidP="00091FF7">
      <w:pPr>
        <w:spacing w:line="480" w:lineRule="auto"/>
        <w:ind w:firstLine="708"/>
        <w:rPr>
          <w:lang w:val="es-MX"/>
        </w:rPr>
      </w:pPr>
      <w:r w:rsidRPr="00C74B30">
        <w:rPr>
          <w:lang w:val="es-MX"/>
        </w:rPr>
        <w:lastRenderedPageBreak/>
        <w:t xml:space="preserve">Con el fin de averiguar el efecto de la experiencia sobre la magnitud de los puntajes </w:t>
      </w:r>
      <w:r w:rsidR="00BD253E">
        <w:rPr>
          <w:lang w:val="es-MX"/>
        </w:rPr>
        <w:t xml:space="preserve">en función de </w:t>
      </w:r>
      <w:r w:rsidR="001A6D8C">
        <w:rPr>
          <w:lang w:val="es-MX"/>
        </w:rPr>
        <w:t>la severidad de los eventos</w:t>
      </w:r>
      <w:r w:rsidRPr="00C74B30">
        <w:rPr>
          <w:lang w:val="es-MX"/>
        </w:rPr>
        <w:t>, se dividió la lista en cuatro grupos</w:t>
      </w:r>
      <w:r w:rsidR="001D2E3E">
        <w:rPr>
          <w:lang w:val="es-MX"/>
        </w:rPr>
        <w:t xml:space="preserve">.  </w:t>
      </w:r>
      <w:r w:rsidRPr="00C74B30">
        <w:rPr>
          <w:lang w:val="es-MX"/>
        </w:rPr>
        <w:t>El primer</w:t>
      </w:r>
      <w:r w:rsidR="00BD253E">
        <w:rPr>
          <w:lang w:val="es-MX"/>
        </w:rPr>
        <w:t>o</w:t>
      </w:r>
      <w:r w:rsidRPr="00C74B30">
        <w:rPr>
          <w:lang w:val="es-MX"/>
        </w:rPr>
        <w:t>, de severidad alta, incluyó los 10 eventos más severos (</w:t>
      </w:r>
      <w:proofErr w:type="spellStart"/>
      <w:r w:rsidRPr="00C74B30">
        <w:rPr>
          <w:lang w:val="es-MX"/>
        </w:rPr>
        <w:t>i.e.</w:t>
      </w:r>
      <w:proofErr w:type="spellEnd"/>
      <w:r w:rsidRPr="00C74B30">
        <w:rPr>
          <w:lang w:val="es-MX"/>
        </w:rPr>
        <w:t>, rangos del uno al 10</w:t>
      </w:r>
      <w:r w:rsidR="001A6D8C">
        <w:rPr>
          <w:lang w:val="es-MX"/>
        </w:rPr>
        <w:t>; ver Tabla 2</w:t>
      </w:r>
      <w:r w:rsidRPr="00C74B30">
        <w:rPr>
          <w:lang w:val="es-MX"/>
        </w:rPr>
        <w:t xml:space="preserve">).  El segundo, de severidad intermedia alta, incluyó eventos cuyos rangos variaron entre 11 y 20.  El tercer grupo, de severidad intermedia baja, incluyó </w:t>
      </w:r>
      <w:r w:rsidR="00BD253E">
        <w:rPr>
          <w:lang w:val="es-MX"/>
        </w:rPr>
        <w:t xml:space="preserve">eventos con </w:t>
      </w:r>
      <w:r w:rsidRPr="00C74B30">
        <w:rPr>
          <w:lang w:val="es-MX"/>
        </w:rPr>
        <w:t xml:space="preserve">rangos </w:t>
      </w:r>
      <w:r w:rsidR="00BD253E">
        <w:rPr>
          <w:lang w:val="es-MX"/>
        </w:rPr>
        <w:t xml:space="preserve">entre </w:t>
      </w:r>
      <w:r w:rsidRPr="00C74B30">
        <w:rPr>
          <w:lang w:val="es-MX"/>
        </w:rPr>
        <w:t>21 y 30.  El último grupo, de severidad baja, incluyó los 13 eventos menos severos (</w:t>
      </w:r>
      <w:proofErr w:type="spellStart"/>
      <w:r w:rsidRPr="00C74B30">
        <w:rPr>
          <w:lang w:val="es-MX"/>
        </w:rPr>
        <w:t>i.e.</w:t>
      </w:r>
      <w:proofErr w:type="spellEnd"/>
      <w:r w:rsidRPr="00C74B30">
        <w:rPr>
          <w:lang w:val="es-MX"/>
        </w:rPr>
        <w:t xml:space="preserve">, rangos entre 31 y 43).  Pruebas </w:t>
      </w:r>
      <w:r w:rsidRPr="00C74B30">
        <w:rPr>
          <w:i/>
          <w:lang w:val="es-MX"/>
        </w:rPr>
        <w:t>t</w:t>
      </w:r>
      <w:r w:rsidRPr="00C74B30">
        <w:rPr>
          <w:lang w:val="es-MX"/>
        </w:rPr>
        <w:t xml:space="preserve"> de medidas repetidas mostraron que los participantes asignaron puntajes similares a los eventos de severidad alta que habían y que no habían experimentado </w:t>
      </w:r>
      <w:proofErr w:type="gramStart"/>
      <w:r w:rsidRPr="00C74B30">
        <w:rPr>
          <w:i/>
          <w:lang w:val="es-MX"/>
        </w:rPr>
        <w:t>t</w:t>
      </w:r>
      <w:r w:rsidRPr="00C74B30">
        <w:rPr>
          <w:lang w:val="es-MX"/>
        </w:rPr>
        <w:t>(</w:t>
      </w:r>
      <w:proofErr w:type="gramEnd"/>
      <w:r w:rsidRPr="00C74B30">
        <w:rPr>
          <w:lang w:val="es-MX"/>
        </w:rPr>
        <w:t xml:space="preserve">590) = 1.86, </w:t>
      </w:r>
      <w:r w:rsidRPr="00C74B30">
        <w:rPr>
          <w:i/>
          <w:lang w:val="es-MX"/>
        </w:rPr>
        <w:t>p</w:t>
      </w:r>
      <w:r w:rsidRPr="00C74B30">
        <w:rPr>
          <w:lang w:val="es-MX"/>
        </w:rPr>
        <w:t xml:space="preserve"> &lt; .001 (</w:t>
      </w:r>
      <w:r w:rsidRPr="00C74B30">
        <w:rPr>
          <w:i/>
          <w:lang w:val="es-MX"/>
        </w:rPr>
        <w:t>M</w:t>
      </w:r>
      <w:r w:rsidRPr="00C74B30">
        <w:rPr>
          <w:lang w:val="es-MX"/>
        </w:rPr>
        <w:t xml:space="preserve"> = 7.64 y 7.46, respectivamente)</w:t>
      </w:r>
      <w:r w:rsidR="001A6D8C">
        <w:rPr>
          <w:lang w:val="es-MX"/>
        </w:rPr>
        <w:t xml:space="preserve">.  En cambio, </w:t>
      </w:r>
      <w:r w:rsidRPr="00C74B30">
        <w:rPr>
          <w:lang w:val="es-MX"/>
        </w:rPr>
        <w:t xml:space="preserve">asignaron puntajes más altos a los eventos </w:t>
      </w:r>
      <w:r w:rsidR="001A6D8C">
        <w:rPr>
          <w:lang w:val="es-MX"/>
        </w:rPr>
        <w:t xml:space="preserve">experimentados </w:t>
      </w:r>
      <w:r w:rsidRPr="00C74B30">
        <w:rPr>
          <w:lang w:val="es-MX"/>
        </w:rPr>
        <w:t xml:space="preserve">que </w:t>
      </w:r>
      <w:r w:rsidR="001A6D8C">
        <w:rPr>
          <w:lang w:val="es-MX"/>
        </w:rPr>
        <w:t xml:space="preserve">a los no experimentados </w:t>
      </w:r>
      <w:r w:rsidRPr="00C74B30">
        <w:rPr>
          <w:lang w:val="es-MX"/>
        </w:rPr>
        <w:t xml:space="preserve">de severidad intermedia alta </w:t>
      </w:r>
      <w:proofErr w:type="gramStart"/>
      <w:r w:rsidRPr="00C74B30">
        <w:rPr>
          <w:i/>
          <w:lang w:val="es-MX"/>
        </w:rPr>
        <w:t>t</w:t>
      </w:r>
      <w:r w:rsidRPr="00C74B30">
        <w:rPr>
          <w:lang w:val="es-MX"/>
        </w:rPr>
        <w:t>(</w:t>
      </w:r>
      <w:proofErr w:type="gramEnd"/>
      <w:r w:rsidRPr="00C74B30">
        <w:rPr>
          <w:lang w:val="es-MX"/>
        </w:rPr>
        <w:t xml:space="preserve">607) = 7.31, </w:t>
      </w:r>
      <w:r w:rsidRPr="00C74B30">
        <w:rPr>
          <w:i/>
          <w:lang w:val="es-MX"/>
        </w:rPr>
        <w:t>p</w:t>
      </w:r>
      <w:r w:rsidRPr="00C74B30">
        <w:rPr>
          <w:lang w:val="es-MX"/>
        </w:rPr>
        <w:t xml:space="preserve"> &lt; .001 (</w:t>
      </w:r>
      <w:r w:rsidRPr="00C74B30">
        <w:rPr>
          <w:i/>
          <w:lang w:val="es-MX"/>
        </w:rPr>
        <w:t>M</w:t>
      </w:r>
      <w:r w:rsidRPr="00C74B30">
        <w:rPr>
          <w:lang w:val="es-MX"/>
        </w:rPr>
        <w:t xml:space="preserve"> = 6.60 y 5.94, respectivamente), intermedia baja </w:t>
      </w:r>
      <w:r w:rsidRPr="00C74B30">
        <w:rPr>
          <w:i/>
          <w:lang w:val="es-MX"/>
        </w:rPr>
        <w:t>t</w:t>
      </w:r>
      <w:r w:rsidRPr="00C74B30">
        <w:rPr>
          <w:lang w:val="es-MX"/>
        </w:rPr>
        <w:t xml:space="preserve">(615) = 4.42, </w:t>
      </w:r>
      <w:r w:rsidRPr="00C74B30">
        <w:rPr>
          <w:i/>
          <w:lang w:val="es-MX"/>
        </w:rPr>
        <w:t>p</w:t>
      </w:r>
      <w:r w:rsidRPr="00C74B30">
        <w:rPr>
          <w:lang w:val="es-MX"/>
        </w:rPr>
        <w:t xml:space="preserve"> &lt; .001 (</w:t>
      </w:r>
      <w:r w:rsidRPr="00C74B30">
        <w:rPr>
          <w:i/>
          <w:lang w:val="es-MX"/>
        </w:rPr>
        <w:t>M</w:t>
      </w:r>
      <w:r w:rsidRPr="00C74B30">
        <w:rPr>
          <w:lang w:val="es-MX"/>
        </w:rPr>
        <w:t xml:space="preserve"> = 5.67 y 5.23, respectivamente) y baja </w:t>
      </w:r>
      <w:r w:rsidRPr="00C74B30">
        <w:rPr>
          <w:i/>
          <w:lang w:val="es-MX"/>
        </w:rPr>
        <w:t>t</w:t>
      </w:r>
      <w:r w:rsidRPr="00C74B30">
        <w:rPr>
          <w:lang w:val="es-MX"/>
        </w:rPr>
        <w:t xml:space="preserve">(623) = 5.10, </w:t>
      </w:r>
      <w:r w:rsidRPr="00C74B30">
        <w:rPr>
          <w:i/>
          <w:lang w:val="es-MX"/>
        </w:rPr>
        <w:t>p</w:t>
      </w:r>
      <w:r w:rsidRPr="00C74B30">
        <w:rPr>
          <w:lang w:val="es-MX"/>
        </w:rPr>
        <w:t xml:space="preserve"> &lt; .001 (</w:t>
      </w:r>
      <w:r w:rsidRPr="00C74B30">
        <w:rPr>
          <w:i/>
          <w:lang w:val="es-MX"/>
        </w:rPr>
        <w:t>M</w:t>
      </w:r>
      <w:r w:rsidRPr="00C74B30">
        <w:rPr>
          <w:lang w:val="es-MX"/>
        </w:rPr>
        <w:t xml:space="preserve"> = 4.22 y 3.77, respectivamente).  </w:t>
      </w:r>
    </w:p>
    <w:p w:rsidR="00251249" w:rsidRPr="00C74B30" w:rsidRDefault="00E557E4" w:rsidP="00E90C18">
      <w:pPr>
        <w:spacing w:line="480" w:lineRule="auto"/>
        <w:ind w:firstLine="708"/>
      </w:pPr>
      <w:r w:rsidRPr="00C74B30">
        <w:t xml:space="preserve">El segundo propósito del estudio fue averiguar la relación entre el sexo, la edad y la clase social de los participantes </w:t>
      </w:r>
      <w:r w:rsidR="001D2E3E">
        <w:t xml:space="preserve">y de su experiencia con los eventos </w:t>
      </w:r>
      <w:r w:rsidRPr="00C74B30">
        <w:t xml:space="preserve">con la magnitud de los puntajes asignados.  </w:t>
      </w:r>
      <w:r w:rsidR="00185EF4" w:rsidRPr="00C74B30">
        <w:t>L</w:t>
      </w:r>
      <w:r w:rsidRPr="00C74B30">
        <w:t xml:space="preserve">os hombres </w:t>
      </w:r>
      <w:r w:rsidR="00185EF4" w:rsidRPr="00C74B30">
        <w:t>reportaron haber experimentado</w:t>
      </w:r>
      <w:r w:rsidRPr="00C74B30">
        <w:t xml:space="preserve"> </w:t>
      </w:r>
      <w:r w:rsidR="00987718" w:rsidRPr="00C74B30">
        <w:t>16.06</w:t>
      </w:r>
      <w:r w:rsidRPr="00C74B30">
        <w:t xml:space="preserve"> </w:t>
      </w:r>
      <w:r w:rsidR="002E0C55" w:rsidRPr="00C74B30">
        <w:t>(</w:t>
      </w:r>
      <w:r w:rsidR="002E0C55" w:rsidRPr="00C74B30">
        <w:rPr>
          <w:i/>
        </w:rPr>
        <w:t>D. E.</w:t>
      </w:r>
      <w:r w:rsidR="002E0C55" w:rsidRPr="00C74B30">
        <w:t xml:space="preserve"> =</w:t>
      </w:r>
      <w:r w:rsidR="00987718" w:rsidRPr="00C74B30">
        <w:t xml:space="preserve"> 7.11</w:t>
      </w:r>
      <w:r w:rsidR="002E0C55" w:rsidRPr="00C74B30">
        <w:t xml:space="preserve">) eventos </w:t>
      </w:r>
      <w:r w:rsidR="00185EF4" w:rsidRPr="00C74B30">
        <w:t xml:space="preserve">en promedio </w:t>
      </w:r>
      <w:r w:rsidR="00987718" w:rsidRPr="00C74B30">
        <w:t>y las mujeres 16</w:t>
      </w:r>
      <w:r w:rsidR="002E0C55" w:rsidRPr="00C74B30">
        <w:t>.</w:t>
      </w:r>
      <w:r w:rsidR="00987718" w:rsidRPr="00C74B30">
        <w:t>65</w:t>
      </w:r>
      <w:r w:rsidR="002E0C55" w:rsidRPr="00C74B30">
        <w:t xml:space="preserve"> (</w:t>
      </w:r>
      <w:r w:rsidR="002E0C55" w:rsidRPr="00C74B30">
        <w:rPr>
          <w:i/>
        </w:rPr>
        <w:t>D. E.</w:t>
      </w:r>
      <w:r w:rsidR="002E0C55" w:rsidRPr="00C74B30">
        <w:t xml:space="preserve"> =</w:t>
      </w:r>
      <w:r w:rsidR="00987718" w:rsidRPr="00C74B30">
        <w:t xml:space="preserve"> 6.94</w:t>
      </w:r>
      <w:r w:rsidR="008E1220" w:rsidRPr="00C74B30">
        <w:t>)</w:t>
      </w:r>
      <w:r w:rsidR="001D2E3E">
        <w:t xml:space="preserve">, lo cual no difirió significativamente </w:t>
      </w:r>
      <w:proofErr w:type="gramStart"/>
      <w:r w:rsidR="002E0C55" w:rsidRPr="00C74B30">
        <w:rPr>
          <w:i/>
        </w:rPr>
        <w:t>t</w:t>
      </w:r>
      <w:r w:rsidR="001D2E3E">
        <w:t>(</w:t>
      </w:r>
      <w:proofErr w:type="gramEnd"/>
      <w:r w:rsidR="001D2E3E">
        <w:t>668) = -</w:t>
      </w:r>
      <w:r w:rsidR="00987718" w:rsidRPr="00C74B30">
        <w:t>1</w:t>
      </w:r>
      <w:r w:rsidR="002E0C55" w:rsidRPr="00C74B30">
        <w:t>.</w:t>
      </w:r>
      <w:r w:rsidR="00987718" w:rsidRPr="00C74B30">
        <w:t>07</w:t>
      </w:r>
      <w:r w:rsidR="002E0C55" w:rsidRPr="00C74B30">
        <w:t xml:space="preserve">, </w:t>
      </w:r>
      <w:r w:rsidR="002E0C55" w:rsidRPr="00C74B30">
        <w:rPr>
          <w:i/>
        </w:rPr>
        <w:t>p</w:t>
      </w:r>
      <w:r w:rsidR="002E0C55" w:rsidRPr="00C74B30">
        <w:t xml:space="preserve"> &gt; .05.  Los participantes de 20-29, de 30-39, de 40-49 y de 50 años o más experimentaron</w:t>
      </w:r>
      <w:r w:rsidR="00927315" w:rsidRPr="00C74B30">
        <w:t xml:space="preserve"> en promedio</w:t>
      </w:r>
      <w:r w:rsidR="002E0C55" w:rsidRPr="00C74B30">
        <w:t>, respectivamente</w:t>
      </w:r>
      <w:r w:rsidR="00927315" w:rsidRPr="00C74B30">
        <w:t xml:space="preserve"> </w:t>
      </w:r>
      <w:r w:rsidR="00987718" w:rsidRPr="00C74B30">
        <w:t>14.81</w:t>
      </w:r>
      <w:r w:rsidR="002E0C55" w:rsidRPr="00C74B30">
        <w:t xml:space="preserve"> (</w:t>
      </w:r>
      <w:r w:rsidR="002E0C55" w:rsidRPr="00C74B30">
        <w:rPr>
          <w:i/>
        </w:rPr>
        <w:t>D. E.</w:t>
      </w:r>
      <w:r w:rsidR="002E0C55" w:rsidRPr="00C74B30">
        <w:t xml:space="preserve"> =</w:t>
      </w:r>
      <w:r w:rsidR="00987718" w:rsidRPr="00C74B30">
        <w:t xml:space="preserve"> 5.50</w:t>
      </w:r>
      <w:r w:rsidR="002E0C55" w:rsidRPr="00C74B30">
        <w:t xml:space="preserve">), </w:t>
      </w:r>
      <w:r w:rsidR="00987718" w:rsidRPr="00C74B30">
        <w:t>16</w:t>
      </w:r>
      <w:r w:rsidR="002E0C55" w:rsidRPr="00C74B30">
        <w:t>.</w:t>
      </w:r>
      <w:r w:rsidR="00987718" w:rsidRPr="00C74B30">
        <w:t>80</w:t>
      </w:r>
      <w:r w:rsidR="002E0C55" w:rsidRPr="00C74B30">
        <w:t xml:space="preserve"> (</w:t>
      </w:r>
      <w:r w:rsidR="002E0C55" w:rsidRPr="00C74B30">
        <w:rPr>
          <w:i/>
        </w:rPr>
        <w:t>D. E.</w:t>
      </w:r>
      <w:r w:rsidR="002E0C55" w:rsidRPr="00C74B30">
        <w:t xml:space="preserve"> =</w:t>
      </w:r>
      <w:r w:rsidR="00987718" w:rsidRPr="00C74B30">
        <w:t xml:space="preserve"> 7.74</w:t>
      </w:r>
      <w:r w:rsidR="002E0C55" w:rsidRPr="00C74B30">
        <w:t xml:space="preserve">), </w:t>
      </w:r>
      <w:r w:rsidR="00987718" w:rsidRPr="00C74B30">
        <w:t>16</w:t>
      </w:r>
      <w:r w:rsidR="002E0C55" w:rsidRPr="00C74B30">
        <w:t>.</w:t>
      </w:r>
      <w:r w:rsidR="00987718" w:rsidRPr="00C74B30">
        <w:t>46</w:t>
      </w:r>
      <w:r w:rsidR="002E0C55" w:rsidRPr="00C74B30">
        <w:t xml:space="preserve"> (</w:t>
      </w:r>
      <w:r w:rsidR="002E0C55" w:rsidRPr="00C74B30">
        <w:rPr>
          <w:i/>
        </w:rPr>
        <w:t>D. E.</w:t>
      </w:r>
      <w:r w:rsidR="002E0C55" w:rsidRPr="00C74B30">
        <w:t xml:space="preserve"> =</w:t>
      </w:r>
      <w:r w:rsidR="00987718" w:rsidRPr="00C74B30">
        <w:t xml:space="preserve"> 7.39</w:t>
      </w:r>
      <w:r w:rsidR="002E0C55" w:rsidRPr="00C74B30">
        <w:t xml:space="preserve">) y </w:t>
      </w:r>
      <w:r w:rsidR="00987718" w:rsidRPr="00C74B30">
        <w:t>17</w:t>
      </w:r>
      <w:r w:rsidR="002E0C55" w:rsidRPr="00C74B30">
        <w:t>.</w:t>
      </w:r>
      <w:r w:rsidR="00987718" w:rsidRPr="00C74B30">
        <w:t>64</w:t>
      </w:r>
      <w:r w:rsidR="002E0C55" w:rsidRPr="00C74B30">
        <w:t xml:space="preserve"> (</w:t>
      </w:r>
      <w:r w:rsidR="002E0C55" w:rsidRPr="00C74B30">
        <w:rPr>
          <w:i/>
        </w:rPr>
        <w:t>D. E.</w:t>
      </w:r>
      <w:r w:rsidR="002E0C55" w:rsidRPr="00C74B30">
        <w:t xml:space="preserve"> =</w:t>
      </w:r>
      <w:r w:rsidR="00987718" w:rsidRPr="00C74B30">
        <w:t xml:space="preserve"> 7.22</w:t>
      </w:r>
      <w:r w:rsidR="002E0C55" w:rsidRPr="00C74B30">
        <w:t xml:space="preserve">) eventos.  Las diferencias entre estas medias fue confiable </w:t>
      </w:r>
      <w:proofErr w:type="gramStart"/>
      <w:r w:rsidR="002E0C55" w:rsidRPr="00C74B30">
        <w:rPr>
          <w:i/>
        </w:rPr>
        <w:t>F</w:t>
      </w:r>
      <w:r w:rsidR="002E0C55" w:rsidRPr="00C74B30">
        <w:t>(</w:t>
      </w:r>
      <w:proofErr w:type="gramEnd"/>
      <w:r w:rsidR="002E0C55" w:rsidRPr="00C74B30">
        <w:t xml:space="preserve">3, 666) = </w:t>
      </w:r>
      <w:r w:rsidR="00B237CD" w:rsidRPr="00C74B30">
        <w:t>5</w:t>
      </w:r>
      <w:r w:rsidR="002E0C55" w:rsidRPr="00C74B30">
        <w:t>.</w:t>
      </w:r>
      <w:r w:rsidR="00B237CD" w:rsidRPr="00C74B30">
        <w:t>08</w:t>
      </w:r>
      <w:r w:rsidR="002E0C55" w:rsidRPr="00C74B30">
        <w:t xml:space="preserve">, </w:t>
      </w:r>
      <w:r w:rsidR="002E0C55" w:rsidRPr="00C74B30">
        <w:rPr>
          <w:i/>
        </w:rPr>
        <w:t>p</w:t>
      </w:r>
      <w:r w:rsidR="00B237CD" w:rsidRPr="00C74B30">
        <w:t xml:space="preserve"> &lt; .0</w:t>
      </w:r>
      <w:r w:rsidR="002E0C55" w:rsidRPr="00C74B30">
        <w:t xml:space="preserve">1.  Pruebas post hoc de </w:t>
      </w:r>
      <w:proofErr w:type="spellStart"/>
      <w:r w:rsidR="002E0C55" w:rsidRPr="00C74B30">
        <w:t>Tukey</w:t>
      </w:r>
      <w:proofErr w:type="spellEnd"/>
      <w:r w:rsidR="002E0C55" w:rsidRPr="00C74B30">
        <w:t xml:space="preserve"> mostraron que </w:t>
      </w:r>
      <w:r w:rsidR="00E90C18" w:rsidRPr="00C74B30">
        <w:t>los más jóvenes (</w:t>
      </w:r>
      <w:proofErr w:type="spellStart"/>
      <w:r w:rsidR="00E90C18" w:rsidRPr="00C74B30">
        <w:t>i.e.</w:t>
      </w:r>
      <w:proofErr w:type="spellEnd"/>
      <w:r w:rsidR="00E90C18" w:rsidRPr="00C74B30">
        <w:t xml:space="preserve">, de entre 20 y 29 años) experimentaron confiablemente un menor </w:t>
      </w:r>
      <w:r w:rsidR="00FB66A0" w:rsidRPr="00C74B30">
        <w:t>número de eventos que los de 50</w:t>
      </w:r>
      <w:r w:rsidR="00B237CD" w:rsidRPr="00C74B30">
        <w:t xml:space="preserve"> años o más</w:t>
      </w:r>
      <w:r w:rsidR="00E90C18" w:rsidRPr="00C74B30">
        <w:t xml:space="preserve">.  </w:t>
      </w:r>
      <w:r w:rsidR="002E0C55" w:rsidRPr="00C74B30">
        <w:t xml:space="preserve">Los participantes de clase baja, media y alta experimentaron en promedio, respectivamente, </w:t>
      </w:r>
      <w:r w:rsidR="00B237CD" w:rsidRPr="00C74B30">
        <w:t>15</w:t>
      </w:r>
      <w:r w:rsidR="002E0C55" w:rsidRPr="00C74B30">
        <w:t>.</w:t>
      </w:r>
      <w:r w:rsidR="00B237CD" w:rsidRPr="00C74B30">
        <w:t>31</w:t>
      </w:r>
      <w:r w:rsidR="002E0C55" w:rsidRPr="00C74B30">
        <w:t xml:space="preserve"> eventos (</w:t>
      </w:r>
      <w:r w:rsidR="002E0C55" w:rsidRPr="00C74B30">
        <w:rPr>
          <w:i/>
        </w:rPr>
        <w:t>D. E.</w:t>
      </w:r>
      <w:r w:rsidR="002E0C55" w:rsidRPr="00C74B30">
        <w:t xml:space="preserve"> =</w:t>
      </w:r>
      <w:r w:rsidR="00B237CD" w:rsidRPr="00C74B30">
        <w:t xml:space="preserve"> 6.71</w:t>
      </w:r>
      <w:r w:rsidR="002E0C55" w:rsidRPr="00C74B30">
        <w:t xml:space="preserve">), </w:t>
      </w:r>
      <w:r w:rsidR="00B237CD" w:rsidRPr="00C74B30">
        <w:t>17</w:t>
      </w:r>
      <w:r w:rsidR="002E0C55" w:rsidRPr="00C74B30">
        <w:t>.</w:t>
      </w:r>
      <w:r w:rsidR="00B237CD" w:rsidRPr="00C74B30">
        <w:t>14</w:t>
      </w:r>
      <w:r w:rsidR="002E0C55" w:rsidRPr="00C74B30">
        <w:t xml:space="preserve"> (</w:t>
      </w:r>
      <w:r w:rsidR="002E0C55" w:rsidRPr="00C74B30">
        <w:rPr>
          <w:i/>
        </w:rPr>
        <w:t>D. E.</w:t>
      </w:r>
      <w:r w:rsidR="002E0C55" w:rsidRPr="00C74B30">
        <w:t xml:space="preserve"> =</w:t>
      </w:r>
      <w:r w:rsidR="00B237CD" w:rsidRPr="00C74B30">
        <w:t xml:space="preserve"> 7.23</w:t>
      </w:r>
      <w:r w:rsidR="002E0C55" w:rsidRPr="00C74B30">
        <w:t xml:space="preserve">) y </w:t>
      </w:r>
      <w:r w:rsidR="00B237CD" w:rsidRPr="00C74B30">
        <w:t>16.92</w:t>
      </w:r>
      <w:r w:rsidR="002E0C55" w:rsidRPr="00C74B30">
        <w:t xml:space="preserve"> (</w:t>
      </w:r>
      <w:r w:rsidR="002E0C55" w:rsidRPr="00C74B30">
        <w:rPr>
          <w:i/>
        </w:rPr>
        <w:t>D. E.</w:t>
      </w:r>
      <w:r w:rsidR="002E0C55" w:rsidRPr="00C74B30">
        <w:t xml:space="preserve"> =</w:t>
      </w:r>
      <w:r w:rsidR="00B237CD" w:rsidRPr="00C74B30">
        <w:t xml:space="preserve"> 6.42</w:t>
      </w:r>
      <w:r w:rsidR="002E0C55" w:rsidRPr="00C74B30">
        <w:t xml:space="preserve">).  Las </w:t>
      </w:r>
      <w:r w:rsidR="008E1220" w:rsidRPr="00C74B30">
        <w:t xml:space="preserve">medias variaron confiablemente </w:t>
      </w:r>
      <w:proofErr w:type="gramStart"/>
      <w:r w:rsidR="002E0C55" w:rsidRPr="00C74B30">
        <w:rPr>
          <w:i/>
        </w:rPr>
        <w:t>F</w:t>
      </w:r>
      <w:r w:rsidR="002E0C55" w:rsidRPr="00C74B30">
        <w:t>(</w:t>
      </w:r>
      <w:proofErr w:type="gramEnd"/>
      <w:r w:rsidR="002E0C55" w:rsidRPr="00C74B30">
        <w:t xml:space="preserve">2, 647) = </w:t>
      </w:r>
      <w:r w:rsidR="00B237CD" w:rsidRPr="00C74B30">
        <w:t>5</w:t>
      </w:r>
      <w:r w:rsidR="002E0C55" w:rsidRPr="00C74B30">
        <w:t>.0</w:t>
      </w:r>
      <w:r w:rsidR="00B237CD" w:rsidRPr="00C74B30">
        <w:t>5</w:t>
      </w:r>
      <w:r w:rsidR="002E0C55" w:rsidRPr="00C74B30">
        <w:t xml:space="preserve">, </w:t>
      </w:r>
      <w:r w:rsidR="002E0C55" w:rsidRPr="00C74B30">
        <w:rPr>
          <w:i/>
        </w:rPr>
        <w:t>p</w:t>
      </w:r>
      <w:r w:rsidR="002E0C55" w:rsidRPr="00C74B30">
        <w:t xml:space="preserve"> &lt; .0</w:t>
      </w:r>
      <w:r w:rsidR="00B237CD" w:rsidRPr="00C74B30">
        <w:t>1</w:t>
      </w:r>
      <w:r w:rsidR="001D2E3E">
        <w:t>.</w:t>
      </w:r>
      <w:r w:rsidR="002E0C55" w:rsidRPr="00C74B30">
        <w:t xml:space="preserve">  Pruebas post hoc de </w:t>
      </w:r>
      <w:proofErr w:type="spellStart"/>
      <w:r w:rsidR="002E0C55" w:rsidRPr="00C74B30">
        <w:t>Tukey</w:t>
      </w:r>
      <w:proofErr w:type="spellEnd"/>
      <w:r w:rsidR="002E0C55" w:rsidRPr="00C74B30">
        <w:t xml:space="preserve"> mostraron que </w:t>
      </w:r>
      <w:r w:rsidR="00E90C18" w:rsidRPr="00C74B30">
        <w:t xml:space="preserve">los participantes de clase baja experimentaron un menor número promedio de eventos que los de clase media.  </w:t>
      </w:r>
    </w:p>
    <w:p w:rsidR="00E90C18" w:rsidRPr="00C74B30" w:rsidRDefault="001D2E3E" w:rsidP="00E90C18">
      <w:pPr>
        <w:autoSpaceDE w:val="0"/>
        <w:autoSpaceDN w:val="0"/>
        <w:adjustRightInd w:val="0"/>
        <w:spacing w:line="480" w:lineRule="auto"/>
        <w:ind w:firstLine="708"/>
      </w:pPr>
      <w:r>
        <w:lastRenderedPageBreak/>
        <w:t xml:space="preserve">Para </w:t>
      </w:r>
      <w:r w:rsidR="00E90C18" w:rsidRPr="00C74B30">
        <w:t xml:space="preserve">averiguar si las medias de reajuste asignadas a los 43 eventos vitales difirieron en función de las características </w:t>
      </w:r>
      <w:proofErr w:type="spellStart"/>
      <w:r w:rsidR="00E90C18" w:rsidRPr="00C74B30">
        <w:t>sociodemográficas</w:t>
      </w:r>
      <w:proofErr w:type="spellEnd"/>
      <w:r w:rsidR="00E90C18" w:rsidRPr="00C74B30">
        <w:t xml:space="preserve"> de los participantes y de si habían experimentado los sucesos, se realizó un análisis de varianza mixto. </w:t>
      </w:r>
      <w:r>
        <w:t>Los f</w:t>
      </w:r>
      <w:r w:rsidR="00E90C18" w:rsidRPr="00C74B30">
        <w:t xml:space="preserve">actores de grupos independientes </w:t>
      </w:r>
      <w:r>
        <w:t xml:space="preserve">fueron </w:t>
      </w:r>
      <w:r w:rsidR="00E90C18" w:rsidRPr="00C74B30">
        <w:t xml:space="preserve">el sexo (hombre o mujer), la edad (20-29, 30-39, 40-49 y 50 años o más) y la clase social (baja, media o alta).  El factor de medidas repetidas fue la experiencia con los eventos (experimentados o no experimentados).  La variable dependiente fue la media de </w:t>
      </w:r>
      <w:r w:rsidR="00B237CD" w:rsidRPr="00C74B30">
        <w:t>reajuste</w:t>
      </w:r>
      <w:r w:rsidR="00E90C18" w:rsidRPr="00C74B30">
        <w:t xml:space="preserve"> de los puntajes asignados a los eventos experimentados y no experimentados por cada participante.  </w:t>
      </w:r>
      <w:r w:rsidR="00020B11" w:rsidRPr="00C74B30">
        <w:t>E</w:t>
      </w:r>
      <w:r w:rsidR="00E90C18" w:rsidRPr="00C74B30">
        <w:t xml:space="preserve">l efecto principal de sexo fue significativo </w:t>
      </w:r>
      <w:proofErr w:type="gramStart"/>
      <w:r w:rsidR="00E90C18" w:rsidRPr="00C74B30">
        <w:rPr>
          <w:i/>
        </w:rPr>
        <w:t>F</w:t>
      </w:r>
      <w:r w:rsidR="00E90C18" w:rsidRPr="00C74B30">
        <w:t>(</w:t>
      </w:r>
      <w:proofErr w:type="gramEnd"/>
      <w:r w:rsidR="00E90C18" w:rsidRPr="00C74B30">
        <w:t xml:space="preserve">1, 516) = 3.85, </w:t>
      </w:r>
      <w:r w:rsidR="00E90C18" w:rsidRPr="00C74B30">
        <w:rPr>
          <w:i/>
        </w:rPr>
        <w:t xml:space="preserve">p </w:t>
      </w:r>
      <w:r w:rsidR="00E90C18" w:rsidRPr="00C74B30">
        <w:t>&lt; .05.  Las mujeres asignaron confiablemente puntajes de reajuste más altos a todos los eventos (</w:t>
      </w:r>
      <w:proofErr w:type="spellStart"/>
      <w:r w:rsidR="00E90C18" w:rsidRPr="00C74B30">
        <w:t>i.e.</w:t>
      </w:r>
      <w:proofErr w:type="spellEnd"/>
      <w:r w:rsidR="00E90C18" w:rsidRPr="00C74B30">
        <w:t xml:space="preserve">, los </w:t>
      </w:r>
      <w:r w:rsidR="00AB0CE3">
        <w:t>experimentados y no experimentados</w:t>
      </w:r>
      <w:r w:rsidR="00E90C18" w:rsidRPr="00C74B30">
        <w:t>) que los hombres (</w:t>
      </w:r>
      <w:r w:rsidR="00E90C18" w:rsidRPr="00C74B30">
        <w:rPr>
          <w:i/>
        </w:rPr>
        <w:t>M</w:t>
      </w:r>
      <w:r w:rsidR="00E90C18" w:rsidRPr="00C74B30">
        <w:t xml:space="preserve"> = 6.02 y 5.23, respectivamente).  El efecto principal de experiencia también fue significativo </w:t>
      </w:r>
      <w:proofErr w:type="gramStart"/>
      <w:r w:rsidR="00E90C18" w:rsidRPr="00C74B30">
        <w:rPr>
          <w:i/>
        </w:rPr>
        <w:t>F</w:t>
      </w:r>
      <w:r w:rsidR="00E90C18" w:rsidRPr="00C74B30">
        <w:t>(</w:t>
      </w:r>
      <w:proofErr w:type="gramEnd"/>
      <w:r w:rsidR="00E90C18" w:rsidRPr="00C74B30">
        <w:t xml:space="preserve">1, 520) = 3.86, </w:t>
      </w:r>
      <w:r w:rsidR="00E90C18" w:rsidRPr="00C74B30">
        <w:rPr>
          <w:i/>
        </w:rPr>
        <w:t xml:space="preserve">p </w:t>
      </w:r>
      <w:r w:rsidR="00E90C18" w:rsidRPr="00C74B30">
        <w:t xml:space="preserve">&lt; .05, siendo que los participantes asignaron puntajes más altos a los eventos que habían experimentado </w:t>
      </w:r>
      <w:r w:rsidR="00020B11" w:rsidRPr="00C74B30">
        <w:t>(</w:t>
      </w:r>
      <w:r w:rsidR="00020B11" w:rsidRPr="00C74B30">
        <w:rPr>
          <w:i/>
        </w:rPr>
        <w:t>M</w:t>
      </w:r>
      <w:r w:rsidR="00020B11" w:rsidRPr="00C74B30">
        <w:t xml:space="preserve"> = 6.90) </w:t>
      </w:r>
      <w:r w:rsidR="00E90C18" w:rsidRPr="00C74B30">
        <w:t>que a los que no habían experimentado (</w:t>
      </w:r>
      <w:r w:rsidR="00E90C18" w:rsidRPr="00C74B30">
        <w:rPr>
          <w:i/>
        </w:rPr>
        <w:t>M</w:t>
      </w:r>
      <w:r w:rsidR="00E90C18" w:rsidRPr="00C74B30">
        <w:t xml:space="preserve"> = 5.22).  No obstante, este último efecto difirió en función de la edad y la clase social, dado que las interacciones entre </w:t>
      </w:r>
      <w:r w:rsidR="00020B11" w:rsidRPr="00C74B30">
        <w:t xml:space="preserve">estos factores y el factor </w:t>
      </w:r>
      <w:r w:rsidR="00E90C18" w:rsidRPr="00C74B30">
        <w:t xml:space="preserve">experiencia fueron significativas </w:t>
      </w:r>
      <w:proofErr w:type="gramStart"/>
      <w:r w:rsidR="00E90C18" w:rsidRPr="00C74B30">
        <w:rPr>
          <w:i/>
        </w:rPr>
        <w:t>F</w:t>
      </w:r>
      <w:r w:rsidR="00E90C18" w:rsidRPr="00C74B30">
        <w:t>(</w:t>
      </w:r>
      <w:proofErr w:type="gramEnd"/>
      <w:r w:rsidR="00E90C18" w:rsidRPr="00C74B30">
        <w:t xml:space="preserve">3, 516) = 3.46, </w:t>
      </w:r>
      <w:r w:rsidR="00E90C18" w:rsidRPr="00C74B30">
        <w:rPr>
          <w:i/>
        </w:rPr>
        <w:t xml:space="preserve">p </w:t>
      </w:r>
      <w:r w:rsidR="00E90C18" w:rsidRPr="00C74B30">
        <w:t xml:space="preserve">&lt; .05, </w:t>
      </w:r>
      <w:r w:rsidR="00E90C18" w:rsidRPr="00C74B30">
        <w:rPr>
          <w:i/>
        </w:rPr>
        <w:t>F</w:t>
      </w:r>
      <w:r w:rsidR="00E90C18" w:rsidRPr="00C74B30">
        <w:t xml:space="preserve">(2, 516) = 5.29, </w:t>
      </w:r>
      <w:r w:rsidR="00E90C18" w:rsidRPr="00C74B30">
        <w:rPr>
          <w:i/>
        </w:rPr>
        <w:t xml:space="preserve">p </w:t>
      </w:r>
      <w:r w:rsidR="00E90C18" w:rsidRPr="00C74B30">
        <w:t xml:space="preserve">&lt; .05, respectivamente.  </w:t>
      </w:r>
    </w:p>
    <w:p w:rsidR="000E7BB8" w:rsidRPr="00C74B30" w:rsidRDefault="00AB0CE3" w:rsidP="000E7BB8">
      <w:pPr>
        <w:autoSpaceDE w:val="0"/>
        <w:autoSpaceDN w:val="0"/>
        <w:adjustRightInd w:val="0"/>
        <w:spacing w:line="480" w:lineRule="auto"/>
        <w:ind w:firstLine="708"/>
      </w:pPr>
      <w:r>
        <w:t xml:space="preserve">Se analizó </w:t>
      </w:r>
      <w:r w:rsidR="000E7BB8" w:rsidRPr="00C74B30">
        <w:t>el efecto de la interacción entre experie</w:t>
      </w:r>
      <w:r w:rsidR="00C57E3F" w:rsidRPr="00C74B30">
        <w:t xml:space="preserve">ncia y edad </w:t>
      </w:r>
      <w:r w:rsidR="001D2E3E">
        <w:t xml:space="preserve">mediante </w:t>
      </w:r>
      <w:r w:rsidR="000E7BB8" w:rsidRPr="00C74B30">
        <w:t>análisis de varianza simples de medidas repetidas</w:t>
      </w:r>
      <w:r>
        <w:t xml:space="preserve">, comparando </w:t>
      </w:r>
      <w:r w:rsidR="00C57E3F" w:rsidRPr="00C74B30">
        <w:t xml:space="preserve">las </w:t>
      </w:r>
      <w:r w:rsidR="000E7BB8" w:rsidRPr="00C74B30">
        <w:t xml:space="preserve">medias de </w:t>
      </w:r>
      <w:r w:rsidR="00C57E3F" w:rsidRPr="00C74B30">
        <w:t xml:space="preserve">reajuste </w:t>
      </w:r>
      <w:r>
        <w:t xml:space="preserve">de </w:t>
      </w:r>
      <w:r w:rsidR="001D2E3E">
        <w:t>c</w:t>
      </w:r>
      <w:r w:rsidR="00384FFC" w:rsidRPr="00C74B30">
        <w:t xml:space="preserve">ada </w:t>
      </w:r>
      <w:r w:rsidR="001D2E3E">
        <w:t>uno de los cuatro grupos</w:t>
      </w:r>
      <w:r w:rsidR="00384FFC" w:rsidRPr="00C74B30">
        <w:t xml:space="preserve"> de edad </w:t>
      </w:r>
      <w:r w:rsidR="00020B11" w:rsidRPr="00C74B30">
        <w:t xml:space="preserve">por separado para quienes </w:t>
      </w:r>
      <w:proofErr w:type="gramStart"/>
      <w:r w:rsidR="00020B11" w:rsidRPr="00C74B30">
        <w:t>habían</w:t>
      </w:r>
      <w:proofErr w:type="gramEnd"/>
      <w:r w:rsidR="00020B11" w:rsidRPr="00C74B30">
        <w:t xml:space="preserve"> y no habían </w:t>
      </w:r>
      <w:r w:rsidR="00384FFC" w:rsidRPr="00C74B30">
        <w:t xml:space="preserve">experimentado </w:t>
      </w:r>
      <w:r w:rsidR="001D2E3E">
        <w:t>los eventos</w:t>
      </w:r>
      <w:r w:rsidR="000E7BB8" w:rsidRPr="00C74B30">
        <w:t xml:space="preserve">. </w:t>
      </w:r>
      <w:r w:rsidR="00C57E3F" w:rsidRPr="00C74B30">
        <w:t xml:space="preserve"> </w:t>
      </w:r>
      <w:r w:rsidR="00384FFC" w:rsidRPr="00C74B30">
        <w:t xml:space="preserve">Relativo </w:t>
      </w:r>
      <w:r w:rsidR="00C57E3F" w:rsidRPr="00C74B30">
        <w:t>a los eventos experimentados</w:t>
      </w:r>
      <w:r w:rsidR="00384FFC" w:rsidRPr="00C74B30">
        <w:t>,</w:t>
      </w:r>
      <w:r w:rsidR="00C57E3F" w:rsidRPr="00C74B30">
        <w:t xml:space="preserve"> no hubo diferencias confiables </w:t>
      </w:r>
      <w:r w:rsidR="00020B11" w:rsidRPr="00C74B30">
        <w:t xml:space="preserve">en función de la edad </w:t>
      </w:r>
      <w:proofErr w:type="gramStart"/>
      <w:r w:rsidR="00C57E3F" w:rsidRPr="00C74B30">
        <w:rPr>
          <w:i/>
        </w:rPr>
        <w:t>F</w:t>
      </w:r>
      <w:r w:rsidR="00C57E3F" w:rsidRPr="00C74B30">
        <w:t>(</w:t>
      </w:r>
      <w:proofErr w:type="gramEnd"/>
      <w:r w:rsidR="00C57E3F" w:rsidRPr="00C74B30">
        <w:t xml:space="preserve">3, 619) = 1.56, </w:t>
      </w:r>
      <w:r w:rsidR="00C57E3F" w:rsidRPr="00C74B30">
        <w:rPr>
          <w:i/>
        </w:rPr>
        <w:t xml:space="preserve">p </w:t>
      </w:r>
      <w:r w:rsidR="00C57E3F" w:rsidRPr="00C74B30">
        <w:t>&gt; .05 (</w:t>
      </w:r>
      <w:r w:rsidR="000E7BB8" w:rsidRPr="00C74B30">
        <w:rPr>
          <w:i/>
        </w:rPr>
        <w:t>M</w:t>
      </w:r>
      <w:r w:rsidR="000E7BB8" w:rsidRPr="00C74B30">
        <w:t xml:space="preserve"> =</w:t>
      </w:r>
      <w:r w:rsidR="00C57E3F" w:rsidRPr="00C74B30">
        <w:t xml:space="preserve"> 5.57, 5.77, 6.00 y 5.79, respectivamente para los participantes de 20-29, 30-39, 40-49 y de 50 años o más).  </w:t>
      </w:r>
      <w:r w:rsidR="001D2E3E">
        <w:t xml:space="preserve">Respecto a los eventos no experimentados, </w:t>
      </w:r>
      <w:r w:rsidR="00C57E3F" w:rsidRPr="00C74B30">
        <w:t xml:space="preserve">las medias difirieron confiablemente </w:t>
      </w:r>
      <w:proofErr w:type="gramStart"/>
      <w:r w:rsidR="00C57E3F" w:rsidRPr="00C74B30">
        <w:rPr>
          <w:i/>
        </w:rPr>
        <w:t>F</w:t>
      </w:r>
      <w:r w:rsidR="00020B11" w:rsidRPr="00C74B30">
        <w:t>(</w:t>
      </w:r>
      <w:proofErr w:type="gramEnd"/>
      <w:r w:rsidR="00020B11" w:rsidRPr="00C74B30">
        <w:t>3, 561) = 5</w:t>
      </w:r>
      <w:r w:rsidR="00C57E3F" w:rsidRPr="00C74B30">
        <w:t xml:space="preserve">.83, </w:t>
      </w:r>
      <w:r w:rsidR="00C57E3F" w:rsidRPr="00C74B30">
        <w:rPr>
          <w:i/>
        </w:rPr>
        <w:t xml:space="preserve">p </w:t>
      </w:r>
      <w:r w:rsidR="00C57E3F" w:rsidRPr="00C74B30">
        <w:t xml:space="preserve">&lt; .01.  </w:t>
      </w:r>
      <w:r w:rsidR="00180180" w:rsidRPr="00C74B30">
        <w:t xml:space="preserve">Pruebas post hoc de </w:t>
      </w:r>
      <w:proofErr w:type="spellStart"/>
      <w:r w:rsidR="00180180" w:rsidRPr="00C74B30">
        <w:t>Tukey</w:t>
      </w:r>
      <w:proofErr w:type="spellEnd"/>
      <w:r w:rsidR="00180180" w:rsidRPr="00C74B30">
        <w:t xml:space="preserve"> mostraron que l</w:t>
      </w:r>
      <w:r w:rsidR="00C57E3F" w:rsidRPr="00C74B30">
        <w:t>os participantes de entre 20 y 29 años asignaron puntajes más altos (</w:t>
      </w:r>
      <w:r w:rsidR="000E7BB8" w:rsidRPr="00C74B30">
        <w:rPr>
          <w:i/>
        </w:rPr>
        <w:t>M</w:t>
      </w:r>
      <w:r w:rsidR="00C57E3F" w:rsidRPr="00C74B30">
        <w:t xml:space="preserve"> = 5.92) que los de entre 40 y 49 años</w:t>
      </w:r>
      <w:r w:rsidR="00EA426F" w:rsidRPr="00C74B30">
        <w:t xml:space="preserve"> y que los mayores de 50 años</w:t>
      </w:r>
      <w:r w:rsidR="00C57E3F" w:rsidRPr="00C74B30">
        <w:t xml:space="preserve"> </w:t>
      </w:r>
      <w:r w:rsidR="000E7BB8" w:rsidRPr="00C74B30">
        <w:t>(</w:t>
      </w:r>
      <w:r w:rsidR="000E7BB8" w:rsidRPr="00C74B30">
        <w:rPr>
          <w:i/>
        </w:rPr>
        <w:t>M</w:t>
      </w:r>
      <w:r w:rsidR="00C57E3F" w:rsidRPr="00C74B30">
        <w:t xml:space="preserve"> = 5.29</w:t>
      </w:r>
      <w:r w:rsidR="00EA426F" w:rsidRPr="00C74B30">
        <w:t xml:space="preserve"> y 5.35, respectivamente</w:t>
      </w:r>
      <w:r w:rsidR="00C57E3F" w:rsidRPr="00C74B30">
        <w:t xml:space="preserve">).  Los participantes </w:t>
      </w:r>
      <w:r w:rsidR="00180180" w:rsidRPr="00C74B30">
        <w:t xml:space="preserve">de entre 30 y 39 años </w:t>
      </w:r>
      <w:r w:rsidR="00C57E3F" w:rsidRPr="00C74B30">
        <w:t xml:space="preserve">no difirieron de los demás grupos </w:t>
      </w:r>
      <w:r w:rsidR="000E7BB8" w:rsidRPr="00C74B30">
        <w:t>(</w:t>
      </w:r>
      <w:r w:rsidR="000E7BB8" w:rsidRPr="00C74B30">
        <w:rPr>
          <w:i/>
        </w:rPr>
        <w:t>M</w:t>
      </w:r>
      <w:r w:rsidR="000E7BB8" w:rsidRPr="00C74B30">
        <w:t xml:space="preserve"> = 5.75</w:t>
      </w:r>
      <w:r w:rsidR="00C57E3F" w:rsidRPr="00C74B30">
        <w:t xml:space="preserve">).  </w:t>
      </w:r>
    </w:p>
    <w:p w:rsidR="003B69B9" w:rsidRPr="00C74B30" w:rsidRDefault="001D2E3E" w:rsidP="000E7BB8">
      <w:pPr>
        <w:spacing w:line="480" w:lineRule="auto"/>
        <w:ind w:firstLine="708"/>
      </w:pPr>
      <w:r>
        <w:lastRenderedPageBreak/>
        <w:t xml:space="preserve">La </w:t>
      </w:r>
      <w:r w:rsidR="000E7BB8" w:rsidRPr="00C74B30">
        <w:t>interacción entre experiencia y</w:t>
      </w:r>
      <w:r w:rsidR="00180180" w:rsidRPr="00C74B30">
        <w:t xml:space="preserve"> clase social </w:t>
      </w:r>
      <w:r>
        <w:t xml:space="preserve">se analizó mediante </w:t>
      </w:r>
      <w:r w:rsidR="000E7BB8" w:rsidRPr="00C74B30">
        <w:t>análisis de varianza simples de medidas repetidas</w:t>
      </w:r>
      <w:r w:rsidR="00AB0CE3">
        <w:t>,</w:t>
      </w:r>
      <w:r>
        <w:t xml:space="preserve"> comparando </w:t>
      </w:r>
      <w:r w:rsidR="00020B11" w:rsidRPr="00C74B30">
        <w:t xml:space="preserve">las medias de reajuste </w:t>
      </w:r>
      <w:r>
        <w:t xml:space="preserve">de cada una de las tres clases sociales </w:t>
      </w:r>
      <w:r w:rsidR="00020B11" w:rsidRPr="00C74B30">
        <w:t xml:space="preserve">por separado </w:t>
      </w:r>
      <w:r w:rsidR="003B3183">
        <w:t>en función de la experiencia</w:t>
      </w:r>
      <w:r w:rsidR="00020B11" w:rsidRPr="00C74B30">
        <w:t xml:space="preserve">.  </w:t>
      </w:r>
      <w:r w:rsidR="00180180" w:rsidRPr="00C74B30">
        <w:t>Relativo a los eventos experimentados, s</w:t>
      </w:r>
      <w:r w:rsidR="000E7BB8" w:rsidRPr="00C74B30">
        <w:t xml:space="preserve">e encontró que </w:t>
      </w:r>
      <w:r w:rsidR="002E73D9" w:rsidRPr="00C74B30">
        <w:t xml:space="preserve">las medias de reajuste variaron significativamente </w:t>
      </w:r>
      <w:proofErr w:type="gramStart"/>
      <w:r w:rsidR="002E73D9" w:rsidRPr="00C74B30">
        <w:rPr>
          <w:i/>
        </w:rPr>
        <w:t>F</w:t>
      </w:r>
      <w:r w:rsidR="002E73D9" w:rsidRPr="00C74B30">
        <w:t>(</w:t>
      </w:r>
      <w:proofErr w:type="gramEnd"/>
      <w:r w:rsidR="002E73D9" w:rsidRPr="00C74B30">
        <w:t xml:space="preserve">2, 602) = 4.78, </w:t>
      </w:r>
      <w:r w:rsidR="002E73D9" w:rsidRPr="00C74B30">
        <w:rPr>
          <w:i/>
        </w:rPr>
        <w:t xml:space="preserve">p </w:t>
      </w:r>
      <w:r w:rsidR="002E73D9" w:rsidRPr="00C74B30">
        <w:t xml:space="preserve">&lt; .01.  Pruebas post hoc de </w:t>
      </w:r>
      <w:proofErr w:type="spellStart"/>
      <w:r w:rsidR="002E73D9" w:rsidRPr="00C74B30">
        <w:t>Tukey</w:t>
      </w:r>
      <w:proofErr w:type="spellEnd"/>
      <w:r w:rsidR="002E73D9" w:rsidRPr="00C74B30">
        <w:t xml:space="preserve"> mostraron que </w:t>
      </w:r>
      <w:r w:rsidR="000E7BB8" w:rsidRPr="00C74B30">
        <w:t xml:space="preserve">los </w:t>
      </w:r>
      <w:r w:rsidR="00D747A6" w:rsidRPr="00C74B30">
        <w:t xml:space="preserve">participantes de </w:t>
      </w:r>
      <w:r w:rsidR="000E7BB8" w:rsidRPr="00C74B30">
        <w:t xml:space="preserve">clase baja </w:t>
      </w:r>
      <w:r w:rsidR="00180180" w:rsidRPr="00C74B30">
        <w:t>juzgaron los eventos</w:t>
      </w:r>
      <w:r w:rsidR="002E73D9" w:rsidRPr="00C74B30">
        <w:t xml:space="preserve"> que habían experimentado</w:t>
      </w:r>
      <w:r w:rsidR="00180180" w:rsidRPr="00C74B30">
        <w:t xml:space="preserve"> como más severos (</w:t>
      </w:r>
      <w:r w:rsidR="00180180" w:rsidRPr="00C74B30">
        <w:rPr>
          <w:i/>
        </w:rPr>
        <w:t>M</w:t>
      </w:r>
      <w:r w:rsidR="00180180" w:rsidRPr="00C74B30">
        <w:t xml:space="preserve"> = 6.03) que los de clase alta (</w:t>
      </w:r>
      <w:r w:rsidR="00180180" w:rsidRPr="00C74B30">
        <w:rPr>
          <w:i/>
        </w:rPr>
        <w:t>M</w:t>
      </w:r>
      <w:r w:rsidR="002E73D9" w:rsidRPr="00C74B30">
        <w:t xml:space="preserve"> = 5.18</w:t>
      </w:r>
      <w:r w:rsidR="00180180" w:rsidRPr="00C74B30">
        <w:t>).  Los participantes de clase media no difirieron de los otros dos grupos (</w:t>
      </w:r>
      <w:r w:rsidR="00180180" w:rsidRPr="00C74B30">
        <w:rPr>
          <w:i/>
        </w:rPr>
        <w:t>M</w:t>
      </w:r>
      <w:r w:rsidR="00180180" w:rsidRPr="00C74B30">
        <w:t xml:space="preserve"> = 5.</w:t>
      </w:r>
      <w:r w:rsidR="002E73D9" w:rsidRPr="00C74B30">
        <w:t>6</w:t>
      </w:r>
      <w:r w:rsidR="00180180" w:rsidRPr="00C74B30">
        <w:t>8).</w:t>
      </w:r>
      <w:r w:rsidR="002E73D9" w:rsidRPr="00C74B30">
        <w:t xml:space="preserve">  Respecto a los eventos no experimentados, no hubo diferencias en función de la clase social </w:t>
      </w:r>
      <w:proofErr w:type="gramStart"/>
      <w:r w:rsidR="002E73D9" w:rsidRPr="00C74B30">
        <w:rPr>
          <w:i/>
        </w:rPr>
        <w:t>F</w:t>
      </w:r>
      <w:r w:rsidR="002E73D9" w:rsidRPr="00C74B30">
        <w:t>(</w:t>
      </w:r>
      <w:proofErr w:type="gramEnd"/>
      <w:r w:rsidR="002E73D9" w:rsidRPr="00C74B30">
        <w:t xml:space="preserve">2, 550) = 1.83, </w:t>
      </w:r>
      <w:r w:rsidR="002E73D9" w:rsidRPr="00C74B30">
        <w:rPr>
          <w:i/>
        </w:rPr>
        <w:t xml:space="preserve">p </w:t>
      </w:r>
      <w:r w:rsidR="002E73D9" w:rsidRPr="00C74B30">
        <w:t>&gt; .05 (</w:t>
      </w:r>
      <w:r w:rsidR="002E73D9" w:rsidRPr="00C74B30">
        <w:rPr>
          <w:i/>
        </w:rPr>
        <w:t>M</w:t>
      </w:r>
      <w:r w:rsidR="002E73D9" w:rsidRPr="00C74B30">
        <w:t xml:space="preserve"> = 5.47, 5.71 y 5.22, respectivamente para </w:t>
      </w:r>
      <w:r w:rsidR="003B3183">
        <w:t xml:space="preserve">aquellos </w:t>
      </w:r>
      <w:r w:rsidR="002E73D9" w:rsidRPr="00C74B30">
        <w:t>de clase baja, media y alta).</w:t>
      </w:r>
    </w:p>
    <w:p w:rsidR="003347F7" w:rsidRPr="00C74B30" w:rsidRDefault="003347F7" w:rsidP="003347F7">
      <w:pPr>
        <w:spacing w:line="480" w:lineRule="auto"/>
        <w:jc w:val="center"/>
        <w:rPr>
          <w:b/>
        </w:rPr>
      </w:pPr>
      <w:r w:rsidRPr="00C74B30">
        <w:rPr>
          <w:b/>
        </w:rPr>
        <w:t>Discusión</w:t>
      </w:r>
    </w:p>
    <w:p w:rsidR="009739D8" w:rsidRPr="00C74B30" w:rsidRDefault="00483C2C" w:rsidP="009739D8">
      <w:pPr>
        <w:autoSpaceDE w:val="0"/>
        <w:autoSpaceDN w:val="0"/>
        <w:adjustRightInd w:val="0"/>
        <w:spacing w:line="480" w:lineRule="auto"/>
        <w:ind w:firstLine="708"/>
      </w:pPr>
      <w:r w:rsidRPr="00C74B30">
        <w:t>El primer</w:t>
      </w:r>
      <w:r w:rsidR="003347F7" w:rsidRPr="00C74B30">
        <w:t xml:space="preserve"> propósito del trabajo fue averiguar la relación entre haber experimentado los eventos vitales incluidos en la SRRS con los juicios de adultos sobre su severidad.  </w:t>
      </w:r>
      <w:r w:rsidR="008F69F8" w:rsidRPr="00C74B30">
        <w:t>L</w:t>
      </w:r>
      <w:r w:rsidR="00886CD2" w:rsidRPr="00C74B30">
        <w:t xml:space="preserve">os resultados mostraron </w:t>
      </w:r>
      <w:r w:rsidR="008F69F8" w:rsidRPr="00C74B30">
        <w:t xml:space="preserve">un alto grado de acuerdo entre los participantes </w:t>
      </w:r>
      <w:r w:rsidRPr="00C74B30">
        <w:t>d</w:t>
      </w:r>
      <w:r w:rsidR="008F69F8" w:rsidRPr="00C74B30">
        <w:t xml:space="preserve">el presente estudio y los del estudio de Acuña et al. (2012) respecto al orden de gravedad de los eventos </w:t>
      </w:r>
      <w:r w:rsidR="00886CD2" w:rsidRPr="00C74B30">
        <w:t>(</w:t>
      </w:r>
      <w:proofErr w:type="spellStart"/>
      <w:r w:rsidR="00886CD2" w:rsidRPr="00C74B30">
        <w:t>i.e.</w:t>
      </w:r>
      <w:proofErr w:type="spellEnd"/>
      <w:r w:rsidR="00886CD2" w:rsidRPr="00C74B30">
        <w:t xml:space="preserve">, </w:t>
      </w:r>
      <w:r w:rsidR="00886CD2" w:rsidRPr="00C74B30">
        <w:rPr>
          <w:i/>
        </w:rPr>
        <w:t xml:space="preserve">rho </w:t>
      </w:r>
      <w:r w:rsidR="00886CD2" w:rsidRPr="00C74B30">
        <w:t xml:space="preserve">= .71). </w:t>
      </w:r>
      <w:r w:rsidR="008F69F8" w:rsidRPr="00C74B30">
        <w:t xml:space="preserve"> </w:t>
      </w:r>
      <w:r w:rsidR="00886CD2" w:rsidRPr="00C74B30">
        <w:t xml:space="preserve">Este hallazgo es similar al </w:t>
      </w:r>
      <w:r w:rsidR="008F69F8" w:rsidRPr="00C74B30">
        <w:t>de in</w:t>
      </w:r>
      <w:r w:rsidR="00886CD2" w:rsidRPr="00C74B30">
        <w:t>vestigaciones anteriores</w:t>
      </w:r>
      <w:r w:rsidR="008F69F8" w:rsidRPr="00C74B30">
        <w:t xml:space="preserve"> en las que se reportaron altas correlaciones entre el orden de severidad de los eventos vitales asignado por </w:t>
      </w:r>
      <w:r w:rsidRPr="00C74B30">
        <w:t xml:space="preserve">jueces estadounidenses </w:t>
      </w:r>
      <w:r w:rsidR="00886CD2" w:rsidRPr="00C74B30">
        <w:t>(</w:t>
      </w:r>
      <w:proofErr w:type="spellStart"/>
      <w:r w:rsidR="00886CD2" w:rsidRPr="00C74B30">
        <w:t>e.g.</w:t>
      </w:r>
      <w:proofErr w:type="spellEnd"/>
      <w:r w:rsidR="00886CD2" w:rsidRPr="00C74B30">
        <w:t xml:space="preserve">, </w:t>
      </w:r>
      <w:proofErr w:type="spellStart"/>
      <w:r w:rsidR="00886CD2" w:rsidRPr="00C74B30">
        <w:t>Hurst</w:t>
      </w:r>
      <w:proofErr w:type="spellEnd"/>
      <w:r w:rsidR="00886CD2" w:rsidRPr="00C74B30">
        <w:t xml:space="preserve"> et al., 1978; </w:t>
      </w:r>
      <w:proofErr w:type="spellStart"/>
      <w:r w:rsidR="00886CD2" w:rsidRPr="00C74B30">
        <w:t>Paykel</w:t>
      </w:r>
      <w:proofErr w:type="spellEnd"/>
      <w:r w:rsidR="00886CD2" w:rsidRPr="00C74B30">
        <w:t xml:space="preserve"> et al., 1971; </w:t>
      </w:r>
      <w:proofErr w:type="spellStart"/>
      <w:r w:rsidR="00886CD2" w:rsidRPr="00C74B30">
        <w:t>Schless</w:t>
      </w:r>
      <w:proofErr w:type="spellEnd"/>
      <w:r w:rsidR="00886CD2" w:rsidRPr="00C74B30">
        <w:t xml:space="preserve"> et al., 1974). </w:t>
      </w:r>
      <w:r w:rsidR="008F69F8" w:rsidRPr="00C74B30">
        <w:t xml:space="preserve"> </w:t>
      </w:r>
      <w:r w:rsidR="00384FFC" w:rsidRPr="00C74B30">
        <w:t>La magnitud de las correlaciones condujo</w:t>
      </w:r>
      <w:r w:rsidR="00A737E7" w:rsidRPr="00C74B30">
        <w:t xml:space="preserve"> </w:t>
      </w:r>
      <w:r w:rsidR="00886CD2" w:rsidRPr="00C74B30">
        <w:t xml:space="preserve">a los investigadores a concluir que la experiencia con los eventos vitales no afectó cómo se juzgó su grado de severidad. </w:t>
      </w:r>
      <w:r w:rsidR="008F69F8" w:rsidRPr="00C74B30">
        <w:t xml:space="preserve"> No obstante, en ningún estudio previo </w:t>
      </w:r>
      <w:r w:rsidR="00886CD2" w:rsidRPr="00C74B30">
        <w:t>se correlacionó el orden de severidad de los sucesos en función de si los participantes los habían experimentado.</w:t>
      </w:r>
      <w:r w:rsidR="008F69F8" w:rsidRPr="00C74B30">
        <w:t xml:space="preserve">  </w:t>
      </w:r>
      <w:r w:rsidR="00384FFC" w:rsidRPr="00C74B30">
        <w:t>E</w:t>
      </w:r>
      <w:r w:rsidR="002E73D9" w:rsidRPr="00C74B30">
        <w:t>n el presente estudio</w:t>
      </w:r>
      <w:r w:rsidR="00384FFC" w:rsidRPr="00C74B30">
        <w:t xml:space="preserve"> </w:t>
      </w:r>
      <w:r w:rsidR="009739D8" w:rsidRPr="00C74B30">
        <w:t xml:space="preserve">se encontró que </w:t>
      </w:r>
      <w:r w:rsidR="008F69F8" w:rsidRPr="00C74B30">
        <w:t xml:space="preserve">el coeficiente de correlación por rangos fue relativamente bajo </w:t>
      </w:r>
      <w:r w:rsidR="00384FFC" w:rsidRPr="00C74B30">
        <w:t xml:space="preserve">cuando sólo se consideró a quienes habían experimentado los eventos </w:t>
      </w:r>
      <w:r w:rsidR="008F69F8" w:rsidRPr="00C74B30">
        <w:t>(</w:t>
      </w:r>
      <w:r w:rsidR="008F69F8" w:rsidRPr="00C74B30">
        <w:rPr>
          <w:i/>
        </w:rPr>
        <w:t>rho</w:t>
      </w:r>
      <w:r w:rsidR="008F69F8" w:rsidRPr="00C74B30">
        <w:t xml:space="preserve"> = .60).</w:t>
      </w:r>
      <w:r w:rsidR="009739D8" w:rsidRPr="00C74B30">
        <w:t xml:space="preserve">  Dada </w:t>
      </w:r>
      <w:r w:rsidR="00C91796" w:rsidRPr="00C74B30">
        <w:t xml:space="preserve">la magnitud de </w:t>
      </w:r>
      <w:r w:rsidR="009739D8" w:rsidRPr="00C74B30">
        <w:t>esta correlación, no fue sorprendente que quienes</w:t>
      </w:r>
      <w:r w:rsidR="009739D8" w:rsidRPr="00C74B30">
        <w:rPr>
          <w:lang w:val="es-MX"/>
        </w:rPr>
        <w:t xml:space="preserve"> habían experimentado los eventos sólo hayan acordaron con los del estudio de Acuña et al. (2012) en el orden de severidad de dos sucesos (</w:t>
      </w:r>
      <w:proofErr w:type="spellStart"/>
      <w:r w:rsidR="009739D8" w:rsidRPr="00C74B30">
        <w:rPr>
          <w:lang w:val="es-MX"/>
        </w:rPr>
        <w:t>i.e.</w:t>
      </w:r>
      <w:proofErr w:type="spellEnd"/>
      <w:r w:rsidR="009739D8" w:rsidRPr="00C74B30">
        <w:rPr>
          <w:lang w:val="es-MX"/>
        </w:rPr>
        <w:t>, muerte del cónyuge y muerte de un familiar cercano).  Si bien es común que en los diferentes estudios se encuentren inversion</w:t>
      </w:r>
      <w:r w:rsidR="00AB0CE3">
        <w:rPr>
          <w:lang w:val="es-MX"/>
        </w:rPr>
        <w:t>es en el orden de severidad</w:t>
      </w:r>
      <w:r w:rsidR="009739D8" w:rsidRPr="00C74B30">
        <w:rPr>
          <w:lang w:val="es-MX"/>
        </w:rPr>
        <w:t xml:space="preserve">, éstas no han sido dramáticas puesto </w:t>
      </w:r>
      <w:r w:rsidR="009739D8" w:rsidRPr="00C74B30">
        <w:rPr>
          <w:lang w:val="es-MX"/>
        </w:rPr>
        <w:lastRenderedPageBreak/>
        <w:t>que se han limitado a cambios de uno o dos rangos (</w:t>
      </w:r>
      <w:proofErr w:type="spellStart"/>
      <w:r w:rsidR="009739D8" w:rsidRPr="00C74B30">
        <w:rPr>
          <w:lang w:val="es-MX"/>
        </w:rPr>
        <w:t>e.g.</w:t>
      </w:r>
      <w:proofErr w:type="spellEnd"/>
      <w:r w:rsidR="009739D8" w:rsidRPr="00C74B30">
        <w:rPr>
          <w:lang w:val="es-MX"/>
        </w:rPr>
        <w:t xml:space="preserve">, Acuña et al., 2012; </w:t>
      </w:r>
      <w:proofErr w:type="spellStart"/>
      <w:r w:rsidR="009739D8" w:rsidRPr="00C74B30">
        <w:rPr>
          <w:lang w:val="es-MX"/>
        </w:rPr>
        <w:t>Scully</w:t>
      </w:r>
      <w:proofErr w:type="spellEnd"/>
      <w:r w:rsidR="009739D8" w:rsidRPr="00C74B30">
        <w:rPr>
          <w:lang w:val="es-MX"/>
        </w:rPr>
        <w:t xml:space="preserve"> et al., 2000).  Esto último fue lo que se encontró cuando se consideró a los participantes que no habían experimentado los eventos vitales.  Diferente a dicho hallazgo, los cambios en el orden de severidad de los eventos cuando se consideró a los participantes que los habían experimentado fueron considerables</w:t>
      </w:r>
      <w:r w:rsidR="00C91796" w:rsidRPr="00C74B30">
        <w:rPr>
          <w:lang w:val="es-MX"/>
        </w:rPr>
        <w:t xml:space="preserve"> (</w:t>
      </w:r>
      <w:proofErr w:type="spellStart"/>
      <w:r w:rsidR="00C91796" w:rsidRPr="00C74B30">
        <w:rPr>
          <w:lang w:val="es-MX"/>
        </w:rPr>
        <w:t>i.e.</w:t>
      </w:r>
      <w:proofErr w:type="spellEnd"/>
      <w:r w:rsidR="00C91796" w:rsidRPr="00C74B30">
        <w:rPr>
          <w:lang w:val="es-MX"/>
        </w:rPr>
        <w:t>, de más de cinco rangos)</w:t>
      </w:r>
      <w:r w:rsidR="009739D8" w:rsidRPr="00C74B30">
        <w:rPr>
          <w:lang w:val="es-MX"/>
        </w:rPr>
        <w:t>.  Es importante hacer notar que un mismo participante juzgó la severidad de los eventos</w:t>
      </w:r>
      <w:r w:rsidR="00AB0CE3">
        <w:rPr>
          <w:lang w:val="es-MX"/>
        </w:rPr>
        <w:t xml:space="preserve"> que </w:t>
      </w:r>
      <w:r w:rsidR="009739D8" w:rsidRPr="00C74B30">
        <w:rPr>
          <w:lang w:val="es-MX"/>
        </w:rPr>
        <w:t xml:space="preserve">había y </w:t>
      </w:r>
      <w:r w:rsidR="00AB0CE3">
        <w:rPr>
          <w:lang w:val="es-MX"/>
        </w:rPr>
        <w:t xml:space="preserve">que </w:t>
      </w:r>
      <w:r w:rsidR="009739D8" w:rsidRPr="00C74B30">
        <w:rPr>
          <w:lang w:val="es-MX"/>
        </w:rPr>
        <w:t xml:space="preserve">no había experimentado.  Así, </w:t>
      </w:r>
      <w:r w:rsidR="00AB0CE3">
        <w:rPr>
          <w:lang w:val="es-MX"/>
        </w:rPr>
        <w:t>su</w:t>
      </w:r>
      <w:r w:rsidR="009739D8" w:rsidRPr="00C74B30">
        <w:rPr>
          <w:lang w:val="es-MX"/>
        </w:rPr>
        <w:t xml:space="preserve"> experiencia con los eventos fue lo único que varió cuando los juzgó.  </w:t>
      </w:r>
      <w:r w:rsidR="00C91796" w:rsidRPr="00C74B30">
        <w:rPr>
          <w:lang w:val="es-MX"/>
        </w:rPr>
        <w:t xml:space="preserve">En consecuencia, la experiencia </w:t>
      </w:r>
      <w:r w:rsidR="008F69F8" w:rsidRPr="00C74B30">
        <w:t xml:space="preserve">con los sucesos afectó su orden de gravedad, </w:t>
      </w:r>
      <w:r w:rsidR="00886CD2" w:rsidRPr="00C74B30">
        <w:t>lo cual no se había documentado antes.</w:t>
      </w:r>
      <w:r w:rsidR="009739D8" w:rsidRPr="00C74B30">
        <w:t xml:space="preserve">  </w:t>
      </w:r>
    </w:p>
    <w:p w:rsidR="00F75B7F" w:rsidRPr="00C74B30" w:rsidRDefault="003347F7" w:rsidP="00EC627A">
      <w:pPr>
        <w:spacing w:line="480" w:lineRule="auto"/>
        <w:ind w:firstLine="709"/>
      </w:pPr>
      <w:r w:rsidRPr="00C74B30">
        <w:t xml:space="preserve">Los resultados </w:t>
      </w:r>
      <w:r w:rsidR="00886CD2" w:rsidRPr="00C74B30">
        <w:t xml:space="preserve">también </w:t>
      </w:r>
      <w:r w:rsidRPr="00C74B30">
        <w:t xml:space="preserve">mostraron que </w:t>
      </w:r>
      <w:r w:rsidR="00F75B7F" w:rsidRPr="00C74B30">
        <w:t xml:space="preserve">los participantes </w:t>
      </w:r>
      <w:r w:rsidR="00C91796" w:rsidRPr="00C74B30">
        <w:t>consideraron q</w:t>
      </w:r>
      <w:r w:rsidR="00F75B7F" w:rsidRPr="00C74B30">
        <w:t xml:space="preserve">ue </w:t>
      </w:r>
      <w:r w:rsidRPr="00C74B30">
        <w:t>el impacto real de los eventos v</w:t>
      </w:r>
      <w:r w:rsidR="00F75B7F" w:rsidRPr="00C74B30">
        <w:t>itales fue</w:t>
      </w:r>
      <w:r w:rsidRPr="00C74B30">
        <w:t xml:space="preserve"> mayor del imaginado.</w:t>
      </w:r>
      <w:r w:rsidR="006913B6" w:rsidRPr="00C74B30">
        <w:t xml:space="preserve">  </w:t>
      </w:r>
      <w:r w:rsidR="00F75B7F" w:rsidRPr="00C74B30">
        <w:t xml:space="preserve">Este hallazgo es congruente </w:t>
      </w:r>
      <w:r w:rsidR="00605430">
        <w:t xml:space="preserve">con </w:t>
      </w:r>
      <w:r w:rsidR="00AB0CE3">
        <w:t xml:space="preserve">los de </w:t>
      </w:r>
      <w:r w:rsidR="00C91796" w:rsidRPr="00C74B30">
        <w:t xml:space="preserve">algunos </w:t>
      </w:r>
      <w:r w:rsidR="00F75B7F" w:rsidRPr="00C74B30">
        <w:t>estudios anteriores (</w:t>
      </w:r>
      <w:proofErr w:type="spellStart"/>
      <w:r w:rsidR="00F75B7F" w:rsidRPr="00C74B30">
        <w:t>e.g.</w:t>
      </w:r>
      <w:proofErr w:type="spellEnd"/>
      <w:r w:rsidR="00F75B7F" w:rsidRPr="00C74B30">
        <w:t xml:space="preserve">, </w:t>
      </w:r>
      <w:proofErr w:type="spellStart"/>
      <w:r w:rsidR="00F75B7F" w:rsidRPr="00C74B30">
        <w:t>Hurst</w:t>
      </w:r>
      <w:proofErr w:type="spellEnd"/>
      <w:r w:rsidR="00F75B7F" w:rsidRPr="00C74B30">
        <w:t xml:space="preserve"> et al., 1978; </w:t>
      </w:r>
      <w:proofErr w:type="spellStart"/>
      <w:r w:rsidR="00F75B7F" w:rsidRPr="00C74B30">
        <w:t>Horowitz</w:t>
      </w:r>
      <w:proofErr w:type="spellEnd"/>
      <w:r w:rsidR="00F75B7F" w:rsidRPr="00C74B30">
        <w:t xml:space="preserve"> et al., 1977; </w:t>
      </w:r>
      <w:proofErr w:type="spellStart"/>
      <w:r w:rsidR="00F75B7F" w:rsidRPr="00C74B30">
        <w:t>Lundberg</w:t>
      </w:r>
      <w:proofErr w:type="spellEnd"/>
      <w:r w:rsidR="00F75B7F" w:rsidRPr="00C74B30">
        <w:t xml:space="preserve"> et al., 1975; </w:t>
      </w:r>
      <w:proofErr w:type="spellStart"/>
      <w:r w:rsidR="00F75B7F" w:rsidRPr="00C74B30">
        <w:t>Masuda</w:t>
      </w:r>
      <w:proofErr w:type="spellEnd"/>
      <w:r w:rsidR="00F75B7F" w:rsidRPr="00C74B30">
        <w:t xml:space="preserve"> et al., 1975; </w:t>
      </w:r>
      <w:proofErr w:type="spellStart"/>
      <w:r w:rsidR="00F75B7F" w:rsidRPr="00C74B30">
        <w:t>Schless</w:t>
      </w:r>
      <w:proofErr w:type="spellEnd"/>
      <w:r w:rsidR="00F75B7F" w:rsidRPr="00C74B30">
        <w:t xml:space="preserve"> et al., 1974; </w:t>
      </w:r>
      <w:proofErr w:type="spellStart"/>
      <w:r w:rsidR="00F75B7F" w:rsidRPr="00C74B30">
        <w:t>Volicer</w:t>
      </w:r>
      <w:proofErr w:type="spellEnd"/>
      <w:r w:rsidR="00F75B7F" w:rsidRPr="00C74B30">
        <w:t xml:space="preserve">, 1973).  </w:t>
      </w:r>
      <w:r w:rsidR="00F87C72" w:rsidRPr="00C74B30">
        <w:t xml:space="preserve">En dichos estudios, no obstante, </w:t>
      </w:r>
      <w:r w:rsidR="00F75B7F" w:rsidRPr="00C74B30">
        <w:t>los participantes fueron personas con características peculiares (</w:t>
      </w:r>
      <w:proofErr w:type="spellStart"/>
      <w:r w:rsidR="00F75B7F" w:rsidRPr="00C74B30">
        <w:t>e.g.</w:t>
      </w:r>
      <w:proofErr w:type="spellEnd"/>
      <w:r w:rsidR="00F75B7F" w:rsidRPr="00C74B30">
        <w:t xml:space="preserve">, </w:t>
      </w:r>
      <w:r w:rsidR="00AB0CE3">
        <w:t xml:space="preserve">enfermos física o mentalmente, </w:t>
      </w:r>
      <w:r w:rsidR="00F75B7F" w:rsidRPr="00C74B30">
        <w:t xml:space="preserve">con </w:t>
      </w:r>
      <w:r w:rsidR="00AB0CE3">
        <w:t xml:space="preserve">una </w:t>
      </w:r>
      <w:r w:rsidR="00F75B7F" w:rsidRPr="00C74B30">
        <w:t xml:space="preserve">profesión altamente estresante o estudiantes universitarios), lo cual cuestionó la generalidad de sus resultados.  A diferencia de los estudios anteriores, en el presente se incluyó una muestra </w:t>
      </w:r>
      <w:r w:rsidR="00EC627A" w:rsidRPr="00C74B30">
        <w:t xml:space="preserve">relativamente </w:t>
      </w:r>
      <w:r w:rsidR="00F75B7F" w:rsidRPr="00C74B30">
        <w:t xml:space="preserve">grande de adultos aparentemente sanos.  Los resultados </w:t>
      </w:r>
      <w:r w:rsidR="004872AA" w:rsidRPr="00C74B30">
        <w:t xml:space="preserve">del presente estudio </w:t>
      </w:r>
      <w:r w:rsidR="00F75B7F" w:rsidRPr="00C74B30">
        <w:t xml:space="preserve">confirmaron que </w:t>
      </w:r>
      <w:r w:rsidR="004872AA" w:rsidRPr="00C74B30">
        <w:t xml:space="preserve">la experiencia con </w:t>
      </w:r>
      <w:r w:rsidR="001D37B6" w:rsidRPr="00C74B30">
        <w:t>los sucesos</w:t>
      </w:r>
      <w:r w:rsidR="004872AA" w:rsidRPr="00C74B30">
        <w:t xml:space="preserve"> se relaciona con la asignación de puntajes más altos que cuando no se han experimentado y</w:t>
      </w:r>
      <w:r w:rsidR="001D37B6" w:rsidRPr="00C74B30">
        <w:t xml:space="preserve"> </w:t>
      </w:r>
      <w:r w:rsidR="004872AA" w:rsidRPr="00C74B30">
        <w:t xml:space="preserve">proveyeron </w:t>
      </w:r>
      <w:r w:rsidR="00F75B7F" w:rsidRPr="00C74B30">
        <w:t xml:space="preserve">generalidad a los resultados de los estudios previos. </w:t>
      </w:r>
      <w:r w:rsidR="00886CD2" w:rsidRPr="00C74B30">
        <w:t xml:space="preserve"> </w:t>
      </w:r>
    </w:p>
    <w:p w:rsidR="006913B6" w:rsidRPr="00C74B30" w:rsidRDefault="001D37B6" w:rsidP="002E73D9">
      <w:pPr>
        <w:autoSpaceDE w:val="0"/>
        <w:autoSpaceDN w:val="0"/>
        <w:adjustRightInd w:val="0"/>
        <w:spacing w:line="480" w:lineRule="auto"/>
        <w:ind w:firstLine="708"/>
      </w:pPr>
      <w:r w:rsidRPr="00C74B30">
        <w:t>Únicamente en</w:t>
      </w:r>
      <w:r w:rsidR="006913B6" w:rsidRPr="00C74B30">
        <w:t xml:space="preserve"> </w:t>
      </w:r>
      <w:r w:rsidR="005658F1" w:rsidRPr="00C74B30">
        <w:t xml:space="preserve">el caso de ocho acontecimientos </w:t>
      </w:r>
      <w:r w:rsidRPr="00C74B30">
        <w:t xml:space="preserve">el impacto imaginado fue peor que el experimentado.  </w:t>
      </w:r>
      <w:r w:rsidR="006913B6" w:rsidRPr="00C74B30">
        <w:t>E</w:t>
      </w:r>
      <w:r w:rsidRPr="00C74B30">
        <w:t xml:space="preserve">ste resultado es congruente con el de </w:t>
      </w:r>
      <w:r w:rsidR="006913B6" w:rsidRPr="00C74B30">
        <w:t xml:space="preserve">algunos estudios anteriores </w:t>
      </w:r>
      <w:r w:rsidR="005658F1" w:rsidRPr="00C74B30">
        <w:t>(</w:t>
      </w:r>
      <w:proofErr w:type="spellStart"/>
      <w:r w:rsidR="005658F1" w:rsidRPr="00C74B30">
        <w:t>e.g.</w:t>
      </w:r>
      <w:proofErr w:type="spellEnd"/>
      <w:r w:rsidR="005658F1" w:rsidRPr="00C74B30">
        <w:t xml:space="preserve">, </w:t>
      </w:r>
      <w:r w:rsidR="00F87C72" w:rsidRPr="00C74B30">
        <w:t xml:space="preserve">Acuña et al., </w:t>
      </w:r>
      <w:r w:rsidR="005658F1" w:rsidRPr="00C74B30">
        <w:t xml:space="preserve">2010; </w:t>
      </w:r>
      <w:proofErr w:type="spellStart"/>
      <w:r w:rsidR="006913B6" w:rsidRPr="00C74B30">
        <w:t>Hurst</w:t>
      </w:r>
      <w:proofErr w:type="spellEnd"/>
      <w:r w:rsidR="006913B6" w:rsidRPr="00C74B30">
        <w:t xml:space="preserve"> et al.</w:t>
      </w:r>
      <w:r w:rsidR="005658F1" w:rsidRPr="00C74B30">
        <w:t xml:space="preserve">, </w:t>
      </w:r>
      <w:r w:rsidR="006913B6" w:rsidRPr="00C74B30">
        <w:t>1978).</w:t>
      </w:r>
      <w:r w:rsidR="002E73D9" w:rsidRPr="00C74B30">
        <w:t xml:space="preserve">  </w:t>
      </w:r>
      <w:r w:rsidR="00F87C72" w:rsidRPr="00C74B30">
        <w:t xml:space="preserve">No obstante, en esos </w:t>
      </w:r>
      <w:r w:rsidR="006913B6" w:rsidRPr="00C74B30">
        <w:t>estudio</w:t>
      </w:r>
      <w:r w:rsidR="00F87C72" w:rsidRPr="00C74B30">
        <w:t xml:space="preserve">s no </w:t>
      </w:r>
      <w:r w:rsidR="006913B6" w:rsidRPr="00C74B30">
        <w:t xml:space="preserve">se </w:t>
      </w:r>
      <w:r w:rsidR="00F87C72" w:rsidRPr="00C74B30">
        <w:t xml:space="preserve">investigó una posible razón por la </w:t>
      </w:r>
      <w:r w:rsidR="006913B6" w:rsidRPr="00C74B30">
        <w:t xml:space="preserve">que </w:t>
      </w:r>
      <w:r w:rsidR="00F87C72" w:rsidRPr="00C74B30">
        <w:t xml:space="preserve">ciertos </w:t>
      </w:r>
      <w:r w:rsidR="006913B6" w:rsidRPr="00C74B30">
        <w:t xml:space="preserve">eventos fueron </w:t>
      </w:r>
      <w:r w:rsidR="00F87C72" w:rsidRPr="00C74B30">
        <w:t xml:space="preserve">juzgados como </w:t>
      </w:r>
      <w:r w:rsidR="006913B6" w:rsidRPr="00C74B30">
        <w:t xml:space="preserve">más severos por quienes los experimentaron, mientras que otros fueron considerados más severos por quienes no los habían experimentado. </w:t>
      </w:r>
      <w:r w:rsidR="005658F1" w:rsidRPr="00C74B30">
        <w:t xml:space="preserve"> </w:t>
      </w:r>
      <w:r w:rsidR="00AB0CE3">
        <w:t>S</w:t>
      </w:r>
      <w:r w:rsidR="006913B6" w:rsidRPr="00C74B30">
        <w:t>e sospechó que el efecto de la experiencia podría estar relacionado con el grado de severidad de los sucesos</w:t>
      </w:r>
      <w:r w:rsidR="00AB0CE3">
        <w:t xml:space="preserve">.  </w:t>
      </w:r>
      <w:r w:rsidR="006913B6" w:rsidRPr="00C74B30">
        <w:t xml:space="preserve">Con el fin de probar </w:t>
      </w:r>
      <w:r w:rsidR="00F87C72" w:rsidRPr="00C74B30">
        <w:t xml:space="preserve">esta </w:t>
      </w:r>
      <w:r w:rsidR="006913B6" w:rsidRPr="00C74B30">
        <w:t xml:space="preserve">hipótesis, se </w:t>
      </w:r>
      <w:r w:rsidR="00EC627A" w:rsidRPr="00C74B30">
        <w:t xml:space="preserve">compararon los puntajes medios de reajuste </w:t>
      </w:r>
      <w:r w:rsidR="0006098E">
        <w:t>en función d</w:t>
      </w:r>
      <w:r w:rsidR="00EC627A" w:rsidRPr="00C74B30">
        <w:t xml:space="preserve">el </w:t>
      </w:r>
      <w:r w:rsidR="00EC627A" w:rsidRPr="00C74B30">
        <w:lastRenderedPageBreak/>
        <w:t xml:space="preserve">grado de severidad de los eventos.  </w:t>
      </w:r>
      <w:r w:rsidR="0006098E">
        <w:t xml:space="preserve">Se encontró que </w:t>
      </w:r>
      <w:r w:rsidR="006913B6" w:rsidRPr="00C74B30">
        <w:t>en el cas</w:t>
      </w:r>
      <w:r w:rsidR="005658F1" w:rsidRPr="00C74B30">
        <w:t xml:space="preserve">o de los eventos </w:t>
      </w:r>
      <w:r w:rsidR="0006098E">
        <w:t xml:space="preserve">de alta severidad no </w:t>
      </w:r>
      <w:r w:rsidR="005658F1" w:rsidRPr="00C74B30">
        <w:t xml:space="preserve">hubo diferencia en la magnitud de </w:t>
      </w:r>
      <w:r w:rsidR="006913B6" w:rsidRPr="00C74B30">
        <w:t>los puntajes</w:t>
      </w:r>
      <w:r w:rsidR="005658F1" w:rsidRPr="00C74B30">
        <w:t xml:space="preserve"> asignados en función de la experiencia.  En cambio, </w:t>
      </w:r>
      <w:r w:rsidR="0006098E">
        <w:t xml:space="preserve">los puntajes de los </w:t>
      </w:r>
      <w:r w:rsidR="006913B6" w:rsidRPr="00C74B30">
        <w:t xml:space="preserve">eventos </w:t>
      </w:r>
      <w:r w:rsidR="0006098E">
        <w:t xml:space="preserve">experimentados </w:t>
      </w:r>
      <w:r w:rsidR="006913B6" w:rsidRPr="00C74B30">
        <w:t xml:space="preserve">de severidad intermedia </w:t>
      </w:r>
      <w:r w:rsidR="005658F1" w:rsidRPr="00C74B30">
        <w:t>y</w:t>
      </w:r>
      <w:r w:rsidR="006913B6" w:rsidRPr="00C74B30">
        <w:t xml:space="preserve"> baja</w:t>
      </w:r>
      <w:r w:rsidR="0006098E">
        <w:t xml:space="preserve"> fueron de una mayor magnitud que los no experimentados.  </w:t>
      </w:r>
      <w:r w:rsidR="006913B6" w:rsidRPr="00C74B30">
        <w:t xml:space="preserve">Este resultado sugiere que </w:t>
      </w:r>
      <w:r w:rsidR="00BD6565" w:rsidRPr="00C74B30">
        <w:t>h</w:t>
      </w:r>
      <w:r w:rsidR="006913B6" w:rsidRPr="00C74B30">
        <w:t xml:space="preserve">ay una tendencia a subestimar los efectos dañinos que producen los eventos vitales relativamente poco </w:t>
      </w:r>
      <w:proofErr w:type="gramStart"/>
      <w:r w:rsidR="006913B6" w:rsidRPr="00C74B30">
        <w:t>estresantes</w:t>
      </w:r>
      <w:proofErr w:type="gramEnd"/>
      <w:r w:rsidR="00BD6565" w:rsidRPr="00C74B30">
        <w:t xml:space="preserve">, pero </w:t>
      </w:r>
      <w:r w:rsidR="006913B6" w:rsidRPr="00C74B30">
        <w:t xml:space="preserve">a estimar correctamente los efectos de los eventos altamente estresantes. </w:t>
      </w:r>
      <w:r w:rsidR="005658F1" w:rsidRPr="00C74B30">
        <w:t xml:space="preserve"> </w:t>
      </w:r>
    </w:p>
    <w:p w:rsidR="009912E2" w:rsidRPr="00C74B30" w:rsidRDefault="00E236A3" w:rsidP="0047647F">
      <w:pPr>
        <w:spacing w:line="480" w:lineRule="auto"/>
        <w:ind w:firstLine="708"/>
      </w:pPr>
      <w:r w:rsidRPr="00C74B30">
        <w:t xml:space="preserve">El segundo propósito del estudio fue averiguar la relación entre el sexo, la edad y la clase social de adultos </w:t>
      </w:r>
      <w:r w:rsidR="0006098E">
        <w:t xml:space="preserve">y </w:t>
      </w:r>
      <w:r w:rsidRPr="00C74B30">
        <w:t>de su experiencia afrontando eventos con sus juicios de severidad.</w:t>
      </w:r>
      <w:r w:rsidR="00271E58" w:rsidRPr="00C74B30">
        <w:t xml:space="preserve">  </w:t>
      </w:r>
      <w:r w:rsidR="001D3BC2" w:rsidRPr="00C74B30">
        <w:t xml:space="preserve">En estudios anteriores se </w:t>
      </w:r>
      <w:r w:rsidR="0047647F" w:rsidRPr="00C74B30">
        <w:t>documentó q</w:t>
      </w:r>
      <w:r w:rsidR="001D3BC2" w:rsidRPr="00C74B30">
        <w:t xml:space="preserve">ue las mujeres, los jóvenes y las personas de clase baja tienden a asignar puntajes más altos a la mayoría de los eventos vitales que sus contrapartes </w:t>
      </w:r>
      <w:r w:rsidR="001D3BC2" w:rsidRPr="00C74B30">
        <w:rPr>
          <w:color w:val="000000"/>
        </w:rPr>
        <w:t>(</w:t>
      </w:r>
      <w:proofErr w:type="spellStart"/>
      <w:r w:rsidR="001D3BC2" w:rsidRPr="00C74B30">
        <w:rPr>
          <w:color w:val="000000"/>
        </w:rPr>
        <w:t>e.g.</w:t>
      </w:r>
      <w:proofErr w:type="spellEnd"/>
      <w:r w:rsidR="001D3BC2" w:rsidRPr="00C74B30">
        <w:rPr>
          <w:color w:val="000000"/>
        </w:rPr>
        <w:t xml:space="preserve">, </w:t>
      </w:r>
      <w:r w:rsidR="001D3BC2" w:rsidRPr="00C74B30">
        <w:t xml:space="preserve">Acuña et al., 2012; </w:t>
      </w:r>
      <w:proofErr w:type="spellStart"/>
      <w:r w:rsidR="001D3BC2" w:rsidRPr="00C74B30">
        <w:t>Harkness</w:t>
      </w:r>
      <w:proofErr w:type="spellEnd"/>
      <w:r w:rsidR="001D3BC2" w:rsidRPr="00C74B30">
        <w:t xml:space="preserve"> et al., 2010; </w:t>
      </w:r>
      <w:proofErr w:type="spellStart"/>
      <w:r w:rsidR="001D3BC2" w:rsidRPr="00C74B30">
        <w:rPr>
          <w:lang w:val="es-MX"/>
        </w:rPr>
        <w:t>Matud</w:t>
      </w:r>
      <w:proofErr w:type="spellEnd"/>
      <w:r w:rsidR="001D3BC2" w:rsidRPr="00C74B30">
        <w:rPr>
          <w:lang w:val="es-MX"/>
        </w:rPr>
        <w:t>, 2004</w:t>
      </w:r>
      <w:r w:rsidR="0006098E">
        <w:rPr>
          <w:lang w:val="es-MX"/>
        </w:rPr>
        <w:t>)</w:t>
      </w:r>
      <w:r w:rsidR="001D3BC2" w:rsidRPr="00C74B30">
        <w:t xml:space="preserve">.  No obstante, </w:t>
      </w:r>
      <w:r w:rsidR="001D3BC2" w:rsidRPr="00C74B30">
        <w:rPr>
          <w:lang w:val="es-MX"/>
        </w:rPr>
        <w:t xml:space="preserve">en ninguno de esos estudios se averiguó si la magnitud de los puntajes estaba relacionada con haberlos o no experimentado.  En </w:t>
      </w:r>
      <w:r w:rsidR="0047647F" w:rsidRPr="00C74B30">
        <w:rPr>
          <w:lang w:val="es-MX"/>
        </w:rPr>
        <w:t xml:space="preserve">este </w:t>
      </w:r>
      <w:r w:rsidR="001D3BC2" w:rsidRPr="00C74B30">
        <w:rPr>
          <w:lang w:val="es-MX"/>
        </w:rPr>
        <w:t xml:space="preserve">estudio se </w:t>
      </w:r>
      <w:proofErr w:type="spellStart"/>
      <w:r w:rsidR="001D3BC2" w:rsidRPr="00C74B30">
        <w:rPr>
          <w:lang w:val="es-MX"/>
        </w:rPr>
        <w:t>hipotetizó</w:t>
      </w:r>
      <w:proofErr w:type="spellEnd"/>
      <w:r w:rsidR="001D3BC2" w:rsidRPr="00C74B30">
        <w:rPr>
          <w:lang w:val="es-MX"/>
        </w:rPr>
        <w:t xml:space="preserve"> que </w:t>
      </w:r>
      <w:r w:rsidR="001D3BC2" w:rsidRPr="00C74B30">
        <w:t xml:space="preserve">la experiencia enfrentando los sucesos podría ser la responsable de las diferencias encontradas entre </w:t>
      </w:r>
      <w:r w:rsidR="0006098E">
        <w:t xml:space="preserve">personas de distintos subgrupos </w:t>
      </w:r>
      <w:r w:rsidR="001D3BC2" w:rsidRPr="00C74B30">
        <w:t xml:space="preserve">y no las características </w:t>
      </w:r>
      <w:proofErr w:type="spellStart"/>
      <w:r w:rsidR="001D3BC2" w:rsidRPr="00C74B30">
        <w:t>sociodemográficas</w:t>
      </w:r>
      <w:proofErr w:type="spellEnd"/>
      <w:r w:rsidR="001D3BC2" w:rsidRPr="00C74B30">
        <w:t xml:space="preserve"> per se.</w:t>
      </w:r>
      <w:r w:rsidR="0047647F" w:rsidRPr="00C74B30">
        <w:t xml:space="preserve">  </w:t>
      </w:r>
      <w:r w:rsidR="00360A18" w:rsidRPr="00C74B30">
        <w:t xml:space="preserve">Relativo al sexo, los resultados confirmaron que las mujeres tienden a asignar puntajes mayores que los hombres a todos los eventos vitales, independientemente de si los experimentaron o no.  </w:t>
      </w:r>
      <w:r w:rsidR="0047647F" w:rsidRPr="00C74B30">
        <w:t xml:space="preserve">Esto podría deberse a </w:t>
      </w:r>
      <w:r w:rsidR="009912E2" w:rsidRPr="00C74B30">
        <w:t xml:space="preserve">que se </w:t>
      </w:r>
      <w:r w:rsidR="004872AA" w:rsidRPr="00C74B30">
        <w:t xml:space="preserve">ha documentado </w:t>
      </w:r>
      <w:r w:rsidR="009912E2" w:rsidRPr="00C74B30">
        <w:t xml:space="preserve">que </w:t>
      </w:r>
      <w:r w:rsidR="0047647F" w:rsidRPr="00C74B30">
        <w:t xml:space="preserve">las mujeres </w:t>
      </w:r>
      <w:r w:rsidR="009912E2" w:rsidRPr="00C74B30">
        <w:t>dan más importancia a los cambios en sus vidas que los hombres (</w:t>
      </w:r>
      <w:proofErr w:type="spellStart"/>
      <w:r w:rsidR="009912E2" w:rsidRPr="00C74B30">
        <w:t>e.g.</w:t>
      </w:r>
      <w:proofErr w:type="spellEnd"/>
      <w:r w:rsidR="009912E2" w:rsidRPr="00C74B30">
        <w:t xml:space="preserve">, </w:t>
      </w:r>
      <w:proofErr w:type="spellStart"/>
      <w:r w:rsidR="009912E2" w:rsidRPr="00C74B30">
        <w:t>Harkness</w:t>
      </w:r>
      <w:proofErr w:type="spellEnd"/>
      <w:r w:rsidR="009912E2" w:rsidRPr="00C74B30">
        <w:t xml:space="preserve"> et al., 2010; </w:t>
      </w:r>
      <w:proofErr w:type="spellStart"/>
      <w:r w:rsidR="009912E2" w:rsidRPr="00C74B30">
        <w:t>Jose</w:t>
      </w:r>
      <w:proofErr w:type="spellEnd"/>
      <w:r w:rsidR="009912E2" w:rsidRPr="00C74B30">
        <w:t xml:space="preserve"> &amp; </w:t>
      </w:r>
      <w:proofErr w:type="spellStart"/>
      <w:r w:rsidR="009912E2" w:rsidRPr="00C74B30">
        <w:t>Ratcliffe</w:t>
      </w:r>
      <w:proofErr w:type="spellEnd"/>
      <w:r w:rsidR="009912E2" w:rsidRPr="00C74B30">
        <w:t>, 2004). Las mujeres tienden a reportar que experimentan un mayor número de síntomas de enfermedad que los hombres, mientras que éstos reportan con menor frecuencia síntomas relativamente graves (</w:t>
      </w:r>
      <w:proofErr w:type="spellStart"/>
      <w:r w:rsidR="009912E2" w:rsidRPr="00C74B30">
        <w:t>e.g.</w:t>
      </w:r>
      <w:proofErr w:type="spellEnd"/>
      <w:r w:rsidR="009912E2" w:rsidRPr="00C74B30">
        <w:t xml:space="preserve">, </w:t>
      </w:r>
      <w:proofErr w:type="spellStart"/>
      <w:r w:rsidR="009912E2" w:rsidRPr="00C74B30">
        <w:t>Matud</w:t>
      </w:r>
      <w:proofErr w:type="spellEnd"/>
      <w:r w:rsidR="009912E2" w:rsidRPr="00C74B30">
        <w:t xml:space="preserve">, 2004; </w:t>
      </w:r>
      <w:proofErr w:type="spellStart"/>
      <w:r w:rsidR="009912E2" w:rsidRPr="00C74B30">
        <w:t>Rahe</w:t>
      </w:r>
      <w:proofErr w:type="spellEnd"/>
      <w:r w:rsidR="009912E2" w:rsidRPr="00C74B30">
        <w:t xml:space="preserve">, 1995).  </w:t>
      </w:r>
      <w:r w:rsidR="0047647F" w:rsidRPr="00C74B30">
        <w:t xml:space="preserve">Así, parecería que </w:t>
      </w:r>
      <w:r w:rsidR="009912E2" w:rsidRPr="00C74B30">
        <w:t xml:space="preserve">las mujeres sobre-reaccionan ante los diferentes eventos de la vida.  </w:t>
      </w:r>
      <w:r w:rsidR="0047647F" w:rsidRPr="00C74B30">
        <w:t>L</w:t>
      </w:r>
      <w:r w:rsidR="009912E2" w:rsidRPr="00C74B30">
        <w:t xml:space="preserve">a otra posibilidad sería que los hombres subestimen el impacto real de los eventos vitales.  Existe evidencia que sugiere que éste último puede ser el caso.  Por ejemplo, </w:t>
      </w:r>
      <w:proofErr w:type="spellStart"/>
      <w:r w:rsidR="009912E2" w:rsidRPr="00C74B30">
        <w:t>Hackett</w:t>
      </w:r>
      <w:proofErr w:type="spellEnd"/>
      <w:r w:rsidR="009912E2" w:rsidRPr="00C74B30">
        <w:t xml:space="preserve"> y </w:t>
      </w:r>
      <w:proofErr w:type="spellStart"/>
      <w:r w:rsidR="009912E2" w:rsidRPr="00C74B30">
        <w:t>Cassem</w:t>
      </w:r>
      <w:proofErr w:type="spellEnd"/>
      <w:r w:rsidR="009912E2" w:rsidRPr="00C74B30">
        <w:t xml:space="preserve"> (1969) encontraron que los hombres que están en riesgo de sufrir un infarto al miocardio tienden a negar que </w:t>
      </w:r>
      <w:proofErr w:type="gramStart"/>
      <w:r w:rsidR="009912E2" w:rsidRPr="00C74B30">
        <w:t>están</w:t>
      </w:r>
      <w:proofErr w:type="gramEnd"/>
      <w:r w:rsidR="009912E2" w:rsidRPr="00C74B30">
        <w:t xml:space="preserve"> experimentando signos de una posible enfermedad. </w:t>
      </w:r>
      <w:r w:rsidR="001D3BC2" w:rsidRPr="00C74B30">
        <w:t xml:space="preserve"> </w:t>
      </w:r>
      <w:r w:rsidR="009912E2" w:rsidRPr="00C74B30">
        <w:t xml:space="preserve">Miller y </w:t>
      </w:r>
      <w:proofErr w:type="spellStart"/>
      <w:r w:rsidR="009912E2" w:rsidRPr="00C74B30">
        <w:t>Rahe</w:t>
      </w:r>
      <w:proofErr w:type="spellEnd"/>
      <w:r w:rsidR="009912E2" w:rsidRPr="00C74B30">
        <w:t xml:space="preserve"> (1997) reportaron que los hombres tienden a negar que </w:t>
      </w:r>
      <w:proofErr w:type="gramStart"/>
      <w:r w:rsidR="009912E2" w:rsidRPr="00C74B30">
        <w:t>están</w:t>
      </w:r>
      <w:proofErr w:type="gramEnd"/>
      <w:r w:rsidR="009912E2" w:rsidRPr="00C74B30">
        <w:t xml:space="preserve"> experimentando estrés. </w:t>
      </w:r>
      <w:r w:rsidR="001D3BC2" w:rsidRPr="00C74B30">
        <w:t xml:space="preserve"> </w:t>
      </w:r>
      <w:r w:rsidR="009912E2" w:rsidRPr="00C74B30">
        <w:t xml:space="preserve">Hasta la fecha se desconoce </w:t>
      </w:r>
      <w:r w:rsidR="002231EB" w:rsidRPr="00C74B30">
        <w:t>cuál d</w:t>
      </w:r>
      <w:r w:rsidR="009912E2" w:rsidRPr="00C74B30">
        <w:t xml:space="preserve">e </w:t>
      </w:r>
      <w:r w:rsidR="009912E2" w:rsidRPr="00C74B30">
        <w:lastRenderedPageBreak/>
        <w:t xml:space="preserve">las dos posibilidades es cierta, por lo que sería interesante en futuros estudios </w:t>
      </w:r>
      <w:r w:rsidR="0047647F" w:rsidRPr="00C74B30">
        <w:t xml:space="preserve">averiguar </w:t>
      </w:r>
      <w:r w:rsidR="009912E2" w:rsidRPr="00C74B30">
        <w:t xml:space="preserve">si las mujeres sobre-estiman </w:t>
      </w:r>
      <w:r w:rsidR="0047647F" w:rsidRPr="00C74B30">
        <w:t xml:space="preserve">o los hombres subestiman </w:t>
      </w:r>
      <w:r w:rsidR="009912E2" w:rsidRPr="00C74B30">
        <w:t xml:space="preserve">las consecuencias nocivas del estrés.  </w:t>
      </w:r>
    </w:p>
    <w:p w:rsidR="001E6AFB" w:rsidRPr="00C74B30" w:rsidRDefault="009912E2" w:rsidP="001E6AFB">
      <w:pPr>
        <w:spacing w:line="480" w:lineRule="auto"/>
        <w:ind w:firstLine="708"/>
      </w:pPr>
      <w:r w:rsidRPr="00C74B30">
        <w:t>Respecto a la edad</w:t>
      </w:r>
      <w:r w:rsidR="00360A18" w:rsidRPr="00C74B30">
        <w:t>,</w:t>
      </w:r>
      <w:r w:rsidR="00271E58" w:rsidRPr="00C74B30">
        <w:t xml:space="preserve"> </w:t>
      </w:r>
      <w:r w:rsidR="002231EB" w:rsidRPr="00C74B30">
        <w:t xml:space="preserve">se encontró </w:t>
      </w:r>
      <w:r w:rsidR="003F1FF2" w:rsidRPr="00C74B30">
        <w:t>que los jóvenes juzgaron como más severos que los adultos los eventos vitales</w:t>
      </w:r>
      <w:r w:rsidR="00724A3D" w:rsidRPr="00C74B30">
        <w:t>,</w:t>
      </w:r>
      <w:r w:rsidR="003F1FF2" w:rsidRPr="00C74B30">
        <w:t xml:space="preserve"> pero únicamente aquellos que no habían experimentado.  </w:t>
      </w:r>
      <w:r w:rsidR="0006098E">
        <w:t>E</w:t>
      </w:r>
      <w:r w:rsidR="00271E58" w:rsidRPr="00C74B30">
        <w:t xml:space="preserve">ste resultado </w:t>
      </w:r>
      <w:r w:rsidR="003F1FF2" w:rsidRPr="00C74B30">
        <w:t xml:space="preserve">es similar al </w:t>
      </w:r>
      <w:r w:rsidR="00271E58" w:rsidRPr="00C74B30">
        <w:t xml:space="preserve">reportado en estudios </w:t>
      </w:r>
      <w:r w:rsidR="003F1FF2" w:rsidRPr="00C74B30">
        <w:t>anteriores</w:t>
      </w:r>
      <w:r w:rsidR="0006098E">
        <w:t xml:space="preserve">, dado </w:t>
      </w:r>
      <w:r w:rsidR="00271E58" w:rsidRPr="00C74B30">
        <w:t xml:space="preserve">que </w:t>
      </w:r>
      <w:r w:rsidR="00585AAB" w:rsidRPr="00C74B30">
        <w:t xml:space="preserve">los jóvenes </w:t>
      </w:r>
      <w:r w:rsidR="00724A3D" w:rsidRPr="00C74B30">
        <w:t>evalúan</w:t>
      </w:r>
      <w:r w:rsidR="00271E58" w:rsidRPr="00C74B30">
        <w:t xml:space="preserve"> como más severos </w:t>
      </w:r>
      <w:r w:rsidR="00724A3D" w:rsidRPr="00C74B30">
        <w:t xml:space="preserve">los eventos vitales que los adultos </w:t>
      </w:r>
      <w:r w:rsidR="00271E58" w:rsidRPr="00C74B30">
        <w:t>(</w:t>
      </w:r>
      <w:proofErr w:type="spellStart"/>
      <w:r w:rsidR="00271E58" w:rsidRPr="00C74B30">
        <w:t>e.g.</w:t>
      </w:r>
      <w:proofErr w:type="spellEnd"/>
      <w:r w:rsidR="00271E58" w:rsidRPr="00C74B30">
        <w:t xml:space="preserve">, Acuña et al., 2012; </w:t>
      </w:r>
      <w:proofErr w:type="spellStart"/>
      <w:r w:rsidR="00271E58" w:rsidRPr="00C74B30">
        <w:t>Bruner</w:t>
      </w:r>
      <w:proofErr w:type="spellEnd"/>
      <w:r w:rsidR="00271E58" w:rsidRPr="00C74B30">
        <w:t xml:space="preserve"> et al., 1994; Miller &amp; </w:t>
      </w:r>
      <w:proofErr w:type="spellStart"/>
      <w:r w:rsidR="00271E58" w:rsidRPr="00C74B30">
        <w:t>Rahe</w:t>
      </w:r>
      <w:proofErr w:type="spellEnd"/>
      <w:r w:rsidR="00271E58" w:rsidRPr="00C74B30">
        <w:t>, 1997).</w:t>
      </w:r>
      <w:r w:rsidR="00724A3D" w:rsidRPr="00C74B30">
        <w:t xml:space="preserve">  No obstante, sólo </w:t>
      </w:r>
      <w:r w:rsidR="0006098E">
        <w:t xml:space="preserve">fue cierto en el caso de </w:t>
      </w:r>
      <w:r w:rsidR="00724A3D" w:rsidRPr="00C74B30">
        <w:t>los eventos vitales que imaginaron experimentar</w:t>
      </w:r>
      <w:r w:rsidR="0006098E">
        <w:t>, lo cual</w:t>
      </w:r>
      <w:r w:rsidR="00724A3D" w:rsidRPr="00C74B30">
        <w:t xml:space="preserve"> sugiere que el factor responsable de las diferencias reportadas en los estudios anteriores es la experiencia con los eventos vitales y no la edad de las personas.  Relativo a la clase social, los participantes de clase baja juzgaron como m</w:t>
      </w:r>
      <w:r w:rsidR="00291E96" w:rsidRPr="00C74B30">
        <w:t xml:space="preserve">ás severos que los de clase </w:t>
      </w:r>
      <w:r w:rsidR="001E0263" w:rsidRPr="00C74B30">
        <w:t>alta</w:t>
      </w:r>
      <w:r w:rsidR="00724A3D" w:rsidRPr="00C74B30">
        <w:t xml:space="preserve"> </w:t>
      </w:r>
      <w:r w:rsidR="00BF0A2C" w:rsidRPr="00C74B30">
        <w:t xml:space="preserve">únicamente </w:t>
      </w:r>
      <w:r w:rsidR="00724A3D" w:rsidRPr="00C74B30">
        <w:t xml:space="preserve">los acontecimientos que habían experimentado.  Si bien este hallazgo </w:t>
      </w:r>
      <w:r w:rsidR="00BF0A2C" w:rsidRPr="00C74B30">
        <w:t xml:space="preserve">replica los resultados de estudios anteriores en </w:t>
      </w:r>
      <w:r w:rsidR="002231EB" w:rsidRPr="00C74B30">
        <w:t xml:space="preserve">cuanto </w:t>
      </w:r>
      <w:r w:rsidR="00291E96" w:rsidRPr="00C74B30">
        <w:t xml:space="preserve">a </w:t>
      </w:r>
      <w:r w:rsidR="002231EB" w:rsidRPr="00C74B30">
        <w:t xml:space="preserve">que </w:t>
      </w:r>
      <w:r w:rsidR="00BF0A2C" w:rsidRPr="00C74B30">
        <w:t xml:space="preserve">las personas de clase baja tienden a juzgar como más severos los eventos vitales que </w:t>
      </w:r>
      <w:r w:rsidR="00291E96" w:rsidRPr="00C74B30">
        <w:t xml:space="preserve">quienes cuentan con más recursos económicos </w:t>
      </w:r>
      <w:r w:rsidR="00724A3D" w:rsidRPr="00C74B30">
        <w:t>(</w:t>
      </w:r>
      <w:proofErr w:type="spellStart"/>
      <w:r w:rsidR="00724A3D" w:rsidRPr="00C74B30">
        <w:t>e.g.</w:t>
      </w:r>
      <w:proofErr w:type="spellEnd"/>
      <w:r w:rsidR="00724A3D" w:rsidRPr="00C74B30">
        <w:t xml:space="preserve">, Acuña et al., 2012; </w:t>
      </w:r>
      <w:proofErr w:type="spellStart"/>
      <w:r w:rsidR="00724A3D" w:rsidRPr="00C74B30">
        <w:t>Bruner</w:t>
      </w:r>
      <w:proofErr w:type="spellEnd"/>
      <w:r w:rsidR="00724A3D" w:rsidRPr="00C74B30">
        <w:t xml:space="preserve"> et al., 1994; Miller &amp; </w:t>
      </w:r>
      <w:proofErr w:type="spellStart"/>
      <w:r w:rsidR="00724A3D" w:rsidRPr="00C74B30">
        <w:t>Rahe</w:t>
      </w:r>
      <w:proofErr w:type="spellEnd"/>
      <w:r w:rsidR="00724A3D" w:rsidRPr="00C74B30">
        <w:t>, 1997), nuevamente sugiere que el factor responsable de quién juzga los eventos como más severos es la experiencia afrontándolos</w:t>
      </w:r>
      <w:r w:rsidR="00360A18" w:rsidRPr="00C74B30">
        <w:t>.</w:t>
      </w:r>
      <w:r w:rsidR="002231EB" w:rsidRPr="00C74B30">
        <w:t xml:space="preserve">  Por tanto, los resultados sugieren que el factor responsable de la asignación de puntajes de una cierta magnitud es la experiencia afrontando los eventos y no las características </w:t>
      </w:r>
      <w:proofErr w:type="spellStart"/>
      <w:r w:rsidR="002231EB" w:rsidRPr="00C74B30">
        <w:t>sociodemográficas</w:t>
      </w:r>
      <w:proofErr w:type="spellEnd"/>
      <w:r w:rsidR="002231EB" w:rsidRPr="00C74B30">
        <w:t xml:space="preserve"> per se de </w:t>
      </w:r>
      <w:r w:rsidR="0006098E">
        <w:t xml:space="preserve">los jueces.  </w:t>
      </w:r>
      <w:r w:rsidR="002231EB" w:rsidRPr="00C74B30">
        <w:t>E</w:t>
      </w:r>
      <w:r w:rsidRPr="00C74B30">
        <w:t>s importante señalar</w:t>
      </w:r>
      <w:r w:rsidR="002231EB" w:rsidRPr="00C74B30">
        <w:t>, no obstante,</w:t>
      </w:r>
      <w:r w:rsidRPr="00C74B30">
        <w:t xml:space="preserve"> que </w:t>
      </w:r>
      <w:r w:rsidR="0006098E">
        <w:t xml:space="preserve">dado que </w:t>
      </w:r>
      <w:r w:rsidRPr="00C74B30">
        <w:t xml:space="preserve">un mismo participante asignó puntajes a los eventos que había </w:t>
      </w:r>
      <w:r w:rsidR="002231EB" w:rsidRPr="00C74B30">
        <w:t xml:space="preserve">y que no había </w:t>
      </w:r>
      <w:r w:rsidRPr="00C74B30">
        <w:t>experimentado</w:t>
      </w:r>
      <w:r w:rsidR="0006098E">
        <w:t>, e</w:t>
      </w:r>
      <w:r w:rsidR="002231EB" w:rsidRPr="00C74B30">
        <w:t xml:space="preserve">s factible que </w:t>
      </w:r>
      <w:r w:rsidRPr="00C74B30">
        <w:t>dadas sus car</w:t>
      </w:r>
      <w:r w:rsidR="0006098E">
        <w:t xml:space="preserve">acterísticas </w:t>
      </w:r>
      <w:proofErr w:type="spellStart"/>
      <w:r w:rsidR="0006098E">
        <w:t>sociodemográficas</w:t>
      </w:r>
      <w:proofErr w:type="spellEnd"/>
      <w:r w:rsidR="0006098E">
        <w:t xml:space="preserve"> </w:t>
      </w:r>
      <w:r w:rsidR="002231EB" w:rsidRPr="00C74B30">
        <w:t xml:space="preserve">haya asignado </w:t>
      </w:r>
      <w:r w:rsidRPr="00C74B30">
        <w:t xml:space="preserve">puntajes </w:t>
      </w:r>
      <w:r w:rsidR="002231EB" w:rsidRPr="00C74B30">
        <w:t xml:space="preserve">de una misma magnitud a ambos tipos de sucesos.  En consecuencia, </w:t>
      </w:r>
      <w:r w:rsidR="00BF0A2C" w:rsidRPr="00C74B30">
        <w:t xml:space="preserve">sería necesario que </w:t>
      </w:r>
      <w:r w:rsidR="00291E96" w:rsidRPr="00C74B30">
        <w:t>en</w:t>
      </w:r>
      <w:r w:rsidR="0006098E">
        <w:t xml:space="preserve"> el futuro </w:t>
      </w:r>
      <w:r w:rsidR="002231EB" w:rsidRPr="00C74B30">
        <w:t xml:space="preserve">se obtengan los puntajes de severidad de los eventos asignados </w:t>
      </w:r>
      <w:r w:rsidR="004C6419" w:rsidRPr="00C74B30">
        <w:t xml:space="preserve">por separado por personas </w:t>
      </w:r>
      <w:r w:rsidR="00291E96" w:rsidRPr="00C74B30">
        <w:t xml:space="preserve">con distintas características </w:t>
      </w:r>
      <w:proofErr w:type="spellStart"/>
      <w:r w:rsidR="00291E96" w:rsidRPr="00C74B30">
        <w:t>sociodemográficas</w:t>
      </w:r>
      <w:proofErr w:type="spellEnd"/>
      <w:r w:rsidR="00291E96" w:rsidRPr="00C74B30">
        <w:t xml:space="preserve"> </w:t>
      </w:r>
      <w:r w:rsidR="004C6419" w:rsidRPr="00C74B30">
        <w:t xml:space="preserve">que los </w:t>
      </w:r>
      <w:proofErr w:type="gramStart"/>
      <w:r w:rsidR="00291E96" w:rsidRPr="00C74B30">
        <w:t>hayan</w:t>
      </w:r>
      <w:proofErr w:type="gramEnd"/>
      <w:r w:rsidR="00291E96" w:rsidRPr="00C74B30">
        <w:t xml:space="preserve"> y </w:t>
      </w:r>
      <w:r w:rsidR="00605430">
        <w:t xml:space="preserve">que </w:t>
      </w:r>
      <w:r w:rsidR="00291E96" w:rsidRPr="00C74B30">
        <w:t xml:space="preserve">no los </w:t>
      </w:r>
      <w:r w:rsidR="004C6419" w:rsidRPr="00C74B30">
        <w:t xml:space="preserve">hayan </w:t>
      </w:r>
      <w:r w:rsidR="002231EB" w:rsidRPr="00C74B30">
        <w:t>experimentado</w:t>
      </w:r>
      <w:r w:rsidR="004C6419" w:rsidRPr="00C74B30">
        <w:t xml:space="preserve">.  </w:t>
      </w:r>
    </w:p>
    <w:p w:rsidR="001E6AFB" w:rsidRPr="00C74B30" w:rsidRDefault="00FB66A0" w:rsidP="001E6AFB">
      <w:pPr>
        <w:spacing w:line="480" w:lineRule="auto"/>
        <w:ind w:firstLine="708"/>
        <w:rPr>
          <w:bCs/>
        </w:rPr>
      </w:pPr>
      <w:r w:rsidRPr="00C74B30">
        <w:t xml:space="preserve">Relativo al número de eventos experimentados por los participantes, </w:t>
      </w:r>
      <w:r w:rsidR="004C6419" w:rsidRPr="00C74B30">
        <w:t xml:space="preserve">todos </w:t>
      </w:r>
      <w:r w:rsidR="00291E96" w:rsidRPr="00C74B30">
        <w:t xml:space="preserve">reportaron haber experimentado </w:t>
      </w:r>
      <w:r w:rsidR="001E6AFB" w:rsidRPr="00C74B30">
        <w:t xml:space="preserve">por lo menos uno de </w:t>
      </w:r>
      <w:r w:rsidR="004311EB" w:rsidRPr="00C74B30">
        <w:t xml:space="preserve">los 43 </w:t>
      </w:r>
      <w:r w:rsidR="00291E96" w:rsidRPr="00C74B30">
        <w:t>acontecimientos</w:t>
      </w:r>
      <w:r w:rsidR="001E6AFB" w:rsidRPr="00C74B30">
        <w:t xml:space="preserve">.  Este hallazgo mostró que </w:t>
      </w:r>
      <w:r w:rsidR="00291E96" w:rsidRPr="00C74B30">
        <w:t xml:space="preserve">la SRRS incluye </w:t>
      </w:r>
      <w:r w:rsidR="001E6AFB" w:rsidRPr="00C74B30">
        <w:t xml:space="preserve">acontecimientos que </w:t>
      </w:r>
      <w:r w:rsidR="00291E96" w:rsidRPr="00C74B30">
        <w:t xml:space="preserve">efectivamente </w:t>
      </w:r>
      <w:r w:rsidR="001E6AFB" w:rsidRPr="00C74B30">
        <w:t xml:space="preserve">la mayoría de los adultos experimenta.  </w:t>
      </w:r>
      <w:r w:rsidR="00AE2FB7" w:rsidRPr="00C74B30">
        <w:rPr>
          <w:bCs/>
        </w:rPr>
        <w:t>H</w:t>
      </w:r>
      <w:r w:rsidR="001E6AFB" w:rsidRPr="00C74B30">
        <w:rPr>
          <w:bCs/>
        </w:rPr>
        <w:t xml:space="preserve">ombres y mujeres </w:t>
      </w:r>
      <w:r w:rsidR="00AE2FB7" w:rsidRPr="00C74B30">
        <w:rPr>
          <w:bCs/>
        </w:rPr>
        <w:t xml:space="preserve">experimentaron un número similar de eventos vitales, </w:t>
      </w:r>
      <w:r w:rsidRPr="00C74B30">
        <w:rPr>
          <w:bCs/>
        </w:rPr>
        <w:t>lo cual difiere de</w:t>
      </w:r>
      <w:r w:rsidR="00AE2FB7" w:rsidRPr="00C74B30">
        <w:rPr>
          <w:bCs/>
        </w:rPr>
        <w:t xml:space="preserve">l dato común </w:t>
      </w:r>
      <w:r w:rsidR="001E0263" w:rsidRPr="00C74B30">
        <w:rPr>
          <w:bCs/>
        </w:rPr>
        <w:t xml:space="preserve">de </w:t>
      </w:r>
      <w:r w:rsidR="00AE2FB7" w:rsidRPr="00C74B30">
        <w:rPr>
          <w:bCs/>
        </w:rPr>
        <w:t xml:space="preserve">que </w:t>
      </w:r>
      <w:r w:rsidR="00AE2FB7" w:rsidRPr="00C74B30">
        <w:rPr>
          <w:bCs/>
        </w:rPr>
        <w:lastRenderedPageBreak/>
        <w:t xml:space="preserve">las mujeres </w:t>
      </w:r>
      <w:r w:rsidRPr="00C74B30">
        <w:rPr>
          <w:bCs/>
        </w:rPr>
        <w:t xml:space="preserve">reportan </w:t>
      </w:r>
      <w:r w:rsidR="001E6AFB" w:rsidRPr="00C74B30">
        <w:rPr>
          <w:bCs/>
        </w:rPr>
        <w:t>haber experimentado más eventos vitales que los hombres (</w:t>
      </w:r>
      <w:proofErr w:type="spellStart"/>
      <w:r w:rsidR="001E6AFB" w:rsidRPr="00C74B30">
        <w:rPr>
          <w:bCs/>
        </w:rPr>
        <w:t>e.g.</w:t>
      </w:r>
      <w:proofErr w:type="spellEnd"/>
      <w:r w:rsidR="001E6AFB" w:rsidRPr="00C74B30">
        <w:rPr>
          <w:bCs/>
        </w:rPr>
        <w:t>,</w:t>
      </w:r>
      <w:r w:rsidRPr="00C74B30">
        <w:rPr>
          <w:bCs/>
        </w:rPr>
        <w:t xml:space="preserve"> </w:t>
      </w:r>
      <w:proofErr w:type="spellStart"/>
      <w:r w:rsidR="00763021">
        <w:rPr>
          <w:bCs/>
        </w:rPr>
        <w:t>Hatch</w:t>
      </w:r>
      <w:proofErr w:type="spellEnd"/>
      <w:r w:rsidR="00763021">
        <w:rPr>
          <w:bCs/>
        </w:rPr>
        <w:t xml:space="preserve"> &amp; </w:t>
      </w:r>
      <w:proofErr w:type="spellStart"/>
      <w:r w:rsidR="00763021">
        <w:rPr>
          <w:bCs/>
        </w:rPr>
        <w:t>Dohrenwend</w:t>
      </w:r>
      <w:proofErr w:type="spellEnd"/>
      <w:r w:rsidR="00763021">
        <w:rPr>
          <w:bCs/>
        </w:rPr>
        <w:t>, 2007</w:t>
      </w:r>
      <w:r w:rsidR="00E32528">
        <w:t>)</w:t>
      </w:r>
      <w:r w:rsidR="001E6AFB" w:rsidRPr="00C74B30">
        <w:rPr>
          <w:bCs/>
        </w:rPr>
        <w:t xml:space="preserve">.  </w:t>
      </w:r>
      <w:r w:rsidRPr="00C74B30">
        <w:rPr>
          <w:bCs/>
        </w:rPr>
        <w:t xml:space="preserve">Los jóvenes experimentaron un menor número de </w:t>
      </w:r>
      <w:r w:rsidR="00AE2FB7" w:rsidRPr="00C74B30">
        <w:rPr>
          <w:bCs/>
        </w:rPr>
        <w:t xml:space="preserve">eventos vitales que los adultos, lo cual era esperable, </w:t>
      </w:r>
      <w:r w:rsidR="001E6AFB" w:rsidRPr="00C74B30">
        <w:rPr>
          <w:bCs/>
        </w:rPr>
        <w:t xml:space="preserve">dado que </w:t>
      </w:r>
      <w:r w:rsidR="00AE2FB7" w:rsidRPr="00C74B30">
        <w:rPr>
          <w:bCs/>
        </w:rPr>
        <w:t xml:space="preserve">se pidió a </w:t>
      </w:r>
      <w:r w:rsidR="001E6AFB" w:rsidRPr="00C74B30">
        <w:rPr>
          <w:bCs/>
        </w:rPr>
        <w:t xml:space="preserve">los participantes </w:t>
      </w:r>
      <w:r w:rsidR="00AE2FB7" w:rsidRPr="00C74B30">
        <w:rPr>
          <w:bCs/>
        </w:rPr>
        <w:t>reportar</w:t>
      </w:r>
      <w:r w:rsidR="001E6AFB" w:rsidRPr="00C74B30">
        <w:rPr>
          <w:bCs/>
        </w:rPr>
        <w:t xml:space="preserve"> los eventos </w:t>
      </w:r>
      <w:r w:rsidR="00AE2FB7" w:rsidRPr="00C74B30">
        <w:rPr>
          <w:bCs/>
        </w:rPr>
        <w:t xml:space="preserve">experimentados durante toda su </w:t>
      </w:r>
      <w:r w:rsidR="001E6AFB" w:rsidRPr="00C74B30">
        <w:rPr>
          <w:bCs/>
        </w:rPr>
        <w:t xml:space="preserve">vida.  </w:t>
      </w:r>
      <w:r w:rsidRPr="00C74B30">
        <w:rPr>
          <w:bCs/>
        </w:rPr>
        <w:t>L</w:t>
      </w:r>
      <w:r w:rsidR="001E6AFB" w:rsidRPr="00C74B30">
        <w:rPr>
          <w:bCs/>
        </w:rPr>
        <w:t xml:space="preserve">as personas de clase </w:t>
      </w:r>
      <w:r w:rsidRPr="00C74B30">
        <w:rPr>
          <w:bCs/>
        </w:rPr>
        <w:t>baja experimentaron un menor número medio de eventos que los de clase media</w:t>
      </w:r>
      <w:r w:rsidR="00AE2FB7" w:rsidRPr="00C74B30">
        <w:rPr>
          <w:bCs/>
        </w:rPr>
        <w:t xml:space="preserve">, lo cual </w:t>
      </w:r>
      <w:r w:rsidR="001E6AFB" w:rsidRPr="00C74B30">
        <w:rPr>
          <w:bCs/>
        </w:rPr>
        <w:t>es contrario a</w:t>
      </w:r>
      <w:r w:rsidR="00AE2FB7" w:rsidRPr="00C74B30">
        <w:rPr>
          <w:bCs/>
        </w:rPr>
        <w:t xml:space="preserve">l dato común de que </w:t>
      </w:r>
      <w:r w:rsidR="00837539">
        <w:rPr>
          <w:bCs/>
        </w:rPr>
        <w:t xml:space="preserve">aquellos </w:t>
      </w:r>
      <w:r w:rsidR="001E6AFB" w:rsidRPr="00C74B30">
        <w:rPr>
          <w:bCs/>
        </w:rPr>
        <w:t xml:space="preserve">de clase baja </w:t>
      </w:r>
      <w:r w:rsidR="00837539">
        <w:rPr>
          <w:bCs/>
        </w:rPr>
        <w:t xml:space="preserve">experimentan </w:t>
      </w:r>
      <w:r w:rsidR="001E6AFB" w:rsidRPr="00C74B30">
        <w:rPr>
          <w:bCs/>
        </w:rPr>
        <w:t xml:space="preserve">más sucesos que </w:t>
      </w:r>
      <w:r w:rsidR="00837539">
        <w:rPr>
          <w:bCs/>
        </w:rPr>
        <w:t xml:space="preserve">los de clase alta </w:t>
      </w:r>
      <w:r w:rsidR="00304BD9" w:rsidRPr="00C74B30">
        <w:rPr>
          <w:bCs/>
        </w:rPr>
        <w:t>(</w:t>
      </w:r>
      <w:proofErr w:type="spellStart"/>
      <w:r w:rsidR="00304BD9" w:rsidRPr="00C74B30">
        <w:rPr>
          <w:bCs/>
        </w:rPr>
        <w:t>e.g.</w:t>
      </w:r>
      <w:proofErr w:type="spellEnd"/>
      <w:r w:rsidR="00304BD9" w:rsidRPr="00C74B30">
        <w:rPr>
          <w:bCs/>
        </w:rPr>
        <w:t xml:space="preserve">, </w:t>
      </w:r>
      <w:proofErr w:type="spellStart"/>
      <w:r w:rsidR="00763021">
        <w:t>Hatch</w:t>
      </w:r>
      <w:proofErr w:type="spellEnd"/>
      <w:r w:rsidR="00763021">
        <w:t xml:space="preserve"> &amp; </w:t>
      </w:r>
      <w:proofErr w:type="spellStart"/>
      <w:r w:rsidR="00763021">
        <w:t>Dohrenwend</w:t>
      </w:r>
      <w:proofErr w:type="spellEnd"/>
      <w:r w:rsidR="00763021">
        <w:t>, 2007</w:t>
      </w:r>
      <w:r w:rsidR="008F5099" w:rsidRPr="00C74B30">
        <w:rPr>
          <w:bCs/>
        </w:rPr>
        <w:t>)</w:t>
      </w:r>
      <w:r w:rsidR="001E6AFB" w:rsidRPr="00C74B30">
        <w:rPr>
          <w:bCs/>
        </w:rPr>
        <w:t>.</w:t>
      </w:r>
    </w:p>
    <w:p w:rsidR="00F9496C" w:rsidRDefault="00F9496C" w:rsidP="00F9496C">
      <w:pPr>
        <w:spacing w:line="480" w:lineRule="auto"/>
        <w:ind w:firstLine="708"/>
      </w:pPr>
      <w:r w:rsidRPr="00C74B30">
        <w:t xml:space="preserve">El trabajo de Holmes y </w:t>
      </w:r>
      <w:proofErr w:type="spellStart"/>
      <w:r w:rsidRPr="00C74B30">
        <w:t>Rahe</w:t>
      </w:r>
      <w:proofErr w:type="spellEnd"/>
      <w:r w:rsidRPr="00C74B30">
        <w:t xml:space="preserve"> (1967) ha sido reconocido como uno de los más influyentes en psicología</w:t>
      </w:r>
      <w:r w:rsidRPr="00C74B30">
        <w:rPr>
          <w:bCs/>
          <w:lang w:val="es-MX"/>
        </w:rPr>
        <w:t xml:space="preserve">, entre otras razones porque la cuantificación del grado de estrés al que ha estado sometida una persona durante un periodo de tiempo es un </w:t>
      </w:r>
      <w:proofErr w:type="spellStart"/>
      <w:r w:rsidRPr="00C74B30">
        <w:rPr>
          <w:bCs/>
          <w:lang w:val="es-MX"/>
        </w:rPr>
        <w:t>predictor</w:t>
      </w:r>
      <w:proofErr w:type="spellEnd"/>
      <w:r w:rsidRPr="00C74B30">
        <w:rPr>
          <w:bCs/>
          <w:lang w:val="es-MX"/>
        </w:rPr>
        <w:t xml:space="preserve"> confiable del tipo y de la gravedad de la enfermedad que una persona puede adquirir (cf. </w:t>
      </w:r>
      <w:proofErr w:type="spellStart"/>
      <w:r w:rsidR="00AE779B">
        <w:rPr>
          <w:bCs/>
          <w:lang w:val="es-MX"/>
        </w:rPr>
        <w:t>Dewe</w:t>
      </w:r>
      <w:proofErr w:type="spellEnd"/>
      <w:r w:rsidR="00AE779B">
        <w:rPr>
          <w:bCs/>
          <w:lang w:val="es-MX"/>
        </w:rPr>
        <w:t xml:space="preserve"> &amp; </w:t>
      </w:r>
      <w:r w:rsidRPr="00C74B30">
        <w:rPr>
          <w:bCs/>
          <w:lang w:val="es-MX"/>
        </w:rPr>
        <w:t>Cooper</w:t>
      </w:r>
      <w:r w:rsidR="00AE779B">
        <w:rPr>
          <w:bCs/>
          <w:lang w:val="es-MX"/>
        </w:rPr>
        <w:t xml:space="preserve">, </w:t>
      </w:r>
      <w:r w:rsidRPr="00C74B30">
        <w:rPr>
          <w:bCs/>
          <w:lang w:val="es-MX"/>
        </w:rPr>
        <w:t xml:space="preserve">2007).  </w:t>
      </w:r>
      <w:r w:rsidRPr="00C74B30">
        <w:t xml:space="preserve">Dado que la suma de puntajes LCU </w:t>
      </w:r>
      <w:r w:rsidR="00AE2FB7" w:rsidRPr="00C74B30">
        <w:t xml:space="preserve">correspondientes a </w:t>
      </w:r>
      <w:r w:rsidRPr="00C74B30">
        <w:t>los eventos experimentados es el dato que se utiliza para predecir el deterioro en la salud de una persona, parecía indispensable averiguar cómo se relaciona la experiencia con la magnitud de los puntajes.  En el presente trabajo se encontró que las personas asignan puntajes más altos a los eventos experimentados que a los no experimentados.  Este hallazgo sugiere que los puntajes LCU que se emplean actualmente para cuantificar el grado de estrés al que ha estado sometida una persona pueden subestimar el impacto nocivo de dichos acontecimientos.</w:t>
      </w:r>
      <w:r w:rsidR="00605430">
        <w:t xml:space="preserve">  </w:t>
      </w:r>
      <w:r w:rsidR="004C4A99">
        <w:t xml:space="preserve">Subestimar dicho impacto no es una cuestión trivial, dado que los investigadores y los clínicos </w:t>
      </w:r>
      <w:r w:rsidR="00605430">
        <w:t>corre</w:t>
      </w:r>
      <w:r w:rsidR="004C4A99">
        <w:t>n</w:t>
      </w:r>
      <w:r w:rsidR="00605430">
        <w:t xml:space="preserve"> el riesgo de </w:t>
      </w:r>
      <w:r w:rsidR="004C4A99">
        <w:t>asumir que una persona está en menor riesgo del real de desarrollar una enfermedad seria.  Los resultados del presente estudio sugieren que la cuantificación del grado de estrés al que ha estado sometida una persona debería basarse en p</w:t>
      </w:r>
      <w:r w:rsidR="006E1344">
        <w:t>untajes obtenidos con jueces que experimentaron los eventos vitales.</w:t>
      </w:r>
      <w:r w:rsidR="00EE7AF6">
        <w:t xml:space="preserve">  El uso de puntajes apropiados para quienes han experimentado los eventos permitiría una predicción más precisa del tipo y severidad de la enfermedad que una persona puede desarrollar.</w:t>
      </w:r>
      <w:r w:rsidR="006E1344">
        <w:t xml:space="preserve">  Este trabajo contribuyó en ese respecto, dado que se reportaron puntajes LCU </w:t>
      </w:r>
      <w:r w:rsidR="004C4A99">
        <w:t xml:space="preserve">correspondientes a </w:t>
      </w:r>
      <w:r w:rsidR="006E1344">
        <w:t xml:space="preserve">personas que habían experimentado los eventos.  Aún más, se reportaron puntajes correspondientes a personas que experimentaron los eventos de diferente sexo, edad y clase social.  </w:t>
      </w:r>
      <w:r w:rsidRPr="00C74B30">
        <w:t xml:space="preserve">No obstante, en la presente investigación no se averiguó el daño </w:t>
      </w:r>
      <w:r w:rsidRPr="00C74B30">
        <w:lastRenderedPageBreak/>
        <w:t xml:space="preserve">somático producto de experimentar los eventos vitales.  En consecuencia, en futuros estudios sería necesario averiguar si los puntajes LCU obtenidos con jueces que hayan experimentado los eventos vitales son un mejor </w:t>
      </w:r>
      <w:proofErr w:type="spellStart"/>
      <w:r w:rsidRPr="00C74B30">
        <w:t>predictor</w:t>
      </w:r>
      <w:proofErr w:type="spellEnd"/>
      <w:r w:rsidRPr="00C74B30">
        <w:t xml:space="preserve"> del tipo de enfermedad que una persona puede adquirir que los que se emplean actualmente.</w:t>
      </w:r>
    </w:p>
    <w:p w:rsidR="006E1344" w:rsidRDefault="006E1344" w:rsidP="006E1344">
      <w:pPr>
        <w:pStyle w:val="Sinespaciado1"/>
        <w:spacing w:line="480" w:lineRule="auto"/>
        <w:ind w:firstLine="708"/>
      </w:pPr>
      <w:r>
        <w:rPr>
          <w:lang w:val="es-MX"/>
        </w:rPr>
        <w:t xml:space="preserve">El hecho de que el impacto real de los eventos vitales sea mayor que el imaginado puede tener consecuencias clínicas y prácticas. </w:t>
      </w:r>
      <w:r w:rsidR="00CB46F8">
        <w:rPr>
          <w:lang w:val="es-MX"/>
        </w:rPr>
        <w:t xml:space="preserve"> </w:t>
      </w:r>
      <w:r>
        <w:rPr>
          <w:lang w:val="es-MX"/>
        </w:rPr>
        <w:t xml:space="preserve">Por una parte, el número de amenazas que una persona enfrenta durante su vida o de malas noticias que recibe puede ser inmenso. </w:t>
      </w:r>
      <w:r w:rsidR="00CB46F8">
        <w:rPr>
          <w:lang w:val="es-MX"/>
        </w:rPr>
        <w:t xml:space="preserve"> </w:t>
      </w:r>
      <w:r>
        <w:rPr>
          <w:lang w:val="es-MX"/>
        </w:rPr>
        <w:t>Si cada individuo estimara correctamente el impacto que tendrá cada uno de los múltiples eventos que podría enfrentar en el transcurso de su vida, podría vivir deprimido o en estado de pánico, anticipando las consecuencias negativas de un sinnúmero de posibilidades.  Por otra parte, el subestimar el impacto real de los eventos estresantes podría conducir a las personas a tomar riesgos innecesarios, dada su creencia de ser menos vulnerables de lo que en realidad son.  Existe evidencia que sugiere que esta última hipótesis  puede ser cierta.  Por ejemplo, hombres homosexuales que subes</w:t>
      </w:r>
      <w:r w:rsidR="00CB46F8">
        <w:rPr>
          <w:lang w:val="es-MX"/>
        </w:rPr>
        <w:t>timaban</w:t>
      </w:r>
      <w:r>
        <w:rPr>
          <w:lang w:val="es-MX"/>
        </w:rPr>
        <w:t xml:space="preserve"> el riesgo de contagiarse con el síndrome de inmunodeficiencia adquirida reportaron tener relaciones sexuales sin protección (</w:t>
      </w:r>
      <w:proofErr w:type="spellStart"/>
      <w:r>
        <w:rPr>
          <w:lang w:val="es-MX"/>
        </w:rPr>
        <w:t>Bauman</w:t>
      </w:r>
      <w:proofErr w:type="spellEnd"/>
      <w:r>
        <w:rPr>
          <w:lang w:val="es-MX"/>
        </w:rPr>
        <w:t xml:space="preserve"> &amp; </w:t>
      </w:r>
      <w:proofErr w:type="spellStart"/>
      <w:r>
        <w:rPr>
          <w:lang w:val="es-MX"/>
        </w:rPr>
        <w:t>Siegel</w:t>
      </w:r>
      <w:proofErr w:type="spellEnd"/>
      <w:r>
        <w:rPr>
          <w:lang w:val="es-MX"/>
        </w:rPr>
        <w:t xml:space="preserve">, 1987; Joseph et al., 1987; Van Der </w:t>
      </w:r>
      <w:proofErr w:type="spellStart"/>
      <w:r>
        <w:rPr>
          <w:lang w:val="es-MX"/>
        </w:rPr>
        <w:t>Velde</w:t>
      </w:r>
      <w:proofErr w:type="spellEnd"/>
      <w:r>
        <w:rPr>
          <w:lang w:val="es-MX"/>
        </w:rPr>
        <w:t xml:space="preserve">, </w:t>
      </w:r>
      <w:proofErr w:type="spellStart"/>
      <w:r>
        <w:rPr>
          <w:lang w:val="es-MX"/>
        </w:rPr>
        <w:t>Hooykaas</w:t>
      </w:r>
      <w:proofErr w:type="spellEnd"/>
      <w:r>
        <w:rPr>
          <w:lang w:val="es-MX"/>
        </w:rPr>
        <w:t xml:space="preserve">, &amp; Van Der </w:t>
      </w:r>
      <w:proofErr w:type="spellStart"/>
      <w:r>
        <w:rPr>
          <w:lang w:val="es-MX"/>
        </w:rPr>
        <w:t>Pligt</w:t>
      </w:r>
      <w:proofErr w:type="spellEnd"/>
      <w:r>
        <w:rPr>
          <w:lang w:val="es-MX"/>
        </w:rPr>
        <w:t xml:space="preserve">, 1992).  </w:t>
      </w:r>
      <w:proofErr w:type="spellStart"/>
      <w:r>
        <w:rPr>
          <w:lang w:val="es-MX"/>
        </w:rPr>
        <w:t>Burger</w:t>
      </w:r>
      <w:proofErr w:type="spellEnd"/>
      <w:r>
        <w:rPr>
          <w:lang w:val="es-MX"/>
        </w:rPr>
        <w:t xml:space="preserve"> y Burns (1988) encontraron que mujeres que subestimaban la posibilidad de quedar embarazadas no utilizaban medidas anticonceptivas. </w:t>
      </w:r>
      <w:r w:rsidR="00CB46F8">
        <w:rPr>
          <w:lang w:val="es-MX"/>
        </w:rPr>
        <w:t xml:space="preserve"> </w:t>
      </w:r>
      <w:r>
        <w:rPr>
          <w:lang w:val="es-MX"/>
        </w:rPr>
        <w:t>Ciertamente, el no anticipar las consecuencias dañinas de experimentar cier</w:t>
      </w:r>
      <w:r w:rsidR="00AE779B">
        <w:rPr>
          <w:lang w:val="es-MX"/>
        </w:rPr>
        <w:t>tos acontecimientos estresantes</w:t>
      </w:r>
      <w:r>
        <w:rPr>
          <w:lang w:val="es-MX"/>
        </w:rPr>
        <w:t xml:space="preserve"> podría tener consecuencias serias tanto para la salud como para la calidad de vida futura de una persona.  Los resultados del presente estudio mostraron que cuando una persona experimenta un evento vital estresante el impacto nocivo de éste será mayor del previsto.  Este hecho sugiere que el no haber anticipado la severidad de los diferentes acontecimientos podría tener como consecuencia el que éstos tengan un impacto inesperadamente grande y produzcan un daño somático serio.  </w:t>
      </w:r>
      <w:r w:rsidR="00CB46F8">
        <w:rPr>
          <w:lang w:val="es-MX"/>
        </w:rPr>
        <w:t xml:space="preserve">Parecería entonces </w:t>
      </w:r>
      <w:r w:rsidR="001339E5">
        <w:rPr>
          <w:lang w:val="es-MX"/>
        </w:rPr>
        <w:t xml:space="preserve">conveniente diseñar intervenciones clínicas para entrenar a las personas a ser realistas respecto al grado de estrés que cada </w:t>
      </w:r>
      <w:r>
        <w:rPr>
          <w:lang w:val="es-MX"/>
        </w:rPr>
        <w:t xml:space="preserve">acontecimiento estresante </w:t>
      </w:r>
      <w:r w:rsidR="001339E5">
        <w:rPr>
          <w:lang w:val="es-MX"/>
        </w:rPr>
        <w:t xml:space="preserve">realmente producirá y así evitar que el impacto de dichos acontecimientos </w:t>
      </w:r>
      <w:r w:rsidR="00CB46F8">
        <w:rPr>
          <w:lang w:val="es-MX"/>
        </w:rPr>
        <w:t>sea mayor del que la persona imagina</w:t>
      </w:r>
      <w:r w:rsidR="001339E5">
        <w:rPr>
          <w:lang w:val="es-MX"/>
        </w:rPr>
        <w:t>.</w:t>
      </w:r>
      <w:r w:rsidR="00EE7AF6">
        <w:rPr>
          <w:lang w:val="es-MX"/>
        </w:rPr>
        <w:t xml:space="preserve">  Los psicólogos </w:t>
      </w:r>
      <w:r w:rsidR="00EE7AF6">
        <w:rPr>
          <w:lang w:val="es-MX"/>
        </w:rPr>
        <w:lastRenderedPageBreak/>
        <w:t>clínicos pueden tomar en consideración el hecho de que las personas tienden a subestimar el impacto del estrés que experimentan y emplear esa información para diseñar intervenciones para el manejo y afrontamiento del estrés.</w:t>
      </w:r>
      <w:r w:rsidR="001339E5">
        <w:rPr>
          <w:lang w:val="es-MX"/>
        </w:rPr>
        <w:t xml:space="preserve"> </w:t>
      </w:r>
      <w:r w:rsidR="00CB46F8">
        <w:rPr>
          <w:lang w:val="es-MX"/>
        </w:rPr>
        <w:t xml:space="preserve"> </w:t>
      </w:r>
      <w:r w:rsidR="001339E5">
        <w:rPr>
          <w:lang w:val="es-MX"/>
        </w:rPr>
        <w:t xml:space="preserve">El diseño y evaluación de la efectividad </w:t>
      </w:r>
      <w:r w:rsidR="00AE779B">
        <w:rPr>
          <w:lang w:val="es-MX"/>
        </w:rPr>
        <w:t xml:space="preserve">de </w:t>
      </w:r>
      <w:r w:rsidR="001339E5">
        <w:rPr>
          <w:lang w:val="es-MX"/>
        </w:rPr>
        <w:t xml:space="preserve">dichas intervenciones </w:t>
      </w:r>
      <w:r w:rsidR="00CB46F8">
        <w:rPr>
          <w:lang w:val="es-MX"/>
        </w:rPr>
        <w:t xml:space="preserve">deberá </w:t>
      </w:r>
      <w:r w:rsidR="001339E5">
        <w:rPr>
          <w:lang w:val="es-MX"/>
        </w:rPr>
        <w:t xml:space="preserve">ser objeto de futura investigación.  </w:t>
      </w:r>
    </w:p>
    <w:p w:rsidR="00F75B7F" w:rsidRPr="00C74B30" w:rsidRDefault="009D42A1" w:rsidP="000E7BB8">
      <w:pPr>
        <w:spacing w:line="480" w:lineRule="auto"/>
      </w:pPr>
      <w:r w:rsidRPr="00C74B30">
        <w:tab/>
        <w:t>Una limitación del estudio fue que la muestra se obtuvo por conveniencia y estuvo conformada exclusivamente por habitantes de la ciudad de México</w:t>
      </w:r>
      <w:r w:rsidR="00745D7C">
        <w:t xml:space="preserve">, lo cual puede limitar </w:t>
      </w:r>
      <w:r w:rsidRPr="00C74B30">
        <w:t>la generalidad de los resultados</w:t>
      </w:r>
      <w:r w:rsidR="00745D7C">
        <w:t>.  No obstante</w:t>
      </w:r>
      <w:r w:rsidR="005E3AF9">
        <w:t xml:space="preserve">, </w:t>
      </w:r>
      <w:r w:rsidR="00E11E6E">
        <w:t xml:space="preserve">dado que en numerosos estudios hechos en distintos países se encontró que </w:t>
      </w:r>
      <w:r w:rsidR="00745D7C">
        <w:t xml:space="preserve">el orden de severidad de los puntajes LCU ha </w:t>
      </w:r>
      <w:r w:rsidR="00E11E6E">
        <w:t>sido similar</w:t>
      </w:r>
      <w:r w:rsidR="008351B8">
        <w:t xml:space="preserve"> </w:t>
      </w:r>
      <w:r w:rsidR="008351B8" w:rsidRPr="00C74B30">
        <w:rPr>
          <w:color w:val="000000"/>
        </w:rPr>
        <w:t>(</w:t>
      </w:r>
      <w:proofErr w:type="spellStart"/>
      <w:r w:rsidR="008351B8" w:rsidRPr="00C74B30">
        <w:rPr>
          <w:color w:val="000000"/>
        </w:rPr>
        <w:t>e.g.</w:t>
      </w:r>
      <w:proofErr w:type="spellEnd"/>
      <w:r w:rsidR="008351B8" w:rsidRPr="00C74B30">
        <w:rPr>
          <w:color w:val="000000"/>
        </w:rPr>
        <w:t xml:space="preserve">, Acuña et al., 2012; </w:t>
      </w:r>
      <w:proofErr w:type="spellStart"/>
      <w:r w:rsidR="008351B8" w:rsidRPr="00C74B30">
        <w:rPr>
          <w:color w:val="000000"/>
        </w:rPr>
        <w:t>Scully</w:t>
      </w:r>
      <w:proofErr w:type="spellEnd"/>
      <w:r w:rsidR="008351B8" w:rsidRPr="00C74B30">
        <w:rPr>
          <w:color w:val="000000"/>
        </w:rPr>
        <w:t xml:space="preserve">, </w:t>
      </w:r>
      <w:proofErr w:type="spellStart"/>
      <w:r w:rsidR="008351B8" w:rsidRPr="00C74B30">
        <w:rPr>
          <w:color w:val="000000"/>
        </w:rPr>
        <w:t>Tossi</w:t>
      </w:r>
      <w:proofErr w:type="spellEnd"/>
      <w:r w:rsidR="008351B8" w:rsidRPr="00C74B30">
        <w:rPr>
          <w:color w:val="000000"/>
        </w:rPr>
        <w:t xml:space="preserve">, &amp; </w:t>
      </w:r>
      <w:proofErr w:type="spellStart"/>
      <w:r w:rsidR="008351B8" w:rsidRPr="00C74B30">
        <w:rPr>
          <w:color w:val="000000"/>
        </w:rPr>
        <w:t>Banning</w:t>
      </w:r>
      <w:proofErr w:type="spellEnd"/>
      <w:r w:rsidR="008351B8" w:rsidRPr="00C74B30">
        <w:rPr>
          <w:color w:val="000000"/>
        </w:rPr>
        <w:t>, 2000)</w:t>
      </w:r>
      <w:r w:rsidR="00E11E6E">
        <w:t xml:space="preserve">, es factible </w:t>
      </w:r>
      <w:r w:rsidR="00745D7C">
        <w:t xml:space="preserve">que los puntajes reportados en el presente trabajo </w:t>
      </w:r>
      <w:r w:rsidR="00E11E6E">
        <w:t>puedan e</w:t>
      </w:r>
      <w:r w:rsidR="00745D7C">
        <w:t xml:space="preserve">mplearse con distintas poblaciones.  </w:t>
      </w:r>
      <w:r w:rsidR="00E11E6E">
        <w:t>Aún más, d</w:t>
      </w:r>
      <w:r w:rsidR="00745D7C">
        <w:t>ada</w:t>
      </w:r>
      <w:r w:rsidR="00E11E6E">
        <w:t>s</w:t>
      </w:r>
      <w:r w:rsidR="00745D7C">
        <w:t xml:space="preserve"> las similitudes entre las culturas latinoamericanas (cf. </w:t>
      </w:r>
      <w:proofErr w:type="spellStart"/>
      <w:r w:rsidR="00745D7C">
        <w:t>Triandis</w:t>
      </w:r>
      <w:proofErr w:type="spellEnd"/>
      <w:r w:rsidR="00745D7C">
        <w:t xml:space="preserve">, </w:t>
      </w:r>
      <w:r w:rsidR="00CD7092">
        <w:t>2001</w:t>
      </w:r>
      <w:r w:rsidR="00745D7C">
        <w:t xml:space="preserve">) es </w:t>
      </w:r>
      <w:r w:rsidR="00E11E6E">
        <w:t xml:space="preserve">factible </w:t>
      </w:r>
      <w:r w:rsidR="00745D7C">
        <w:t xml:space="preserve">que los puntajes reportados en este trabajo sirvan para cuantificar el grado de estrés al que han estado sometidas personas </w:t>
      </w:r>
      <w:r w:rsidR="00CD7092">
        <w:t xml:space="preserve">de distintos países </w:t>
      </w:r>
      <w:r w:rsidR="00E11E6E">
        <w:t xml:space="preserve">latinoamericanos </w:t>
      </w:r>
      <w:r w:rsidR="00CD7092">
        <w:t>que han experimentado los eventos vitales incluidos en la SRRS</w:t>
      </w:r>
      <w:r w:rsidR="00745D7C">
        <w:t xml:space="preserve">.  No obstante, </w:t>
      </w:r>
      <w:r w:rsidRPr="00C74B30">
        <w:t xml:space="preserve">en futuros estudios </w:t>
      </w:r>
      <w:r w:rsidR="00745D7C">
        <w:t xml:space="preserve">sería </w:t>
      </w:r>
      <w:r w:rsidR="00E11E6E">
        <w:t xml:space="preserve">conveniente </w:t>
      </w:r>
      <w:r w:rsidR="00AE2FB7" w:rsidRPr="00C74B30">
        <w:t xml:space="preserve">confirmar que las personas </w:t>
      </w:r>
      <w:r w:rsidR="00745D7C">
        <w:t xml:space="preserve">de distintos países </w:t>
      </w:r>
      <w:r w:rsidR="00AE2FB7" w:rsidRPr="00C74B30">
        <w:t>asignan puntajes de reajuste mayores a</w:t>
      </w:r>
      <w:r w:rsidR="00A36F9D" w:rsidRPr="00C74B30">
        <w:t xml:space="preserve"> los eventos que experimentaron que a los que sólo imaginan experimentar.  </w:t>
      </w:r>
    </w:p>
    <w:p w:rsidR="003B609A" w:rsidRDefault="009D42A1" w:rsidP="003B609A">
      <w:pPr>
        <w:spacing w:line="480" w:lineRule="auto"/>
        <w:ind w:left="709" w:hanging="709"/>
        <w:jc w:val="center"/>
      </w:pPr>
      <w:r w:rsidRPr="00C74B30">
        <w:rPr>
          <w:b/>
        </w:rPr>
        <w:t>Referencias</w:t>
      </w:r>
    </w:p>
    <w:p w:rsidR="003B609A" w:rsidRPr="00C74B30" w:rsidRDefault="003B609A" w:rsidP="003B609A">
      <w:pPr>
        <w:spacing w:line="480" w:lineRule="auto"/>
        <w:ind w:left="709" w:hanging="709"/>
      </w:pPr>
      <w:r w:rsidRPr="00C74B30">
        <w:t>Acuña, L., González</w:t>
      </w:r>
      <w:r>
        <w:t>-García</w:t>
      </w:r>
      <w:r w:rsidRPr="00C74B30">
        <w:t xml:space="preserve">, D. A., &amp; </w:t>
      </w:r>
      <w:proofErr w:type="spellStart"/>
      <w:r w:rsidRPr="00C74B30">
        <w:t>Bruner</w:t>
      </w:r>
      <w:proofErr w:type="spellEnd"/>
      <w:r w:rsidRPr="00C74B30">
        <w:t xml:space="preserve">, C. A. (2010). Efecto del número de prestadores de ayuda sobre el malestar vital experimentado o imaginado. En S. Rivera Aragón, R. Díaz </w:t>
      </w:r>
      <w:proofErr w:type="spellStart"/>
      <w:r w:rsidRPr="00C74B30">
        <w:t>Loving</w:t>
      </w:r>
      <w:proofErr w:type="spellEnd"/>
      <w:r w:rsidRPr="00C74B30">
        <w:t xml:space="preserve">, I. Reyes </w:t>
      </w:r>
      <w:proofErr w:type="spellStart"/>
      <w:r w:rsidRPr="00C74B30">
        <w:t>Lagunes</w:t>
      </w:r>
      <w:proofErr w:type="spellEnd"/>
      <w:r w:rsidRPr="00C74B30">
        <w:t>, R. Sánchez Aragón, &amp; L. M. Cruz Martínez,</w:t>
      </w:r>
      <w:r w:rsidRPr="00C74B30">
        <w:rPr>
          <w:b/>
          <w:bCs/>
        </w:rPr>
        <w:t xml:space="preserve"> </w:t>
      </w:r>
      <w:r w:rsidRPr="00C74B30">
        <w:rPr>
          <w:i/>
          <w:iCs/>
        </w:rPr>
        <w:t>La Psicología Social en México</w:t>
      </w:r>
      <w:r w:rsidRPr="00C74B30">
        <w:t xml:space="preserve">, </w:t>
      </w:r>
      <w:r w:rsidRPr="00C74B30">
        <w:rPr>
          <w:i/>
          <w:iCs/>
        </w:rPr>
        <w:t>vol. 13</w:t>
      </w:r>
      <w:r w:rsidRPr="00C74B30">
        <w:t xml:space="preserve"> (pp. 583-590)</w:t>
      </w:r>
      <w:r w:rsidRPr="00C74B30">
        <w:rPr>
          <w:iCs/>
        </w:rPr>
        <w:t>.</w:t>
      </w:r>
      <w:r w:rsidRPr="00C74B30">
        <w:t xml:space="preserve"> México: Asociación Mexicana de Psicología Social.</w:t>
      </w:r>
    </w:p>
    <w:p w:rsidR="003B609A" w:rsidRPr="003B609A" w:rsidRDefault="003B609A" w:rsidP="003B609A">
      <w:pPr>
        <w:spacing w:line="480" w:lineRule="auto"/>
        <w:ind w:left="709" w:hanging="709"/>
        <w:rPr>
          <w:lang w:val="en-US"/>
        </w:rPr>
      </w:pPr>
      <w:r>
        <w:t>Acuña, L., González-</w:t>
      </w:r>
      <w:r w:rsidRPr="00C74B30">
        <w:t xml:space="preserve">García, D. A., &amp; </w:t>
      </w:r>
      <w:proofErr w:type="spellStart"/>
      <w:r w:rsidRPr="00C74B30">
        <w:t>Bruner</w:t>
      </w:r>
      <w:proofErr w:type="spellEnd"/>
      <w:r w:rsidRPr="00C74B30">
        <w:t>, C. A. (2012). La escala de reajuste social en México: Una revisión 16 años después. </w:t>
      </w:r>
      <w:proofErr w:type="spellStart"/>
      <w:r w:rsidRPr="003B609A">
        <w:rPr>
          <w:i/>
          <w:lang w:val="en-US"/>
        </w:rPr>
        <w:t>Revista</w:t>
      </w:r>
      <w:proofErr w:type="spellEnd"/>
      <w:r w:rsidRPr="003B609A">
        <w:rPr>
          <w:i/>
          <w:lang w:val="en-US"/>
        </w:rPr>
        <w:t xml:space="preserve"> Mexicana de </w:t>
      </w:r>
      <w:proofErr w:type="spellStart"/>
      <w:r w:rsidRPr="003B609A">
        <w:rPr>
          <w:i/>
          <w:lang w:val="en-US"/>
        </w:rPr>
        <w:t>Psicología</w:t>
      </w:r>
      <w:proofErr w:type="spellEnd"/>
      <w:r w:rsidRPr="003B609A">
        <w:rPr>
          <w:lang w:val="en-US"/>
        </w:rPr>
        <w:t>, 29, 16-32.</w:t>
      </w:r>
    </w:p>
    <w:p w:rsidR="003B609A" w:rsidRDefault="003B609A" w:rsidP="003B609A">
      <w:pPr>
        <w:spacing w:line="480" w:lineRule="auto"/>
        <w:ind w:left="709" w:hanging="709"/>
        <w:rPr>
          <w:lang w:val="en-US"/>
        </w:rPr>
      </w:pPr>
      <w:proofErr w:type="gramStart"/>
      <w:r w:rsidRPr="003B609A">
        <w:rPr>
          <w:shd w:val="clear" w:color="auto" w:fill="FFFFFF"/>
          <w:lang w:val="en-US"/>
        </w:rPr>
        <w:t>Bauman, L. J., &amp; Siegel, K. (1987).</w:t>
      </w:r>
      <w:proofErr w:type="gramEnd"/>
      <w:r w:rsidRPr="003B609A">
        <w:rPr>
          <w:shd w:val="clear" w:color="auto" w:fill="FFFFFF"/>
          <w:lang w:val="en-US"/>
        </w:rPr>
        <w:t xml:space="preserve"> </w:t>
      </w:r>
      <w:r>
        <w:rPr>
          <w:shd w:val="clear" w:color="auto" w:fill="FFFFFF"/>
          <w:lang w:val="en-US"/>
        </w:rPr>
        <w:t>Misperception among gay men of the risk for AIDS associated with their sexual behavior.</w:t>
      </w:r>
      <w:r>
        <w:rPr>
          <w:rStyle w:val="apple-converted-space"/>
          <w:shd w:val="clear" w:color="auto" w:fill="FFFFFF"/>
          <w:lang w:val="en-US"/>
        </w:rPr>
        <w:t> </w:t>
      </w:r>
      <w:r>
        <w:rPr>
          <w:i/>
          <w:iCs/>
          <w:shd w:val="clear" w:color="auto" w:fill="FFFFFF"/>
          <w:lang w:val="en-US"/>
        </w:rPr>
        <w:t>Journal of Applied Social Psychology</w:t>
      </w:r>
      <w:r>
        <w:rPr>
          <w:shd w:val="clear" w:color="auto" w:fill="FFFFFF"/>
          <w:lang w:val="en-US"/>
        </w:rPr>
        <w:t>,</w:t>
      </w:r>
      <w:r>
        <w:rPr>
          <w:rStyle w:val="apple-converted-space"/>
          <w:shd w:val="clear" w:color="auto" w:fill="FFFFFF"/>
          <w:lang w:val="en-US"/>
        </w:rPr>
        <w:t> </w:t>
      </w:r>
      <w:r>
        <w:rPr>
          <w:i/>
          <w:iCs/>
          <w:shd w:val="clear" w:color="auto" w:fill="FFFFFF"/>
          <w:lang w:val="en-US"/>
        </w:rPr>
        <w:t>17</w:t>
      </w:r>
      <w:r>
        <w:rPr>
          <w:shd w:val="clear" w:color="auto" w:fill="FFFFFF"/>
          <w:lang w:val="en-US"/>
        </w:rPr>
        <w:t xml:space="preserve">(3), 329-350.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oi:10.1</w:t>
      </w:r>
      <w:r w:rsidRPr="003B609A">
        <w:rPr>
          <w:rStyle w:val="Hipervnculo"/>
          <w:lang w:val="en-US"/>
        </w:rPr>
        <w:t>111</w:t>
      </w:r>
      <w:r w:rsidRPr="003B609A">
        <w:rPr>
          <w:rStyle w:val="Hipervnculo"/>
          <w:rFonts w:hint="eastAsia"/>
          <w:lang w:val="en-US"/>
        </w:rPr>
        <w:t>/j.</w:t>
      </w:r>
      <w:r w:rsidRPr="003B609A">
        <w:rPr>
          <w:rStyle w:val="Hipervnculo"/>
          <w:lang w:val="en-US"/>
        </w:rPr>
        <w:t>1559-1816.1987.tv00317.x</w:t>
      </w:r>
      <w:r w:rsidR="00736E0C">
        <w:fldChar w:fldCharType="end"/>
      </w:r>
    </w:p>
    <w:p w:rsidR="003B609A" w:rsidRPr="003B609A" w:rsidRDefault="003B609A" w:rsidP="003B609A">
      <w:pPr>
        <w:spacing w:line="480" w:lineRule="auto"/>
        <w:ind w:left="709" w:hanging="709"/>
        <w:rPr>
          <w:lang w:val="en-US"/>
        </w:rPr>
      </w:pPr>
      <w:proofErr w:type="gramStart"/>
      <w:r w:rsidRPr="00E11E6E">
        <w:rPr>
          <w:lang w:val="en-US"/>
        </w:rPr>
        <w:lastRenderedPageBreak/>
        <w:t xml:space="preserve">Bruner, C. A., </w:t>
      </w:r>
      <w:proofErr w:type="spellStart"/>
      <w:r w:rsidRPr="00E11E6E">
        <w:rPr>
          <w:lang w:val="en-US"/>
        </w:rPr>
        <w:t>Acuña</w:t>
      </w:r>
      <w:proofErr w:type="spellEnd"/>
      <w:r w:rsidRPr="00E11E6E">
        <w:rPr>
          <w:lang w:val="en-US"/>
        </w:rPr>
        <w:t xml:space="preserve">, L., &amp; Gallardo, L. M., </w:t>
      </w:r>
      <w:proofErr w:type="spellStart"/>
      <w:r w:rsidRPr="00E11E6E">
        <w:rPr>
          <w:lang w:val="en-US"/>
        </w:rPr>
        <w:t>Atri</w:t>
      </w:r>
      <w:proofErr w:type="spellEnd"/>
      <w:r w:rsidRPr="00E11E6E">
        <w:rPr>
          <w:lang w:val="en-US"/>
        </w:rPr>
        <w:t xml:space="preserve">, R., </w:t>
      </w:r>
      <w:proofErr w:type="spellStart"/>
      <w:r w:rsidRPr="00E11E6E">
        <w:rPr>
          <w:lang w:val="en-US"/>
        </w:rPr>
        <w:t>Hernández</w:t>
      </w:r>
      <w:proofErr w:type="spellEnd"/>
      <w:r w:rsidRPr="00E11E6E">
        <w:rPr>
          <w:lang w:val="en-US"/>
        </w:rPr>
        <w:t xml:space="preserve">, A., </w:t>
      </w:r>
      <w:proofErr w:type="spellStart"/>
      <w:r w:rsidRPr="00E11E6E">
        <w:rPr>
          <w:lang w:val="en-US"/>
        </w:rPr>
        <w:t>Rodríguez</w:t>
      </w:r>
      <w:proofErr w:type="spellEnd"/>
      <w:r w:rsidRPr="00E11E6E">
        <w:rPr>
          <w:lang w:val="en-US"/>
        </w:rPr>
        <w:t>, W., &amp; Robles, G. (1994).</w:t>
      </w:r>
      <w:proofErr w:type="gramEnd"/>
      <w:r w:rsidRPr="00E11E6E">
        <w:rPr>
          <w:lang w:val="en-US"/>
        </w:rPr>
        <w:t xml:space="preserve">  </w:t>
      </w:r>
      <w:r w:rsidRPr="00C74B30">
        <w:t xml:space="preserve">La escala de reajuste social (SRRS) de Holmes y </w:t>
      </w:r>
      <w:proofErr w:type="spellStart"/>
      <w:r w:rsidRPr="00C74B30">
        <w:t>Rahe</w:t>
      </w:r>
      <w:proofErr w:type="spellEnd"/>
      <w:r w:rsidRPr="00C74B30">
        <w:t xml:space="preserve"> en México.  </w:t>
      </w:r>
      <w:proofErr w:type="spellStart"/>
      <w:r w:rsidRPr="003B609A">
        <w:rPr>
          <w:i/>
          <w:lang w:val="en-US"/>
        </w:rPr>
        <w:t>Revista</w:t>
      </w:r>
      <w:proofErr w:type="spellEnd"/>
      <w:r w:rsidRPr="003B609A">
        <w:rPr>
          <w:i/>
          <w:lang w:val="en-US"/>
        </w:rPr>
        <w:t xml:space="preserve"> </w:t>
      </w:r>
      <w:proofErr w:type="spellStart"/>
      <w:r w:rsidRPr="003B609A">
        <w:rPr>
          <w:i/>
          <w:lang w:val="en-US"/>
        </w:rPr>
        <w:t>Latinoamericana</w:t>
      </w:r>
      <w:proofErr w:type="spellEnd"/>
      <w:r w:rsidRPr="003B609A">
        <w:rPr>
          <w:i/>
          <w:lang w:val="en-US"/>
        </w:rPr>
        <w:t xml:space="preserve"> de </w:t>
      </w:r>
      <w:proofErr w:type="spellStart"/>
      <w:r w:rsidRPr="003B609A">
        <w:rPr>
          <w:i/>
          <w:lang w:val="en-US"/>
        </w:rPr>
        <w:t>Psicología</w:t>
      </w:r>
      <w:proofErr w:type="spellEnd"/>
      <w:r w:rsidRPr="003B609A">
        <w:rPr>
          <w:lang w:val="en-US"/>
        </w:rPr>
        <w:t>, 26, 253-269.</w:t>
      </w:r>
    </w:p>
    <w:p w:rsidR="003B609A" w:rsidRDefault="003B609A" w:rsidP="003B609A">
      <w:pPr>
        <w:spacing w:line="480" w:lineRule="auto"/>
        <w:ind w:left="709" w:hanging="709"/>
        <w:rPr>
          <w:lang w:val="en-US"/>
        </w:rPr>
      </w:pPr>
      <w:proofErr w:type="gramStart"/>
      <w:r>
        <w:rPr>
          <w:shd w:val="clear" w:color="auto" w:fill="FFFFFF"/>
          <w:lang w:val="en-US"/>
        </w:rPr>
        <w:t>Burger, J. M., &amp; Burns, L. (1988).</w:t>
      </w:r>
      <w:proofErr w:type="gramEnd"/>
      <w:r>
        <w:rPr>
          <w:shd w:val="clear" w:color="auto" w:fill="FFFFFF"/>
          <w:lang w:val="en-US"/>
        </w:rPr>
        <w:t xml:space="preserve"> </w:t>
      </w:r>
      <w:proofErr w:type="gramStart"/>
      <w:r>
        <w:rPr>
          <w:shd w:val="clear" w:color="auto" w:fill="FFFFFF"/>
          <w:lang w:val="en-US"/>
        </w:rPr>
        <w:t>The illusion of unique invulnerability and the use of effective contraception.</w:t>
      </w:r>
      <w:proofErr w:type="gramEnd"/>
      <w:r>
        <w:rPr>
          <w:rStyle w:val="apple-converted-space"/>
          <w:shd w:val="clear" w:color="auto" w:fill="FFFFFF"/>
          <w:lang w:val="en-US"/>
        </w:rPr>
        <w:t> </w:t>
      </w:r>
      <w:r>
        <w:rPr>
          <w:i/>
          <w:iCs/>
          <w:shd w:val="clear" w:color="auto" w:fill="FFFFFF"/>
          <w:lang w:val="en-US"/>
        </w:rPr>
        <w:t>Personality and Social Psychology Bulletin</w:t>
      </w:r>
      <w:r>
        <w:rPr>
          <w:shd w:val="clear" w:color="auto" w:fill="FFFFFF"/>
          <w:lang w:val="en-US"/>
        </w:rPr>
        <w:t xml:space="preserve">, </w:t>
      </w:r>
      <w:r>
        <w:rPr>
          <w:i/>
          <w:iCs/>
          <w:shd w:val="clear" w:color="auto" w:fill="FFFFFF"/>
          <w:lang w:val="en-US"/>
        </w:rPr>
        <w:t>14</w:t>
      </w:r>
      <w:r>
        <w:rPr>
          <w:shd w:val="clear" w:color="auto" w:fill="FFFFFF"/>
          <w:lang w:val="en-US"/>
        </w:rPr>
        <w:t xml:space="preserve">(2), 264-270.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w:t>
      </w:r>
      <w:r w:rsidRPr="003B609A">
        <w:rPr>
          <w:rStyle w:val="Hipervnculo"/>
          <w:lang w:val="en-US"/>
        </w:rPr>
        <w:t>177</w:t>
      </w:r>
      <w:proofErr w:type="gramEnd"/>
      <w:r w:rsidRPr="003B609A">
        <w:rPr>
          <w:rStyle w:val="Hipervnculo"/>
          <w:rFonts w:hint="eastAsia"/>
          <w:lang w:val="en-US"/>
        </w:rPr>
        <w:t>/</w:t>
      </w:r>
      <w:r w:rsidRPr="003B609A">
        <w:rPr>
          <w:rStyle w:val="Hipervnculo"/>
          <w:lang w:val="en-US"/>
        </w:rPr>
        <w:t>0146167288142005</w:t>
      </w:r>
      <w:r w:rsidR="00736E0C">
        <w:fldChar w:fldCharType="end"/>
      </w:r>
    </w:p>
    <w:p w:rsidR="003B609A" w:rsidRPr="008043E7" w:rsidRDefault="003B609A" w:rsidP="003B609A">
      <w:pPr>
        <w:spacing w:line="480" w:lineRule="auto"/>
        <w:ind w:left="709" w:hanging="709"/>
        <w:rPr>
          <w:lang w:val="en-US"/>
        </w:rPr>
      </w:pPr>
      <w:proofErr w:type="gramStart"/>
      <w:r w:rsidRPr="00E11E6E">
        <w:rPr>
          <w:lang w:val="en-US"/>
        </w:rPr>
        <w:t>Chung, M. C., Symons, C., Gilliam, J., &amp; Kaminski, E. R. (2010).</w:t>
      </w:r>
      <w:proofErr w:type="gramEnd"/>
      <w:r w:rsidRPr="00E11E6E">
        <w:rPr>
          <w:lang w:val="en-US"/>
        </w:rPr>
        <w:t xml:space="preserve"> </w:t>
      </w:r>
      <w:r w:rsidRPr="00C74B30">
        <w:rPr>
          <w:lang w:val="en-US"/>
        </w:rPr>
        <w:t xml:space="preserve">Stress, psychiatric co-morbidity and coping in patients with chronic idiopathic </w:t>
      </w:r>
      <w:proofErr w:type="spellStart"/>
      <w:r w:rsidRPr="00C74B30">
        <w:rPr>
          <w:lang w:val="en-US"/>
        </w:rPr>
        <w:t>urticaria</w:t>
      </w:r>
      <w:proofErr w:type="spellEnd"/>
      <w:r w:rsidRPr="00C74B30">
        <w:rPr>
          <w:lang w:val="en-US"/>
        </w:rPr>
        <w:t xml:space="preserve">. </w:t>
      </w:r>
      <w:r w:rsidRPr="00C74B30">
        <w:rPr>
          <w:i/>
          <w:lang w:val="en-US"/>
        </w:rPr>
        <w:t>Psychology and Health,</w:t>
      </w:r>
      <w:r w:rsidRPr="00C74B30">
        <w:rPr>
          <w:lang w:val="en-US"/>
        </w:rPr>
        <w:t> </w:t>
      </w:r>
      <w:r w:rsidRPr="00C74B30">
        <w:rPr>
          <w:i/>
          <w:lang w:val="en-US"/>
        </w:rPr>
        <w:t>25</w:t>
      </w:r>
      <w:r w:rsidRPr="00C74B30">
        <w:rPr>
          <w:lang w:val="en-US"/>
        </w:rPr>
        <w:t>, 477-490.</w:t>
      </w:r>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w:t>
      </w:r>
      <w:r w:rsidRPr="003B609A">
        <w:rPr>
          <w:rStyle w:val="Hipervnculo"/>
          <w:lang w:val="en-US"/>
        </w:rPr>
        <w:t>80</w:t>
      </w:r>
      <w:proofErr w:type="gramEnd"/>
      <w:r w:rsidRPr="003B609A">
        <w:rPr>
          <w:rStyle w:val="Hipervnculo"/>
          <w:rFonts w:hint="eastAsia"/>
          <w:lang w:val="en-US"/>
        </w:rPr>
        <w:t>/</w:t>
      </w:r>
      <w:r w:rsidRPr="003B609A">
        <w:rPr>
          <w:rStyle w:val="Hipervnculo"/>
          <w:lang w:val="en-US"/>
        </w:rPr>
        <w:t>08870440802530780</w:t>
      </w:r>
      <w:r w:rsidR="00736E0C">
        <w:fldChar w:fldCharType="end"/>
      </w:r>
    </w:p>
    <w:p w:rsidR="00AE779B" w:rsidRPr="00C74B30" w:rsidRDefault="00AE779B" w:rsidP="00AE779B">
      <w:pPr>
        <w:spacing w:line="480" w:lineRule="auto"/>
        <w:ind w:left="709" w:hanging="709"/>
        <w:rPr>
          <w:lang w:val="en-US"/>
        </w:rPr>
      </w:pPr>
      <w:proofErr w:type="spellStart"/>
      <w:proofErr w:type="gramStart"/>
      <w:r>
        <w:rPr>
          <w:lang w:val="en-US"/>
        </w:rPr>
        <w:t>Dewe</w:t>
      </w:r>
      <w:proofErr w:type="spellEnd"/>
      <w:r>
        <w:rPr>
          <w:lang w:val="en-US"/>
        </w:rPr>
        <w:t xml:space="preserve">, P., &amp; </w:t>
      </w:r>
      <w:r w:rsidRPr="00C74B30">
        <w:rPr>
          <w:lang w:val="en-US"/>
        </w:rPr>
        <w:t>Cooper C. L. (2007).</w:t>
      </w:r>
      <w:proofErr w:type="gramEnd"/>
      <w:r w:rsidRPr="00C74B30">
        <w:rPr>
          <w:lang w:val="en-US"/>
        </w:rPr>
        <w:t xml:space="preserve"> </w:t>
      </w:r>
      <w:proofErr w:type="gramStart"/>
      <w:r w:rsidRPr="00C74B30">
        <w:rPr>
          <w:lang w:val="en-US"/>
        </w:rPr>
        <w:t>Coping research and measurement in the context of work related stress.</w:t>
      </w:r>
      <w:proofErr w:type="gramEnd"/>
      <w:r w:rsidRPr="00C74B30">
        <w:rPr>
          <w:lang w:val="en-US"/>
        </w:rPr>
        <w:t> </w:t>
      </w:r>
      <w:proofErr w:type="gramStart"/>
      <w:r>
        <w:rPr>
          <w:lang w:val="en-US"/>
        </w:rPr>
        <w:t xml:space="preserve">En G. P. </w:t>
      </w:r>
      <w:proofErr w:type="spellStart"/>
      <w:r w:rsidRPr="008E00A6">
        <w:rPr>
          <w:lang w:val="en-US"/>
        </w:rPr>
        <w:t>Hodgkinson</w:t>
      </w:r>
      <w:proofErr w:type="spellEnd"/>
      <w:r>
        <w:rPr>
          <w:lang w:val="en-US"/>
        </w:rPr>
        <w:t xml:space="preserve"> &amp; J. K. </w:t>
      </w:r>
      <w:r w:rsidRPr="008E00A6">
        <w:rPr>
          <w:lang w:val="en-US"/>
        </w:rPr>
        <w:t>Ford</w:t>
      </w:r>
      <w:r>
        <w:rPr>
          <w:lang w:val="en-US"/>
        </w:rPr>
        <w:t xml:space="preserve"> (Eds.)</w:t>
      </w:r>
      <w:r w:rsidRPr="008E00A6">
        <w:rPr>
          <w:i/>
          <w:lang w:val="en-US"/>
        </w:rPr>
        <w:t xml:space="preserve"> </w:t>
      </w:r>
      <w:r>
        <w:rPr>
          <w:i/>
          <w:lang w:val="en-US"/>
        </w:rPr>
        <w:t>International Review of Industrial and Organizational P</w:t>
      </w:r>
      <w:r w:rsidRPr="00C74B30">
        <w:rPr>
          <w:i/>
          <w:lang w:val="en-US"/>
        </w:rPr>
        <w:t>sychology</w:t>
      </w:r>
      <w:r>
        <w:rPr>
          <w:lang w:val="en-US"/>
        </w:rPr>
        <w:t xml:space="preserve"> (</w:t>
      </w:r>
      <w:proofErr w:type="spellStart"/>
      <w:r>
        <w:rPr>
          <w:lang w:val="en-US"/>
        </w:rPr>
        <w:t>Vol</w:t>
      </w:r>
      <w:proofErr w:type="spellEnd"/>
      <w:r>
        <w:rPr>
          <w:lang w:val="en-US"/>
        </w:rPr>
        <w:t xml:space="preserve"> 22, pp </w:t>
      </w:r>
      <w:r w:rsidRPr="00C74B30">
        <w:rPr>
          <w:lang w:val="en-US"/>
        </w:rPr>
        <w:t>141</w:t>
      </w:r>
      <w:r>
        <w:rPr>
          <w:lang w:val="en-US"/>
        </w:rPr>
        <w:t>-192)</w:t>
      </w:r>
      <w:r w:rsidRPr="00C74B30">
        <w:rPr>
          <w:lang w:val="en-US"/>
        </w:rPr>
        <w:t>.</w:t>
      </w:r>
      <w:proofErr w:type="gramEnd"/>
      <w:r>
        <w:rPr>
          <w:lang w:val="en-US"/>
        </w:rPr>
        <w:t xml:space="preserve"> </w:t>
      </w:r>
      <w:hyperlink r:id="rId8" w:tgtFrame="doilink" w:history="1">
        <w:r w:rsidRPr="009C1CC2">
          <w:rPr>
            <w:rStyle w:val="Hipervnculo"/>
            <w:lang w:val="en-US"/>
          </w:rPr>
          <w:t>D</w:t>
        </w:r>
        <w:r>
          <w:rPr>
            <w:rStyle w:val="Hipervnculo"/>
            <w:rFonts w:hint="eastAsia"/>
            <w:lang w:val="en-US"/>
          </w:rPr>
          <w:t>oi:10.10</w:t>
        </w:r>
        <w:r>
          <w:rPr>
            <w:rStyle w:val="Hipervnculo"/>
            <w:lang w:val="en-US"/>
          </w:rPr>
          <w:t>02</w:t>
        </w:r>
        <w:r w:rsidRPr="009C1CC2">
          <w:rPr>
            <w:rStyle w:val="Hipervnculo"/>
            <w:rFonts w:hint="eastAsia"/>
            <w:lang w:val="en-US"/>
          </w:rPr>
          <w:t>/</w:t>
        </w:r>
        <w:r>
          <w:rPr>
            <w:rStyle w:val="Hipervnculo"/>
            <w:lang w:val="en-US"/>
          </w:rPr>
          <w:t>9780470745267.oth1</w:t>
        </w:r>
      </w:hyperlink>
    </w:p>
    <w:p w:rsidR="003B609A" w:rsidRPr="00C74B30" w:rsidRDefault="003B609A" w:rsidP="003B609A">
      <w:pPr>
        <w:spacing w:line="480" w:lineRule="auto"/>
        <w:ind w:left="709" w:hanging="709"/>
        <w:rPr>
          <w:lang w:val="en-US"/>
        </w:rPr>
      </w:pPr>
      <w:proofErr w:type="gramStart"/>
      <w:r w:rsidRPr="00C74B30">
        <w:rPr>
          <w:shd w:val="clear" w:color="auto" w:fill="FFFFFF"/>
          <w:lang w:val="en-US"/>
        </w:rPr>
        <w:t xml:space="preserve">Hackett, T. P., &amp; </w:t>
      </w:r>
      <w:proofErr w:type="spellStart"/>
      <w:r w:rsidRPr="00C74B30">
        <w:rPr>
          <w:shd w:val="clear" w:color="auto" w:fill="FFFFFF"/>
          <w:lang w:val="en-US"/>
        </w:rPr>
        <w:t>Cassem</w:t>
      </w:r>
      <w:proofErr w:type="spellEnd"/>
      <w:r w:rsidRPr="00C74B30">
        <w:rPr>
          <w:shd w:val="clear" w:color="auto" w:fill="FFFFFF"/>
          <w:lang w:val="en-US"/>
        </w:rPr>
        <w:t>, N. H. (1969).</w:t>
      </w:r>
      <w:proofErr w:type="gramEnd"/>
      <w:r w:rsidRPr="00C74B30">
        <w:rPr>
          <w:shd w:val="clear" w:color="auto" w:fill="FFFFFF"/>
          <w:lang w:val="en-US"/>
        </w:rPr>
        <w:t xml:space="preserve"> </w:t>
      </w:r>
      <w:proofErr w:type="gramStart"/>
      <w:r w:rsidRPr="00C74B30">
        <w:rPr>
          <w:shd w:val="clear" w:color="auto" w:fill="FFFFFF"/>
          <w:lang w:val="en-US"/>
        </w:rPr>
        <w:t>Factors contributing to delay in responding to the signs and symptoms of acute myocardial infarction.</w:t>
      </w:r>
      <w:proofErr w:type="gramEnd"/>
      <w:r w:rsidRPr="00C74B30">
        <w:rPr>
          <w:rStyle w:val="apple-converted-space"/>
          <w:shd w:val="clear" w:color="auto" w:fill="FFFFFF"/>
          <w:lang w:val="en-US"/>
        </w:rPr>
        <w:t> </w:t>
      </w:r>
      <w:r>
        <w:rPr>
          <w:i/>
          <w:iCs/>
          <w:shd w:val="clear" w:color="auto" w:fill="FFFFFF"/>
          <w:lang w:val="en-US"/>
        </w:rPr>
        <w:t>The American Journal of C</w:t>
      </w:r>
      <w:r w:rsidRPr="00C74B30">
        <w:rPr>
          <w:i/>
          <w:iCs/>
          <w:shd w:val="clear" w:color="auto" w:fill="FFFFFF"/>
          <w:lang w:val="en-US"/>
        </w:rPr>
        <w:t>ardiology</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24</w:t>
      </w:r>
      <w:r w:rsidRPr="00C74B30">
        <w:rPr>
          <w:shd w:val="clear" w:color="auto" w:fill="FFFFFF"/>
          <w:lang w:val="en-US"/>
        </w:rPr>
        <w:t>, 651-658.</w:t>
      </w:r>
      <w:r>
        <w:rPr>
          <w:shd w:val="clear" w:color="auto" w:fill="FFFFFF"/>
          <w:lang w:val="en-US"/>
        </w:rPr>
        <w:t xml:space="preserve"> </w:t>
      </w:r>
      <w:r w:rsidR="00736E0C">
        <w:fldChar w:fldCharType="begin"/>
      </w:r>
      <w:r w:rsidR="00736E0C" w:rsidRPr="008043E7">
        <w:rPr>
          <w:lang w:val="en-US"/>
        </w:rPr>
        <w:instrText>HYPERLINK "http://dx.doi.org/10.1016/0002-9149(69)90452-4" \t "doilink"</w:instrText>
      </w:r>
      <w:r w:rsidR="00736E0C">
        <w:fldChar w:fldCharType="separate"/>
      </w:r>
      <w:r w:rsidRPr="003B609A">
        <w:rPr>
          <w:rStyle w:val="Hipervnculo"/>
          <w:shd w:val="clear" w:color="auto" w:fill="FFFFFF"/>
          <w:lang w:val="en-US"/>
        </w:rPr>
        <w:t>D</w:t>
      </w:r>
      <w:r w:rsidRPr="003B609A">
        <w:rPr>
          <w:rStyle w:val="Hipervnculo"/>
          <w:rFonts w:hint="eastAsia"/>
          <w:shd w:val="clear" w:color="auto" w:fill="FFFFFF"/>
          <w:lang w:val="en-US"/>
        </w:rPr>
        <w:t>oi</w:t>
      </w:r>
      <w:proofErr w:type="gramStart"/>
      <w:r w:rsidRPr="003B609A">
        <w:rPr>
          <w:rStyle w:val="Hipervnculo"/>
          <w:rFonts w:hint="eastAsia"/>
          <w:shd w:val="clear" w:color="auto" w:fill="FFFFFF"/>
          <w:lang w:val="en-US"/>
        </w:rPr>
        <w:t>:10.1016</w:t>
      </w:r>
      <w:proofErr w:type="gramEnd"/>
      <w:r w:rsidRPr="003B609A">
        <w:rPr>
          <w:rStyle w:val="Hipervnculo"/>
          <w:rFonts w:hint="eastAsia"/>
          <w:shd w:val="clear" w:color="auto" w:fill="FFFFFF"/>
          <w:lang w:val="en-US"/>
        </w:rPr>
        <w:t>/0002-9149(69)90452-4</w:t>
      </w:r>
      <w:r w:rsidR="00736E0C">
        <w:fldChar w:fldCharType="end"/>
      </w:r>
    </w:p>
    <w:p w:rsidR="003B609A" w:rsidRDefault="003B609A" w:rsidP="003B609A">
      <w:pPr>
        <w:spacing w:line="480" w:lineRule="auto"/>
        <w:ind w:left="709" w:hanging="709"/>
        <w:rPr>
          <w:lang w:val="en-US"/>
        </w:rPr>
      </w:pPr>
      <w:proofErr w:type="spellStart"/>
      <w:proofErr w:type="gramStart"/>
      <w:r w:rsidRPr="00C74B30">
        <w:rPr>
          <w:lang w:val="en-US"/>
        </w:rPr>
        <w:t>Harkness</w:t>
      </w:r>
      <w:proofErr w:type="spellEnd"/>
      <w:r w:rsidRPr="00C74B30">
        <w:rPr>
          <w:lang w:val="en-US"/>
        </w:rPr>
        <w:t xml:space="preserve">, K. L., </w:t>
      </w:r>
      <w:proofErr w:type="spellStart"/>
      <w:r w:rsidRPr="00C74B30">
        <w:rPr>
          <w:lang w:val="en-US"/>
        </w:rPr>
        <w:t>Alavi</w:t>
      </w:r>
      <w:proofErr w:type="spellEnd"/>
      <w:r w:rsidRPr="00C74B30">
        <w:rPr>
          <w:lang w:val="en-US"/>
        </w:rPr>
        <w:t xml:space="preserve">, N., Monroe, S. M., </w:t>
      </w:r>
      <w:proofErr w:type="spellStart"/>
      <w:r w:rsidRPr="00C74B30">
        <w:rPr>
          <w:lang w:val="en-US"/>
        </w:rPr>
        <w:t>Slavich</w:t>
      </w:r>
      <w:proofErr w:type="spellEnd"/>
      <w:r w:rsidRPr="00C74B30">
        <w:rPr>
          <w:lang w:val="en-US"/>
        </w:rPr>
        <w:t xml:space="preserve">, G. M., </w:t>
      </w:r>
      <w:proofErr w:type="spellStart"/>
      <w:r w:rsidRPr="00C74B30">
        <w:rPr>
          <w:lang w:val="en-US"/>
        </w:rPr>
        <w:t>Gotlib</w:t>
      </w:r>
      <w:proofErr w:type="spellEnd"/>
      <w:r w:rsidRPr="00C74B30">
        <w:rPr>
          <w:lang w:val="en-US"/>
        </w:rPr>
        <w:t xml:space="preserve">, I. H., &amp; </w:t>
      </w:r>
      <w:proofErr w:type="spellStart"/>
      <w:r w:rsidRPr="00C74B30">
        <w:rPr>
          <w:lang w:val="en-US"/>
        </w:rPr>
        <w:t>Bagby</w:t>
      </w:r>
      <w:proofErr w:type="spellEnd"/>
      <w:r w:rsidRPr="00C74B30">
        <w:rPr>
          <w:lang w:val="en-US"/>
        </w:rPr>
        <w:t>, R. M. (2010).</w:t>
      </w:r>
      <w:proofErr w:type="gramEnd"/>
      <w:r w:rsidRPr="00C74B30">
        <w:rPr>
          <w:lang w:val="en-US"/>
        </w:rPr>
        <w:t xml:space="preserve"> Gender differences in life events prior to onset</w:t>
      </w:r>
      <w:r>
        <w:rPr>
          <w:lang w:val="en-US"/>
        </w:rPr>
        <w:t xml:space="preserve"> of major depressive disorder: T</w:t>
      </w:r>
      <w:r w:rsidRPr="00C74B30">
        <w:rPr>
          <w:lang w:val="en-US"/>
        </w:rPr>
        <w:t>he moderating effect of age. </w:t>
      </w:r>
      <w:r>
        <w:rPr>
          <w:i/>
          <w:lang w:val="en-US"/>
        </w:rPr>
        <w:t>Journal of Abnormal P</w:t>
      </w:r>
      <w:r w:rsidRPr="00C74B30">
        <w:rPr>
          <w:i/>
          <w:lang w:val="en-US"/>
        </w:rPr>
        <w:t>sychology</w:t>
      </w:r>
      <w:r w:rsidRPr="00C74B30">
        <w:rPr>
          <w:lang w:val="en-US"/>
        </w:rPr>
        <w:t>, </w:t>
      </w:r>
      <w:r w:rsidRPr="00C74B30">
        <w:rPr>
          <w:i/>
          <w:lang w:val="en-US"/>
        </w:rPr>
        <w:t>119</w:t>
      </w:r>
      <w:r w:rsidRPr="00C74B30">
        <w:rPr>
          <w:lang w:val="en-US"/>
        </w:rPr>
        <w:t>, 791</w:t>
      </w:r>
      <w:r>
        <w:rPr>
          <w:lang w:val="en-US"/>
        </w:rPr>
        <w:t>-803</w:t>
      </w:r>
      <w:r w:rsidRPr="00C74B30">
        <w:rPr>
          <w:lang w:val="en-US"/>
        </w:rPr>
        <w:t>.</w:t>
      </w:r>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w:t>
      </w:r>
      <w:r w:rsidRPr="003B609A">
        <w:rPr>
          <w:rStyle w:val="Hipervnculo"/>
          <w:lang w:val="en-US"/>
        </w:rPr>
        <w:t>37</w:t>
      </w:r>
      <w:proofErr w:type="gramEnd"/>
      <w:r w:rsidRPr="003B609A">
        <w:rPr>
          <w:rStyle w:val="Hipervnculo"/>
          <w:rFonts w:hint="eastAsia"/>
          <w:lang w:val="en-US"/>
        </w:rPr>
        <w:t>/</w:t>
      </w:r>
      <w:r w:rsidRPr="003B609A">
        <w:rPr>
          <w:rStyle w:val="Hipervnculo"/>
          <w:lang w:val="en-US"/>
        </w:rPr>
        <w:t>a0020629</w:t>
      </w:r>
      <w:r w:rsidR="00736E0C">
        <w:fldChar w:fldCharType="end"/>
      </w:r>
      <w:r>
        <w:rPr>
          <w:lang w:val="en-US"/>
        </w:rPr>
        <w:t xml:space="preserve"> </w:t>
      </w:r>
    </w:p>
    <w:p w:rsidR="003B609A" w:rsidRPr="00C74B30" w:rsidRDefault="003B609A" w:rsidP="003B609A">
      <w:pPr>
        <w:spacing w:line="480" w:lineRule="auto"/>
        <w:ind w:left="709" w:hanging="709"/>
        <w:rPr>
          <w:lang w:val="en-US"/>
        </w:rPr>
      </w:pPr>
      <w:r w:rsidRPr="00FD6F65">
        <w:rPr>
          <w:shd w:val="clear" w:color="auto" w:fill="FFFFFF"/>
          <w:lang w:val="de-DE"/>
        </w:rPr>
        <w:t xml:space="preserve">Hatch, S. L., &amp; Dohrenwend, B. P. (2007). </w:t>
      </w:r>
      <w:r w:rsidRPr="00FD6F65">
        <w:rPr>
          <w:shd w:val="clear" w:color="auto" w:fill="FFFFFF"/>
          <w:lang w:val="en-US"/>
        </w:rPr>
        <w:t>Distribution of traumatic and other stressful life events by race/e</w:t>
      </w:r>
      <w:r w:rsidR="00545110">
        <w:rPr>
          <w:shd w:val="clear" w:color="auto" w:fill="FFFFFF"/>
          <w:lang w:val="en-US"/>
        </w:rPr>
        <w:t>thnicity, gender, SES and age: A</w:t>
      </w:r>
      <w:r w:rsidRPr="00FD6F65">
        <w:rPr>
          <w:shd w:val="clear" w:color="auto" w:fill="FFFFFF"/>
          <w:lang w:val="en-US"/>
        </w:rPr>
        <w:t xml:space="preserve"> review of the research.</w:t>
      </w:r>
      <w:r w:rsidRPr="00FD6F65">
        <w:rPr>
          <w:rStyle w:val="apple-converted-space"/>
          <w:shd w:val="clear" w:color="auto" w:fill="FFFFFF"/>
          <w:lang w:val="en-US"/>
        </w:rPr>
        <w:t> </w:t>
      </w:r>
      <w:r>
        <w:rPr>
          <w:i/>
          <w:iCs/>
          <w:shd w:val="clear" w:color="auto" w:fill="FFFFFF"/>
          <w:lang w:val="en-US"/>
        </w:rPr>
        <w:t>American Journal of Community P</w:t>
      </w:r>
      <w:r w:rsidRPr="00350528">
        <w:rPr>
          <w:i/>
          <w:iCs/>
          <w:shd w:val="clear" w:color="auto" w:fill="FFFFFF"/>
          <w:lang w:val="en-US"/>
        </w:rPr>
        <w:t>sychology</w:t>
      </w:r>
      <w:r w:rsidRPr="00350528">
        <w:rPr>
          <w:shd w:val="clear" w:color="auto" w:fill="FFFFFF"/>
          <w:lang w:val="en-US"/>
        </w:rPr>
        <w:t>,</w:t>
      </w:r>
      <w:r w:rsidRPr="00350528">
        <w:rPr>
          <w:rStyle w:val="apple-converted-space"/>
          <w:shd w:val="clear" w:color="auto" w:fill="FFFFFF"/>
          <w:lang w:val="en-US"/>
        </w:rPr>
        <w:t> </w:t>
      </w:r>
      <w:r w:rsidRPr="00350528">
        <w:rPr>
          <w:i/>
          <w:iCs/>
          <w:shd w:val="clear" w:color="auto" w:fill="FFFFFF"/>
          <w:lang w:val="en-US"/>
        </w:rPr>
        <w:t>40</w:t>
      </w:r>
      <w:r w:rsidRPr="00350528">
        <w:rPr>
          <w:shd w:val="clear" w:color="auto" w:fill="FFFFFF"/>
          <w:lang w:val="en-US"/>
        </w:rPr>
        <w:t>(3-4), 313-332.</w:t>
      </w:r>
      <w:r>
        <w:rPr>
          <w:shd w:val="clear" w:color="auto" w:fill="FFFFFF"/>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w:t>
      </w:r>
      <w:r w:rsidRPr="003B609A">
        <w:rPr>
          <w:rStyle w:val="Hipervnculo"/>
          <w:lang w:val="en-US"/>
        </w:rPr>
        <w:t>07</w:t>
      </w:r>
      <w:proofErr w:type="gramEnd"/>
      <w:r w:rsidRPr="003B609A">
        <w:rPr>
          <w:rStyle w:val="Hipervnculo"/>
          <w:rFonts w:hint="eastAsia"/>
          <w:lang w:val="en-US"/>
        </w:rPr>
        <w:t>/</w:t>
      </w:r>
      <w:r w:rsidRPr="003B609A">
        <w:rPr>
          <w:rStyle w:val="Hipervnculo"/>
          <w:lang w:val="en-US"/>
        </w:rPr>
        <w:t>s10464-007-9134-z</w:t>
      </w:r>
      <w:r w:rsidR="00736E0C">
        <w:fldChar w:fldCharType="end"/>
      </w:r>
    </w:p>
    <w:p w:rsidR="003B609A" w:rsidRPr="00C74B30" w:rsidRDefault="003B609A" w:rsidP="003B609A">
      <w:pPr>
        <w:spacing w:line="480" w:lineRule="auto"/>
        <w:ind w:left="709" w:hanging="709"/>
        <w:rPr>
          <w:lang w:val="en-US"/>
        </w:rPr>
      </w:pPr>
      <w:proofErr w:type="gramStart"/>
      <w:r w:rsidRPr="00C74B30">
        <w:rPr>
          <w:lang w:val="en-US"/>
        </w:rPr>
        <w:t xml:space="preserve">Holmes, T. H., &amp; </w:t>
      </w:r>
      <w:proofErr w:type="spellStart"/>
      <w:r w:rsidRPr="00C74B30">
        <w:rPr>
          <w:lang w:val="en-US"/>
        </w:rPr>
        <w:t>Rahe</w:t>
      </w:r>
      <w:proofErr w:type="spellEnd"/>
      <w:r w:rsidRPr="00C74B30">
        <w:rPr>
          <w:lang w:val="en-US"/>
        </w:rPr>
        <w:t>, R. (1967).</w:t>
      </w:r>
      <w:proofErr w:type="gramEnd"/>
      <w:r w:rsidRPr="00C74B30">
        <w:rPr>
          <w:lang w:val="en-US"/>
        </w:rPr>
        <w:t xml:space="preserve">  </w:t>
      </w:r>
      <w:proofErr w:type="gramStart"/>
      <w:r w:rsidRPr="00C74B30">
        <w:rPr>
          <w:lang w:val="en-US"/>
        </w:rPr>
        <w:t>The social readjustment rating scale.</w:t>
      </w:r>
      <w:proofErr w:type="gramEnd"/>
      <w:r w:rsidRPr="00C74B30">
        <w:rPr>
          <w:lang w:val="en-US"/>
        </w:rPr>
        <w:t xml:space="preserve">  </w:t>
      </w:r>
      <w:r w:rsidRPr="00C74B30">
        <w:rPr>
          <w:i/>
          <w:lang w:val="en-US"/>
        </w:rPr>
        <w:t>Journal of Psychosomatic Research,</w:t>
      </w:r>
      <w:r w:rsidRPr="00C74B30">
        <w:rPr>
          <w:lang w:val="en-US"/>
        </w:rPr>
        <w:t xml:space="preserve"> </w:t>
      </w:r>
      <w:r w:rsidRPr="00C50DF6">
        <w:rPr>
          <w:i/>
          <w:lang w:val="en-US"/>
        </w:rPr>
        <w:t>11</w:t>
      </w:r>
      <w:r w:rsidRPr="00C74B30">
        <w:rPr>
          <w:lang w:val="en-US"/>
        </w:rPr>
        <w:t>, 213-218.</w:t>
      </w:r>
      <w:r>
        <w:rPr>
          <w:lang w:val="en-US"/>
        </w:rPr>
        <w:t xml:space="preserve"> </w:t>
      </w:r>
      <w:r w:rsidR="00736E0C">
        <w:fldChar w:fldCharType="begin"/>
      </w:r>
      <w:r w:rsidR="00736E0C" w:rsidRPr="008043E7">
        <w:rPr>
          <w:lang w:val="en-US"/>
        </w:rPr>
        <w:instrText>HYPERLINK "http://dx.doi.org/10.1016/0022-3999(67)90010-4"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:10.1016</w:t>
      </w:r>
      <w:proofErr w:type="gramEnd"/>
      <w:r w:rsidRPr="003B609A">
        <w:rPr>
          <w:rStyle w:val="Hipervnculo"/>
          <w:rFonts w:hint="eastAsia"/>
          <w:lang w:val="en-US"/>
        </w:rPr>
        <w:t>/0022-3999(67)90010-4</w:t>
      </w:r>
      <w:r w:rsidR="00736E0C">
        <w:fldChar w:fldCharType="end"/>
      </w:r>
    </w:p>
    <w:p w:rsidR="003B609A" w:rsidRPr="00C74B30" w:rsidRDefault="003B609A" w:rsidP="003B609A">
      <w:pPr>
        <w:spacing w:line="480" w:lineRule="auto"/>
        <w:ind w:left="709" w:hanging="709"/>
        <w:rPr>
          <w:lang w:val="en-US"/>
        </w:rPr>
      </w:pPr>
      <w:proofErr w:type="gramStart"/>
      <w:r w:rsidRPr="00C74B30">
        <w:rPr>
          <w:lang w:val="en-US"/>
        </w:rPr>
        <w:t>Horowitz, M. J., Schaefer, C., &amp; Cooney, P. (1974).</w:t>
      </w:r>
      <w:proofErr w:type="gramEnd"/>
      <w:r w:rsidRPr="00C74B30">
        <w:rPr>
          <w:lang w:val="en-US"/>
        </w:rPr>
        <w:t xml:space="preserve"> </w:t>
      </w:r>
      <w:proofErr w:type="gramStart"/>
      <w:r w:rsidRPr="00C74B30">
        <w:rPr>
          <w:lang w:val="en-US"/>
        </w:rPr>
        <w:t xml:space="preserve">Life event scaling for </w:t>
      </w:r>
      <w:proofErr w:type="spellStart"/>
      <w:r w:rsidRPr="00C74B30">
        <w:rPr>
          <w:lang w:val="en-US"/>
        </w:rPr>
        <w:t>recency</w:t>
      </w:r>
      <w:proofErr w:type="spellEnd"/>
      <w:r w:rsidRPr="00C74B30">
        <w:rPr>
          <w:lang w:val="en-US"/>
        </w:rPr>
        <w:t xml:space="preserve"> of experience.</w:t>
      </w:r>
      <w:proofErr w:type="gramEnd"/>
      <w:r w:rsidRPr="00C74B30">
        <w:rPr>
          <w:lang w:val="en-US"/>
        </w:rPr>
        <w:t> </w:t>
      </w:r>
      <w:r w:rsidR="00545110">
        <w:rPr>
          <w:lang w:val="en-US"/>
        </w:rPr>
        <w:t xml:space="preserve"> </w:t>
      </w:r>
      <w:proofErr w:type="gramStart"/>
      <w:r w:rsidRPr="00C74B30">
        <w:rPr>
          <w:lang w:val="en-US"/>
        </w:rPr>
        <w:t>Life stress and illness.</w:t>
      </w:r>
      <w:proofErr w:type="gramEnd"/>
      <w:r w:rsidRPr="00C74B30">
        <w:rPr>
          <w:lang w:val="en-US"/>
        </w:rPr>
        <w:t xml:space="preserve"> </w:t>
      </w:r>
      <w:r w:rsidRPr="00C74B30">
        <w:rPr>
          <w:i/>
          <w:lang w:val="en-US"/>
        </w:rPr>
        <w:t>Psychosomatic Medicine, 39</w:t>
      </w:r>
      <w:r w:rsidRPr="00C74B30">
        <w:rPr>
          <w:lang w:val="en-US"/>
        </w:rPr>
        <w:t>, 125-133.</w:t>
      </w:r>
    </w:p>
    <w:p w:rsidR="003B609A" w:rsidRPr="00337948" w:rsidRDefault="003B609A" w:rsidP="003B609A">
      <w:pPr>
        <w:spacing w:line="480" w:lineRule="auto"/>
        <w:ind w:left="709" w:hanging="709"/>
        <w:rPr>
          <w:lang w:val="en-US"/>
        </w:rPr>
      </w:pPr>
      <w:proofErr w:type="gramStart"/>
      <w:r w:rsidRPr="00C74B30">
        <w:rPr>
          <w:lang w:val="en-US"/>
        </w:rPr>
        <w:lastRenderedPageBreak/>
        <w:t>Hurst, M. W., Jenkins, C. D., &amp; Rose, R. M. (1978).</w:t>
      </w:r>
      <w:proofErr w:type="gramEnd"/>
      <w:r w:rsidRPr="00C74B30">
        <w:rPr>
          <w:lang w:val="en-US"/>
        </w:rPr>
        <w:t xml:space="preserve"> The assessment of life ch</w:t>
      </w:r>
      <w:r>
        <w:rPr>
          <w:lang w:val="en-US"/>
        </w:rPr>
        <w:t>ange stress: A</w:t>
      </w:r>
      <w:r w:rsidRPr="00C74B30">
        <w:rPr>
          <w:lang w:val="en-US"/>
        </w:rPr>
        <w:t xml:space="preserve"> comparative and methodological inquiry. </w:t>
      </w:r>
      <w:r w:rsidRPr="00337948">
        <w:rPr>
          <w:i/>
          <w:lang w:val="en-US"/>
        </w:rPr>
        <w:t>Psychosomatic Medicine</w:t>
      </w:r>
      <w:r w:rsidRPr="00337948">
        <w:rPr>
          <w:lang w:val="en-US"/>
        </w:rPr>
        <w:t>, </w:t>
      </w:r>
      <w:r w:rsidRPr="00337948">
        <w:rPr>
          <w:i/>
          <w:lang w:val="en-US"/>
        </w:rPr>
        <w:t>40</w:t>
      </w:r>
      <w:r w:rsidRPr="00337948">
        <w:rPr>
          <w:lang w:val="en-US"/>
        </w:rPr>
        <w:t>, 126-141.</w:t>
      </w:r>
    </w:p>
    <w:p w:rsidR="003B609A" w:rsidRPr="00C74B30" w:rsidRDefault="003B609A" w:rsidP="003B609A">
      <w:pPr>
        <w:spacing w:line="480" w:lineRule="auto"/>
        <w:ind w:left="709" w:hanging="709"/>
        <w:rPr>
          <w:lang w:val="en-US"/>
        </w:rPr>
      </w:pPr>
      <w:proofErr w:type="gramStart"/>
      <w:r w:rsidRPr="00C74B30">
        <w:rPr>
          <w:shd w:val="clear" w:color="auto" w:fill="FFFFFF"/>
          <w:lang w:val="en-US"/>
        </w:rPr>
        <w:t xml:space="preserve">Jose, P. E., &amp; </w:t>
      </w:r>
      <w:proofErr w:type="spellStart"/>
      <w:r>
        <w:rPr>
          <w:shd w:val="clear" w:color="auto" w:fill="FFFFFF"/>
          <w:lang w:val="en-US"/>
        </w:rPr>
        <w:t>Ratcliffe</w:t>
      </w:r>
      <w:proofErr w:type="spellEnd"/>
      <w:r>
        <w:rPr>
          <w:shd w:val="clear" w:color="auto" w:fill="FFFFFF"/>
          <w:lang w:val="en-US"/>
        </w:rPr>
        <w:t>, V. (2004).</w:t>
      </w:r>
      <w:proofErr w:type="gramEnd"/>
      <w:r>
        <w:rPr>
          <w:shd w:val="clear" w:color="auto" w:fill="FFFFFF"/>
          <w:lang w:val="en-US"/>
        </w:rPr>
        <w:t xml:space="preserve"> Stressor frequency and perceived intensity as predictors of internalizing symptoms: Gender and age differences in a</w:t>
      </w:r>
      <w:r w:rsidRPr="00C74B30">
        <w:rPr>
          <w:shd w:val="clear" w:color="auto" w:fill="FFFFFF"/>
          <w:lang w:val="en-US"/>
        </w:rPr>
        <w:t>dolescence.</w:t>
      </w:r>
      <w:r w:rsidRPr="00C74B30">
        <w:rPr>
          <w:rStyle w:val="apple-converted-space"/>
          <w:shd w:val="clear" w:color="auto" w:fill="FFFFFF"/>
          <w:lang w:val="en-US"/>
        </w:rPr>
        <w:t> </w:t>
      </w:r>
      <w:r w:rsidRPr="00C74B30">
        <w:rPr>
          <w:i/>
          <w:iCs/>
          <w:shd w:val="clear" w:color="auto" w:fill="FFFFFF"/>
          <w:lang w:val="en-US"/>
        </w:rPr>
        <w:t>New Zealand Journal of Psychology</w:t>
      </w:r>
      <w:r w:rsidRPr="00C74B30">
        <w:rPr>
          <w:shd w:val="clear" w:color="auto" w:fill="FFFFFF"/>
          <w:lang w:val="en-US"/>
        </w:rPr>
        <w:t>,</w:t>
      </w:r>
      <w:r w:rsidRPr="00C74B30">
        <w:rPr>
          <w:rStyle w:val="apple-converted-space"/>
          <w:shd w:val="clear" w:color="auto" w:fill="FFFFFF"/>
          <w:lang w:val="en-US"/>
        </w:rPr>
        <w:t> </w:t>
      </w:r>
      <w:r w:rsidRPr="00C50DF6">
        <w:rPr>
          <w:i/>
          <w:iCs/>
          <w:shd w:val="clear" w:color="auto" w:fill="FFFFFF"/>
          <w:lang w:val="en-US"/>
        </w:rPr>
        <w:t>33</w:t>
      </w:r>
      <w:r w:rsidRPr="00C74B30">
        <w:rPr>
          <w:i/>
          <w:shd w:val="clear" w:color="auto" w:fill="FFFFFF"/>
          <w:lang w:val="en-US"/>
        </w:rPr>
        <w:t xml:space="preserve">, </w:t>
      </w:r>
      <w:r w:rsidRPr="00C74B30">
        <w:rPr>
          <w:shd w:val="clear" w:color="auto" w:fill="FFFFFF"/>
          <w:lang w:val="en-US"/>
        </w:rPr>
        <w:t>145-154.</w:t>
      </w:r>
    </w:p>
    <w:p w:rsidR="003B609A" w:rsidRPr="003B609A" w:rsidRDefault="003B609A" w:rsidP="003B609A">
      <w:pPr>
        <w:spacing w:line="480" w:lineRule="auto"/>
        <w:ind w:left="709" w:hanging="709"/>
        <w:rPr>
          <w:lang w:val="en-US"/>
        </w:rPr>
      </w:pPr>
      <w:r>
        <w:rPr>
          <w:shd w:val="clear" w:color="auto" w:fill="FFFFFF"/>
          <w:lang w:val="en-US"/>
        </w:rPr>
        <w:t xml:space="preserve">Joseph, J. G., Montgomery, S. B., Emmons, C. A., </w:t>
      </w:r>
      <w:proofErr w:type="spellStart"/>
      <w:r>
        <w:rPr>
          <w:shd w:val="clear" w:color="auto" w:fill="FFFFFF"/>
          <w:lang w:val="en-US"/>
        </w:rPr>
        <w:t>Kirscht</w:t>
      </w:r>
      <w:proofErr w:type="spellEnd"/>
      <w:r>
        <w:rPr>
          <w:shd w:val="clear" w:color="auto" w:fill="FFFFFF"/>
          <w:lang w:val="en-US"/>
        </w:rPr>
        <w:t xml:space="preserve">, J. P., Kessler, R. C., </w:t>
      </w:r>
      <w:proofErr w:type="spellStart"/>
      <w:r>
        <w:rPr>
          <w:shd w:val="clear" w:color="auto" w:fill="FFFFFF"/>
          <w:lang w:val="en-US"/>
        </w:rPr>
        <w:t>Ostrow</w:t>
      </w:r>
      <w:proofErr w:type="spellEnd"/>
      <w:r>
        <w:rPr>
          <w:shd w:val="clear" w:color="auto" w:fill="FFFFFF"/>
          <w:lang w:val="en-US"/>
        </w:rPr>
        <w:t xml:space="preserve">, D. G., </w:t>
      </w:r>
      <w:proofErr w:type="spellStart"/>
      <w:r>
        <w:rPr>
          <w:lang w:val="en-US"/>
        </w:rPr>
        <w:t>Wortman</w:t>
      </w:r>
      <w:proofErr w:type="spellEnd"/>
      <w:r>
        <w:rPr>
          <w:lang w:val="en-US"/>
        </w:rPr>
        <w:t>, C. B., O'Brien, K.,  Eller, M.,</w:t>
      </w:r>
      <w:r>
        <w:rPr>
          <w:shd w:val="clear" w:color="auto" w:fill="FFFFFF"/>
          <w:lang w:val="en-US"/>
        </w:rPr>
        <w:t xml:space="preserve"> &amp; </w:t>
      </w:r>
      <w:proofErr w:type="spellStart"/>
      <w:r>
        <w:rPr>
          <w:shd w:val="clear" w:color="auto" w:fill="FFFFFF"/>
          <w:lang w:val="en-US"/>
        </w:rPr>
        <w:t>Eshleman</w:t>
      </w:r>
      <w:proofErr w:type="spellEnd"/>
      <w:r>
        <w:rPr>
          <w:shd w:val="clear" w:color="auto" w:fill="FFFFFF"/>
          <w:lang w:val="en-US"/>
        </w:rPr>
        <w:t>, S. (1987). Perceived risk of AIDS: Assessing the behavioral and psychosocial consequences in a cohort of gay men.</w:t>
      </w:r>
      <w:r>
        <w:rPr>
          <w:rStyle w:val="apple-converted-space"/>
          <w:shd w:val="clear" w:color="auto" w:fill="FFFFFF"/>
          <w:lang w:val="en-US"/>
        </w:rPr>
        <w:t> </w:t>
      </w:r>
      <w:r>
        <w:rPr>
          <w:i/>
          <w:iCs/>
          <w:shd w:val="clear" w:color="auto" w:fill="FFFFFF"/>
          <w:lang w:val="en-US"/>
        </w:rPr>
        <w:t>Journal of Applied Social Psychology</w:t>
      </w:r>
      <w:r>
        <w:rPr>
          <w:shd w:val="clear" w:color="auto" w:fill="FFFFFF"/>
          <w:lang w:val="en-US"/>
        </w:rPr>
        <w:t>,</w:t>
      </w:r>
      <w:r>
        <w:rPr>
          <w:rStyle w:val="apple-converted-space"/>
          <w:shd w:val="clear" w:color="auto" w:fill="FFFFFF"/>
          <w:lang w:val="en-US"/>
        </w:rPr>
        <w:t> </w:t>
      </w:r>
      <w:r>
        <w:rPr>
          <w:i/>
          <w:iCs/>
          <w:shd w:val="clear" w:color="auto" w:fill="FFFFFF"/>
          <w:lang w:val="en-US"/>
        </w:rPr>
        <w:t>17</w:t>
      </w:r>
      <w:r>
        <w:rPr>
          <w:shd w:val="clear" w:color="auto" w:fill="FFFFFF"/>
          <w:lang w:val="en-US"/>
        </w:rPr>
        <w:t xml:space="preserve">(3), 231-250.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oi:10.1</w:t>
      </w:r>
      <w:r w:rsidRPr="003B609A">
        <w:rPr>
          <w:rStyle w:val="Hipervnculo"/>
          <w:lang w:val="en-US"/>
        </w:rPr>
        <w:t>111</w:t>
      </w:r>
      <w:r w:rsidRPr="003B609A">
        <w:rPr>
          <w:rStyle w:val="Hipervnculo"/>
          <w:rFonts w:hint="eastAsia"/>
          <w:lang w:val="en-US"/>
        </w:rPr>
        <w:t>/j.</w:t>
      </w:r>
      <w:r w:rsidRPr="003B609A">
        <w:rPr>
          <w:rStyle w:val="Hipervnculo"/>
          <w:lang w:val="en-US"/>
        </w:rPr>
        <w:t>1559-1816.1987.tb00312.x</w:t>
      </w:r>
      <w:r w:rsidR="00736E0C">
        <w:fldChar w:fldCharType="end"/>
      </w:r>
    </w:p>
    <w:p w:rsidR="003B609A" w:rsidRPr="00C74B30" w:rsidRDefault="003B609A" w:rsidP="003B609A">
      <w:pPr>
        <w:spacing w:line="480" w:lineRule="auto"/>
        <w:ind w:left="709" w:hanging="709"/>
        <w:rPr>
          <w:lang w:val="en-US"/>
        </w:rPr>
      </w:pPr>
      <w:proofErr w:type="spellStart"/>
      <w:r w:rsidRPr="003B609A">
        <w:rPr>
          <w:lang w:val="en-US"/>
        </w:rPr>
        <w:t>López</w:t>
      </w:r>
      <w:proofErr w:type="spellEnd"/>
      <w:r w:rsidRPr="003B609A">
        <w:rPr>
          <w:lang w:val="en-US"/>
        </w:rPr>
        <w:t xml:space="preserve"> </w:t>
      </w:r>
      <w:proofErr w:type="spellStart"/>
      <w:r w:rsidRPr="003B609A">
        <w:rPr>
          <w:lang w:val="en-US"/>
        </w:rPr>
        <w:t>Romo</w:t>
      </w:r>
      <w:proofErr w:type="spellEnd"/>
      <w:r w:rsidRPr="003B609A">
        <w:rPr>
          <w:lang w:val="en-US"/>
        </w:rPr>
        <w:t xml:space="preserve">, H. (2006). </w:t>
      </w:r>
      <w:r w:rsidRPr="00C74B30">
        <w:rPr>
          <w:lang w:val="es-MX"/>
        </w:rPr>
        <w:t xml:space="preserve">Avances AMAI: Distribución de niveles socioeconómicos en el México urbano. </w:t>
      </w:r>
      <w:proofErr w:type="spellStart"/>
      <w:r w:rsidRPr="00C74B30">
        <w:rPr>
          <w:i/>
          <w:iCs/>
          <w:lang w:val="en-US"/>
        </w:rPr>
        <w:t>Datos</w:t>
      </w:r>
      <w:proofErr w:type="spellEnd"/>
      <w:r w:rsidRPr="00C74B30">
        <w:rPr>
          <w:i/>
          <w:iCs/>
          <w:lang w:val="en-US"/>
        </w:rPr>
        <w:t xml:space="preserve">, </w:t>
      </w:r>
      <w:proofErr w:type="spellStart"/>
      <w:r w:rsidRPr="00C74B30">
        <w:rPr>
          <w:i/>
          <w:iCs/>
          <w:lang w:val="en-US"/>
        </w:rPr>
        <w:t>Diagnósticos</w:t>
      </w:r>
      <w:proofErr w:type="spellEnd"/>
      <w:r w:rsidRPr="00C74B30">
        <w:rPr>
          <w:i/>
          <w:iCs/>
          <w:lang w:val="en-US"/>
        </w:rPr>
        <w:t xml:space="preserve">, </w:t>
      </w:r>
      <w:proofErr w:type="spellStart"/>
      <w:r w:rsidRPr="00C74B30">
        <w:rPr>
          <w:i/>
          <w:iCs/>
          <w:lang w:val="en-US"/>
        </w:rPr>
        <w:t>Tendencias</w:t>
      </w:r>
      <w:proofErr w:type="spellEnd"/>
      <w:r w:rsidRPr="00C74B30">
        <w:rPr>
          <w:i/>
          <w:iCs/>
          <w:lang w:val="en-US"/>
        </w:rPr>
        <w:t>, 13</w:t>
      </w:r>
      <w:r w:rsidRPr="00C74B30">
        <w:rPr>
          <w:lang w:val="en-US"/>
        </w:rPr>
        <w:t>, 1-7.</w:t>
      </w:r>
    </w:p>
    <w:p w:rsidR="003B609A" w:rsidRPr="00C74B30" w:rsidRDefault="003B609A" w:rsidP="003B609A">
      <w:pPr>
        <w:spacing w:line="480" w:lineRule="auto"/>
        <w:ind w:left="709" w:hanging="709"/>
        <w:rPr>
          <w:lang w:val="en-US"/>
        </w:rPr>
      </w:pPr>
      <w:proofErr w:type="gramStart"/>
      <w:r w:rsidRPr="00C74B30">
        <w:rPr>
          <w:lang w:val="en-US"/>
        </w:rPr>
        <w:t>Lundberg, U., Theorell, T., &amp; Lind, E. (1975).</w:t>
      </w:r>
      <w:proofErr w:type="gramEnd"/>
      <w:r w:rsidRPr="00C74B30">
        <w:rPr>
          <w:lang w:val="en-US"/>
        </w:rPr>
        <w:t xml:space="preserve"> Life changes and myocardial infarction: Individual differences in life change scaling. </w:t>
      </w:r>
      <w:r>
        <w:rPr>
          <w:i/>
          <w:lang w:val="en-US"/>
        </w:rPr>
        <w:t>Journal of P</w:t>
      </w:r>
      <w:r w:rsidRPr="00C74B30">
        <w:rPr>
          <w:i/>
          <w:lang w:val="en-US"/>
        </w:rPr>
        <w:t>sychoso</w:t>
      </w:r>
      <w:r>
        <w:rPr>
          <w:i/>
          <w:lang w:val="en-US"/>
        </w:rPr>
        <w:t>matic R</w:t>
      </w:r>
      <w:r w:rsidRPr="00C74B30">
        <w:rPr>
          <w:i/>
          <w:lang w:val="en-US"/>
        </w:rPr>
        <w:t>esearch</w:t>
      </w:r>
      <w:r w:rsidRPr="00C74B30">
        <w:rPr>
          <w:lang w:val="en-US"/>
        </w:rPr>
        <w:t>, </w:t>
      </w:r>
      <w:r w:rsidRPr="00C74B30">
        <w:rPr>
          <w:i/>
          <w:lang w:val="en-US"/>
        </w:rPr>
        <w:t>19</w:t>
      </w:r>
      <w:r w:rsidRPr="00C74B30">
        <w:rPr>
          <w:lang w:val="en-US"/>
        </w:rPr>
        <w:t>, 27-32.</w:t>
      </w:r>
      <w:r>
        <w:rPr>
          <w:lang w:val="en-US"/>
        </w:rPr>
        <w:t xml:space="preserve"> </w:t>
      </w:r>
      <w:r w:rsidR="00736E0C">
        <w:fldChar w:fldCharType="begin"/>
      </w:r>
      <w:r w:rsidR="00736E0C" w:rsidRPr="008043E7">
        <w:rPr>
          <w:lang w:val="en-US"/>
        </w:rPr>
        <w:instrText>HYPERLINK "http://dx.doi.org/10.1016/0022-3999(75)90047-1"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:10.1016</w:t>
      </w:r>
      <w:proofErr w:type="gramEnd"/>
      <w:r w:rsidRPr="003B609A">
        <w:rPr>
          <w:rStyle w:val="Hipervnculo"/>
          <w:rFonts w:hint="eastAsia"/>
          <w:lang w:val="en-US"/>
        </w:rPr>
        <w:t>/0022-3999(75)90047-1</w:t>
      </w:r>
      <w:r w:rsidR="00736E0C">
        <w:fldChar w:fldCharType="end"/>
      </w:r>
    </w:p>
    <w:p w:rsidR="003B609A" w:rsidRPr="00C74B30" w:rsidRDefault="003B609A" w:rsidP="003B609A">
      <w:pPr>
        <w:spacing w:line="480" w:lineRule="auto"/>
        <w:ind w:left="709" w:hanging="709"/>
        <w:rPr>
          <w:lang w:val="en-US"/>
        </w:rPr>
      </w:pPr>
      <w:proofErr w:type="gramStart"/>
      <w:r w:rsidRPr="00C74B30">
        <w:rPr>
          <w:shd w:val="clear" w:color="auto" w:fill="FFFFFF"/>
          <w:lang w:val="en-US"/>
        </w:rPr>
        <w:t xml:space="preserve">Masuda, M., Wong, N., </w:t>
      </w:r>
      <w:proofErr w:type="spellStart"/>
      <w:r w:rsidRPr="00C74B30">
        <w:rPr>
          <w:shd w:val="clear" w:color="auto" w:fill="FFFFFF"/>
          <w:lang w:val="en-US"/>
        </w:rPr>
        <w:t>Felicetta</w:t>
      </w:r>
      <w:proofErr w:type="spellEnd"/>
      <w:r w:rsidRPr="00C74B30">
        <w:rPr>
          <w:shd w:val="clear" w:color="auto" w:fill="FFFFFF"/>
          <w:lang w:val="en-US"/>
        </w:rPr>
        <w:t>, A., &amp; Holmes, T. H. (1975).</w:t>
      </w:r>
      <w:proofErr w:type="gramEnd"/>
      <w:r w:rsidRPr="00C74B30">
        <w:rPr>
          <w:shd w:val="clear" w:color="auto" w:fill="FFFFFF"/>
          <w:lang w:val="en-US"/>
        </w:rPr>
        <w:t xml:space="preserve"> </w:t>
      </w:r>
      <w:proofErr w:type="gramStart"/>
      <w:r w:rsidRPr="00C74B30">
        <w:rPr>
          <w:shd w:val="clear" w:color="auto" w:fill="FFFFFF"/>
          <w:lang w:val="en-US"/>
        </w:rPr>
        <w:t>Magnitude estimation of current illness.</w:t>
      </w:r>
      <w:proofErr w:type="gramEnd"/>
      <w:r w:rsidRPr="00C74B30">
        <w:rPr>
          <w:shd w:val="clear" w:color="auto" w:fill="FFFFFF"/>
          <w:lang w:val="en-US"/>
        </w:rPr>
        <w:t xml:space="preserve"> </w:t>
      </w:r>
      <w:r w:rsidRPr="00C74B30">
        <w:rPr>
          <w:rStyle w:val="apple-converted-space"/>
          <w:shd w:val="clear" w:color="auto" w:fill="FFFFFF"/>
          <w:lang w:val="en-US"/>
        </w:rPr>
        <w:t> </w:t>
      </w:r>
      <w:r w:rsidRPr="00C74B30">
        <w:rPr>
          <w:i/>
          <w:iCs/>
          <w:shd w:val="clear" w:color="auto" w:fill="FFFFFF"/>
          <w:lang w:val="en-US"/>
        </w:rPr>
        <w:t>Ps</w:t>
      </w:r>
      <w:r>
        <w:rPr>
          <w:i/>
          <w:iCs/>
          <w:shd w:val="clear" w:color="auto" w:fill="FFFFFF"/>
          <w:lang w:val="en-US"/>
        </w:rPr>
        <w:t>ychosomatic M</w:t>
      </w:r>
      <w:r w:rsidRPr="00C74B30">
        <w:rPr>
          <w:i/>
          <w:iCs/>
          <w:shd w:val="clear" w:color="auto" w:fill="FFFFFF"/>
          <w:lang w:val="en-US"/>
        </w:rPr>
        <w:t>edicine</w:t>
      </w:r>
      <w:r w:rsidRPr="00C74B30">
        <w:rPr>
          <w:rStyle w:val="apple-converted-space"/>
          <w:shd w:val="clear" w:color="auto" w:fill="FFFFFF"/>
          <w:lang w:val="en-US"/>
        </w:rPr>
        <w:t xml:space="preserve">, </w:t>
      </w:r>
      <w:r w:rsidRPr="00C74B30">
        <w:rPr>
          <w:i/>
          <w:shd w:val="clear" w:color="auto" w:fill="FFFFFF"/>
          <w:lang w:val="en-US"/>
        </w:rPr>
        <w:t>37</w:t>
      </w:r>
      <w:r w:rsidRPr="00C74B30">
        <w:rPr>
          <w:shd w:val="clear" w:color="auto" w:fill="FFFFFF"/>
          <w:lang w:val="en-US"/>
        </w:rPr>
        <w:t xml:space="preserve">, 92-93. </w:t>
      </w:r>
    </w:p>
    <w:p w:rsidR="003B609A" w:rsidRPr="00C74B30" w:rsidRDefault="003B609A" w:rsidP="003B609A">
      <w:pPr>
        <w:spacing w:line="480" w:lineRule="auto"/>
        <w:ind w:left="709" w:hanging="709"/>
        <w:rPr>
          <w:lang w:val="en-US"/>
        </w:rPr>
      </w:pPr>
      <w:proofErr w:type="spellStart"/>
      <w:r w:rsidRPr="00C74B30">
        <w:rPr>
          <w:lang w:val="en-US"/>
        </w:rPr>
        <w:t>Matud</w:t>
      </w:r>
      <w:proofErr w:type="spellEnd"/>
      <w:r w:rsidRPr="00C74B30">
        <w:rPr>
          <w:lang w:val="en-US"/>
        </w:rPr>
        <w:t xml:space="preserve">, M. P. (2004). </w:t>
      </w:r>
      <w:proofErr w:type="gramStart"/>
      <w:r w:rsidRPr="00C74B30">
        <w:rPr>
          <w:lang w:val="en-US"/>
        </w:rPr>
        <w:t>Gender differences in stress and coping styles.</w:t>
      </w:r>
      <w:proofErr w:type="gramEnd"/>
      <w:r w:rsidRPr="00C74B30">
        <w:rPr>
          <w:lang w:val="en-US"/>
        </w:rPr>
        <w:t xml:space="preserve"> </w:t>
      </w:r>
      <w:r>
        <w:rPr>
          <w:i/>
          <w:lang w:val="en-US"/>
        </w:rPr>
        <w:t>Personality and Individual D</w:t>
      </w:r>
      <w:r w:rsidRPr="00C74B30">
        <w:rPr>
          <w:i/>
          <w:lang w:val="en-US"/>
        </w:rPr>
        <w:t>ifferences</w:t>
      </w:r>
      <w:r w:rsidRPr="00C74B30">
        <w:rPr>
          <w:lang w:val="en-US"/>
        </w:rPr>
        <w:t>, </w:t>
      </w:r>
      <w:r w:rsidRPr="00C74B30">
        <w:rPr>
          <w:i/>
          <w:lang w:val="en-US"/>
        </w:rPr>
        <w:t>37</w:t>
      </w:r>
      <w:r w:rsidRPr="00C74B30">
        <w:rPr>
          <w:lang w:val="en-US"/>
        </w:rPr>
        <w:t>, 1401-1415.</w:t>
      </w:r>
      <w:r>
        <w:rPr>
          <w:lang w:val="en-US"/>
        </w:rPr>
        <w:t xml:space="preserve"> </w:t>
      </w:r>
      <w:r w:rsidR="00736E0C">
        <w:fldChar w:fldCharType="begin"/>
      </w:r>
      <w:r w:rsidR="00736E0C" w:rsidRPr="008043E7">
        <w:rPr>
          <w:lang w:val="en-US"/>
        </w:rPr>
        <w:instrText>HYPERLINK "http://dx.doi.org/10.1016/j.paid.2004.01.010" \t "doilink"</w:instrText>
      </w:r>
      <w:r w:rsidR="00736E0C">
        <w:fldChar w:fldCharType="separate"/>
      </w:r>
      <w:r w:rsidRPr="003B609A">
        <w:rPr>
          <w:rStyle w:val="Hipervnculo"/>
          <w:lang w:val="en-US"/>
        </w:rPr>
        <w:t>D</w:t>
      </w:r>
      <w:r w:rsidRPr="003B609A">
        <w:rPr>
          <w:rStyle w:val="Hipervnculo"/>
          <w:rFonts w:hint="eastAsia"/>
          <w:lang w:val="en-US"/>
        </w:rPr>
        <w:t>oi:10.1016/j.paid.2004.01.010</w:t>
      </w:r>
      <w:r w:rsidR="00736E0C">
        <w:fldChar w:fldCharType="end"/>
      </w:r>
    </w:p>
    <w:p w:rsidR="003B609A" w:rsidRPr="00C74B30" w:rsidRDefault="003B609A" w:rsidP="003B609A">
      <w:pPr>
        <w:spacing w:line="480" w:lineRule="auto"/>
        <w:ind w:left="709" w:hanging="709"/>
        <w:rPr>
          <w:lang w:val="en-US"/>
        </w:rPr>
      </w:pPr>
      <w:r w:rsidRPr="00C74B30">
        <w:rPr>
          <w:lang w:val="de-DE"/>
        </w:rPr>
        <w:t xml:space="preserve">Miller, M. A., &amp; Rahe, R. H. (1997). </w:t>
      </w:r>
      <w:proofErr w:type="gramStart"/>
      <w:r w:rsidRPr="00C74B30">
        <w:rPr>
          <w:lang w:val="en-US"/>
        </w:rPr>
        <w:t>Life changes scaling for the 1990s.</w:t>
      </w:r>
      <w:proofErr w:type="gramEnd"/>
      <w:r w:rsidRPr="00C74B30">
        <w:rPr>
          <w:lang w:val="en-US"/>
        </w:rPr>
        <w:t> </w:t>
      </w:r>
      <w:r>
        <w:rPr>
          <w:i/>
          <w:lang w:val="en-US"/>
        </w:rPr>
        <w:t>Journal of P</w:t>
      </w:r>
      <w:r w:rsidRPr="00C74B30">
        <w:rPr>
          <w:i/>
          <w:lang w:val="en-US"/>
        </w:rPr>
        <w:t xml:space="preserve">sychosomatic </w:t>
      </w:r>
      <w:r>
        <w:rPr>
          <w:i/>
          <w:lang w:val="en-US"/>
        </w:rPr>
        <w:t>R</w:t>
      </w:r>
      <w:r w:rsidRPr="00C74B30">
        <w:rPr>
          <w:i/>
          <w:lang w:val="en-US"/>
        </w:rPr>
        <w:t>esearch</w:t>
      </w:r>
      <w:r w:rsidRPr="00C74B30">
        <w:rPr>
          <w:lang w:val="en-US"/>
        </w:rPr>
        <w:t>, </w:t>
      </w:r>
      <w:r w:rsidRPr="00C74B30">
        <w:rPr>
          <w:i/>
          <w:lang w:val="en-US"/>
        </w:rPr>
        <w:t>43</w:t>
      </w:r>
      <w:r w:rsidRPr="00C74B30">
        <w:rPr>
          <w:lang w:val="en-US"/>
        </w:rPr>
        <w:t>, 279-292.</w:t>
      </w:r>
      <w:r>
        <w:rPr>
          <w:lang w:val="en-US"/>
        </w:rPr>
        <w:t xml:space="preserve"> </w:t>
      </w:r>
      <w:r w:rsidR="00736E0C">
        <w:fldChar w:fldCharType="begin"/>
      </w:r>
      <w:r w:rsidR="00736E0C" w:rsidRPr="008043E7">
        <w:rPr>
          <w:lang w:val="en-US"/>
        </w:rPr>
        <w:instrText>HYPERLINK "http://dx.doi.org/10.1016/S0022-3999(97)00118-9"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:10.1016</w:t>
      </w:r>
      <w:proofErr w:type="gramEnd"/>
      <w:r w:rsidRPr="003B609A">
        <w:rPr>
          <w:rStyle w:val="Hipervnculo"/>
          <w:rFonts w:hint="eastAsia"/>
          <w:lang w:val="en-US"/>
        </w:rPr>
        <w:t>/S0022-3999(97)00118-9</w:t>
      </w:r>
      <w:r w:rsidR="00736E0C">
        <w:fldChar w:fldCharType="end"/>
      </w:r>
    </w:p>
    <w:p w:rsidR="003B609A" w:rsidRPr="00C74B30" w:rsidRDefault="003B609A" w:rsidP="003B609A">
      <w:pPr>
        <w:spacing w:line="480" w:lineRule="auto"/>
        <w:ind w:left="709" w:hanging="709"/>
        <w:rPr>
          <w:lang w:val="en-US"/>
        </w:rPr>
      </w:pPr>
      <w:proofErr w:type="spellStart"/>
      <w:proofErr w:type="gramStart"/>
      <w:r w:rsidRPr="00C74B30">
        <w:rPr>
          <w:lang w:val="en-US"/>
        </w:rPr>
        <w:t>Paykel</w:t>
      </w:r>
      <w:proofErr w:type="spellEnd"/>
      <w:r w:rsidRPr="00C74B30">
        <w:rPr>
          <w:lang w:val="en-US"/>
        </w:rPr>
        <w:t xml:space="preserve">, E. S., </w:t>
      </w:r>
      <w:proofErr w:type="spellStart"/>
      <w:r w:rsidRPr="00C74B30">
        <w:rPr>
          <w:lang w:val="en-US"/>
        </w:rPr>
        <w:t>Prusoff</w:t>
      </w:r>
      <w:proofErr w:type="spellEnd"/>
      <w:r w:rsidRPr="00C74B30">
        <w:rPr>
          <w:lang w:val="en-US"/>
        </w:rPr>
        <w:t xml:space="preserve">, B. A., &amp; </w:t>
      </w:r>
      <w:proofErr w:type="spellStart"/>
      <w:r w:rsidRPr="00C74B30">
        <w:rPr>
          <w:lang w:val="en-US"/>
        </w:rPr>
        <w:t>Uhlenhuth</w:t>
      </w:r>
      <w:proofErr w:type="spellEnd"/>
      <w:r w:rsidRPr="00C74B30">
        <w:rPr>
          <w:lang w:val="en-US"/>
        </w:rPr>
        <w:t>, E. H. (1971).</w:t>
      </w:r>
      <w:proofErr w:type="gramEnd"/>
      <w:r w:rsidRPr="00C74B30">
        <w:rPr>
          <w:lang w:val="en-US"/>
        </w:rPr>
        <w:t xml:space="preserve"> </w:t>
      </w:r>
      <w:proofErr w:type="gramStart"/>
      <w:r w:rsidRPr="00C74B30">
        <w:rPr>
          <w:lang w:val="en-US"/>
        </w:rPr>
        <w:t>Scaling of life events.</w:t>
      </w:r>
      <w:proofErr w:type="gramEnd"/>
      <w:r w:rsidRPr="00C74B30">
        <w:rPr>
          <w:lang w:val="en-US"/>
        </w:rPr>
        <w:t xml:space="preserve"> </w:t>
      </w:r>
      <w:r w:rsidRPr="00C74B30">
        <w:rPr>
          <w:i/>
          <w:lang w:val="en-US"/>
        </w:rPr>
        <w:t>Archives of General Psychiatry</w:t>
      </w:r>
      <w:r w:rsidRPr="00C74B30">
        <w:rPr>
          <w:lang w:val="en-US"/>
        </w:rPr>
        <w:t>, </w:t>
      </w:r>
      <w:r w:rsidRPr="00C74B30">
        <w:rPr>
          <w:i/>
          <w:lang w:val="en-US"/>
        </w:rPr>
        <w:t>25</w:t>
      </w:r>
      <w:r w:rsidRPr="00C74B30">
        <w:rPr>
          <w:lang w:val="en-US"/>
        </w:rPr>
        <w:t>, 340-347.</w:t>
      </w:r>
      <w:r w:rsidRPr="003B609A">
        <w:rPr>
          <w:lang w:val="en-US"/>
        </w:rPr>
        <w:t xml:space="preserve"> </w:t>
      </w:r>
      <w:hyperlink r:id="rId9"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01</w:t>
        </w:r>
        <w:r w:rsidRPr="003B609A">
          <w:rPr>
            <w:rStyle w:val="Hipervnculo"/>
            <w:rFonts w:hint="eastAsia"/>
            <w:lang w:val="en-US"/>
          </w:rPr>
          <w:t>/</w:t>
        </w:r>
        <w:r w:rsidRPr="003B609A">
          <w:rPr>
            <w:rStyle w:val="Hipervnculo"/>
            <w:lang w:val="en-US"/>
          </w:rPr>
          <w:t>archpsyc.1971.01750160052010</w:t>
        </w:r>
      </w:hyperlink>
    </w:p>
    <w:p w:rsidR="003B609A" w:rsidRDefault="003B609A" w:rsidP="003B609A">
      <w:pPr>
        <w:spacing w:line="480" w:lineRule="auto"/>
        <w:ind w:left="709" w:hanging="709"/>
        <w:rPr>
          <w:lang w:val="en-US"/>
        </w:rPr>
      </w:pPr>
      <w:proofErr w:type="spellStart"/>
      <w:r w:rsidRPr="00C74B30">
        <w:rPr>
          <w:lang w:val="en-US"/>
        </w:rPr>
        <w:t>Rahe</w:t>
      </w:r>
      <w:proofErr w:type="spellEnd"/>
      <w:r w:rsidRPr="00C74B30">
        <w:rPr>
          <w:lang w:val="en-US"/>
        </w:rPr>
        <w:t xml:space="preserve">, R. (1975). Epidemiological studies of life change and illness experiences. </w:t>
      </w:r>
      <w:r w:rsidRPr="00AC3258">
        <w:rPr>
          <w:i/>
          <w:lang w:val="en-US"/>
        </w:rPr>
        <w:t>The International</w:t>
      </w:r>
      <w:r w:rsidRPr="00C74B30">
        <w:rPr>
          <w:lang w:val="en-US"/>
        </w:rPr>
        <w:t xml:space="preserve"> </w:t>
      </w:r>
      <w:r w:rsidRPr="00C74B30">
        <w:rPr>
          <w:i/>
          <w:lang w:val="en-US"/>
        </w:rPr>
        <w:t>Journal of Psychiatry in Medicine</w:t>
      </w:r>
      <w:r w:rsidRPr="00C74B30">
        <w:rPr>
          <w:lang w:val="en-US"/>
        </w:rPr>
        <w:t xml:space="preserve">, </w:t>
      </w:r>
      <w:r w:rsidRPr="007D5F41">
        <w:rPr>
          <w:i/>
          <w:lang w:val="en-US"/>
        </w:rPr>
        <w:t>6</w:t>
      </w:r>
      <w:r w:rsidRPr="00C74B30">
        <w:rPr>
          <w:lang w:val="en-US"/>
        </w:rPr>
        <w:t>, 133-146.</w:t>
      </w:r>
    </w:p>
    <w:p w:rsidR="003B609A" w:rsidRDefault="003B609A" w:rsidP="003B609A">
      <w:pPr>
        <w:spacing w:line="480" w:lineRule="auto"/>
        <w:ind w:left="709" w:hanging="709"/>
        <w:rPr>
          <w:lang w:val="en-US"/>
        </w:rPr>
      </w:pPr>
      <w:r>
        <w:rPr>
          <w:lang w:val="de-DE"/>
        </w:rPr>
        <w:t xml:space="preserve">Rosenberg, E. J., &amp; Dohrenwend, B. S. (1975). </w:t>
      </w:r>
      <w:proofErr w:type="gramStart"/>
      <w:r>
        <w:rPr>
          <w:lang w:val="en-US"/>
        </w:rPr>
        <w:t>Effects of experience and ethnicity on ratings of life events as stressors.</w:t>
      </w:r>
      <w:proofErr w:type="gramEnd"/>
      <w:r>
        <w:rPr>
          <w:lang w:val="en-US"/>
        </w:rPr>
        <w:t> </w:t>
      </w:r>
      <w:r>
        <w:rPr>
          <w:i/>
          <w:iCs/>
          <w:lang w:val="en-US"/>
        </w:rPr>
        <w:t>Journal of Health and Social Behavior</w:t>
      </w:r>
      <w:r w:rsidRPr="00DD6989">
        <w:rPr>
          <w:i/>
          <w:lang w:val="en-US"/>
        </w:rPr>
        <w:t>, 16</w:t>
      </w:r>
      <w:r>
        <w:rPr>
          <w:lang w:val="en-US"/>
        </w:rPr>
        <w:t>(1), 127-129.</w:t>
      </w:r>
    </w:p>
    <w:p w:rsidR="003B609A" w:rsidRPr="00C74B30" w:rsidRDefault="003B609A" w:rsidP="003B609A">
      <w:pPr>
        <w:spacing w:line="480" w:lineRule="auto"/>
        <w:ind w:left="709" w:hanging="709"/>
        <w:rPr>
          <w:lang w:val="en-US"/>
        </w:rPr>
      </w:pPr>
      <w:r w:rsidRPr="00C74B30">
        <w:rPr>
          <w:shd w:val="clear" w:color="auto" w:fill="FFFFFF"/>
          <w:lang w:val="de-DE"/>
        </w:rPr>
        <w:lastRenderedPageBreak/>
        <w:t xml:space="preserve">Ruch, L. O., &amp; Holmes, T. H. (1971). </w:t>
      </w:r>
      <w:proofErr w:type="gramStart"/>
      <w:r w:rsidRPr="00C74B30">
        <w:rPr>
          <w:shd w:val="clear" w:color="auto" w:fill="FFFFFF"/>
          <w:lang w:val="en-US"/>
        </w:rPr>
        <w:t>Scaling of life change: Comparison of direct and indirect methods.</w:t>
      </w:r>
      <w:proofErr w:type="gramEnd"/>
      <w:r w:rsidRPr="00C74B30">
        <w:rPr>
          <w:rStyle w:val="apple-converted-space"/>
          <w:shd w:val="clear" w:color="auto" w:fill="FFFFFF"/>
          <w:lang w:val="en-US"/>
        </w:rPr>
        <w:t> </w:t>
      </w:r>
      <w:r w:rsidRPr="00C74B30">
        <w:rPr>
          <w:i/>
          <w:iCs/>
          <w:shd w:val="clear" w:color="auto" w:fill="FFFFFF"/>
          <w:lang w:val="en-US"/>
        </w:rPr>
        <w:t>Journal of Psychosomatic Research</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15</w:t>
      </w:r>
      <w:r w:rsidRPr="00C74B30">
        <w:rPr>
          <w:shd w:val="clear" w:color="auto" w:fill="FFFFFF"/>
          <w:lang w:val="en-US"/>
        </w:rPr>
        <w:t>, 221-227.</w:t>
      </w:r>
      <w:r>
        <w:rPr>
          <w:shd w:val="clear" w:color="auto" w:fill="FFFFFF"/>
          <w:lang w:val="en-US"/>
        </w:rPr>
        <w:t xml:space="preserve"> </w:t>
      </w:r>
      <w:r w:rsidR="00736E0C">
        <w:fldChar w:fldCharType="begin"/>
      </w:r>
      <w:r w:rsidR="00736E0C" w:rsidRPr="008043E7">
        <w:rPr>
          <w:lang w:val="en-US"/>
        </w:rPr>
        <w:instrText>HYPERLINK "http://dx.doi.org/10.1016/0022-3999(71)90011-0" \t "doilink"</w:instrText>
      </w:r>
      <w:r w:rsidR="00736E0C">
        <w:fldChar w:fldCharType="separate"/>
      </w:r>
      <w:r w:rsidRPr="003B609A">
        <w:rPr>
          <w:rStyle w:val="Hipervnculo"/>
          <w:shd w:val="clear" w:color="auto" w:fill="FFFFFF"/>
          <w:lang w:val="en-US"/>
        </w:rPr>
        <w:t>D</w:t>
      </w:r>
      <w:r w:rsidRPr="003B609A">
        <w:rPr>
          <w:rStyle w:val="Hipervnculo"/>
          <w:rFonts w:hint="eastAsia"/>
          <w:shd w:val="clear" w:color="auto" w:fill="FFFFFF"/>
          <w:lang w:val="en-US"/>
        </w:rPr>
        <w:t>oi</w:t>
      </w:r>
      <w:proofErr w:type="gramStart"/>
      <w:r w:rsidRPr="003B609A">
        <w:rPr>
          <w:rStyle w:val="Hipervnculo"/>
          <w:rFonts w:hint="eastAsia"/>
          <w:shd w:val="clear" w:color="auto" w:fill="FFFFFF"/>
          <w:lang w:val="en-US"/>
        </w:rPr>
        <w:t>:10.1016</w:t>
      </w:r>
      <w:proofErr w:type="gramEnd"/>
      <w:r w:rsidRPr="003B609A">
        <w:rPr>
          <w:rStyle w:val="Hipervnculo"/>
          <w:rFonts w:hint="eastAsia"/>
          <w:shd w:val="clear" w:color="auto" w:fill="FFFFFF"/>
          <w:lang w:val="en-US"/>
        </w:rPr>
        <w:t>/0022-3999(71)90011-0</w:t>
      </w:r>
      <w:r w:rsidR="00736E0C">
        <w:fldChar w:fldCharType="end"/>
      </w:r>
    </w:p>
    <w:p w:rsidR="003B609A" w:rsidRPr="00C74B30" w:rsidRDefault="003B609A" w:rsidP="003B609A">
      <w:pPr>
        <w:spacing w:line="480" w:lineRule="auto"/>
        <w:ind w:left="709" w:hanging="709"/>
        <w:rPr>
          <w:lang w:val="en-US"/>
        </w:rPr>
      </w:pPr>
      <w:proofErr w:type="spellStart"/>
      <w:proofErr w:type="gramStart"/>
      <w:r w:rsidRPr="00C74B30">
        <w:rPr>
          <w:lang w:val="en-US"/>
        </w:rPr>
        <w:t>Schless</w:t>
      </w:r>
      <w:proofErr w:type="spellEnd"/>
      <w:r w:rsidRPr="00C74B30">
        <w:rPr>
          <w:lang w:val="en-US"/>
        </w:rPr>
        <w:t xml:space="preserve">, A. P., Schwartz, L., Goetz, C., &amp; </w:t>
      </w:r>
      <w:proofErr w:type="spellStart"/>
      <w:r w:rsidRPr="00C74B30">
        <w:rPr>
          <w:lang w:val="en-US"/>
        </w:rPr>
        <w:t>Mendels</w:t>
      </w:r>
      <w:proofErr w:type="spellEnd"/>
      <w:r w:rsidRPr="00C74B30">
        <w:rPr>
          <w:lang w:val="en-US"/>
        </w:rPr>
        <w:t>, J. (1974).</w:t>
      </w:r>
      <w:proofErr w:type="gramEnd"/>
      <w:r w:rsidRPr="00C74B30">
        <w:rPr>
          <w:lang w:val="en-US"/>
        </w:rPr>
        <w:t xml:space="preserve"> How depressives view the significance of life events</w:t>
      </w:r>
      <w:r w:rsidRPr="00C74B30">
        <w:rPr>
          <w:i/>
          <w:lang w:val="en-US"/>
        </w:rPr>
        <w:t>. The British Journal of Psychiatry</w:t>
      </w:r>
      <w:r w:rsidRPr="00C74B30">
        <w:rPr>
          <w:lang w:val="en-US"/>
        </w:rPr>
        <w:t>, </w:t>
      </w:r>
      <w:r w:rsidRPr="00C74B30">
        <w:rPr>
          <w:i/>
          <w:lang w:val="en-US"/>
        </w:rPr>
        <w:t>125</w:t>
      </w:r>
      <w:r w:rsidRPr="00C74B30">
        <w:rPr>
          <w:lang w:val="en-US"/>
        </w:rPr>
        <w:t>, 406-410.</w:t>
      </w:r>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oi:10.1</w:t>
      </w:r>
      <w:r w:rsidRPr="003B609A">
        <w:rPr>
          <w:rStyle w:val="Hipervnculo"/>
          <w:lang w:val="en-US"/>
        </w:rPr>
        <w:t>192</w:t>
      </w:r>
      <w:r w:rsidRPr="003B609A">
        <w:rPr>
          <w:rStyle w:val="Hipervnculo"/>
          <w:rFonts w:hint="eastAsia"/>
          <w:lang w:val="en-US"/>
        </w:rPr>
        <w:t>/</w:t>
      </w:r>
      <w:r w:rsidRPr="003B609A">
        <w:rPr>
          <w:rStyle w:val="Hipervnculo"/>
          <w:lang w:val="en-US"/>
        </w:rPr>
        <w:t>bjp.125.4.406</w:t>
      </w:r>
      <w:r w:rsidR="00736E0C">
        <w:fldChar w:fldCharType="end"/>
      </w:r>
    </w:p>
    <w:p w:rsidR="003B609A" w:rsidRPr="00C74B30" w:rsidRDefault="003B609A" w:rsidP="003B609A">
      <w:pPr>
        <w:spacing w:line="480" w:lineRule="auto"/>
        <w:ind w:left="709" w:hanging="709"/>
        <w:rPr>
          <w:lang w:val="en-US"/>
        </w:rPr>
      </w:pPr>
      <w:proofErr w:type="gramStart"/>
      <w:r w:rsidRPr="00C74B30">
        <w:rPr>
          <w:lang w:val="en-US"/>
        </w:rPr>
        <w:t xml:space="preserve">Scully, J. A., </w:t>
      </w:r>
      <w:proofErr w:type="spellStart"/>
      <w:r w:rsidRPr="00C74B30">
        <w:rPr>
          <w:lang w:val="en-US"/>
        </w:rPr>
        <w:t>Tosi</w:t>
      </w:r>
      <w:proofErr w:type="spellEnd"/>
      <w:r w:rsidRPr="00C74B30">
        <w:rPr>
          <w:lang w:val="en-US"/>
        </w:rPr>
        <w:t>, H., &amp; Banning, K. (2000).</w:t>
      </w:r>
      <w:proofErr w:type="gramEnd"/>
      <w:r w:rsidRPr="00C74B30">
        <w:rPr>
          <w:lang w:val="en-US"/>
        </w:rPr>
        <w:t xml:space="preserve"> Life events checklist: Revisiting the social readjustment rating scale after 30 years. </w:t>
      </w:r>
      <w:r w:rsidRPr="00C74B30">
        <w:rPr>
          <w:i/>
          <w:lang w:val="en-US"/>
        </w:rPr>
        <w:t>Educational and Psychological Measurement</w:t>
      </w:r>
      <w:r w:rsidRPr="00C74B30">
        <w:rPr>
          <w:lang w:val="en-US"/>
        </w:rPr>
        <w:t xml:space="preserve">, </w:t>
      </w:r>
      <w:r w:rsidRPr="00C74B30">
        <w:rPr>
          <w:i/>
          <w:lang w:val="en-US"/>
        </w:rPr>
        <w:t>60</w:t>
      </w:r>
      <w:r w:rsidRPr="00C74B30">
        <w:rPr>
          <w:lang w:val="en-US"/>
        </w:rPr>
        <w:t>, 864-876.</w:t>
      </w:r>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w:t>
      </w:r>
      <w:r w:rsidRPr="003B609A">
        <w:rPr>
          <w:rStyle w:val="Hipervnculo"/>
          <w:lang w:val="en-US"/>
        </w:rPr>
        <w:t>177</w:t>
      </w:r>
      <w:proofErr w:type="gramEnd"/>
      <w:r w:rsidRPr="003B609A">
        <w:rPr>
          <w:rStyle w:val="Hipervnculo"/>
          <w:rFonts w:hint="eastAsia"/>
          <w:lang w:val="en-US"/>
        </w:rPr>
        <w:t>/</w:t>
      </w:r>
      <w:r w:rsidRPr="003B609A">
        <w:rPr>
          <w:rStyle w:val="Hipervnculo"/>
          <w:lang w:val="en-US"/>
        </w:rPr>
        <w:t>00131640021970952</w:t>
      </w:r>
      <w:r w:rsidR="00736E0C">
        <w:fldChar w:fldCharType="end"/>
      </w:r>
    </w:p>
    <w:p w:rsidR="003B609A" w:rsidRDefault="003B609A" w:rsidP="003B609A">
      <w:pPr>
        <w:spacing w:line="480" w:lineRule="auto"/>
        <w:ind w:left="709" w:hanging="709"/>
        <w:rPr>
          <w:shd w:val="clear" w:color="auto" w:fill="FFFFFF"/>
          <w:lang w:val="en-US"/>
        </w:rPr>
      </w:pPr>
      <w:proofErr w:type="spellStart"/>
      <w:r w:rsidRPr="00C74B30">
        <w:rPr>
          <w:shd w:val="clear" w:color="auto" w:fill="FFFFFF"/>
          <w:lang w:val="en-US"/>
        </w:rPr>
        <w:t>Tomoda</w:t>
      </w:r>
      <w:proofErr w:type="spellEnd"/>
      <w:r w:rsidRPr="00C74B30">
        <w:rPr>
          <w:shd w:val="clear" w:color="auto" w:fill="FFFFFF"/>
          <w:lang w:val="en-US"/>
        </w:rPr>
        <w:t xml:space="preserve">, A. (1997). </w:t>
      </w:r>
      <w:proofErr w:type="gramStart"/>
      <w:r w:rsidRPr="00C74B30">
        <w:rPr>
          <w:shd w:val="clear" w:color="auto" w:fill="FFFFFF"/>
          <w:lang w:val="en-US"/>
        </w:rPr>
        <w:t>Correlations between ratings of experienced and imagined life events by first-year university students in Japan.</w:t>
      </w:r>
      <w:proofErr w:type="gramEnd"/>
      <w:r w:rsidRPr="00C74B30">
        <w:rPr>
          <w:rStyle w:val="apple-converted-space"/>
          <w:shd w:val="clear" w:color="auto" w:fill="FFFFFF"/>
          <w:lang w:val="en-US"/>
        </w:rPr>
        <w:t> </w:t>
      </w:r>
      <w:r>
        <w:rPr>
          <w:i/>
          <w:iCs/>
          <w:shd w:val="clear" w:color="auto" w:fill="FFFFFF"/>
          <w:lang w:val="en-US"/>
        </w:rPr>
        <w:t>Psychological R</w:t>
      </w:r>
      <w:r w:rsidRPr="00C74B30">
        <w:rPr>
          <w:i/>
          <w:iCs/>
          <w:shd w:val="clear" w:color="auto" w:fill="FFFFFF"/>
          <w:lang w:val="en-US"/>
        </w:rPr>
        <w:t>eports</w:t>
      </w:r>
      <w:r w:rsidRPr="00C74B30">
        <w:rPr>
          <w:shd w:val="clear" w:color="auto" w:fill="FFFFFF"/>
          <w:lang w:val="en-US"/>
        </w:rPr>
        <w:t xml:space="preserve">, </w:t>
      </w:r>
      <w:r w:rsidRPr="00C74B30">
        <w:rPr>
          <w:i/>
          <w:iCs/>
          <w:shd w:val="clear" w:color="auto" w:fill="FFFFFF"/>
          <w:lang w:val="en-US"/>
        </w:rPr>
        <w:t>81</w:t>
      </w:r>
      <w:r w:rsidRPr="00C74B30">
        <w:rPr>
          <w:shd w:val="clear" w:color="auto" w:fill="FFFFFF"/>
          <w:lang w:val="en-US"/>
        </w:rPr>
        <w:t>, 187-193.</w:t>
      </w:r>
      <w:r>
        <w:rPr>
          <w:shd w:val="clear" w:color="auto" w:fill="FFFFFF"/>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w:t>
      </w:r>
      <w:r w:rsidRPr="003B609A">
        <w:rPr>
          <w:rStyle w:val="Hipervnculo"/>
          <w:lang w:val="en-US"/>
        </w:rPr>
        <w:t>2466</w:t>
      </w:r>
      <w:r w:rsidRPr="003B609A">
        <w:rPr>
          <w:rStyle w:val="Hipervnculo"/>
          <w:rFonts w:hint="eastAsia"/>
          <w:lang w:val="en-US"/>
        </w:rPr>
        <w:t>/</w:t>
      </w:r>
      <w:r w:rsidRPr="003B609A">
        <w:rPr>
          <w:rStyle w:val="Hipervnculo"/>
          <w:lang w:val="en-US"/>
        </w:rPr>
        <w:t>pr0.1997.81.1.187</w:t>
      </w:r>
      <w:r w:rsidR="00736E0C">
        <w:fldChar w:fldCharType="end"/>
      </w:r>
    </w:p>
    <w:p w:rsidR="003B609A" w:rsidRDefault="003B609A" w:rsidP="003B609A">
      <w:pPr>
        <w:spacing w:line="480" w:lineRule="auto"/>
        <w:ind w:left="709" w:hanging="709"/>
        <w:rPr>
          <w:lang w:val="en-US"/>
        </w:rPr>
      </w:pPr>
      <w:proofErr w:type="spellStart"/>
      <w:r w:rsidRPr="00CD7092">
        <w:rPr>
          <w:lang w:val="en-US"/>
        </w:rPr>
        <w:t>Triandis</w:t>
      </w:r>
      <w:proofErr w:type="spellEnd"/>
      <w:r w:rsidRPr="00CD7092">
        <w:rPr>
          <w:lang w:val="en-US"/>
        </w:rPr>
        <w:t xml:space="preserve">, H. C. (2001). </w:t>
      </w:r>
      <w:proofErr w:type="gramStart"/>
      <w:r w:rsidRPr="00CD7092">
        <w:rPr>
          <w:lang w:val="en-US"/>
        </w:rPr>
        <w:t>Individualism</w:t>
      </w:r>
      <w:r w:rsidRPr="00CD7092">
        <w:rPr>
          <w:rFonts w:ascii="Cambria Math" w:hAnsi="Cambria Math" w:cs="Cambria Math"/>
          <w:lang w:val="en-US"/>
        </w:rPr>
        <w:t>‐</w:t>
      </w:r>
      <w:r w:rsidRPr="00CD7092">
        <w:rPr>
          <w:lang w:val="en-US"/>
        </w:rPr>
        <w:t>collectivism and personality.</w:t>
      </w:r>
      <w:proofErr w:type="gramEnd"/>
      <w:r w:rsidRPr="00CD7092">
        <w:rPr>
          <w:lang w:val="en-US"/>
        </w:rPr>
        <w:t> </w:t>
      </w:r>
      <w:r>
        <w:rPr>
          <w:lang w:val="en-US"/>
        </w:rPr>
        <w:t xml:space="preserve"> </w:t>
      </w:r>
      <w:r w:rsidRPr="00CD7092">
        <w:rPr>
          <w:i/>
          <w:iCs/>
          <w:lang w:val="en-US"/>
        </w:rPr>
        <w:t>Journal of Personality</w:t>
      </w:r>
      <w:r w:rsidRPr="00CD7092">
        <w:rPr>
          <w:lang w:val="en-US"/>
        </w:rPr>
        <w:t>, </w:t>
      </w:r>
      <w:r w:rsidRPr="00CD7092">
        <w:rPr>
          <w:i/>
          <w:iCs/>
          <w:lang w:val="en-US"/>
        </w:rPr>
        <w:t>69</w:t>
      </w:r>
      <w:r w:rsidRPr="00CD7092">
        <w:rPr>
          <w:lang w:val="en-US"/>
        </w:rPr>
        <w:t>, 907-924.</w:t>
      </w:r>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oi:10.10</w:t>
      </w:r>
      <w:r w:rsidRPr="003B609A">
        <w:rPr>
          <w:rStyle w:val="Hipervnculo"/>
          <w:lang w:val="en-US"/>
        </w:rPr>
        <w:t>11</w:t>
      </w:r>
      <w:r w:rsidRPr="003B609A">
        <w:rPr>
          <w:rStyle w:val="Hipervnculo"/>
          <w:rFonts w:hint="eastAsia"/>
          <w:lang w:val="en-US"/>
        </w:rPr>
        <w:t>/</w:t>
      </w:r>
      <w:r w:rsidRPr="003B609A">
        <w:rPr>
          <w:rStyle w:val="Hipervnculo"/>
          <w:lang w:val="en-US"/>
        </w:rPr>
        <w:t>1467-6494.696169</w:t>
      </w:r>
      <w:r w:rsidR="00736E0C">
        <w:fldChar w:fldCharType="end"/>
      </w:r>
    </w:p>
    <w:p w:rsidR="003B609A" w:rsidRPr="00826151" w:rsidRDefault="003B609A" w:rsidP="003B609A">
      <w:pPr>
        <w:spacing w:line="480" w:lineRule="auto"/>
        <w:ind w:left="709" w:hanging="709"/>
        <w:rPr>
          <w:lang w:val="en-US"/>
        </w:rPr>
      </w:pPr>
      <w:proofErr w:type="gramStart"/>
      <w:r w:rsidRPr="003B609A">
        <w:rPr>
          <w:shd w:val="clear" w:color="auto" w:fill="FFFFFF"/>
          <w:lang w:val="en-US"/>
        </w:rPr>
        <w:t xml:space="preserve">Van </w:t>
      </w:r>
      <w:proofErr w:type="spellStart"/>
      <w:r w:rsidRPr="003B609A">
        <w:rPr>
          <w:shd w:val="clear" w:color="auto" w:fill="FFFFFF"/>
          <w:lang w:val="en-US"/>
        </w:rPr>
        <w:t>der</w:t>
      </w:r>
      <w:proofErr w:type="spellEnd"/>
      <w:r w:rsidRPr="003B609A">
        <w:rPr>
          <w:shd w:val="clear" w:color="auto" w:fill="FFFFFF"/>
          <w:lang w:val="en-US"/>
        </w:rPr>
        <w:t xml:space="preserve"> </w:t>
      </w:r>
      <w:proofErr w:type="spellStart"/>
      <w:r w:rsidRPr="003B609A">
        <w:rPr>
          <w:shd w:val="clear" w:color="auto" w:fill="FFFFFF"/>
          <w:lang w:val="en-US"/>
        </w:rPr>
        <w:t>Velde</w:t>
      </w:r>
      <w:proofErr w:type="spellEnd"/>
      <w:r w:rsidRPr="003B609A">
        <w:rPr>
          <w:shd w:val="clear" w:color="auto" w:fill="FFFFFF"/>
          <w:lang w:val="en-US"/>
        </w:rPr>
        <w:t xml:space="preserve">, F. W., </w:t>
      </w:r>
      <w:proofErr w:type="spellStart"/>
      <w:r w:rsidRPr="003B609A">
        <w:rPr>
          <w:shd w:val="clear" w:color="auto" w:fill="FFFFFF"/>
          <w:lang w:val="en-US"/>
        </w:rPr>
        <w:t>Hooykaas</w:t>
      </w:r>
      <w:proofErr w:type="spellEnd"/>
      <w:r w:rsidRPr="003B609A">
        <w:rPr>
          <w:shd w:val="clear" w:color="auto" w:fill="FFFFFF"/>
          <w:lang w:val="en-US"/>
        </w:rPr>
        <w:t xml:space="preserve">, C., &amp; Van </w:t>
      </w:r>
      <w:proofErr w:type="spellStart"/>
      <w:r w:rsidRPr="003B609A">
        <w:rPr>
          <w:shd w:val="clear" w:color="auto" w:fill="FFFFFF"/>
          <w:lang w:val="en-US"/>
        </w:rPr>
        <w:t>der</w:t>
      </w:r>
      <w:proofErr w:type="spellEnd"/>
      <w:r w:rsidRPr="003B609A">
        <w:rPr>
          <w:shd w:val="clear" w:color="auto" w:fill="FFFFFF"/>
          <w:lang w:val="en-US"/>
        </w:rPr>
        <w:t xml:space="preserve"> </w:t>
      </w:r>
      <w:proofErr w:type="spellStart"/>
      <w:r w:rsidRPr="003B609A">
        <w:rPr>
          <w:shd w:val="clear" w:color="auto" w:fill="FFFFFF"/>
          <w:lang w:val="en-US"/>
        </w:rPr>
        <w:t>Joop</w:t>
      </w:r>
      <w:proofErr w:type="spellEnd"/>
      <w:r w:rsidRPr="003B609A">
        <w:rPr>
          <w:shd w:val="clear" w:color="auto" w:fill="FFFFFF"/>
          <w:lang w:val="en-US"/>
        </w:rPr>
        <w:t>, P. (1992).</w:t>
      </w:r>
      <w:proofErr w:type="gramEnd"/>
      <w:r w:rsidRPr="003B609A">
        <w:rPr>
          <w:shd w:val="clear" w:color="auto" w:fill="FFFFFF"/>
          <w:lang w:val="en-US"/>
        </w:rPr>
        <w:t xml:space="preserve"> </w:t>
      </w:r>
      <w:r>
        <w:rPr>
          <w:shd w:val="clear" w:color="auto" w:fill="FFFFFF"/>
          <w:lang w:val="en-US"/>
        </w:rPr>
        <w:t>Risk perception and behavior: Pessimism, realism, and optimism about AIDS-related health behavior.</w:t>
      </w:r>
      <w:r>
        <w:rPr>
          <w:rStyle w:val="apple-converted-space"/>
          <w:shd w:val="clear" w:color="auto" w:fill="FFFFFF"/>
          <w:lang w:val="en-US"/>
        </w:rPr>
        <w:t> </w:t>
      </w:r>
      <w:r>
        <w:rPr>
          <w:i/>
          <w:iCs/>
          <w:shd w:val="clear" w:color="auto" w:fill="FFFFFF"/>
          <w:lang w:val="en-US"/>
        </w:rPr>
        <w:t>Psychology and Health</w:t>
      </w:r>
      <w:r>
        <w:rPr>
          <w:shd w:val="clear" w:color="auto" w:fill="FFFFFF"/>
          <w:lang w:val="en-US"/>
        </w:rPr>
        <w:t>,</w:t>
      </w:r>
      <w:r>
        <w:rPr>
          <w:rStyle w:val="apple-converted-space"/>
          <w:shd w:val="clear" w:color="auto" w:fill="FFFFFF"/>
          <w:lang w:val="en-US"/>
        </w:rPr>
        <w:t> </w:t>
      </w:r>
      <w:r>
        <w:rPr>
          <w:i/>
          <w:iCs/>
          <w:shd w:val="clear" w:color="auto" w:fill="FFFFFF"/>
          <w:lang w:val="en-US"/>
        </w:rPr>
        <w:t>6</w:t>
      </w:r>
      <w:r>
        <w:rPr>
          <w:shd w:val="clear" w:color="auto" w:fill="FFFFFF"/>
          <w:lang w:val="en-US"/>
        </w:rPr>
        <w:t xml:space="preserve">(1-2), 23-38.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w:t>
      </w:r>
      <w:proofErr w:type="gramStart"/>
      <w:r w:rsidRPr="003B609A">
        <w:rPr>
          <w:rStyle w:val="Hipervnculo"/>
          <w:rFonts w:hint="eastAsia"/>
          <w:lang w:val="en-US"/>
        </w:rPr>
        <w:t>:10.10</w:t>
      </w:r>
      <w:r w:rsidRPr="003B609A">
        <w:rPr>
          <w:rStyle w:val="Hipervnculo"/>
          <w:lang w:val="en-US"/>
        </w:rPr>
        <w:t>80</w:t>
      </w:r>
      <w:proofErr w:type="gramEnd"/>
      <w:r w:rsidRPr="003B609A">
        <w:rPr>
          <w:rStyle w:val="Hipervnculo"/>
          <w:rFonts w:hint="eastAsia"/>
          <w:lang w:val="en-US"/>
        </w:rPr>
        <w:t>/</w:t>
      </w:r>
      <w:r w:rsidRPr="003B609A">
        <w:rPr>
          <w:rStyle w:val="Hipervnculo"/>
          <w:lang w:val="en-US"/>
        </w:rPr>
        <w:t>08870449208402018</w:t>
      </w:r>
      <w:r w:rsidR="00736E0C">
        <w:fldChar w:fldCharType="end"/>
      </w:r>
    </w:p>
    <w:p w:rsidR="003B609A" w:rsidRPr="00C74B30" w:rsidRDefault="003B609A" w:rsidP="003B609A">
      <w:pPr>
        <w:spacing w:line="480" w:lineRule="auto"/>
        <w:ind w:left="709" w:hanging="709"/>
        <w:rPr>
          <w:lang w:val="en-US"/>
        </w:rPr>
      </w:pPr>
      <w:proofErr w:type="spellStart"/>
      <w:r w:rsidRPr="00C74B30">
        <w:rPr>
          <w:shd w:val="clear" w:color="auto" w:fill="FFFFFF"/>
          <w:lang w:val="en-US"/>
        </w:rPr>
        <w:t>Volicer</w:t>
      </w:r>
      <w:proofErr w:type="spellEnd"/>
      <w:r w:rsidRPr="00C74B30">
        <w:rPr>
          <w:shd w:val="clear" w:color="auto" w:fill="FFFFFF"/>
          <w:lang w:val="en-US"/>
        </w:rPr>
        <w:t xml:space="preserve">, B. J. (1973). Perceived stress levels of events associated with the </w:t>
      </w:r>
      <w:r>
        <w:rPr>
          <w:shd w:val="clear" w:color="auto" w:fill="FFFFFF"/>
          <w:lang w:val="en-US"/>
        </w:rPr>
        <w:t>experience of hospitalization: D</w:t>
      </w:r>
      <w:r w:rsidRPr="00C74B30">
        <w:rPr>
          <w:shd w:val="clear" w:color="auto" w:fill="FFFFFF"/>
          <w:lang w:val="en-US"/>
        </w:rPr>
        <w:t xml:space="preserve">evelopment and testing of a measurement tool. </w:t>
      </w:r>
      <w:proofErr w:type="gramStart"/>
      <w:r>
        <w:rPr>
          <w:i/>
          <w:iCs/>
          <w:shd w:val="clear" w:color="auto" w:fill="FFFFFF"/>
          <w:lang w:val="en-US"/>
        </w:rPr>
        <w:t>Nursing R</w:t>
      </w:r>
      <w:r w:rsidRPr="00C74B30">
        <w:rPr>
          <w:i/>
          <w:iCs/>
          <w:shd w:val="clear" w:color="auto" w:fill="FFFFFF"/>
          <w:lang w:val="en-US"/>
        </w:rPr>
        <w:t>esearch</w:t>
      </w:r>
      <w:r w:rsidRPr="00C74B30">
        <w:rPr>
          <w:shd w:val="clear" w:color="auto" w:fill="FFFFFF"/>
          <w:lang w:val="en-US"/>
        </w:rPr>
        <w:t>,</w:t>
      </w:r>
      <w:r>
        <w:rPr>
          <w:rStyle w:val="apple-converted-space"/>
          <w:shd w:val="clear" w:color="auto" w:fill="FFFFFF"/>
          <w:lang w:val="en-US"/>
        </w:rPr>
        <w:t xml:space="preserve"> </w:t>
      </w:r>
      <w:r w:rsidRPr="00C74B30">
        <w:rPr>
          <w:i/>
          <w:iCs/>
          <w:shd w:val="clear" w:color="auto" w:fill="FFFFFF"/>
          <w:lang w:val="en-US"/>
        </w:rPr>
        <w:t>22</w:t>
      </w:r>
      <w:r w:rsidRPr="00C74B30">
        <w:rPr>
          <w:shd w:val="clear" w:color="auto" w:fill="FFFFFF"/>
          <w:lang w:val="en-US"/>
        </w:rPr>
        <w:t>, 491-497.</w:t>
      </w:r>
      <w:proofErr w:type="gramEnd"/>
    </w:p>
    <w:p w:rsidR="003B609A" w:rsidRPr="00C74B30" w:rsidRDefault="003B609A" w:rsidP="003B609A">
      <w:pPr>
        <w:spacing w:line="480" w:lineRule="auto"/>
        <w:ind w:left="709" w:hanging="709"/>
        <w:rPr>
          <w:lang w:val="en-US"/>
        </w:rPr>
      </w:pPr>
      <w:r w:rsidRPr="00C74B30">
        <w:rPr>
          <w:shd w:val="clear" w:color="auto" w:fill="FFFFFF"/>
          <w:lang w:val="en-US"/>
        </w:rPr>
        <w:t xml:space="preserve">Welsh, D. (2009). </w:t>
      </w:r>
      <w:proofErr w:type="gramStart"/>
      <w:r w:rsidRPr="00C74B30">
        <w:rPr>
          <w:shd w:val="clear" w:color="auto" w:fill="FFFFFF"/>
          <w:lang w:val="en-US"/>
        </w:rPr>
        <w:t>Predictors of depressive symptoms in female medical-surgical hospital nurses.</w:t>
      </w:r>
      <w:proofErr w:type="gramEnd"/>
      <w:r>
        <w:rPr>
          <w:rStyle w:val="apple-converted-space"/>
          <w:shd w:val="clear" w:color="auto" w:fill="FFFFFF"/>
          <w:lang w:val="en-US"/>
        </w:rPr>
        <w:t xml:space="preserve"> </w:t>
      </w:r>
      <w:r>
        <w:rPr>
          <w:i/>
          <w:iCs/>
          <w:shd w:val="clear" w:color="auto" w:fill="FFFFFF"/>
          <w:lang w:val="en-US"/>
        </w:rPr>
        <w:t>Issues in Mental Health N</w:t>
      </w:r>
      <w:r w:rsidRPr="00C74B30">
        <w:rPr>
          <w:i/>
          <w:iCs/>
          <w:shd w:val="clear" w:color="auto" w:fill="FFFFFF"/>
          <w:lang w:val="en-US"/>
        </w:rPr>
        <w:t>ursing</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30</w:t>
      </w:r>
      <w:r w:rsidRPr="00C74B30">
        <w:rPr>
          <w:shd w:val="clear" w:color="auto" w:fill="FFFFFF"/>
          <w:lang w:val="en-US"/>
        </w:rPr>
        <w:t>, 320-326.</w:t>
      </w:r>
      <w:r>
        <w:rPr>
          <w:shd w:val="clear" w:color="auto" w:fill="FFFFFF"/>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826151">
        <w:rPr>
          <w:rStyle w:val="Hipervnculo"/>
          <w:lang w:val="en-US"/>
        </w:rPr>
        <w:t>D</w:t>
      </w:r>
      <w:r w:rsidRPr="00826151">
        <w:rPr>
          <w:rStyle w:val="Hipervnculo"/>
          <w:rFonts w:hint="eastAsia"/>
          <w:lang w:val="en-US"/>
        </w:rPr>
        <w:t>oi</w:t>
      </w:r>
      <w:proofErr w:type="gramStart"/>
      <w:r w:rsidRPr="00826151">
        <w:rPr>
          <w:rStyle w:val="Hipervnculo"/>
          <w:rFonts w:hint="eastAsia"/>
          <w:lang w:val="en-US"/>
        </w:rPr>
        <w:t>:10.10</w:t>
      </w:r>
      <w:r w:rsidRPr="00826151">
        <w:rPr>
          <w:rStyle w:val="Hipervnculo"/>
          <w:lang w:val="en-US"/>
        </w:rPr>
        <w:t>80</w:t>
      </w:r>
      <w:proofErr w:type="gramEnd"/>
      <w:r w:rsidRPr="00826151">
        <w:rPr>
          <w:rStyle w:val="Hipervnculo"/>
          <w:rFonts w:hint="eastAsia"/>
          <w:lang w:val="en-US"/>
        </w:rPr>
        <w:t>/</w:t>
      </w:r>
      <w:r w:rsidRPr="00826151">
        <w:rPr>
          <w:rStyle w:val="Hipervnculo"/>
          <w:lang w:val="en-US"/>
        </w:rPr>
        <w:t>0161284090275437</w:t>
      </w:r>
      <w:r w:rsidR="00736E0C">
        <w:fldChar w:fldCharType="end"/>
      </w:r>
    </w:p>
    <w:p w:rsidR="003B609A" w:rsidRPr="00C74B30" w:rsidRDefault="003B609A" w:rsidP="003B609A">
      <w:pPr>
        <w:spacing w:line="480" w:lineRule="auto"/>
        <w:ind w:left="709" w:hanging="709"/>
        <w:rPr>
          <w:lang w:val="en-US"/>
        </w:rPr>
      </w:pPr>
      <w:proofErr w:type="gramStart"/>
      <w:r w:rsidRPr="00C74B30">
        <w:rPr>
          <w:lang w:val="en-US"/>
        </w:rPr>
        <w:t xml:space="preserve">Woods, A. M., Racine, S. E., &amp; </w:t>
      </w:r>
      <w:proofErr w:type="spellStart"/>
      <w:r w:rsidRPr="00C74B30">
        <w:rPr>
          <w:lang w:val="en-US"/>
        </w:rPr>
        <w:t>Klump</w:t>
      </w:r>
      <w:proofErr w:type="spellEnd"/>
      <w:r w:rsidRPr="00C74B30">
        <w:rPr>
          <w:lang w:val="en-US"/>
        </w:rPr>
        <w:t>, K. L. (2010).</w:t>
      </w:r>
      <w:proofErr w:type="gramEnd"/>
      <w:r w:rsidRPr="00C74B30">
        <w:rPr>
          <w:lang w:val="en-US"/>
        </w:rPr>
        <w:t xml:space="preserve"> </w:t>
      </w:r>
      <w:proofErr w:type="gramStart"/>
      <w:r w:rsidRPr="00C74B30">
        <w:rPr>
          <w:lang w:val="en-US"/>
        </w:rPr>
        <w:t>Examining the relationship between dietary restraint and binge eating: Differential effects of major and minor stressors.</w:t>
      </w:r>
      <w:proofErr w:type="gramEnd"/>
      <w:r w:rsidRPr="00C74B30">
        <w:rPr>
          <w:lang w:val="en-US"/>
        </w:rPr>
        <w:t> </w:t>
      </w:r>
      <w:proofErr w:type="gramStart"/>
      <w:r>
        <w:rPr>
          <w:i/>
          <w:lang w:val="en-US"/>
        </w:rPr>
        <w:t>Eating B</w:t>
      </w:r>
      <w:r w:rsidRPr="00C74B30">
        <w:rPr>
          <w:i/>
          <w:lang w:val="en-US"/>
        </w:rPr>
        <w:t>ehaviors</w:t>
      </w:r>
      <w:r w:rsidRPr="00C74B30">
        <w:rPr>
          <w:lang w:val="en-US"/>
        </w:rPr>
        <w:t>, </w:t>
      </w:r>
      <w:r w:rsidRPr="00C74B30">
        <w:rPr>
          <w:i/>
          <w:lang w:val="en-US"/>
        </w:rPr>
        <w:t>11</w:t>
      </w:r>
      <w:r w:rsidRPr="00C74B30">
        <w:rPr>
          <w:lang w:val="en-US"/>
        </w:rPr>
        <w:t>, 276-280.</w:t>
      </w:r>
      <w:proofErr w:type="gramEnd"/>
      <w:r>
        <w:rPr>
          <w:lang w:val="en-US"/>
        </w:rPr>
        <w:t xml:space="preserve"> </w:t>
      </w:r>
      <w:r w:rsidR="00736E0C">
        <w:fldChar w:fldCharType="begin"/>
      </w:r>
      <w:r w:rsidR="00736E0C" w:rsidRPr="008043E7">
        <w:rPr>
          <w:lang w:val="en-US"/>
        </w:rPr>
        <w:instrText>HYPERLINK "http://dx.doi.org/10.1016/j.eatbeh.2010.08.001" \t "doilink"</w:instrText>
      </w:r>
      <w:r w:rsidR="00736E0C">
        <w:fldChar w:fldCharType="separate"/>
      </w:r>
      <w:r w:rsidRPr="003B609A">
        <w:rPr>
          <w:rStyle w:val="Hipervnculo"/>
          <w:lang w:val="en-US"/>
        </w:rPr>
        <w:t>D</w:t>
      </w:r>
      <w:r w:rsidRPr="003B609A">
        <w:rPr>
          <w:rStyle w:val="Hipervnculo"/>
          <w:rFonts w:hint="eastAsia"/>
          <w:lang w:val="en-US"/>
        </w:rPr>
        <w:t>oi:10.1016/j.eatbeh.2010.08.001</w:t>
      </w:r>
      <w:r w:rsidR="00736E0C">
        <w:fldChar w:fldCharType="end"/>
      </w:r>
    </w:p>
    <w:p w:rsidR="003B609A" w:rsidRPr="00C74B30" w:rsidRDefault="003B609A" w:rsidP="003B609A">
      <w:pPr>
        <w:spacing w:line="480" w:lineRule="auto"/>
        <w:ind w:left="709" w:hanging="709"/>
      </w:pPr>
      <w:proofErr w:type="gramStart"/>
      <w:r w:rsidRPr="00C74B30">
        <w:rPr>
          <w:lang w:val="en-US"/>
        </w:rPr>
        <w:lastRenderedPageBreak/>
        <w:t>Wyler, A. R., Masuda, M., &amp; Holmes, T. H. (1971).</w:t>
      </w:r>
      <w:proofErr w:type="gramEnd"/>
      <w:r w:rsidRPr="00C74B30">
        <w:rPr>
          <w:lang w:val="en-US"/>
        </w:rPr>
        <w:t xml:space="preserve">  </w:t>
      </w:r>
      <w:proofErr w:type="gramStart"/>
      <w:r w:rsidRPr="00C74B30">
        <w:rPr>
          <w:bCs/>
          <w:color w:val="000000"/>
          <w:lang w:val="en-US"/>
        </w:rPr>
        <w:t>Magnitude of life events and seriousness of illness.</w:t>
      </w:r>
      <w:proofErr w:type="gramEnd"/>
      <w:r w:rsidRPr="00C74B30">
        <w:rPr>
          <w:bCs/>
          <w:color w:val="000000"/>
          <w:lang w:val="en-US"/>
        </w:rPr>
        <w:t xml:space="preserve">  </w:t>
      </w:r>
      <w:proofErr w:type="spellStart"/>
      <w:r w:rsidRPr="00C74B30">
        <w:rPr>
          <w:i/>
          <w:color w:val="000000"/>
        </w:rPr>
        <w:t>Psychosomatic</w:t>
      </w:r>
      <w:proofErr w:type="spellEnd"/>
      <w:r w:rsidRPr="00C74B30">
        <w:rPr>
          <w:i/>
          <w:color w:val="000000"/>
        </w:rPr>
        <w:t xml:space="preserve"> Medicine</w:t>
      </w:r>
      <w:r w:rsidRPr="00C74B30">
        <w:rPr>
          <w:bCs/>
          <w:i/>
          <w:color w:val="000000"/>
        </w:rPr>
        <w:t>,</w:t>
      </w:r>
      <w:r w:rsidRPr="00C74B30">
        <w:rPr>
          <w:b/>
          <w:bCs/>
          <w:i/>
          <w:color w:val="000000"/>
        </w:rPr>
        <w:t xml:space="preserve"> </w:t>
      </w:r>
      <w:r w:rsidRPr="00C74B30">
        <w:rPr>
          <w:bCs/>
          <w:i/>
          <w:color w:val="000000"/>
        </w:rPr>
        <w:t>33, 115-122.</w:t>
      </w:r>
      <w:r w:rsidRPr="00C74B30">
        <w:t xml:space="preserve"> </w:t>
      </w:r>
    </w:p>
    <w:p w:rsidR="009D42A1" w:rsidRPr="00C74B30" w:rsidRDefault="009D42A1" w:rsidP="009D42A1">
      <w:pPr>
        <w:spacing w:line="480" w:lineRule="auto"/>
        <w:jc w:val="center"/>
        <w:rPr>
          <w:b/>
        </w:rPr>
      </w:pPr>
    </w:p>
    <w:sectPr w:rsidR="009D42A1" w:rsidRPr="00C74B30" w:rsidSect="00EC36EB">
      <w:footerReference w:type="even" r:id="rId10"/>
      <w:footerReference w:type="defaul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3C6" w:rsidRDefault="005633C6">
      <w:r>
        <w:separator/>
      </w:r>
    </w:p>
  </w:endnote>
  <w:endnote w:type="continuationSeparator" w:id="0">
    <w:p w:rsidR="005633C6" w:rsidRDefault="00563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87" w:rsidRDefault="00736E0C" w:rsidP="00123093">
    <w:pPr>
      <w:pStyle w:val="Piedepgina"/>
      <w:framePr w:wrap="around" w:vAnchor="text" w:hAnchor="margin" w:xAlign="center" w:y="1"/>
      <w:rPr>
        <w:rStyle w:val="Nmerodepgina"/>
      </w:rPr>
    </w:pPr>
    <w:r>
      <w:rPr>
        <w:rStyle w:val="Nmerodepgina"/>
      </w:rPr>
      <w:fldChar w:fldCharType="begin"/>
    </w:r>
    <w:r w:rsidR="00A53987">
      <w:rPr>
        <w:rStyle w:val="Nmerodepgina"/>
      </w:rPr>
      <w:instrText xml:space="preserve">PAGE  </w:instrText>
    </w:r>
    <w:r>
      <w:rPr>
        <w:rStyle w:val="Nmerodepgina"/>
      </w:rPr>
      <w:fldChar w:fldCharType="end"/>
    </w:r>
  </w:p>
  <w:p w:rsidR="00A53987" w:rsidRDefault="00A539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87" w:rsidRDefault="00A53987">
    <w:pPr>
      <w:pStyle w:val="Piedepgina"/>
    </w:pPr>
  </w:p>
  <w:p w:rsidR="00A53987" w:rsidRDefault="00A5398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87" w:rsidRPr="00EC36EB" w:rsidRDefault="00A53987">
    <w:pPr>
      <w:pStyle w:val="Piedepgina"/>
      <w:rPr>
        <w:lang w:val="es-MX"/>
      </w:rPr>
    </w:pPr>
    <w:r>
      <w:rPr>
        <w:color w:val="000000"/>
        <w:lang w:val="es-MX"/>
      </w:rPr>
      <w:t>1. El presente trabajo es una versión resumida de la tesis de licenciatura del primer autor, mientras que el segundo autor fungió como director de la tesis.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3C6" w:rsidRDefault="005633C6">
      <w:r>
        <w:separator/>
      </w:r>
    </w:p>
  </w:footnote>
  <w:footnote w:type="continuationSeparator" w:id="0">
    <w:p w:rsidR="005633C6" w:rsidRDefault="005633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9A4"/>
    <w:multiLevelType w:val="multilevel"/>
    <w:tmpl w:val="D0DA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6624D7"/>
    <w:multiLevelType w:val="multilevel"/>
    <w:tmpl w:val="FC4A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801D4B"/>
    <w:multiLevelType w:val="multilevel"/>
    <w:tmpl w:val="BD5047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63FD9"/>
    <w:multiLevelType w:val="multilevel"/>
    <w:tmpl w:val="3AE6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0DC1"/>
    <w:rsid w:val="00001E6F"/>
    <w:rsid w:val="000107CC"/>
    <w:rsid w:val="00010BC8"/>
    <w:rsid w:val="0001391B"/>
    <w:rsid w:val="00015FBA"/>
    <w:rsid w:val="000167AC"/>
    <w:rsid w:val="00020B11"/>
    <w:rsid w:val="00020C97"/>
    <w:rsid w:val="0002222C"/>
    <w:rsid w:val="00024D64"/>
    <w:rsid w:val="000250D5"/>
    <w:rsid w:val="00026A27"/>
    <w:rsid w:val="00026D67"/>
    <w:rsid w:val="0003544B"/>
    <w:rsid w:val="0004065B"/>
    <w:rsid w:val="000417CE"/>
    <w:rsid w:val="000467DC"/>
    <w:rsid w:val="00051F9D"/>
    <w:rsid w:val="00052039"/>
    <w:rsid w:val="0005216F"/>
    <w:rsid w:val="00052B8F"/>
    <w:rsid w:val="000545EC"/>
    <w:rsid w:val="0006098E"/>
    <w:rsid w:val="0006148D"/>
    <w:rsid w:val="00062D57"/>
    <w:rsid w:val="00063C0B"/>
    <w:rsid w:val="00071690"/>
    <w:rsid w:val="000726C7"/>
    <w:rsid w:val="000776B3"/>
    <w:rsid w:val="00080D32"/>
    <w:rsid w:val="00086A36"/>
    <w:rsid w:val="000874F4"/>
    <w:rsid w:val="00087683"/>
    <w:rsid w:val="00091239"/>
    <w:rsid w:val="000913EB"/>
    <w:rsid w:val="00091FF7"/>
    <w:rsid w:val="000928C8"/>
    <w:rsid w:val="0009396F"/>
    <w:rsid w:val="0009432C"/>
    <w:rsid w:val="00096B62"/>
    <w:rsid w:val="00097293"/>
    <w:rsid w:val="000A20B2"/>
    <w:rsid w:val="000B14AA"/>
    <w:rsid w:val="000B2CCF"/>
    <w:rsid w:val="000B5F4B"/>
    <w:rsid w:val="000B7F6D"/>
    <w:rsid w:val="000C0B69"/>
    <w:rsid w:val="000C1AF3"/>
    <w:rsid w:val="000C4305"/>
    <w:rsid w:val="000C5001"/>
    <w:rsid w:val="000C7864"/>
    <w:rsid w:val="000D0ECB"/>
    <w:rsid w:val="000D19D2"/>
    <w:rsid w:val="000D3DEE"/>
    <w:rsid w:val="000D7FBE"/>
    <w:rsid w:val="000E7BB8"/>
    <w:rsid w:val="00100192"/>
    <w:rsid w:val="001011E3"/>
    <w:rsid w:val="00107BB5"/>
    <w:rsid w:val="0011111B"/>
    <w:rsid w:val="001130EA"/>
    <w:rsid w:val="001163A4"/>
    <w:rsid w:val="00116CCF"/>
    <w:rsid w:val="001220EE"/>
    <w:rsid w:val="00123093"/>
    <w:rsid w:val="00124D90"/>
    <w:rsid w:val="001260D4"/>
    <w:rsid w:val="00127D38"/>
    <w:rsid w:val="00130C1A"/>
    <w:rsid w:val="001339E5"/>
    <w:rsid w:val="001343ED"/>
    <w:rsid w:val="001344C4"/>
    <w:rsid w:val="00135160"/>
    <w:rsid w:val="001359C9"/>
    <w:rsid w:val="00140DEA"/>
    <w:rsid w:val="001518EA"/>
    <w:rsid w:val="0015258C"/>
    <w:rsid w:val="001533D9"/>
    <w:rsid w:val="0015342C"/>
    <w:rsid w:val="00157CA6"/>
    <w:rsid w:val="001609F8"/>
    <w:rsid w:val="00160E64"/>
    <w:rsid w:val="001616E5"/>
    <w:rsid w:val="00164365"/>
    <w:rsid w:val="00167396"/>
    <w:rsid w:val="00173B93"/>
    <w:rsid w:val="001744AF"/>
    <w:rsid w:val="0017773F"/>
    <w:rsid w:val="00180180"/>
    <w:rsid w:val="00182D83"/>
    <w:rsid w:val="00185EF4"/>
    <w:rsid w:val="00187456"/>
    <w:rsid w:val="001904D2"/>
    <w:rsid w:val="001911D6"/>
    <w:rsid w:val="00195A94"/>
    <w:rsid w:val="001971BD"/>
    <w:rsid w:val="00197FDB"/>
    <w:rsid w:val="001A4043"/>
    <w:rsid w:val="001A5B82"/>
    <w:rsid w:val="001A6D8C"/>
    <w:rsid w:val="001A77CA"/>
    <w:rsid w:val="001B0DC9"/>
    <w:rsid w:val="001B2001"/>
    <w:rsid w:val="001B28CD"/>
    <w:rsid w:val="001C0370"/>
    <w:rsid w:val="001D17F1"/>
    <w:rsid w:val="001D2E3E"/>
    <w:rsid w:val="001D37B6"/>
    <w:rsid w:val="001D3BC2"/>
    <w:rsid w:val="001D7C26"/>
    <w:rsid w:val="001E0263"/>
    <w:rsid w:val="001E3403"/>
    <w:rsid w:val="001E6AFB"/>
    <w:rsid w:val="001F2F03"/>
    <w:rsid w:val="001F561D"/>
    <w:rsid w:val="00211ABD"/>
    <w:rsid w:val="00214903"/>
    <w:rsid w:val="002231EB"/>
    <w:rsid w:val="00232193"/>
    <w:rsid w:val="00234A2F"/>
    <w:rsid w:val="00237F86"/>
    <w:rsid w:val="00242F56"/>
    <w:rsid w:val="00244AF0"/>
    <w:rsid w:val="0024606A"/>
    <w:rsid w:val="00246A40"/>
    <w:rsid w:val="00251249"/>
    <w:rsid w:val="00252173"/>
    <w:rsid w:val="00262C8E"/>
    <w:rsid w:val="00270946"/>
    <w:rsid w:val="00271E58"/>
    <w:rsid w:val="002754E5"/>
    <w:rsid w:val="00276A32"/>
    <w:rsid w:val="0028005E"/>
    <w:rsid w:val="00284940"/>
    <w:rsid w:val="0028724A"/>
    <w:rsid w:val="00291E96"/>
    <w:rsid w:val="00295442"/>
    <w:rsid w:val="002A4372"/>
    <w:rsid w:val="002A6FE2"/>
    <w:rsid w:val="002A7827"/>
    <w:rsid w:val="002B06BB"/>
    <w:rsid w:val="002B63C3"/>
    <w:rsid w:val="002C044A"/>
    <w:rsid w:val="002C0942"/>
    <w:rsid w:val="002C7C97"/>
    <w:rsid w:val="002D156B"/>
    <w:rsid w:val="002D4FF0"/>
    <w:rsid w:val="002D548B"/>
    <w:rsid w:val="002E0C55"/>
    <w:rsid w:val="002E56C8"/>
    <w:rsid w:val="002E73D9"/>
    <w:rsid w:val="002E7BBD"/>
    <w:rsid w:val="002F11B7"/>
    <w:rsid w:val="002F5E88"/>
    <w:rsid w:val="002F6226"/>
    <w:rsid w:val="00301245"/>
    <w:rsid w:val="00302589"/>
    <w:rsid w:val="00304BD9"/>
    <w:rsid w:val="0030532C"/>
    <w:rsid w:val="00311E35"/>
    <w:rsid w:val="003140B7"/>
    <w:rsid w:val="00321C62"/>
    <w:rsid w:val="003240CD"/>
    <w:rsid w:val="0033143C"/>
    <w:rsid w:val="003345E1"/>
    <w:rsid w:val="003347F7"/>
    <w:rsid w:val="00335A6A"/>
    <w:rsid w:val="00335DD5"/>
    <w:rsid w:val="00336C1E"/>
    <w:rsid w:val="00336E82"/>
    <w:rsid w:val="00337948"/>
    <w:rsid w:val="00337D2F"/>
    <w:rsid w:val="00340306"/>
    <w:rsid w:val="00341E53"/>
    <w:rsid w:val="003434EF"/>
    <w:rsid w:val="00356941"/>
    <w:rsid w:val="00360A18"/>
    <w:rsid w:val="00364861"/>
    <w:rsid w:val="00365ED2"/>
    <w:rsid w:val="003670D2"/>
    <w:rsid w:val="00371B18"/>
    <w:rsid w:val="00371D02"/>
    <w:rsid w:val="003730D0"/>
    <w:rsid w:val="00384FFC"/>
    <w:rsid w:val="00386455"/>
    <w:rsid w:val="003942CA"/>
    <w:rsid w:val="00394DC2"/>
    <w:rsid w:val="00396EDE"/>
    <w:rsid w:val="00396F79"/>
    <w:rsid w:val="003A4453"/>
    <w:rsid w:val="003B2149"/>
    <w:rsid w:val="003B3183"/>
    <w:rsid w:val="003B609A"/>
    <w:rsid w:val="003B664A"/>
    <w:rsid w:val="003B69B9"/>
    <w:rsid w:val="003C0CE9"/>
    <w:rsid w:val="003C5870"/>
    <w:rsid w:val="003C6645"/>
    <w:rsid w:val="003C73A2"/>
    <w:rsid w:val="003D0144"/>
    <w:rsid w:val="003D17B7"/>
    <w:rsid w:val="003E320D"/>
    <w:rsid w:val="003E5C14"/>
    <w:rsid w:val="003E6978"/>
    <w:rsid w:val="003E7A87"/>
    <w:rsid w:val="003E7E02"/>
    <w:rsid w:val="003F1FF2"/>
    <w:rsid w:val="003F3500"/>
    <w:rsid w:val="003F4102"/>
    <w:rsid w:val="003F4131"/>
    <w:rsid w:val="003F4B30"/>
    <w:rsid w:val="003F5E36"/>
    <w:rsid w:val="003F768E"/>
    <w:rsid w:val="004071A4"/>
    <w:rsid w:val="00410706"/>
    <w:rsid w:val="00414826"/>
    <w:rsid w:val="004151CF"/>
    <w:rsid w:val="00416DBB"/>
    <w:rsid w:val="00421A26"/>
    <w:rsid w:val="004225F9"/>
    <w:rsid w:val="0042607E"/>
    <w:rsid w:val="004265A1"/>
    <w:rsid w:val="0042728C"/>
    <w:rsid w:val="004311EB"/>
    <w:rsid w:val="00433890"/>
    <w:rsid w:val="00435127"/>
    <w:rsid w:val="004355A5"/>
    <w:rsid w:val="00435C24"/>
    <w:rsid w:val="00436BAE"/>
    <w:rsid w:val="00437B26"/>
    <w:rsid w:val="00445219"/>
    <w:rsid w:val="0044748E"/>
    <w:rsid w:val="004511A7"/>
    <w:rsid w:val="004523BC"/>
    <w:rsid w:val="00452816"/>
    <w:rsid w:val="00455CB6"/>
    <w:rsid w:val="00457D6A"/>
    <w:rsid w:val="00464B6F"/>
    <w:rsid w:val="00467FC5"/>
    <w:rsid w:val="00470FCA"/>
    <w:rsid w:val="00472912"/>
    <w:rsid w:val="0047647F"/>
    <w:rsid w:val="00480EF2"/>
    <w:rsid w:val="00482ACB"/>
    <w:rsid w:val="00483C2C"/>
    <w:rsid w:val="0048453E"/>
    <w:rsid w:val="00485DCA"/>
    <w:rsid w:val="004872AA"/>
    <w:rsid w:val="004A659A"/>
    <w:rsid w:val="004A7176"/>
    <w:rsid w:val="004A7789"/>
    <w:rsid w:val="004B4374"/>
    <w:rsid w:val="004B6344"/>
    <w:rsid w:val="004C4A99"/>
    <w:rsid w:val="004C5E98"/>
    <w:rsid w:val="004C6419"/>
    <w:rsid w:val="004D0A88"/>
    <w:rsid w:val="004D0B0A"/>
    <w:rsid w:val="004D400B"/>
    <w:rsid w:val="004D509D"/>
    <w:rsid w:val="004D7E21"/>
    <w:rsid w:val="004E44BC"/>
    <w:rsid w:val="004E5187"/>
    <w:rsid w:val="004E5E75"/>
    <w:rsid w:val="004E6957"/>
    <w:rsid w:val="004E6A9E"/>
    <w:rsid w:val="004E76DE"/>
    <w:rsid w:val="004F0147"/>
    <w:rsid w:val="004F0624"/>
    <w:rsid w:val="004F2312"/>
    <w:rsid w:val="005018FE"/>
    <w:rsid w:val="00503043"/>
    <w:rsid w:val="00506A51"/>
    <w:rsid w:val="00506A65"/>
    <w:rsid w:val="005140C8"/>
    <w:rsid w:val="00514F52"/>
    <w:rsid w:val="00515880"/>
    <w:rsid w:val="00520407"/>
    <w:rsid w:val="00521998"/>
    <w:rsid w:val="005221AD"/>
    <w:rsid w:val="005273C9"/>
    <w:rsid w:val="005360F6"/>
    <w:rsid w:val="00540C5A"/>
    <w:rsid w:val="005413D9"/>
    <w:rsid w:val="00543365"/>
    <w:rsid w:val="00545110"/>
    <w:rsid w:val="005471D6"/>
    <w:rsid w:val="005522E9"/>
    <w:rsid w:val="00553F00"/>
    <w:rsid w:val="00554EA9"/>
    <w:rsid w:val="00556E7E"/>
    <w:rsid w:val="005633C6"/>
    <w:rsid w:val="005658F1"/>
    <w:rsid w:val="00567515"/>
    <w:rsid w:val="00576DF0"/>
    <w:rsid w:val="00577A91"/>
    <w:rsid w:val="00585AAB"/>
    <w:rsid w:val="0058640E"/>
    <w:rsid w:val="005946D8"/>
    <w:rsid w:val="0059656A"/>
    <w:rsid w:val="005A1B9A"/>
    <w:rsid w:val="005A7310"/>
    <w:rsid w:val="005B2221"/>
    <w:rsid w:val="005B7128"/>
    <w:rsid w:val="005C0EEC"/>
    <w:rsid w:val="005C57F9"/>
    <w:rsid w:val="005D494B"/>
    <w:rsid w:val="005E2630"/>
    <w:rsid w:val="005E2C9F"/>
    <w:rsid w:val="005E2CE4"/>
    <w:rsid w:val="005E3AF9"/>
    <w:rsid w:val="005E6412"/>
    <w:rsid w:val="005F0EF4"/>
    <w:rsid w:val="006010D0"/>
    <w:rsid w:val="006012C1"/>
    <w:rsid w:val="00605430"/>
    <w:rsid w:val="00606691"/>
    <w:rsid w:val="00607BEB"/>
    <w:rsid w:val="00607F25"/>
    <w:rsid w:val="006104D2"/>
    <w:rsid w:val="00611A76"/>
    <w:rsid w:val="006136D7"/>
    <w:rsid w:val="006207EF"/>
    <w:rsid w:val="00624345"/>
    <w:rsid w:val="00625673"/>
    <w:rsid w:val="0063106D"/>
    <w:rsid w:val="00637E23"/>
    <w:rsid w:val="00637E2A"/>
    <w:rsid w:val="00640C4A"/>
    <w:rsid w:val="00645C20"/>
    <w:rsid w:val="00646F00"/>
    <w:rsid w:val="00653550"/>
    <w:rsid w:val="00666E60"/>
    <w:rsid w:val="00667659"/>
    <w:rsid w:val="00670245"/>
    <w:rsid w:val="00674A3C"/>
    <w:rsid w:val="00675121"/>
    <w:rsid w:val="006778ED"/>
    <w:rsid w:val="006913B6"/>
    <w:rsid w:val="00692683"/>
    <w:rsid w:val="00692814"/>
    <w:rsid w:val="006A15AA"/>
    <w:rsid w:val="006A2905"/>
    <w:rsid w:val="006B3506"/>
    <w:rsid w:val="006B370B"/>
    <w:rsid w:val="006B3A9F"/>
    <w:rsid w:val="006B4257"/>
    <w:rsid w:val="006B5A9D"/>
    <w:rsid w:val="006B6A0F"/>
    <w:rsid w:val="006C11BA"/>
    <w:rsid w:val="006C4DB8"/>
    <w:rsid w:val="006C5A6B"/>
    <w:rsid w:val="006C7061"/>
    <w:rsid w:val="006D1ECD"/>
    <w:rsid w:val="006D3294"/>
    <w:rsid w:val="006D534A"/>
    <w:rsid w:val="006E1344"/>
    <w:rsid w:val="006E15EF"/>
    <w:rsid w:val="006E4517"/>
    <w:rsid w:val="006E4DD4"/>
    <w:rsid w:val="006E4E2F"/>
    <w:rsid w:val="006E5A4B"/>
    <w:rsid w:val="006E7208"/>
    <w:rsid w:val="006F6110"/>
    <w:rsid w:val="007010A2"/>
    <w:rsid w:val="0070254C"/>
    <w:rsid w:val="007106EC"/>
    <w:rsid w:val="00713FA5"/>
    <w:rsid w:val="007177D5"/>
    <w:rsid w:val="007225B2"/>
    <w:rsid w:val="00724A3D"/>
    <w:rsid w:val="00736985"/>
    <w:rsid w:val="00736E0C"/>
    <w:rsid w:val="00742749"/>
    <w:rsid w:val="00744EAE"/>
    <w:rsid w:val="00745D7C"/>
    <w:rsid w:val="00750F0C"/>
    <w:rsid w:val="00751FD9"/>
    <w:rsid w:val="00752C91"/>
    <w:rsid w:val="00753370"/>
    <w:rsid w:val="00755B27"/>
    <w:rsid w:val="00756B30"/>
    <w:rsid w:val="00756C64"/>
    <w:rsid w:val="00757461"/>
    <w:rsid w:val="00762F92"/>
    <w:rsid w:val="00763021"/>
    <w:rsid w:val="00764DD1"/>
    <w:rsid w:val="007664E3"/>
    <w:rsid w:val="00774559"/>
    <w:rsid w:val="00781653"/>
    <w:rsid w:val="0078299B"/>
    <w:rsid w:val="007842F5"/>
    <w:rsid w:val="007864C9"/>
    <w:rsid w:val="007A09CB"/>
    <w:rsid w:val="007B03A0"/>
    <w:rsid w:val="007B6E0C"/>
    <w:rsid w:val="007C390B"/>
    <w:rsid w:val="007C50D3"/>
    <w:rsid w:val="007C6BBA"/>
    <w:rsid w:val="007C78BF"/>
    <w:rsid w:val="007D198B"/>
    <w:rsid w:val="007D299A"/>
    <w:rsid w:val="007D2BDB"/>
    <w:rsid w:val="007D424C"/>
    <w:rsid w:val="007D50F0"/>
    <w:rsid w:val="007D5F41"/>
    <w:rsid w:val="007E166A"/>
    <w:rsid w:val="007E35DB"/>
    <w:rsid w:val="007E478F"/>
    <w:rsid w:val="007E60F0"/>
    <w:rsid w:val="007F19D9"/>
    <w:rsid w:val="007F2AA2"/>
    <w:rsid w:val="008004A1"/>
    <w:rsid w:val="0080228F"/>
    <w:rsid w:val="008043E7"/>
    <w:rsid w:val="00804FF6"/>
    <w:rsid w:val="00824341"/>
    <w:rsid w:val="00826839"/>
    <w:rsid w:val="00827A1D"/>
    <w:rsid w:val="008351B8"/>
    <w:rsid w:val="00836BF1"/>
    <w:rsid w:val="00837539"/>
    <w:rsid w:val="00842B7F"/>
    <w:rsid w:val="00843079"/>
    <w:rsid w:val="00843D6B"/>
    <w:rsid w:val="008469E8"/>
    <w:rsid w:val="00850189"/>
    <w:rsid w:val="00851241"/>
    <w:rsid w:val="00851760"/>
    <w:rsid w:val="008536AF"/>
    <w:rsid w:val="00855FBB"/>
    <w:rsid w:val="00857C1F"/>
    <w:rsid w:val="00860986"/>
    <w:rsid w:val="00862A9C"/>
    <w:rsid w:val="00867AED"/>
    <w:rsid w:val="00867E9D"/>
    <w:rsid w:val="00876939"/>
    <w:rsid w:val="00877173"/>
    <w:rsid w:val="00881BC7"/>
    <w:rsid w:val="00882966"/>
    <w:rsid w:val="00883561"/>
    <w:rsid w:val="008845DC"/>
    <w:rsid w:val="008852A3"/>
    <w:rsid w:val="00886CD2"/>
    <w:rsid w:val="0089150F"/>
    <w:rsid w:val="008932B7"/>
    <w:rsid w:val="008A1D9C"/>
    <w:rsid w:val="008A469D"/>
    <w:rsid w:val="008A4CE4"/>
    <w:rsid w:val="008A6596"/>
    <w:rsid w:val="008B430D"/>
    <w:rsid w:val="008B555F"/>
    <w:rsid w:val="008B7973"/>
    <w:rsid w:val="008C0785"/>
    <w:rsid w:val="008C07BA"/>
    <w:rsid w:val="008C0F80"/>
    <w:rsid w:val="008D5C52"/>
    <w:rsid w:val="008D5D6A"/>
    <w:rsid w:val="008D77DB"/>
    <w:rsid w:val="008E00A6"/>
    <w:rsid w:val="008E1220"/>
    <w:rsid w:val="008E621E"/>
    <w:rsid w:val="008F1924"/>
    <w:rsid w:val="008F5099"/>
    <w:rsid w:val="008F69F8"/>
    <w:rsid w:val="00902F68"/>
    <w:rsid w:val="009040C7"/>
    <w:rsid w:val="00917FF5"/>
    <w:rsid w:val="009205DB"/>
    <w:rsid w:val="0092237F"/>
    <w:rsid w:val="00922926"/>
    <w:rsid w:val="0092480F"/>
    <w:rsid w:val="00927315"/>
    <w:rsid w:val="00932504"/>
    <w:rsid w:val="00932C0A"/>
    <w:rsid w:val="00933149"/>
    <w:rsid w:val="00933B46"/>
    <w:rsid w:val="00935454"/>
    <w:rsid w:val="00937FCC"/>
    <w:rsid w:val="009448B4"/>
    <w:rsid w:val="009506BA"/>
    <w:rsid w:val="00950C2D"/>
    <w:rsid w:val="00963DB0"/>
    <w:rsid w:val="00964029"/>
    <w:rsid w:val="00972022"/>
    <w:rsid w:val="009724D5"/>
    <w:rsid w:val="009736EE"/>
    <w:rsid w:val="009739D8"/>
    <w:rsid w:val="00976875"/>
    <w:rsid w:val="00976ED8"/>
    <w:rsid w:val="00985889"/>
    <w:rsid w:val="009864EE"/>
    <w:rsid w:val="00987676"/>
    <w:rsid w:val="00987718"/>
    <w:rsid w:val="009912E2"/>
    <w:rsid w:val="009917F8"/>
    <w:rsid w:val="00995764"/>
    <w:rsid w:val="009A46E0"/>
    <w:rsid w:val="009A66A6"/>
    <w:rsid w:val="009B2968"/>
    <w:rsid w:val="009B29B1"/>
    <w:rsid w:val="009B6BDA"/>
    <w:rsid w:val="009B6C90"/>
    <w:rsid w:val="009B7102"/>
    <w:rsid w:val="009C4063"/>
    <w:rsid w:val="009C6C9E"/>
    <w:rsid w:val="009D1B0A"/>
    <w:rsid w:val="009D42A1"/>
    <w:rsid w:val="009E203E"/>
    <w:rsid w:val="009E50FE"/>
    <w:rsid w:val="009F0698"/>
    <w:rsid w:val="009F3A18"/>
    <w:rsid w:val="00A00687"/>
    <w:rsid w:val="00A006DF"/>
    <w:rsid w:val="00A010EF"/>
    <w:rsid w:val="00A02BC9"/>
    <w:rsid w:val="00A04105"/>
    <w:rsid w:val="00A210B0"/>
    <w:rsid w:val="00A320E3"/>
    <w:rsid w:val="00A3361E"/>
    <w:rsid w:val="00A36F9D"/>
    <w:rsid w:val="00A36FB0"/>
    <w:rsid w:val="00A41CFC"/>
    <w:rsid w:val="00A42288"/>
    <w:rsid w:val="00A4306B"/>
    <w:rsid w:val="00A4542B"/>
    <w:rsid w:val="00A526B0"/>
    <w:rsid w:val="00A53987"/>
    <w:rsid w:val="00A5676C"/>
    <w:rsid w:val="00A575DD"/>
    <w:rsid w:val="00A576A0"/>
    <w:rsid w:val="00A673DF"/>
    <w:rsid w:val="00A72070"/>
    <w:rsid w:val="00A737E7"/>
    <w:rsid w:val="00A76E34"/>
    <w:rsid w:val="00A81857"/>
    <w:rsid w:val="00A8258E"/>
    <w:rsid w:val="00A85292"/>
    <w:rsid w:val="00A8719C"/>
    <w:rsid w:val="00A90036"/>
    <w:rsid w:val="00AA0EB6"/>
    <w:rsid w:val="00AA2C3F"/>
    <w:rsid w:val="00AA4326"/>
    <w:rsid w:val="00AA536C"/>
    <w:rsid w:val="00AA687E"/>
    <w:rsid w:val="00AA781A"/>
    <w:rsid w:val="00AB0CE3"/>
    <w:rsid w:val="00AB2D9D"/>
    <w:rsid w:val="00AB2EEE"/>
    <w:rsid w:val="00AB33E3"/>
    <w:rsid w:val="00AB36C9"/>
    <w:rsid w:val="00AC6DF9"/>
    <w:rsid w:val="00AD095A"/>
    <w:rsid w:val="00AD354C"/>
    <w:rsid w:val="00AD35C8"/>
    <w:rsid w:val="00AD5C00"/>
    <w:rsid w:val="00AD6A68"/>
    <w:rsid w:val="00AD79F6"/>
    <w:rsid w:val="00AE1822"/>
    <w:rsid w:val="00AE293D"/>
    <w:rsid w:val="00AE2A1C"/>
    <w:rsid w:val="00AE2FB7"/>
    <w:rsid w:val="00AE625E"/>
    <w:rsid w:val="00AE779B"/>
    <w:rsid w:val="00AF00E4"/>
    <w:rsid w:val="00AF0859"/>
    <w:rsid w:val="00AF63A5"/>
    <w:rsid w:val="00B00896"/>
    <w:rsid w:val="00B020A1"/>
    <w:rsid w:val="00B103DA"/>
    <w:rsid w:val="00B21D83"/>
    <w:rsid w:val="00B2227F"/>
    <w:rsid w:val="00B237CD"/>
    <w:rsid w:val="00B2577C"/>
    <w:rsid w:val="00B26D09"/>
    <w:rsid w:val="00B332EE"/>
    <w:rsid w:val="00B347E4"/>
    <w:rsid w:val="00B36463"/>
    <w:rsid w:val="00B401DE"/>
    <w:rsid w:val="00B41002"/>
    <w:rsid w:val="00B42691"/>
    <w:rsid w:val="00B428BA"/>
    <w:rsid w:val="00B44855"/>
    <w:rsid w:val="00B46A19"/>
    <w:rsid w:val="00B47FD4"/>
    <w:rsid w:val="00B517D4"/>
    <w:rsid w:val="00B81782"/>
    <w:rsid w:val="00B85A4B"/>
    <w:rsid w:val="00B86E1D"/>
    <w:rsid w:val="00B9317D"/>
    <w:rsid w:val="00B97BD0"/>
    <w:rsid w:val="00BA02FD"/>
    <w:rsid w:val="00BA2CEF"/>
    <w:rsid w:val="00BA678D"/>
    <w:rsid w:val="00BA67F1"/>
    <w:rsid w:val="00BB0DE4"/>
    <w:rsid w:val="00BB3E59"/>
    <w:rsid w:val="00BB5310"/>
    <w:rsid w:val="00BC0DC1"/>
    <w:rsid w:val="00BC4544"/>
    <w:rsid w:val="00BC6C12"/>
    <w:rsid w:val="00BD0A03"/>
    <w:rsid w:val="00BD253E"/>
    <w:rsid w:val="00BD3C46"/>
    <w:rsid w:val="00BD57DD"/>
    <w:rsid w:val="00BD6565"/>
    <w:rsid w:val="00BD7B43"/>
    <w:rsid w:val="00BE07A3"/>
    <w:rsid w:val="00BE6FA7"/>
    <w:rsid w:val="00BF0A2C"/>
    <w:rsid w:val="00BF66FD"/>
    <w:rsid w:val="00BF67C9"/>
    <w:rsid w:val="00C011E6"/>
    <w:rsid w:val="00C0477E"/>
    <w:rsid w:val="00C11BBA"/>
    <w:rsid w:val="00C14010"/>
    <w:rsid w:val="00C21A00"/>
    <w:rsid w:val="00C2280F"/>
    <w:rsid w:val="00C25440"/>
    <w:rsid w:val="00C3071A"/>
    <w:rsid w:val="00C30793"/>
    <w:rsid w:val="00C365EC"/>
    <w:rsid w:val="00C42D79"/>
    <w:rsid w:val="00C50DF6"/>
    <w:rsid w:val="00C52B50"/>
    <w:rsid w:val="00C52D8F"/>
    <w:rsid w:val="00C5435C"/>
    <w:rsid w:val="00C543B9"/>
    <w:rsid w:val="00C57E3F"/>
    <w:rsid w:val="00C61A98"/>
    <w:rsid w:val="00C634A6"/>
    <w:rsid w:val="00C64434"/>
    <w:rsid w:val="00C64B79"/>
    <w:rsid w:val="00C660EB"/>
    <w:rsid w:val="00C67D99"/>
    <w:rsid w:val="00C71071"/>
    <w:rsid w:val="00C71929"/>
    <w:rsid w:val="00C742D7"/>
    <w:rsid w:val="00C74B30"/>
    <w:rsid w:val="00C81867"/>
    <w:rsid w:val="00C85470"/>
    <w:rsid w:val="00C90D39"/>
    <w:rsid w:val="00C91796"/>
    <w:rsid w:val="00CA1C0F"/>
    <w:rsid w:val="00CA63B7"/>
    <w:rsid w:val="00CB1A24"/>
    <w:rsid w:val="00CB1A80"/>
    <w:rsid w:val="00CB3BC9"/>
    <w:rsid w:val="00CB46F8"/>
    <w:rsid w:val="00CC12F3"/>
    <w:rsid w:val="00CC2355"/>
    <w:rsid w:val="00CC53EA"/>
    <w:rsid w:val="00CC77A7"/>
    <w:rsid w:val="00CD0ACC"/>
    <w:rsid w:val="00CD2467"/>
    <w:rsid w:val="00CD2614"/>
    <w:rsid w:val="00CD3DE0"/>
    <w:rsid w:val="00CD3DFB"/>
    <w:rsid w:val="00CD4AF3"/>
    <w:rsid w:val="00CD7092"/>
    <w:rsid w:val="00CD7CC6"/>
    <w:rsid w:val="00CE0AB4"/>
    <w:rsid w:val="00CE2559"/>
    <w:rsid w:val="00CE3CAD"/>
    <w:rsid w:val="00CE6656"/>
    <w:rsid w:val="00CF5AAC"/>
    <w:rsid w:val="00CF6268"/>
    <w:rsid w:val="00CF6420"/>
    <w:rsid w:val="00D01315"/>
    <w:rsid w:val="00D05299"/>
    <w:rsid w:val="00D05FE3"/>
    <w:rsid w:val="00D11758"/>
    <w:rsid w:val="00D20D34"/>
    <w:rsid w:val="00D24A45"/>
    <w:rsid w:val="00D25AFB"/>
    <w:rsid w:val="00D27113"/>
    <w:rsid w:val="00D34E7D"/>
    <w:rsid w:val="00D4048E"/>
    <w:rsid w:val="00D4177E"/>
    <w:rsid w:val="00D42A52"/>
    <w:rsid w:val="00D43EB8"/>
    <w:rsid w:val="00D5111B"/>
    <w:rsid w:val="00D52B83"/>
    <w:rsid w:val="00D54753"/>
    <w:rsid w:val="00D5686E"/>
    <w:rsid w:val="00D56F27"/>
    <w:rsid w:val="00D747A6"/>
    <w:rsid w:val="00D74974"/>
    <w:rsid w:val="00D769DF"/>
    <w:rsid w:val="00D831AF"/>
    <w:rsid w:val="00D84012"/>
    <w:rsid w:val="00D87B7D"/>
    <w:rsid w:val="00D92146"/>
    <w:rsid w:val="00D92C0C"/>
    <w:rsid w:val="00DA01F5"/>
    <w:rsid w:val="00DA1AB9"/>
    <w:rsid w:val="00DB039E"/>
    <w:rsid w:val="00DB2A8D"/>
    <w:rsid w:val="00DB33D2"/>
    <w:rsid w:val="00DB3E9F"/>
    <w:rsid w:val="00DB41B6"/>
    <w:rsid w:val="00DC01FD"/>
    <w:rsid w:val="00DD225B"/>
    <w:rsid w:val="00DD3989"/>
    <w:rsid w:val="00DD4049"/>
    <w:rsid w:val="00DE0741"/>
    <w:rsid w:val="00DE2671"/>
    <w:rsid w:val="00DE3623"/>
    <w:rsid w:val="00DE385B"/>
    <w:rsid w:val="00DE3B38"/>
    <w:rsid w:val="00DE6CD2"/>
    <w:rsid w:val="00DE751D"/>
    <w:rsid w:val="00DE7891"/>
    <w:rsid w:val="00DF0017"/>
    <w:rsid w:val="00DF066A"/>
    <w:rsid w:val="00DF141E"/>
    <w:rsid w:val="00DF19B5"/>
    <w:rsid w:val="00E01B16"/>
    <w:rsid w:val="00E03E12"/>
    <w:rsid w:val="00E07945"/>
    <w:rsid w:val="00E11E6E"/>
    <w:rsid w:val="00E160B8"/>
    <w:rsid w:val="00E23197"/>
    <w:rsid w:val="00E236A3"/>
    <w:rsid w:val="00E23B9A"/>
    <w:rsid w:val="00E267EF"/>
    <w:rsid w:val="00E27D5A"/>
    <w:rsid w:val="00E301CC"/>
    <w:rsid w:val="00E32528"/>
    <w:rsid w:val="00E37FDC"/>
    <w:rsid w:val="00E40312"/>
    <w:rsid w:val="00E41244"/>
    <w:rsid w:val="00E412DC"/>
    <w:rsid w:val="00E43976"/>
    <w:rsid w:val="00E55054"/>
    <w:rsid w:val="00E557E4"/>
    <w:rsid w:val="00E5724D"/>
    <w:rsid w:val="00E57443"/>
    <w:rsid w:val="00E60C15"/>
    <w:rsid w:val="00E656FC"/>
    <w:rsid w:val="00E6590A"/>
    <w:rsid w:val="00E66462"/>
    <w:rsid w:val="00E7087C"/>
    <w:rsid w:val="00E71D39"/>
    <w:rsid w:val="00E742D2"/>
    <w:rsid w:val="00E76294"/>
    <w:rsid w:val="00E767EA"/>
    <w:rsid w:val="00E76A4E"/>
    <w:rsid w:val="00E76C7F"/>
    <w:rsid w:val="00E80212"/>
    <w:rsid w:val="00E90C18"/>
    <w:rsid w:val="00E9335F"/>
    <w:rsid w:val="00E948D8"/>
    <w:rsid w:val="00E9665A"/>
    <w:rsid w:val="00EA22EF"/>
    <w:rsid w:val="00EA426F"/>
    <w:rsid w:val="00EA45B9"/>
    <w:rsid w:val="00EA6918"/>
    <w:rsid w:val="00EB0049"/>
    <w:rsid w:val="00EB0E9D"/>
    <w:rsid w:val="00EB16DA"/>
    <w:rsid w:val="00EB5717"/>
    <w:rsid w:val="00EB5D1B"/>
    <w:rsid w:val="00EC36EB"/>
    <w:rsid w:val="00EC627A"/>
    <w:rsid w:val="00ED02CD"/>
    <w:rsid w:val="00ED0E45"/>
    <w:rsid w:val="00ED76FE"/>
    <w:rsid w:val="00EE1708"/>
    <w:rsid w:val="00EE1817"/>
    <w:rsid w:val="00EE7AF6"/>
    <w:rsid w:val="00EF03B0"/>
    <w:rsid w:val="00EF2EA7"/>
    <w:rsid w:val="00F00EC5"/>
    <w:rsid w:val="00F03948"/>
    <w:rsid w:val="00F06C79"/>
    <w:rsid w:val="00F07255"/>
    <w:rsid w:val="00F10073"/>
    <w:rsid w:val="00F121C7"/>
    <w:rsid w:val="00F137E7"/>
    <w:rsid w:val="00F15980"/>
    <w:rsid w:val="00F2016B"/>
    <w:rsid w:val="00F21BF9"/>
    <w:rsid w:val="00F2509A"/>
    <w:rsid w:val="00F25542"/>
    <w:rsid w:val="00F30606"/>
    <w:rsid w:val="00F308D6"/>
    <w:rsid w:val="00F31214"/>
    <w:rsid w:val="00F318C3"/>
    <w:rsid w:val="00F34776"/>
    <w:rsid w:val="00F358D9"/>
    <w:rsid w:val="00F3631D"/>
    <w:rsid w:val="00F41127"/>
    <w:rsid w:val="00F46F8E"/>
    <w:rsid w:val="00F53447"/>
    <w:rsid w:val="00F56132"/>
    <w:rsid w:val="00F645C6"/>
    <w:rsid w:val="00F6508E"/>
    <w:rsid w:val="00F664F8"/>
    <w:rsid w:val="00F73B0B"/>
    <w:rsid w:val="00F753E8"/>
    <w:rsid w:val="00F75B7F"/>
    <w:rsid w:val="00F77888"/>
    <w:rsid w:val="00F81B2B"/>
    <w:rsid w:val="00F81BA1"/>
    <w:rsid w:val="00F846A9"/>
    <w:rsid w:val="00F85FA9"/>
    <w:rsid w:val="00F865F4"/>
    <w:rsid w:val="00F87C72"/>
    <w:rsid w:val="00F87D44"/>
    <w:rsid w:val="00F93474"/>
    <w:rsid w:val="00F9496C"/>
    <w:rsid w:val="00F958C0"/>
    <w:rsid w:val="00FA0FEB"/>
    <w:rsid w:val="00FA6296"/>
    <w:rsid w:val="00FA7636"/>
    <w:rsid w:val="00FB2069"/>
    <w:rsid w:val="00FB522A"/>
    <w:rsid w:val="00FB66A0"/>
    <w:rsid w:val="00FC040B"/>
    <w:rsid w:val="00FC14D4"/>
    <w:rsid w:val="00FC18F5"/>
    <w:rsid w:val="00FD06D4"/>
    <w:rsid w:val="00FD3038"/>
    <w:rsid w:val="00FD677D"/>
    <w:rsid w:val="00FE035E"/>
    <w:rsid w:val="00FE438F"/>
    <w:rsid w:val="00FE7A56"/>
    <w:rsid w:val="00FF205D"/>
    <w:rsid w:val="00FF27E0"/>
    <w:rsid w:val="00FF3AB9"/>
    <w:rsid w:val="00FF4AC5"/>
    <w:rsid w:val="00FF6B3C"/>
    <w:rsid w:val="00FF6BE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DC1"/>
    <w:rPr>
      <w:sz w:val="24"/>
      <w:szCs w:val="24"/>
    </w:rPr>
  </w:style>
  <w:style w:type="paragraph" w:styleId="Ttulo1">
    <w:name w:val="heading 1"/>
    <w:basedOn w:val="Normal"/>
    <w:link w:val="Ttulo1Car"/>
    <w:uiPriority w:val="9"/>
    <w:qFormat/>
    <w:rsid w:val="00FE438F"/>
    <w:pPr>
      <w:spacing w:before="100" w:beforeAutospacing="1" w:after="100" w:afterAutospacing="1"/>
      <w:outlineLvl w:val="0"/>
    </w:pPr>
    <w:rPr>
      <w:b/>
      <w:bCs/>
      <w:kern w:val="36"/>
      <w:sz w:val="48"/>
      <w:szCs w:val="48"/>
      <w:lang/>
    </w:rPr>
  </w:style>
  <w:style w:type="paragraph" w:styleId="Ttulo2">
    <w:name w:val="heading 2"/>
    <w:basedOn w:val="Normal"/>
    <w:next w:val="Normal"/>
    <w:link w:val="Ttulo2Car"/>
    <w:qFormat/>
    <w:rsid w:val="001904D2"/>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qFormat/>
    <w:rsid w:val="00BC0DC1"/>
    <w:rPr>
      <w:sz w:val="24"/>
      <w:szCs w:val="24"/>
    </w:rPr>
  </w:style>
  <w:style w:type="character" w:styleId="Hipervnculo">
    <w:name w:val="Hyperlink"/>
    <w:uiPriority w:val="99"/>
    <w:semiHidden/>
    <w:rsid w:val="00BC0DC1"/>
    <w:rPr>
      <w:color w:val="0000FF"/>
      <w:u w:val="single"/>
    </w:rPr>
  </w:style>
  <w:style w:type="character" w:styleId="Refdecomentario">
    <w:name w:val="annotation reference"/>
    <w:semiHidden/>
    <w:rsid w:val="00BC0DC1"/>
    <w:rPr>
      <w:sz w:val="16"/>
      <w:szCs w:val="16"/>
    </w:rPr>
  </w:style>
  <w:style w:type="paragraph" w:styleId="Textocomentario">
    <w:name w:val="annotation text"/>
    <w:basedOn w:val="Normal"/>
    <w:link w:val="TextocomentarioCar"/>
    <w:semiHidden/>
    <w:rsid w:val="00BC0DC1"/>
    <w:rPr>
      <w:sz w:val="20"/>
      <w:szCs w:val="20"/>
    </w:rPr>
  </w:style>
  <w:style w:type="character" w:customStyle="1" w:styleId="TextocomentarioCar">
    <w:name w:val="Texto comentario Car"/>
    <w:link w:val="Textocomentario"/>
    <w:semiHidden/>
    <w:rsid w:val="00BC0DC1"/>
    <w:rPr>
      <w:lang w:val="es-ES" w:eastAsia="es-ES" w:bidi="ar-SA"/>
    </w:rPr>
  </w:style>
  <w:style w:type="paragraph" w:styleId="Textodeglobo">
    <w:name w:val="Balloon Text"/>
    <w:basedOn w:val="Normal"/>
    <w:semiHidden/>
    <w:rsid w:val="00BC0DC1"/>
    <w:rPr>
      <w:rFonts w:ascii="Tahoma" w:hAnsi="Tahoma" w:cs="Tahoma"/>
      <w:sz w:val="16"/>
      <w:szCs w:val="16"/>
    </w:rPr>
  </w:style>
  <w:style w:type="paragraph" w:styleId="Piedepgina">
    <w:name w:val="footer"/>
    <w:basedOn w:val="Normal"/>
    <w:link w:val="PiedepginaCar"/>
    <w:uiPriority w:val="99"/>
    <w:rsid w:val="00BC0DC1"/>
    <w:pPr>
      <w:tabs>
        <w:tab w:val="center" w:pos="4252"/>
        <w:tab w:val="right" w:pos="8504"/>
      </w:tabs>
    </w:pPr>
    <w:rPr>
      <w:lang/>
    </w:rPr>
  </w:style>
  <w:style w:type="character" w:styleId="Nmerodepgina">
    <w:name w:val="page number"/>
    <w:basedOn w:val="Fuentedeprrafopredeter"/>
    <w:rsid w:val="00BC0DC1"/>
  </w:style>
  <w:style w:type="character" w:customStyle="1" w:styleId="name">
    <w:name w:val="name"/>
    <w:basedOn w:val="Fuentedeprrafopredeter"/>
    <w:rsid w:val="00FE438F"/>
  </w:style>
  <w:style w:type="paragraph" w:styleId="DireccinHTML">
    <w:name w:val="HTML Address"/>
    <w:basedOn w:val="Normal"/>
    <w:link w:val="DireccinHTMLCar"/>
    <w:uiPriority w:val="99"/>
    <w:unhideWhenUsed/>
    <w:rsid w:val="00FE438F"/>
    <w:rPr>
      <w:i/>
      <w:iCs/>
      <w:lang/>
    </w:rPr>
  </w:style>
  <w:style w:type="character" w:customStyle="1" w:styleId="DireccinHTMLCar">
    <w:name w:val="Dirección HTML Car"/>
    <w:link w:val="DireccinHTML"/>
    <w:uiPriority w:val="99"/>
    <w:rsid w:val="00FE438F"/>
    <w:rPr>
      <w:i/>
      <w:iCs/>
      <w:sz w:val="24"/>
      <w:szCs w:val="24"/>
    </w:rPr>
  </w:style>
  <w:style w:type="character" w:customStyle="1" w:styleId="Ttulo1Car">
    <w:name w:val="Título 1 Car"/>
    <w:link w:val="Ttulo1"/>
    <w:uiPriority w:val="9"/>
    <w:rsid w:val="00FE438F"/>
    <w:rPr>
      <w:b/>
      <w:bCs/>
      <w:kern w:val="36"/>
      <w:sz w:val="48"/>
      <w:szCs w:val="48"/>
    </w:rPr>
  </w:style>
  <w:style w:type="character" w:customStyle="1" w:styleId="Ttulo2Car">
    <w:name w:val="Título 2 Car"/>
    <w:link w:val="Ttulo2"/>
    <w:semiHidden/>
    <w:rsid w:val="001904D2"/>
    <w:rPr>
      <w:rFonts w:ascii="Cambria" w:eastAsia="Times New Roman" w:hAnsi="Cambria" w:cs="Times New Roman"/>
      <w:b/>
      <w:bCs/>
      <w:i/>
      <w:iCs/>
      <w:sz w:val="28"/>
      <w:szCs w:val="28"/>
      <w:lang w:val="es-ES" w:eastAsia="es-ES"/>
    </w:rPr>
  </w:style>
  <w:style w:type="paragraph" w:customStyle="1" w:styleId="ecxmsonormal">
    <w:name w:val="ecxmsonormal"/>
    <w:basedOn w:val="Normal"/>
    <w:rsid w:val="005E2630"/>
    <w:pPr>
      <w:spacing w:before="100" w:beforeAutospacing="1" w:after="100" w:afterAutospacing="1"/>
    </w:pPr>
  </w:style>
  <w:style w:type="character" w:customStyle="1" w:styleId="apple-converted-space">
    <w:name w:val="apple-converted-space"/>
    <w:basedOn w:val="Fuentedeprrafopredeter"/>
    <w:rsid w:val="003F3500"/>
  </w:style>
  <w:style w:type="paragraph" w:styleId="Encabezado">
    <w:name w:val="header"/>
    <w:basedOn w:val="Normal"/>
    <w:link w:val="EncabezadoCar"/>
    <w:uiPriority w:val="99"/>
    <w:rsid w:val="00985889"/>
    <w:pPr>
      <w:tabs>
        <w:tab w:val="center" w:pos="4252"/>
        <w:tab w:val="right" w:pos="8504"/>
      </w:tabs>
    </w:pPr>
  </w:style>
  <w:style w:type="character" w:customStyle="1" w:styleId="EncabezadoCar">
    <w:name w:val="Encabezado Car"/>
    <w:basedOn w:val="Fuentedeprrafopredeter"/>
    <w:link w:val="Encabezado"/>
    <w:uiPriority w:val="99"/>
    <w:rsid w:val="00985889"/>
    <w:rPr>
      <w:sz w:val="24"/>
      <w:szCs w:val="24"/>
    </w:rPr>
  </w:style>
  <w:style w:type="character" w:customStyle="1" w:styleId="PiedepginaCar">
    <w:name w:val="Pie de página Car"/>
    <w:link w:val="Piedepgina"/>
    <w:uiPriority w:val="99"/>
    <w:rsid w:val="00985889"/>
    <w:rPr>
      <w:sz w:val="24"/>
      <w:szCs w:val="24"/>
    </w:rPr>
  </w:style>
</w:styles>
</file>

<file path=word/webSettings.xml><?xml version="1.0" encoding="utf-8"?>
<w:webSettings xmlns:r="http://schemas.openxmlformats.org/officeDocument/2006/relationships" xmlns:w="http://schemas.openxmlformats.org/wordprocessingml/2006/main">
  <w:divs>
    <w:div w:id="78866739">
      <w:bodyDiv w:val="1"/>
      <w:marLeft w:val="0"/>
      <w:marRight w:val="0"/>
      <w:marTop w:val="0"/>
      <w:marBottom w:val="0"/>
      <w:divBdr>
        <w:top w:val="none" w:sz="0" w:space="0" w:color="auto"/>
        <w:left w:val="none" w:sz="0" w:space="0" w:color="auto"/>
        <w:bottom w:val="none" w:sz="0" w:space="0" w:color="auto"/>
        <w:right w:val="none" w:sz="0" w:space="0" w:color="auto"/>
      </w:divBdr>
    </w:div>
    <w:div w:id="458962770">
      <w:bodyDiv w:val="1"/>
      <w:marLeft w:val="0"/>
      <w:marRight w:val="0"/>
      <w:marTop w:val="0"/>
      <w:marBottom w:val="0"/>
      <w:divBdr>
        <w:top w:val="none" w:sz="0" w:space="0" w:color="auto"/>
        <w:left w:val="none" w:sz="0" w:space="0" w:color="auto"/>
        <w:bottom w:val="none" w:sz="0" w:space="0" w:color="auto"/>
        <w:right w:val="none" w:sz="0" w:space="0" w:color="auto"/>
      </w:divBdr>
    </w:div>
    <w:div w:id="467825345">
      <w:bodyDiv w:val="1"/>
      <w:marLeft w:val="0"/>
      <w:marRight w:val="0"/>
      <w:marTop w:val="0"/>
      <w:marBottom w:val="0"/>
      <w:divBdr>
        <w:top w:val="none" w:sz="0" w:space="0" w:color="auto"/>
        <w:left w:val="none" w:sz="0" w:space="0" w:color="auto"/>
        <w:bottom w:val="none" w:sz="0" w:space="0" w:color="auto"/>
        <w:right w:val="none" w:sz="0" w:space="0" w:color="auto"/>
      </w:divBdr>
      <w:divsChild>
        <w:div w:id="1540554809">
          <w:marLeft w:val="0"/>
          <w:marRight w:val="0"/>
          <w:marTop w:val="0"/>
          <w:marBottom w:val="240"/>
          <w:divBdr>
            <w:top w:val="none" w:sz="0" w:space="0" w:color="auto"/>
            <w:left w:val="none" w:sz="0" w:space="0" w:color="auto"/>
            <w:bottom w:val="none" w:sz="0" w:space="0" w:color="auto"/>
            <w:right w:val="none" w:sz="0" w:space="0" w:color="auto"/>
          </w:divBdr>
        </w:div>
      </w:divsChild>
    </w:div>
    <w:div w:id="571742061">
      <w:bodyDiv w:val="1"/>
      <w:marLeft w:val="0"/>
      <w:marRight w:val="0"/>
      <w:marTop w:val="0"/>
      <w:marBottom w:val="0"/>
      <w:divBdr>
        <w:top w:val="none" w:sz="0" w:space="0" w:color="auto"/>
        <w:left w:val="none" w:sz="0" w:space="0" w:color="auto"/>
        <w:bottom w:val="none" w:sz="0" w:space="0" w:color="auto"/>
        <w:right w:val="none" w:sz="0" w:space="0" w:color="auto"/>
      </w:divBdr>
    </w:div>
    <w:div w:id="636760818">
      <w:bodyDiv w:val="1"/>
      <w:marLeft w:val="0"/>
      <w:marRight w:val="0"/>
      <w:marTop w:val="0"/>
      <w:marBottom w:val="0"/>
      <w:divBdr>
        <w:top w:val="none" w:sz="0" w:space="0" w:color="auto"/>
        <w:left w:val="none" w:sz="0" w:space="0" w:color="auto"/>
        <w:bottom w:val="none" w:sz="0" w:space="0" w:color="auto"/>
        <w:right w:val="none" w:sz="0" w:space="0" w:color="auto"/>
      </w:divBdr>
    </w:div>
    <w:div w:id="671487541">
      <w:bodyDiv w:val="1"/>
      <w:marLeft w:val="0"/>
      <w:marRight w:val="0"/>
      <w:marTop w:val="0"/>
      <w:marBottom w:val="0"/>
      <w:divBdr>
        <w:top w:val="none" w:sz="0" w:space="0" w:color="auto"/>
        <w:left w:val="none" w:sz="0" w:space="0" w:color="auto"/>
        <w:bottom w:val="none" w:sz="0" w:space="0" w:color="auto"/>
        <w:right w:val="none" w:sz="0" w:space="0" w:color="auto"/>
      </w:divBdr>
    </w:div>
    <w:div w:id="689454428">
      <w:bodyDiv w:val="1"/>
      <w:marLeft w:val="0"/>
      <w:marRight w:val="0"/>
      <w:marTop w:val="0"/>
      <w:marBottom w:val="0"/>
      <w:divBdr>
        <w:top w:val="none" w:sz="0" w:space="0" w:color="auto"/>
        <w:left w:val="none" w:sz="0" w:space="0" w:color="auto"/>
        <w:bottom w:val="none" w:sz="0" w:space="0" w:color="auto"/>
        <w:right w:val="none" w:sz="0" w:space="0" w:color="auto"/>
      </w:divBdr>
    </w:div>
    <w:div w:id="1049300391">
      <w:bodyDiv w:val="1"/>
      <w:marLeft w:val="0"/>
      <w:marRight w:val="0"/>
      <w:marTop w:val="0"/>
      <w:marBottom w:val="0"/>
      <w:divBdr>
        <w:top w:val="none" w:sz="0" w:space="0" w:color="auto"/>
        <w:left w:val="none" w:sz="0" w:space="0" w:color="auto"/>
        <w:bottom w:val="none" w:sz="0" w:space="0" w:color="auto"/>
        <w:right w:val="none" w:sz="0" w:space="0" w:color="auto"/>
      </w:divBdr>
    </w:div>
    <w:div w:id="1084491174">
      <w:bodyDiv w:val="1"/>
      <w:marLeft w:val="0"/>
      <w:marRight w:val="0"/>
      <w:marTop w:val="0"/>
      <w:marBottom w:val="0"/>
      <w:divBdr>
        <w:top w:val="none" w:sz="0" w:space="0" w:color="auto"/>
        <w:left w:val="none" w:sz="0" w:space="0" w:color="auto"/>
        <w:bottom w:val="none" w:sz="0" w:space="0" w:color="auto"/>
        <w:right w:val="none" w:sz="0" w:space="0" w:color="auto"/>
      </w:divBdr>
    </w:div>
    <w:div w:id="1103064985">
      <w:bodyDiv w:val="1"/>
      <w:marLeft w:val="0"/>
      <w:marRight w:val="0"/>
      <w:marTop w:val="0"/>
      <w:marBottom w:val="0"/>
      <w:divBdr>
        <w:top w:val="none" w:sz="0" w:space="0" w:color="auto"/>
        <w:left w:val="none" w:sz="0" w:space="0" w:color="auto"/>
        <w:bottom w:val="none" w:sz="0" w:space="0" w:color="auto"/>
        <w:right w:val="none" w:sz="0" w:space="0" w:color="auto"/>
      </w:divBdr>
    </w:div>
    <w:div w:id="1120952590">
      <w:bodyDiv w:val="1"/>
      <w:marLeft w:val="0"/>
      <w:marRight w:val="0"/>
      <w:marTop w:val="0"/>
      <w:marBottom w:val="0"/>
      <w:divBdr>
        <w:top w:val="none" w:sz="0" w:space="0" w:color="auto"/>
        <w:left w:val="none" w:sz="0" w:space="0" w:color="auto"/>
        <w:bottom w:val="none" w:sz="0" w:space="0" w:color="auto"/>
        <w:right w:val="none" w:sz="0" w:space="0" w:color="auto"/>
      </w:divBdr>
    </w:div>
    <w:div w:id="1165902813">
      <w:bodyDiv w:val="1"/>
      <w:marLeft w:val="0"/>
      <w:marRight w:val="0"/>
      <w:marTop w:val="0"/>
      <w:marBottom w:val="0"/>
      <w:divBdr>
        <w:top w:val="none" w:sz="0" w:space="0" w:color="auto"/>
        <w:left w:val="none" w:sz="0" w:space="0" w:color="auto"/>
        <w:bottom w:val="none" w:sz="0" w:space="0" w:color="auto"/>
        <w:right w:val="none" w:sz="0" w:space="0" w:color="auto"/>
      </w:divBdr>
    </w:div>
    <w:div w:id="1189879922">
      <w:bodyDiv w:val="1"/>
      <w:marLeft w:val="0"/>
      <w:marRight w:val="0"/>
      <w:marTop w:val="0"/>
      <w:marBottom w:val="0"/>
      <w:divBdr>
        <w:top w:val="none" w:sz="0" w:space="0" w:color="auto"/>
        <w:left w:val="none" w:sz="0" w:space="0" w:color="auto"/>
        <w:bottom w:val="none" w:sz="0" w:space="0" w:color="auto"/>
        <w:right w:val="none" w:sz="0" w:space="0" w:color="auto"/>
      </w:divBdr>
    </w:div>
    <w:div w:id="1215703343">
      <w:bodyDiv w:val="1"/>
      <w:marLeft w:val="0"/>
      <w:marRight w:val="0"/>
      <w:marTop w:val="0"/>
      <w:marBottom w:val="0"/>
      <w:divBdr>
        <w:top w:val="none" w:sz="0" w:space="0" w:color="auto"/>
        <w:left w:val="none" w:sz="0" w:space="0" w:color="auto"/>
        <w:bottom w:val="none" w:sz="0" w:space="0" w:color="auto"/>
        <w:right w:val="none" w:sz="0" w:space="0" w:color="auto"/>
      </w:divBdr>
    </w:div>
    <w:div w:id="1242062622">
      <w:bodyDiv w:val="1"/>
      <w:marLeft w:val="0"/>
      <w:marRight w:val="0"/>
      <w:marTop w:val="0"/>
      <w:marBottom w:val="0"/>
      <w:divBdr>
        <w:top w:val="none" w:sz="0" w:space="0" w:color="auto"/>
        <w:left w:val="none" w:sz="0" w:space="0" w:color="auto"/>
        <w:bottom w:val="none" w:sz="0" w:space="0" w:color="auto"/>
        <w:right w:val="none" w:sz="0" w:space="0" w:color="auto"/>
      </w:divBdr>
    </w:div>
    <w:div w:id="1332442826">
      <w:bodyDiv w:val="1"/>
      <w:marLeft w:val="0"/>
      <w:marRight w:val="0"/>
      <w:marTop w:val="0"/>
      <w:marBottom w:val="0"/>
      <w:divBdr>
        <w:top w:val="none" w:sz="0" w:space="0" w:color="auto"/>
        <w:left w:val="none" w:sz="0" w:space="0" w:color="auto"/>
        <w:bottom w:val="none" w:sz="0" w:space="0" w:color="auto"/>
        <w:right w:val="none" w:sz="0" w:space="0" w:color="auto"/>
      </w:divBdr>
    </w:div>
    <w:div w:id="1378621229">
      <w:bodyDiv w:val="1"/>
      <w:marLeft w:val="0"/>
      <w:marRight w:val="0"/>
      <w:marTop w:val="0"/>
      <w:marBottom w:val="0"/>
      <w:divBdr>
        <w:top w:val="none" w:sz="0" w:space="0" w:color="auto"/>
        <w:left w:val="none" w:sz="0" w:space="0" w:color="auto"/>
        <w:bottom w:val="none" w:sz="0" w:space="0" w:color="auto"/>
        <w:right w:val="none" w:sz="0" w:space="0" w:color="auto"/>
      </w:divBdr>
    </w:div>
    <w:div w:id="1387876031">
      <w:bodyDiv w:val="1"/>
      <w:marLeft w:val="0"/>
      <w:marRight w:val="0"/>
      <w:marTop w:val="0"/>
      <w:marBottom w:val="0"/>
      <w:divBdr>
        <w:top w:val="none" w:sz="0" w:space="0" w:color="auto"/>
        <w:left w:val="none" w:sz="0" w:space="0" w:color="auto"/>
        <w:bottom w:val="none" w:sz="0" w:space="0" w:color="auto"/>
        <w:right w:val="none" w:sz="0" w:space="0" w:color="auto"/>
      </w:divBdr>
    </w:div>
    <w:div w:id="1490248586">
      <w:bodyDiv w:val="1"/>
      <w:marLeft w:val="0"/>
      <w:marRight w:val="0"/>
      <w:marTop w:val="0"/>
      <w:marBottom w:val="0"/>
      <w:divBdr>
        <w:top w:val="none" w:sz="0" w:space="0" w:color="auto"/>
        <w:left w:val="none" w:sz="0" w:space="0" w:color="auto"/>
        <w:bottom w:val="none" w:sz="0" w:space="0" w:color="auto"/>
        <w:right w:val="none" w:sz="0" w:space="0" w:color="auto"/>
      </w:divBdr>
    </w:div>
    <w:div w:id="1761681277">
      <w:bodyDiv w:val="1"/>
      <w:marLeft w:val="0"/>
      <w:marRight w:val="0"/>
      <w:marTop w:val="0"/>
      <w:marBottom w:val="0"/>
      <w:divBdr>
        <w:top w:val="none" w:sz="0" w:space="0" w:color="auto"/>
        <w:left w:val="none" w:sz="0" w:space="0" w:color="auto"/>
        <w:bottom w:val="none" w:sz="0" w:space="0" w:color="auto"/>
        <w:right w:val="none" w:sz="0" w:space="0" w:color="auto"/>
      </w:divBdr>
    </w:div>
    <w:div w:id="1815292983">
      <w:bodyDiv w:val="1"/>
      <w:marLeft w:val="0"/>
      <w:marRight w:val="0"/>
      <w:marTop w:val="0"/>
      <w:marBottom w:val="0"/>
      <w:divBdr>
        <w:top w:val="none" w:sz="0" w:space="0" w:color="auto"/>
        <w:left w:val="none" w:sz="0" w:space="0" w:color="auto"/>
        <w:bottom w:val="none" w:sz="0" w:space="0" w:color="auto"/>
        <w:right w:val="none" w:sz="0" w:space="0" w:color="auto"/>
      </w:divBdr>
      <w:divsChild>
        <w:div w:id="378091273">
          <w:marLeft w:val="0"/>
          <w:marRight w:val="0"/>
          <w:marTop w:val="0"/>
          <w:marBottom w:val="240"/>
          <w:divBdr>
            <w:top w:val="none" w:sz="0" w:space="0" w:color="auto"/>
            <w:left w:val="none" w:sz="0" w:space="0" w:color="auto"/>
            <w:bottom w:val="none" w:sz="0" w:space="0" w:color="auto"/>
            <w:right w:val="none" w:sz="0" w:space="0" w:color="auto"/>
          </w:divBdr>
        </w:div>
      </w:divsChild>
    </w:div>
    <w:div w:id="1843154919">
      <w:bodyDiv w:val="1"/>
      <w:marLeft w:val="0"/>
      <w:marRight w:val="0"/>
      <w:marTop w:val="0"/>
      <w:marBottom w:val="0"/>
      <w:divBdr>
        <w:top w:val="none" w:sz="0" w:space="0" w:color="auto"/>
        <w:left w:val="none" w:sz="0" w:space="0" w:color="auto"/>
        <w:bottom w:val="none" w:sz="0" w:space="0" w:color="auto"/>
        <w:right w:val="none" w:sz="0" w:space="0" w:color="auto"/>
      </w:divBdr>
    </w:div>
    <w:div w:id="1868327219">
      <w:bodyDiv w:val="1"/>
      <w:marLeft w:val="0"/>
      <w:marRight w:val="0"/>
      <w:marTop w:val="0"/>
      <w:marBottom w:val="0"/>
      <w:divBdr>
        <w:top w:val="none" w:sz="0" w:space="0" w:color="auto"/>
        <w:left w:val="none" w:sz="0" w:space="0" w:color="auto"/>
        <w:bottom w:val="none" w:sz="0" w:space="0" w:color="auto"/>
        <w:right w:val="none" w:sz="0" w:space="0" w:color="auto"/>
      </w:divBdr>
    </w:div>
    <w:div w:id="1974169882">
      <w:bodyDiv w:val="1"/>
      <w:marLeft w:val="0"/>
      <w:marRight w:val="0"/>
      <w:marTop w:val="0"/>
      <w:marBottom w:val="0"/>
      <w:divBdr>
        <w:top w:val="none" w:sz="0" w:space="0" w:color="auto"/>
        <w:left w:val="none" w:sz="0" w:space="0" w:color="auto"/>
        <w:bottom w:val="none" w:sz="0" w:space="0" w:color="auto"/>
        <w:right w:val="none" w:sz="0" w:space="0" w:color="auto"/>
      </w:divBdr>
    </w:div>
    <w:div w:id="2070807349">
      <w:bodyDiv w:val="1"/>
      <w:marLeft w:val="0"/>
      <w:marRight w:val="0"/>
      <w:marTop w:val="0"/>
      <w:marBottom w:val="0"/>
      <w:divBdr>
        <w:top w:val="none" w:sz="0" w:space="0" w:color="auto"/>
        <w:left w:val="none" w:sz="0" w:space="0" w:color="auto"/>
        <w:bottom w:val="none" w:sz="0" w:space="0" w:color="auto"/>
        <w:right w:val="none" w:sz="0" w:space="0" w:color="auto"/>
      </w:divBdr>
    </w:div>
    <w:div w:id="2086805627">
      <w:bodyDiv w:val="1"/>
      <w:marLeft w:val="0"/>
      <w:marRight w:val="0"/>
      <w:marTop w:val="0"/>
      <w:marBottom w:val="0"/>
      <w:divBdr>
        <w:top w:val="none" w:sz="0" w:space="0" w:color="auto"/>
        <w:left w:val="none" w:sz="0" w:space="0" w:color="auto"/>
        <w:bottom w:val="none" w:sz="0" w:space="0" w:color="auto"/>
        <w:right w:val="none" w:sz="0" w:space="0" w:color="auto"/>
      </w:divBdr>
    </w:div>
    <w:div w:id="2138986054">
      <w:bodyDiv w:val="1"/>
      <w:marLeft w:val="0"/>
      <w:marRight w:val="0"/>
      <w:marTop w:val="0"/>
      <w:marBottom w:val="0"/>
      <w:divBdr>
        <w:top w:val="none" w:sz="0" w:space="0" w:color="auto"/>
        <w:left w:val="none" w:sz="0" w:space="0" w:color="auto"/>
        <w:bottom w:val="none" w:sz="0" w:space="0" w:color="auto"/>
        <w:right w:val="none" w:sz="0" w:space="0" w:color="auto"/>
      </w:divBdr>
    </w:div>
    <w:div w:id="21392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eatbeh.2010.08.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eatbeh.2010.08.00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745A-6059-44DA-A07A-B4D57D04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7610</Words>
  <Characters>41858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Efecto de haber experimentado eventos vitales</vt:lpstr>
    </vt:vector>
  </TitlesOfParts>
  <Company>UNAM</Company>
  <LinksUpToDate>false</LinksUpToDate>
  <CharactersWithSpaces>49370</CharactersWithSpaces>
  <SharedDoc>false</SharedDoc>
  <HLinks>
    <vt:vector size="6" baseType="variant">
      <vt:variant>
        <vt:i4>1966101</vt:i4>
      </vt:variant>
      <vt:variant>
        <vt:i4>0</vt:i4>
      </vt:variant>
      <vt:variant>
        <vt:i4>0</vt:i4>
      </vt:variant>
      <vt:variant>
        <vt:i4>5</vt:i4>
      </vt:variant>
      <vt:variant>
        <vt:lpwstr>http://www.psychosomaticmedicine.org/search?author1=S+Lehrer&amp;sortspec=date&amp;submit=Submit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de haber experimentado eventos vitales</dc:title>
  <dc:creator>Facultad de Psicologia</dc:creator>
  <cp:lastModifiedBy>Usuario de Windows</cp:lastModifiedBy>
  <cp:revision>2</cp:revision>
  <cp:lastPrinted>2014-06-06T17:37:00Z</cp:lastPrinted>
  <dcterms:created xsi:type="dcterms:W3CDTF">2016-06-21T16:13:00Z</dcterms:created>
  <dcterms:modified xsi:type="dcterms:W3CDTF">2016-06-21T16:13:00Z</dcterms:modified>
</cp:coreProperties>
</file>