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BC8CE" w14:textId="50698F29" w:rsidR="00742E4A" w:rsidRPr="00742E4A" w:rsidRDefault="00430C97" w:rsidP="00430C97">
      <w:pPr>
        <w:jc w:val="center"/>
        <w:rPr>
          <w:lang w:eastAsia="pt-BR"/>
        </w:rPr>
      </w:pPr>
      <w:r w:rsidRPr="00742E4A">
        <w:rPr>
          <w:b/>
          <w:noProof/>
          <w:sz w:val="36"/>
          <w:szCs w:val="36"/>
        </w:rPr>
        <w:drawing>
          <wp:anchor distT="0" distB="0" distL="114300" distR="114300" simplePos="0" relativeHeight="251660288" behindDoc="0" locked="0" layoutInCell="1" allowOverlap="1" wp14:anchorId="3EC9DCE3" wp14:editId="4E64D6A4">
            <wp:simplePos x="0" y="0"/>
            <wp:positionH relativeFrom="column">
              <wp:posOffset>4105379</wp:posOffset>
            </wp:positionH>
            <wp:positionV relativeFrom="paragraph">
              <wp:posOffset>554355</wp:posOffset>
            </wp:positionV>
            <wp:extent cx="260985" cy="260985"/>
            <wp:effectExtent l="0" t="0" r="5715" b="5715"/>
            <wp:wrapNone/>
            <wp:docPr id="1" name="Imagem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14:sizeRelH relativeFrom="page">
              <wp14:pctWidth>0</wp14:pctWidth>
            </wp14:sizeRelH>
            <wp14:sizeRelV relativeFrom="page">
              <wp14:pctHeight>0</wp14:pctHeight>
            </wp14:sizeRelV>
          </wp:anchor>
        </w:drawing>
      </w:r>
      <w:r w:rsidR="00153DC5" w:rsidRPr="00153DC5">
        <w:t xml:space="preserve"> </w:t>
      </w:r>
      <w:r w:rsidR="00153DC5" w:rsidRPr="00153DC5">
        <w:rPr>
          <w:b/>
          <w:noProof/>
          <w:sz w:val="36"/>
          <w:szCs w:val="36"/>
        </w:rPr>
        <w:t>EVALUATION OF PSYCHOMETRIC PROPERTIES OF THE ‘SENSE OF COHERENCE SCALE’ IN SCHOOLCHILDREN</w:t>
      </w:r>
    </w:p>
    <w:p w14:paraId="166E5255" w14:textId="2E8511A3" w:rsidR="00C413D4" w:rsidRDefault="00C413D4" w:rsidP="00DE1119">
      <w:pPr>
        <w:rPr>
          <w:b/>
        </w:rPr>
      </w:pPr>
    </w:p>
    <w:p w14:paraId="215933EA" w14:textId="77777777" w:rsidR="00C413D4" w:rsidRDefault="00C413D4" w:rsidP="00C413D4">
      <w:pPr>
        <w:rPr>
          <w:b/>
        </w:rPr>
      </w:pPr>
    </w:p>
    <w:p w14:paraId="7E8F2224" w14:textId="23E3EF32" w:rsidR="00863414" w:rsidRPr="00153DC5" w:rsidRDefault="00153DC5" w:rsidP="00C413D4">
      <w:pPr>
        <w:rPr>
          <w:lang w:val="pt-BR" w:eastAsia="pt-BR"/>
        </w:rPr>
      </w:pPr>
      <w:r w:rsidRPr="00153DC5">
        <w:rPr>
          <w:rStyle w:val="label3"/>
          <w:b/>
          <w:color w:val="222222"/>
          <w:sz w:val="28"/>
          <w:szCs w:val="28"/>
          <w:lang w:val="pt-BR"/>
        </w:rPr>
        <w:t xml:space="preserve">Gabriele </w:t>
      </w:r>
      <w:proofErr w:type="spellStart"/>
      <w:r w:rsidRPr="00153DC5">
        <w:rPr>
          <w:rStyle w:val="label3"/>
          <w:b/>
          <w:color w:val="222222"/>
          <w:sz w:val="28"/>
          <w:szCs w:val="28"/>
          <w:lang w:val="pt-BR"/>
        </w:rPr>
        <w:t>Rissotto</w:t>
      </w:r>
      <w:proofErr w:type="spellEnd"/>
      <w:r w:rsidRPr="00153DC5">
        <w:rPr>
          <w:rStyle w:val="label3"/>
          <w:b/>
          <w:color w:val="222222"/>
          <w:sz w:val="28"/>
          <w:szCs w:val="28"/>
          <w:lang w:val="pt-BR"/>
        </w:rPr>
        <w:t xml:space="preserve"> </w:t>
      </w:r>
      <w:proofErr w:type="spellStart"/>
      <w:r w:rsidRPr="00153DC5">
        <w:rPr>
          <w:rStyle w:val="label3"/>
          <w:b/>
          <w:color w:val="222222"/>
          <w:sz w:val="28"/>
          <w:szCs w:val="28"/>
          <w:lang w:val="pt-BR"/>
        </w:rPr>
        <w:t>Menegazzo</w:t>
      </w:r>
      <w:proofErr w:type="spellEnd"/>
      <w:r>
        <w:rPr>
          <w:rFonts w:ascii="Open Sans" w:hAnsi="Open Sans"/>
          <w:noProof/>
          <w:color w:val="E32312"/>
          <w:sz w:val="21"/>
          <w:szCs w:val="21"/>
          <w:bdr w:val="none" w:sz="0" w:space="0" w:color="auto" w:frame="1"/>
          <w:shd w:val="clear" w:color="auto" w:fill="F7F7F7"/>
        </w:rPr>
        <w:drawing>
          <wp:inline distT="0" distB="0" distL="0" distR="0" wp14:anchorId="1B6891D5" wp14:editId="3231A561">
            <wp:extent cx="221002" cy="221002"/>
            <wp:effectExtent l="0" t="0" r="0" b="0"/>
            <wp:docPr id="3" name="Imagem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393" cy="227393"/>
                    </a:xfrm>
                    <a:prstGeom prst="rect">
                      <a:avLst/>
                    </a:prstGeom>
                    <a:noFill/>
                    <a:ln>
                      <a:noFill/>
                    </a:ln>
                  </pic:spPr>
                </pic:pic>
              </a:graphicData>
            </a:graphic>
          </wp:inline>
        </w:drawing>
      </w:r>
      <w:r>
        <w:rPr>
          <w:rStyle w:val="label3"/>
          <w:b/>
          <w:color w:val="222222"/>
          <w:sz w:val="28"/>
          <w:szCs w:val="28"/>
          <w:lang w:val="pt-BR"/>
        </w:rPr>
        <w:t xml:space="preserve">, </w:t>
      </w:r>
      <w:r w:rsidRPr="00153DC5">
        <w:rPr>
          <w:rStyle w:val="label3"/>
          <w:b/>
          <w:color w:val="222222"/>
          <w:sz w:val="28"/>
          <w:szCs w:val="28"/>
          <w:lang w:val="pt-BR"/>
        </w:rPr>
        <w:t xml:space="preserve">Jessica </w:t>
      </w:r>
      <w:proofErr w:type="spellStart"/>
      <w:r w:rsidRPr="00153DC5">
        <w:rPr>
          <w:rStyle w:val="label3"/>
          <w:b/>
          <w:color w:val="222222"/>
          <w:sz w:val="28"/>
          <w:szCs w:val="28"/>
          <w:lang w:val="pt-BR"/>
        </w:rPr>
        <w:t>Klöckner</w:t>
      </w:r>
      <w:proofErr w:type="spellEnd"/>
      <w:r w:rsidRPr="00153DC5">
        <w:rPr>
          <w:rStyle w:val="label3"/>
          <w:b/>
          <w:color w:val="222222"/>
          <w:sz w:val="28"/>
          <w:szCs w:val="28"/>
          <w:lang w:val="pt-BR"/>
        </w:rPr>
        <w:t xml:space="preserve"> </w:t>
      </w:r>
      <w:proofErr w:type="spellStart"/>
      <w:r w:rsidRPr="00153DC5">
        <w:rPr>
          <w:rStyle w:val="label3"/>
          <w:b/>
          <w:color w:val="222222"/>
          <w:sz w:val="28"/>
          <w:szCs w:val="28"/>
          <w:lang w:val="pt-BR"/>
        </w:rPr>
        <w:t>Knorst</w:t>
      </w:r>
      <w:proofErr w:type="spellEnd"/>
      <w:r>
        <w:rPr>
          <w:rFonts w:ascii="Open Sans" w:hAnsi="Open Sans"/>
          <w:noProof/>
          <w:color w:val="E32312"/>
          <w:sz w:val="21"/>
          <w:szCs w:val="21"/>
          <w:bdr w:val="none" w:sz="0" w:space="0" w:color="auto" w:frame="1"/>
          <w:shd w:val="clear" w:color="auto" w:fill="F7F7F7"/>
        </w:rPr>
        <w:drawing>
          <wp:inline distT="0" distB="0" distL="0" distR="0" wp14:anchorId="7337350F" wp14:editId="35A258E0">
            <wp:extent cx="221002" cy="221002"/>
            <wp:effectExtent l="0" t="0" r="0" b="0"/>
            <wp:docPr id="5" name="Imagem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3">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393" cy="227393"/>
                    </a:xfrm>
                    <a:prstGeom prst="rect">
                      <a:avLst/>
                    </a:prstGeom>
                    <a:noFill/>
                    <a:ln>
                      <a:noFill/>
                    </a:ln>
                  </pic:spPr>
                </pic:pic>
              </a:graphicData>
            </a:graphic>
          </wp:inline>
        </w:drawing>
      </w:r>
      <w:r>
        <w:rPr>
          <w:rStyle w:val="label3"/>
          <w:b/>
          <w:color w:val="222222"/>
          <w:sz w:val="28"/>
          <w:szCs w:val="28"/>
          <w:lang w:val="pt-BR"/>
        </w:rPr>
        <w:t xml:space="preserve">, </w:t>
      </w:r>
      <w:r w:rsidRPr="00153DC5">
        <w:rPr>
          <w:rStyle w:val="label3"/>
          <w:b/>
          <w:color w:val="222222"/>
          <w:sz w:val="28"/>
          <w:szCs w:val="28"/>
          <w:lang w:val="pt-BR"/>
        </w:rPr>
        <w:t xml:space="preserve">Fernanda </w:t>
      </w:r>
      <w:proofErr w:type="spellStart"/>
      <w:r w:rsidRPr="00153DC5">
        <w:rPr>
          <w:rStyle w:val="label3"/>
          <w:b/>
          <w:color w:val="222222"/>
          <w:sz w:val="28"/>
          <w:szCs w:val="28"/>
          <w:lang w:val="pt-BR"/>
        </w:rPr>
        <w:t>Ruffo</w:t>
      </w:r>
      <w:proofErr w:type="spellEnd"/>
      <w:r w:rsidRPr="00153DC5">
        <w:rPr>
          <w:rStyle w:val="label3"/>
          <w:b/>
          <w:color w:val="222222"/>
          <w:sz w:val="28"/>
          <w:szCs w:val="28"/>
          <w:lang w:val="pt-BR"/>
        </w:rPr>
        <w:t xml:space="preserve"> Ortiz</w:t>
      </w:r>
      <w:r>
        <w:rPr>
          <w:rFonts w:ascii="Open Sans" w:hAnsi="Open Sans"/>
          <w:noProof/>
          <w:color w:val="E32312"/>
          <w:sz w:val="21"/>
          <w:szCs w:val="21"/>
          <w:bdr w:val="none" w:sz="0" w:space="0" w:color="auto" w:frame="1"/>
          <w:shd w:val="clear" w:color="auto" w:fill="F7F7F7"/>
        </w:rPr>
        <w:drawing>
          <wp:inline distT="0" distB="0" distL="0" distR="0" wp14:anchorId="2E38200C" wp14:editId="30384CA9">
            <wp:extent cx="221002" cy="221002"/>
            <wp:effectExtent l="0" t="0" r="0" b="0"/>
            <wp:docPr id="6" name="Imagem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a:hlinkClick r:id="rId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393" cy="227393"/>
                    </a:xfrm>
                    <a:prstGeom prst="rect">
                      <a:avLst/>
                    </a:prstGeom>
                    <a:noFill/>
                    <a:ln>
                      <a:noFill/>
                    </a:ln>
                  </pic:spPr>
                </pic:pic>
              </a:graphicData>
            </a:graphic>
          </wp:inline>
        </w:drawing>
      </w:r>
      <w:r>
        <w:rPr>
          <w:rStyle w:val="label3"/>
          <w:b/>
          <w:color w:val="222222"/>
          <w:sz w:val="28"/>
          <w:szCs w:val="28"/>
          <w:lang w:val="pt-BR"/>
        </w:rPr>
        <w:t>,</w:t>
      </w:r>
      <w:r w:rsidR="006B0812" w:rsidRPr="00153DC5">
        <w:rPr>
          <w:rStyle w:val="label3"/>
          <w:b/>
          <w:color w:val="222222"/>
          <w:sz w:val="28"/>
          <w:szCs w:val="28"/>
          <w:lang w:val="pt-BR"/>
        </w:rPr>
        <w:t xml:space="preserve"> </w:t>
      </w:r>
      <w:r w:rsidRPr="00153DC5">
        <w:rPr>
          <w:rStyle w:val="label3"/>
          <w:b/>
          <w:color w:val="222222"/>
          <w:sz w:val="28"/>
          <w:szCs w:val="28"/>
          <w:lang w:val="pt-BR"/>
        </w:rPr>
        <w:t xml:space="preserve">Fernanda </w:t>
      </w:r>
      <w:proofErr w:type="spellStart"/>
      <w:r w:rsidRPr="00153DC5">
        <w:rPr>
          <w:rStyle w:val="label3"/>
          <w:b/>
          <w:color w:val="222222"/>
          <w:sz w:val="28"/>
          <w:szCs w:val="28"/>
          <w:lang w:val="pt-BR"/>
        </w:rPr>
        <w:t>Tomazoni</w:t>
      </w:r>
      <w:proofErr w:type="spellEnd"/>
      <w:r>
        <w:rPr>
          <w:rFonts w:ascii="Open Sans" w:hAnsi="Open Sans"/>
          <w:noProof/>
          <w:color w:val="E32312"/>
          <w:sz w:val="21"/>
          <w:szCs w:val="21"/>
          <w:bdr w:val="none" w:sz="0" w:space="0" w:color="auto" w:frame="1"/>
          <w:shd w:val="clear" w:color="auto" w:fill="F7F7F7"/>
        </w:rPr>
        <w:drawing>
          <wp:inline distT="0" distB="0" distL="0" distR="0" wp14:anchorId="1F6137F1" wp14:editId="7AE1CD93">
            <wp:extent cx="221002" cy="221002"/>
            <wp:effectExtent l="0" t="0" r="0" b="0"/>
            <wp:docPr id="7" name="Imagem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3">
                      <a:hlinkClick r:id="rId13"/>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393" cy="227393"/>
                    </a:xfrm>
                    <a:prstGeom prst="rect">
                      <a:avLst/>
                    </a:prstGeom>
                    <a:noFill/>
                    <a:ln>
                      <a:noFill/>
                    </a:ln>
                  </pic:spPr>
                </pic:pic>
              </a:graphicData>
            </a:graphic>
          </wp:inline>
        </w:drawing>
      </w:r>
      <w:r>
        <w:rPr>
          <w:rStyle w:val="label3"/>
          <w:b/>
          <w:color w:val="222222"/>
          <w:sz w:val="28"/>
          <w:szCs w:val="28"/>
          <w:lang w:val="pt-BR"/>
        </w:rPr>
        <w:t xml:space="preserve"> &amp; </w:t>
      </w:r>
      <w:r w:rsidRPr="00153DC5">
        <w:rPr>
          <w:rStyle w:val="label3"/>
          <w:b/>
          <w:color w:val="222222"/>
          <w:sz w:val="28"/>
          <w:szCs w:val="28"/>
          <w:lang w:val="pt-BR"/>
        </w:rPr>
        <w:t xml:space="preserve">Thiago Machado </w:t>
      </w:r>
      <w:proofErr w:type="spellStart"/>
      <w:r w:rsidRPr="00153DC5">
        <w:rPr>
          <w:rStyle w:val="label3"/>
          <w:b/>
          <w:color w:val="222222"/>
          <w:sz w:val="28"/>
          <w:szCs w:val="28"/>
          <w:lang w:val="pt-BR"/>
        </w:rPr>
        <w:t>Ardenghi</w:t>
      </w:r>
      <w:proofErr w:type="spellEnd"/>
      <w:r w:rsidR="00C413D4">
        <w:rPr>
          <w:rStyle w:val="Refdenotaalpie"/>
          <w:b/>
          <w:color w:val="222222"/>
          <w:sz w:val="28"/>
          <w:szCs w:val="28"/>
        </w:rPr>
        <w:footnoteReference w:id="1"/>
      </w:r>
      <w:r w:rsidR="00CE7D65">
        <w:rPr>
          <w:rStyle w:val="Refdenotaalpie"/>
          <w:b/>
          <w:color w:val="222222"/>
          <w:sz w:val="28"/>
          <w:szCs w:val="28"/>
          <w:lang w:val="pt-BR"/>
        </w:rPr>
        <w:footnoteReference w:id="2"/>
      </w:r>
      <w:r w:rsidR="00CE7D65">
        <w:rPr>
          <w:rStyle w:val="Refdenotaalpie"/>
          <w:b/>
          <w:color w:val="222222"/>
          <w:sz w:val="28"/>
          <w:szCs w:val="28"/>
          <w:lang w:val="pt-BR"/>
        </w:rPr>
        <w:footnoteReference w:id="3"/>
      </w:r>
      <w:r w:rsidR="00B845A1" w:rsidRPr="00153DC5">
        <w:rPr>
          <w:rStyle w:val="label3"/>
          <w:b/>
          <w:color w:val="222222"/>
          <w:sz w:val="28"/>
          <w:szCs w:val="28"/>
          <w:lang w:val="pt-BR"/>
        </w:rPr>
        <w:t xml:space="preserve"> </w:t>
      </w:r>
      <w:r w:rsidR="00B6522A">
        <w:rPr>
          <w:rFonts w:ascii="Open Sans" w:hAnsi="Open Sans"/>
          <w:noProof/>
          <w:color w:val="E32312"/>
          <w:sz w:val="21"/>
          <w:szCs w:val="21"/>
          <w:bdr w:val="none" w:sz="0" w:space="0" w:color="auto" w:frame="1"/>
          <w:shd w:val="clear" w:color="auto" w:fill="F7F7F7"/>
        </w:rPr>
        <w:drawing>
          <wp:inline distT="0" distB="0" distL="0" distR="0" wp14:anchorId="227B8D6D" wp14:editId="43988CF8">
            <wp:extent cx="221002" cy="221002"/>
            <wp:effectExtent l="0" t="0" r="0" b="0"/>
            <wp:docPr id="4" name="Imagem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a:hlinkClick r:id="rId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958" cy="224958"/>
                    </a:xfrm>
                    <a:prstGeom prst="rect">
                      <a:avLst/>
                    </a:prstGeom>
                    <a:noFill/>
                    <a:ln>
                      <a:noFill/>
                    </a:ln>
                  </pic:spPr>
                </pic:pic>
              </a:graphicData>
            </a:graphic>
          </wp:inline>
        </w:drawing>
      </w:r>
    </w:p>
    <w:p w14:paraId="0376D1DD" w14:textId="77777777" w:rsidR="00863414" w:rsidRPr="00153DC5" w:rsidRDefault="00863414" w:rsidP="00C413D4">
      <w:pPr>
        <w:rPr>
          <w:i/>
          <w:sz w:val="28"/>
          <w:szCs w:val="28"/>
          <w:lang w:val="pt-BR"/>
        </w:rPr>
      </w:pPr>
    </w:p>
    <w:p w14:paraId="079EAFE7" w14:textId="3E3DFC4C" w:rsidR="00863414" w:rsidRDefault="00153DC5" w:rsidP="00C413D4">
      <w:pPr>
        <w:rPr>
          <w:i/>
          <w:sz w:val="28"/>
          <w:szCs w:val="28"/>
        </w:rPr>
      </w:pPr>
      <w:r w:rsidRPr="00153DC5">
        <w:rPr>
          <w:i/>
          <w:sz w:val="28"/>
          <w:szCs w:val="28"/>
          <w:lang w:val="pt-BR"/>
        </w:rPr>
        <w:t>Universidade Federal de Santa Maria, Santa Maria, Brasil</w:t>
      </w:r>
      <w:r w:rsidR="00863414" w:rsidRPr="00153DC5">
        <w:rPr>
          <w:i/>
          <w:sz w:val="28"/>
          <w:szCs w:val="28"/>
          <w:lang w:val="pt-BR"/>
        </w:rPr>
        <w:t>.</w:t>
      </w:r>
    </w:p>
    <w:p w14:paraId="6C942DCA" w14:textId="77777777" w:rsidR="00B845A1" w:rsidRDefault="00B845A1" w:rsidP="00C413D4">
      <w:pPr>
        <w:rPr>
          <w:i/>
          <w:sz w:val="28"/>
          <w:szCs w:val="28"/>
        </w:rPr>
      </w:pPr>
    </w:p>
    <w:p w14:paraId="0BAD9FA3" w14:textId="77777777" w:rsidR="00C413D4" w:rsidRPr="007F5913" w:rsidRDefault="00C413D4" w:rsidP="00C413D4">
      <w:pPr>
        <w:rPr>
          <w:rFonts w:ascii="Times" w:hAnsi="Times"/>
          <w:i/>
          <w:sz w:val="28"/>
          <w:szCs w:val="28"/>
        </w:rPr>
      </w:pPr>
      <w:r>
        <w:rPr>
          <w:noProof/>
          <w:lang w:val="es-ES" w:eastAsia="es-ES"/>
        </w:rPr>
        <mc:AlternateContent>
          <mc:Choice Requires="wps">
            <w:drawing>
              <wp:anchor distT="4294967295" distB="4294967295" distL="114300" distR="114300" simplePos="0" relativeHeight="251659264" behindDoc="0" locked="0" layoutInCell="1" allowOverlap="1" wp14:anchorId="40A29C03" wp14:editId="394800DF">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219385"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B312314" w14:textId="77777777" w:rsidR="00C413D4" w:rsidRPr="00C413D4" w:rsidRDefault="00C413D4" w:rsidP="00C413D4">
      <w:pPr>
        <w:rPr>
          <w:b/>
          <w:sz w:val="20"/>
          <w:szCs w:val="20"/>
          <w:lang w:val="es-ES"/>
        </w:rPr>
      </w:pPr>
    </w:p>
    <w:p w14:paraId="471B797A" w14:textId="77777777" w:rsidR="00C413D4" w:rsidRPr="00C413D4" w:rsidRDefault="00C413D4" w:rsidP="007E34D6">
      <w:pPr>
        <w:jc w:val="center"/>
        <w:rPr>
          <w:b/>
          <w:smallCaps/>
          <w:sz w:val="20"/>
          <w:szCs w:val="20"/>
          <w:lang w:val="en-US"/>
        </w:rPr>
      </w:pPr>
      <w:r w:rsidRPr="00C413D4">
        <w:rPr>
          <w:b/>
          <w:smallCaps/>
          <w:sz w:val="20"/>
          <w:szCs w:val="20"/>
          <w:lang w:val="en-US"/>
        </w:rPr>
        <w:t>Abstract</w:t>
      </w:r>
    </w:p>
    <w:p w14:paraId="0BF1C075" w14:textId="59A6D0F2" w:rsidR="00C413D4" w:rsidRPr="00153DC5" w:rsidRDefault="00153DC5" w:rsidP="005B5614">
      <w:pPr>
        <w:jc w:val="both"/>
        <w:rPr>
          <w:sz w:val="20"/>
          <w:szCs w:val="20"/>
        </w:rPr>
      </w:pPr>
      <w:r w:rsidRPr="00153DC5">
        <w:rPr>
          <w:sz w:val="20"/>
          <w:szCs w:val="20"/>
        </w:rPr>
        <w:t>The aim of this study was to evaluate the psychometric properties of the Brazilian version of Sense of Coherence scale (SOC-13) in schoolchildren. This study included eight to fourteen-year-old schoolchildren. Reliability, reproducibility and factorial analyses were performed. The Cronbach's alpha coefficient for SOC-13 measurement presented questionable results (0.63) and the Intra-Class Correlation Coefficient of 0.70 was statistically significant between different time points (p&lt;0.01). Regarding the construct validity, significant values were observed between the SOC-13 components scores and the overall scale score. In the Confirmatory Factorial Analysis, the latent variable in the three dimensions were confirmed, through the standard factorial loads, to the other items of the questionnaire. We can conclude that the questionnaire performs well as a discriminant measure though more studies are necessary to determine its minimal clinically important difference.</w:t>
      </w:r>
    </w:p>
    <w:p w14:paraId="547103FF" w14:textId="77777777" w:rsidR="00C413D4" w:rsidRPr="00C413D4" w:rsidRDefault="00C413D4" w:rsidP="00C413D4">
      <w:pPr>
        <w:rPr>
          <w:sz w:val="20"/>
          <w:szCs w:val="20"/>
          <w:lang w:val="en-US"/>
        </w:rPr>
      </w:pPr>
    </w:p>
    <w:p w14:paraId="0EB33005" w14:textId="77777777" w:rsidR="00C413D4" w:rsidRPr="00C413D4" w:rsidRDefault="00C413D4" w:rsidP="00C413D4">
      <w:pPr>
        <w:rPr>
          <w:b/>
          <w:sz w:val="20"/>
          <w:szCs w:val="20"/>
          <w:lang w:val="en-US"/>
        </w:rPr>
      </w:pPr>
      <w:r w:rsidRPr="00C413D4">
        <w:rPr>
          <w:b/>
          <w:sz w:val="20"/>
          <w:szCs w:val="20"/>
          <w:lang w:val="en-US"/>
        </w:rPr>
        <w:t>Keywords</w:t>
      </w:r>
    </w:p>
    <w:p w14:paraId="0B45F641" w14:textId="35CC2EE8" w:rsidR="00C413D4" w:rsidRDefault="00153DC5" w:rsidP="007A7C7C">
      <w:pPr>
        <w:jc w:val="both"/>
        <w:rPr>
          <w:bCs/>
          <w:sz w:val="20"/>
          <w:szCs w:val="20"/>
        </w:rPr>
      </w:pPr>
      <w:r>
        <w:rPr>
          <w:bCs/>
          <w:sz w:val="20"/>
          <w:szCs w:val="20"/>
          <w:lang w:val="en-US"/>
        </w:rPr>
        <w:t>e</w:t>
      </w:r>
      <w:proofErr w:type="spellStart"/>
      <w:r w:rsidRPr="00153DC5">
        <w:rPr>
          <w:bCs/>
          <w:sz w:val="20"/>
          <w:szCs w:val="20"/>
        </w:rPr>
        <w:t>valuation</w:t>
      </w:r>
      <w:proofErr w:type="spellEnd"/>
      <w:r w:rsidR="006B0812" w:rsidRPr="007A7C7C">
        <w:rPr>
          <w:bCs/>
          <w:sz w:val="20"/>
          <w:szCs w:val="20"/>
        </w:rPr>
        <w:t xml:space="preserve">, </w:t>
      </w:r>
      <w:proofErr w:type="spellStart"/>
      <w:r w:rsidRPr="00153DC5">
        <w:rPr>
          <w:bCs/>
          <w:sz w:val="20"/>
          <w:szCs w:val="20"/>
        </w:rPr>
        <w:t>sense</w:t>
      </w:r>
      <w:proofErr w:type="spellEnd"/>
      <w:r w:rsidRPr="00153DC5">
        <w:rPr>
          <w:bCs/>
          <w:sz w:val="20"/>
          <w:szCs w:val="20"/>
        </w:rPr>
        <w:t xml:space="preserve"> of </w:t>
      </w:r>
      <w:proofErr w:type="spellStart"/>
      <w:r w:rsidRPr="00153DC5">
        <w:rPr>
          <w:bCs/>
          <w:sz w:val="20"/>
          <w:szCs w:val="20"/>
        </w:rPr>
        <w:t>coherence</w:t>
      </w:r>
      <w:proofErr w:type="spellEnd"/>
      <w:r w:rsidRPr="00153DC5">
        <w:rPr>
          <w:bCs/>
          <w:sz w:val="20"/>
          <w:szCs w:val="20"/>
        </w:rPr>
        <w:t xml:space="preserve"> </w:t>
      </w:r>
      <w:proofErr w:type="spellStart"/>
      <w:r w:rsidRPr="00153DC5">
        <w:rPr>
          <w:bCs/>
          <w:sz w:val="20"/>
          <w:szCs w:val="20"/>
        </w:rPr>
        <w:t>scale</w:t>
      </w:r>
      <w:proofErr w:type="spellEnd"/>
      <w:r w:rsidR="006B0812" w:rsidRPr="007A7C7C">
        <w:rPr>
          <w:bCs/>
          <w:sz w:val="20"/>
          <w:szCs w:val="20"/>
        </w:rPr>
        <w:t xml:space="preserve">, </w:t>
      </w:r>
      <w:proofErr w:type="spellStart"/>
      <w:r w:rsidRPr="00153DC5">
        <w:rPr>
          <w:bCs/>
          <w:sz w:val="20"/>
          <w:szCs w:val="20"/>
        </w:rPr>
        <w:t>psychometric</w:t>
      </w:r>
      <w:proofErr w:type="spellEnd"/>
      <w:r w:rsidR="006B0812" w:rsidRPr="007A7C7C">
        <w:rPr>
          <w:bCs/>
          <w:sz w:val="20"/>
          <w:szCs w:val="20"/>
        </w:rPr>
        <w:t xml:space="preserve">, social </w:t>
      </w:r>
      <w:proofErr w:type="spellStart"/>
      <w:r w:rsidR="006B0812" w:rsidRPr="007A7C7C">
        <w:rPr>
          <w:bCs/>
          <w:sz w:val="20"/>
          <w:szCs w:val="20"/>
        </w:rPr>
        <w:t>functioning</w:t>
      </w:r>
      <w:proofErr w:type="spellEnd"/>
    </w:p>
    <w:p w14:paraId="120FF658" w14:textId="77777777" w:rsidR="00153DC5" w:rsidRDefault="00153DC5" w:rsidP="007A7C7C">
      <w:pPr>
        <w:jc w:val="both"/>
        <w:rPr>
          <w:bCs/>
          <w:sz w:val="20"/>
          <w:szCs w:val="20"/>
        </w:rPr>
      </w:pPr>
    </w:p>
    <w:p w14:paraId="3C2A8692" w14:textId="46796CA0" w:rsidR="00153DC5" w:rsidRDefault="00153DC5" w:rsidP="007A7C7C">
      <w:pPr>
        <w:jc w:val="both"/>
        <w:rPr>
          <w:bCs/>
          <w:sz w:val="20"/>
          <w:szCs w:val="20"/>
        </w:rPr>
      </w:pPr>
    </w:p>
    <w:p w14:paraId="7C35B110" w14:textId="77777777" w:rsidR="00153DC5" w:rsidRPr="00153DC5" w:rsidRDefault="00153DC5" w:rsidP="00153DC5">
      <w:pPr>
        <w:jc w:val="center"/>
        <w:rPr>
          <w:bCs/>
          <w:smallCaps/>
          <w:sz w:val="20"/>
          <w:szCs w:val="20"/>
          <w:lang w:val="pt-BR"/>
        </w:rPr>
      </w:pPr>
      <w:r w:rsidRPr="00153DC5">
        <w:rPr>
          <w:b/>
          <w:smallCaps/>
          <w:sz w:val="20"/>
          <w:szCs w:val="20"/>
          <w:lang w:val="pt-BR"/>
        </w:rPr>
        <w:t>Resumo</w:t>
      </w:r>
    </w:p>
    <w:p w14:paraId="32D6BA22" w14:textId="77777777" w:rsidR="00153DC5" w:rsidRPr="00153DC5" w:rsidRDefault="00153DC5" w:rsidP="005B5614">
      <w:pPr>
        <w:jc w:val="both"/>
        <w:rPr>
          <w:sz w:val="20"/>
          <w:szCs w:val="20"/>
          <w:lang w:val="pt-BR"/>
        </w:rPr>
      </w:pPr>
      <w:r w:rsidRPr="00153DC5">
        <w:rPr>
          <w:sz w:val="20"/>
          <w:szCs w:val="20"/>
          <w:lang w:val="pt-BR"/>
        </w:rPr>
        <w:t xml:space="preserve">O objetivo deste estudo foi avaliar as propriedades psicométricas da versão brasileira da escala de </w:t>
      </w:r>
      <w:proofErr w:type="gramStart"/>
      <w:r w:rsidRPr="00153DC5">
        <w:rPr>
          <w:sz w:val="20"/>
          <w:szCs w:val="20"/>
          <w:lang w:val="pt-BR"/>
        </w:rPr>
        <w:t>senso</w:t>
      </w:r>
      <w:proofErr w:type="gramEnd"/>
      <w:r w:rsidRPr="00153DC5">
        <w:rPr>
          <w:sz w:val="20"/>
          <w:szCs w:val="20"/>
          <w:lang w:val="pt-BR"/>
        </w:rPr>
        <w:t xml:space="preserve"> de coerência (SOC-13) em escolares. Trata-se de um que incluiu escolares de oito a quatorze anos. Confiabilidade, reprodutibilidade e análises confirmatórias foram realizados. O coeficiente alfa de </w:t>
      </w:r>
      <w:proofErr w:type="spellStart"/>
      <w:r w:rsidRPr="00153DC5">
        <w:rPr>
          <w:sz w:val="20"/>
          <w:szCs w:val="20"/>
          <w:lang w:val="pt-BR"/>
        </w:rPr>
        <w:t>Cronbach</w:t>
      </w:r>
      <w:proofErr w:type="spellEnd"/>
      <w:r w:rsidRPr="00153DC5">
        <w:rPr>
          <w:sz w:val="20"/>
          <w:szCs w:val="20"/>
          <w:lang w:val="pt-BR"/>
        </w:rPr>
        <w:t xml:space="preserve"> para mensuração da SOC-13 apresentou resultados questionáveis (0,63) e o Coeficiente de Correlação </w:t>
      </w:r>
      <w:proofErr w:type="spellStart"/>
      <w:r w:rsidRPr="00153DC5">
        <w:rPr>
          <w:sz w:val="20"/>
          <w:szCs w:val="20"/>
          <w:lang w:val="pt-BR"/>
        </w:rPr>
        <w:t>Intraclasse</w:t>
      </w:r>
      <w:proofErr w:type="spellEnd"/>
      <w:r w:rsidRPr="00153DC5">
        <w:rPr>
          <w:sz w:val="20"/>
          <w:szCs w:val="20"/>
          <w:lang w:val="pt-BR"/>
        </w:rPr>
        <w:t xml:space="preserve"> de 0,70 foi estatisticamente significante entre os diferentes momentos (p &lt;0,01). Em relação à validade de construto, foram observados valores significativos entre os escores dos componentes do SOC-13 e o escore global da escala. Na Análise Fatorial Confirmatória, a variável latente nas três dimensões foi confirmada, através das cargas fatoriais padrão, aos demais itens do questionário. Podemos concluir que o questionário funciona bem como uma medida discriminante e mais estudos são necessários para determinar sua mínima diferença clinicamente importante.</w:t>
      </w:r>
    </w:p>
    <w:p w14:paraId="72AF85FC" w14:textId="77777777" w:rsidR="00153DC5" w:rsidRPr="00153DC5" w:rsidRDefault="00153DC5" w:rsidP="00153DC5">
      <w:pPr>
        <w:rPr>
          <w:sz w:val="20"/>
          <w:szCs w:val="20"/>
          <w:lang w:val="pt-BR"/>
        </w:rPr>
      </w:pPr>
    </w:p>
    <w:p w14:paraId="52B41A5E" w14:textId="3252998D" w:rsidR="00153DC5" w:rsidRPr="00153DC5" w:rsidRDefault="00153DC5" w:rsidP="00153DC5">
      <w:pPr>
        <w:jc w:val="both"/>
        <w:rPr>
          <w:b/>
          <w:sz w:val="20"/>
          <w:szCs w:val="20"/>
          <w:lang w:val="pt-BR"/>
        </w:rPr>
      </w:pPr>
      <w:r w:rsidRPr="00153DC5">
        <w:rPr>
          <w:b/>
          <w:sz w:val="20"/>
          <w:szCs w:val="20"/>
          <w:lang w:val="pt-BR"/>
        </w:rPr>
        <w:t>Palavras</w:t>
      </w:r>
      <w:r w:rsidRPr="00153DC5">
        <w:rPr>
          <w:b/>
          <w:sz w:val="20"/>
          <w:szCs w:val="20"/>
          <w:lang w:val="pt-BR"/>
        </w:rPr>
        <w:t xml:space="preserve"> c</w:t>
      </w:r>
      <w:r>
        <w:rPr>
          <w:b/>
          <w:sz w:val="20"/>
          <w:szCs w:val="20"/>
          <w:lang w:val="pt-BR"/>
        </w:rPr>
        <w:t>h</w:t>
      </w:r>
      <w:r w:rsidRPr="00153DC5">
        <w:rPr>
          <w:b/>
          <w:sz w:val="20"/>
          <w:szCs w:val="20"/>
          <w:lang w:val="pt-BR"/>
        </w:rPr>
        <w:t>ave</w:t>
      </w:r>
    </w:p>
    <w:p w14:paraId="3B490AF2" w14:textId="72D39F22" w:rsidR="00153DC5" w:rsidRPr="00153DC5" w:rsidRDefault="00153DC5" w:rsidP="007A7C7C">
      <w:pPr>
        <w:jc w:val="both"/>
        <w:rPr>
          <w:bCs/>
          <w:sz w:val="20"/>
          <w:szCs w:val="20"/>
          <w:lang w:val="pt-BR"/>
        </w:rPr>
      </w:pPr>
      <w:r w:rsidRPr="00153DC5">
        <w:rPr>
          <w:bCs/>
          <w:sz w:val="20"/>
          <w:szCs w:val="20"/>
          <w:lang w:val="pt-BR"/>
        </w:rPr>
        <w:t xml:space="preserve">avaliação, senso de escala de coerência, </w:t>
      </w:r>
      <w:proofErr w:type="spellStart"/>
      <w:r w:rsidRPr="00153DC5">
        <w:rPr>
          <w:bCs/>
          <w:sz w:val="20"/>
          <w:szCs w:val="20"/>
          <w:lang w:val="pt-BR"/>
        </w:rPr>
        <w:t>psicometria</w:t>
      </w:r>
      <w:proofErr w:type="spellEnd"/>
      <w:r w:rsidRPr="00153DC5">
        <w:rPr>
          <w:bCs/>
          <w:sz w:val="20"/>
          <w:szCs w:val="20"/>
          <w:lang w:val="pt-BR"/>
        </w:rPr>
        <w:t>, funcionamento social</w:t>
      </w:r>
    </w:p>
    <w:p w14:paraId="500E0819" w14:textId="77777777" w:rsidR="00C413D4" w:rsidRPr="0041032B" w:rsidRDefault="00C413D4" w:rsidP="00B6522A">
      <w:pPr>
        <w:rPr>
          <w:b/>
          <w:lang w:val="en-US"/>
        </w:rPr>
      </w:pPr>
    </w:p>
    <w:p w14:paraId="3F538DA7" w14:textId="3E8AB444" w:rsidR="00153DC5" w:rsidRPr="00153DC5" w:rsidRDefault="0059034C" w:rsidP="00CE7D65">
      <w:pPr>
        <w:jc w:val="center"/>
        <w:rPr>
          <w:lang w:val="pt-BR"/>
        </w:rPr>
      </w:pPr>
      <w:r w:rsidRPr="00153DC5">
        <w:rPr>
          <w:lang w:val="pt-BR"/>
        </w:rPr>
        <w:br w:type="page"/>
      </w:r>
      <w:r w:rsidR="00153DC5" w:rsidRPr="00153DC5">
        <w:rPr>
          <w:lang w:val="pt-BR"/>
        </w:rPr>
        <w:lastRenderedPageBreak/>
        <w:t xml:space="preserve">AVALIAÇÃO DAS PROPRIEDADES PSICOMÉTRICAS DA </w:t>
      </w:r>
      <w:r w:rsidR="00153DC5">
        <w:rPr>
          <w:lang w:val="pt-BR"/>
        </w:rPr>
        <w:t>‘</w:t>
      </w:r>
      <w:r w:rsidR="00153DC5" w:rsidRPr="00153DC5">
        <w:rPr>
          <w:lang w:val="pt-BR"/>
        </w:rPr>
        <w:t>ESCALA DE SENTIDO DE COERÊNCIA</w:t>
      </w:r>
      <w:r w:rsidR="00153DC5">
        <w:rPr>
          <w:lang w:val="pt-BR"/>
        </w:rPr>
        <w:t>’</w:t>
      </w:r>
      <w:r w:rsidR="00153DC5" w:rsidRPr="00153DC5">
        <w:rPr>
          <w:lang w:val="pt-BR"/>
        </w:rPr>
        <w:t xml:space="preserve"> EM CRIANÇAS EM ESCOLAS</w:t>
      </w:r>
    </w:p>
    <w:p w14:paraId="4FA726CB" w14:textId="0CA97B8C" w:rsidR="006A1BA2" w:rsidRPr="00153DC5" w:rsidRDefault="00153DC5" w:rsidP="00CE7D65">
      <w:pPr>
        <w:pStyle w:val="Ttulosinternos"/>
        <w:rPr>
          <w:bCs/>
        </w:rPr>
      </w:pPr>
      <w:r w:rsidRPr="00153DC5">
        <w:rPr>
          <w:lang w:eastAsia="en-US"/>
        </w:rPr>
        <w:t>Introduction</w:t>
      </w:r>
    </w:p>
    <w:p w14:paraId="547CCFF6" w14:textId="77777777" w:rsidR="005B5614" w:rsidRPr="005B5614" w:rsidRDefault="005B5614" w:rsidP="00CE7D65">
      <w:pPr>
        <w:pStyle w:val="Prrafocomn"/>
      </w:pPr>
      <w:r w:rsidRPr="005B5614">
        <w:t xml:space="preserve">In the last few decades, international health programs have required more complex forms of intersectoral political actions, which analyze the health determinants and the population well-being (Marmot, 2010). In this way, psychological abilities such as optimism and resilience are correlated with individuals' quality of life; particularly how much a person is able to deal with poor health (Broder, 2001). </w:t>
      </w:r>
    </w:p>
    <w:p w14:paraId="5343010F" w14:textId="77777777" w:rsidR="005B5614" w:rsidRDefault="005B5614" w:rsidP="00CE7D65">
      <w:pPr>
        <w:pStyle w:val="Prrafocomn"/>
      </w:pPr>
      <w:r>
        <w:t xml:space="preserve">The </w:t>
      </w:r>
      <w:proofErr w:type="spellStart"/>
      <w:r>
        <w:t>Salutogenic</w:t>
      </w:r>
      <w:proofErr w:type="spellEnd"/>
      <w:r>
        <w:t xml:space="preserve"> Theory, proposed by </w:t>
      </w:r>
      <w:proofErr w:type="spellStart"/>
      <w:r>
        <w:t>Antonovsky</w:t>
      </w:r>
      <w:proofErr w:type="spellEnd"/>
      <w:r>
        <w:t xml:space="preserve"> in 1987, is in agreement with this modern political paradigm. </w:t>
      </w:r>
      <w:proofErr w:type="spellStart"/>
      <w:r>
        <w:t>Salutogenic</w:t>
      </w:r>
      <w:proofErr w:type="spellEnd"/>
      <w:r>
        <w:t xml:space="preserve"> Theory involves a context that goes beyond knowledge of pathogenic mechanisms and biological methods of prevention. It emphasizes the necessity of health to promote health. Accordingly, health must be understood as result of the equilibrium between strengths that predispose people to health or to disease (</w:t>
      </w:r>
      <w:proofErr w:type="spellStart"/>
      <w:r>
        <w:t>Antonovsky</w:t>
      </w:r>
      <w:proofErr w:type="spellEnd"/>
      <w:r>
        <w:t xml:space="preserve">, 1987). The special feature of this theory is that it challenges the pathogenic model. </w:t>
      </w:r>
      <w:proofErr w:type="spellStart"/>
      <w:r>
        <w:t>Salutogenesis</w:t>
      </w:r>
      <w:proofErr w:type="spellEnd"/>
      <w:r>
        <w:t xml:space="preserve">, from </w:t>
      </w:r>
      <w:proofErr w:type="spellStart"/>
      <w:r>
        <w:t>saluto</w:t>
      </w:r>
      <w:proofErr w:type="spellEnd"/>
      <w:r>
        <w:t xml:space="preserve"> (health) and genesis (origins), seeks to explain factors that promote health as distinct from those that modify the risk of specific diseases. The central construct of </w:t>
      </w:r>
      <w:proofErr w:type="spellStart"/>
      <w:r>
        <w:t>Salutogenic</w:t>
      </w:r>
      <w:proofErr w:type="spellEnd"/>
      <w:r>
        <w:t xml:space="preserve"> Theory is Sense of Coherence (SOC), which seeks to explain the relationship between life stresses and health. It is seen as a personality trait that introduces comprehension and gives meaning to events, thereby creating a sense of manageability of the environment and promoting healthy behavior. SOC influences habits that directly affect health and adaptive behavior to stress, and can therefore decrease the severity of illnesses (</w:t>
      </w:r>
      <w:proofErr w:type="spellStart"/>
      <w:r>
        <w:t>Antonovsky</w:t>
      </w:r>
      <w:proofErr w:type="spellEnd"/>
      <w:r>
        <w:t xml:space="preserve">, 1987; </w:t>
      </w:r>
      <w:proofErr w:type="spellStart"/>
      <w:r>
        <w:t>Bonanato</w:t>
      </w:r>
      <w:proofErr w:type="spellEnd"/>
      <w:r>
        <w:t xml:space="preserve"> et al., 2008).</w:t>
      </w:r>
    </w:p>
    <w:p w14:paraId="4C8C7D7B" w14:textId="77777777" w:rsidR="005B5614" w:rsidRDefault="005B5614" w:rsidP="00CE7D65">
      <w:pPr>
        <w:pStyle w:val="Prrafocomn"/>
      </w:pPr>
      <w:r>
        <w:t xml:space="preserve">In this context, SOC has been associated with different aspects of health and disease (Baker, Mat, &amp; Robinson, 2010). Several longitudinal studies clearly support the importance of a strong SOC for the development and maintenance of a positive state of mental health, and also seem to indicate a strong association with perceived good health (Eriksson, &amp; </w:t>
      </w:r>
      <w:proofErr w:type="spellStart"/>
      <w:r>
        <w:t>Lindström</w:t>
      </w:r>
      <w:proofErr w:type="spellEnd"/>
      <w:r>
        <w:t>, 2006). In relation to a particular age group, a systematic review showed that adolescents’ SOC was related to health in terms of quality of life, health behavior, mental health and family relationships (</w:t>
      </w:r>
      <w:proofErr w:type="spellStart"/>
      <w:r>
        <w:t>Länsimies</w:t>
      </w:r>
      <w:proofErr w:type="spellEnd"/>
      <w:r>
        <w:t xml:space="preserve"> et al., 2017). However, the relation between SOC and physical health is more complex and seems to be weaker than with mental health. The same could be observed in other studies that evaluated the relationship between SOC and subjective measures of oral health, where individuals with high SOC had better oral health related quality of life (Eriksson, &amp; </w:t>
      </w:r>
      <w:proofErr w:type="spellStart"/>
      <w:r>
        <w:t>Lindström</w:t>
      </w:r>
      <w:proofErr w:type="spellEnd"/>
      <w:r>
        <w:t xml:space="preserve">, 2007; Machado </w:t>
      </w:r>
      <w:r>
        <w:lastRenderedPageBreak/>
        <w:t xml:space="preserve">et al., 2017; do </w:t>
      </w:r>
      <w:proofErr w:type="spellStart"/>
      <w:r>
        <w:t>Carmo</w:t>
      </w:r>
      <w:proofErr w:type="spellEnd"/>
      <w:r>
        <w:t xml:space="preserve"> Matias Freire, </w:t>
      </w:r>
      <w:proofErr w:type="spellStart"/>
      <w:r>
        <w:t>Sheiham</w:t>
      </w:r>
      <w:proofErr w:type="spellEnd"/>
      <w:r>
        <w:t xml:space="preserve">, &amp; Hardy, 2001). However, there are studies that demonstrated that individuals with small SOC present more experiences of untreated caries (Lage et al., 2017; </w:t>
      </w:r>
      <w:proofErr w:type="spellStart"/>
      <w:r>
        <w:t>Savolainen</w:t>
      </w:r>
      <w:proofErr w:type="spellEnd"/>
      <w:r>
        <w:t xml:space="preserve"> et al., 2005), dental trauma (</w:t>
      </w:r>
      <w:proofErr w:type="spellStart"/>
      <w:r>
        <w:t>Baxevanos</w:t>
      </w:r>
      <w:proofErr w:type="spellEnd"/>
      <w:r>
        <w:t xml:space="preserve"> et al., 2017) and toothache (</w:t>
      </w:r>
      <w:proofErr w:type="spellStart"/>
      <w:r>
        <w:t>Vettore</w:t>
      </w:r>
      <w:proofErr w:type="spellEnd"/>
      <w:r>
        <w:t>, 2016).</w:t>
      </w:r>
    </w:p>
    <w:p w14:paraId="44B6BA24" w14:textId="77777777" w:rsidR="005B5614" w:rsidRDefault="005B5614" w:rsidP="00CE7D65">
      <w:pPr>
        <w:pStyle w:val="Prrafocomn"/>
      </w:pPr>
      <w:r>
        <w:t xml:space="preserve">A questionnaire composed of 29 questions was developed by </w:t>
      </w:r>
      <w:proofErr w:type="spellStart"/>
      <w:r>
        <w:t>Antonovsky</w:t>
      </w:r>
      <w:proofErr w:type="spellEnd"/>
      <w:r>
        <w:t xml:space="preserve"> (Sense of Coherence - SOC-29) to standardize measurement of SOC (</w:t>
      </w:r>
      <w:proofErr w:type="spellStart"/>
      <w:r>
        <w:t>Antonovsky</w:t>
      </w:r>
      <w:proofErr w:type="spellEnd"/>
      <w:r>
        <w:t>, 1987). The same author also proposed a shorter version of this instrument: a questionnaire composed of thirteen questions (Sense of Coherence - SOC-13). Both versions were found to be viable and valid in 14 languages, and with individuals of all ages (</w:t>
      </w:r>
      <w:proofErr w:type="spellStart"/>
      <w:r>
        <w:t>Antonovsky</w:t>
      </w:r>
      <w:proofErr w:type="spellEnd"/>
      <w:r>
        <w:t xml:space="preserve">, 1993). </w:t>
      </w:r>
      <w:proofErr w:type="spellStart"/>
      <w:r>
        <w:t>Bachem</w:t>
      </w:r>
      <w:proofErr w:type="spellEnd"/>
      <w:r>
        <w:t xml:space="preserve"> and </w:t>
      </w:r>
      <w:proofErr w:type="spellStart"/>
      <w:r>
        <w:t>Maercker</w:t>
      </w:r>
      <w:proofErr w:type="spellEnd"/>
      <w:r>
        <w:t xml:space="preserve"> proposed, in 2016, a revised SOC scale that addressed the aforementioned shortcomings of the original scale This revised scale particularly addresses the co-existence and integration of positive and negative life experiences by respecting and accepting those as equivalent facets of life (</w:t>
      </w:r>
      <w:proofErr w:type="spellStart"/>
      <w:r>
        <w:t>Bachem</w:t>
      </w:r>
      <w:proofErr w:type="spellEnd"/>
      <w:r>
        <w:t xml:space="preserve">, &amp; </w:t>
      </w:r>
      <w:proofErr w:type="spellStart"/>
      <w:r>
        <w:t>Maercker</w:t>
      </w:r>
      <w:proofErr w:type="spellEnd"/>
      <w:r>
        <w:t xml:space="preserve">, 2016). As the SOC scale was previously found psychometrically sound in many countries, there is no need to develop new SOC versions; rather, there is a need for consolidation and standardization of the existing instruments (Martins, 2006). </w:t>
      </w:r>
    </w:p>
    <w:p w14:paraId="2FB7E66F" w14:textId="06B5CE6B" w:rsidR="006A1BA2" w:rsidRDefault="005B5614" w:rsidP="00CE7D65">
      <w:pPr>
        <w:pStyle w:val="Prrafocomn"/>
      </w:pPr>
      <w:r>
        <w:t>In Brazil, the SOC-13 scale was translated, adapted and validated to be used with mothers of preschool children (</w:t>
      </w:r>
      <w:proofErr w:type="spellStart"/>
      <w:r>
        <w:t>Bonanato</w:t>
      </w:r>
      <w:proofErr w:type="spellEnd"/>
      <w:r>
        <w:t xml:space="preserve"> et al., 2009). The findings of Brazilian researchers indicated that the adapted scale is comprehensible and, in fact, obtained a greater response rate than the originally validated scale. Internal consistency increased from 0.67 for the original scale to 0.71 for the adapted scale and this value was extended to 0.80 in the test with the randomly selected sample. Medium weighted Kappa coefficients were 49.5%. Spearman’s test demonstrated that the questions were correlated with total SOC scores (</w:t>
      </w:r>
      <w:proofErr w:type="spellStart"/>
      <w:r>
        <w:t>Bonanato</w:t>
      </w:r>
      <w:proofErr w:type="spellEnd"/>
      <w:r>
        <w:t xml:space="preserve"> et al., 2009). However, this scale has not yet been validated with Brazilian schoolchildren. It is therefore important to evaluate the applicability and the psychometric properties of SOC-13 scale in this population, in order to better understand the influence of SOC on health outcomes among schoolchildren. We hypothesized that the SOC-13 scale has adequate psychometric properties to be used in this school-age population.</w:t>
      </w:r>
    </w:p>
    <w:p w14:paraId="07BC9F17" w14:textId="6A2FDC04" w:rsidR="00CE7D65" w:rsidRDefault="00CE7D65" w:rsidP="005B5614">
      <w:pPr>
        <w:spacing w:after="240" w:line="360" w:lineRule="auto"/>
        <w:ind w:firstLine="720"/>
        <w:contextualSpacing/>
        <w:jc w:val="both"/>
      </w:pPr>
    </w:p>
    <w:p w14:paraId="49187B2A" w14:textId="4B39E1CF" w:rsidR="00CE7D65" w:rsidRDefault="00CE7D65" w:rsidP="005B5614">
      <w:pPr>
        <w:spacing w:after="240" w:line="360" w:lineRule="auto"/>
        <w:ind w:firstLine="720"/>
        <w:contextualSpacing/>
        <w:jc w:val="both"/>
      </w:pPr>
    </w:p>
    <w:p w14:paraId="06989D17" w14:textId="27CF3B7F" w:rsidR="00CE7D65" w:rsidRDefault="00CE7D65" w:rsidP="005B5614">
      <w:pPr>
        <w:spacing w:after="240" w:line="360" w:lineRule="auto"/>
        <w:ind w:firstLine="720"/>
        <w:contextualSpacing/>
        <w:jc w:val="both"/>
      </w:pPr>
    </w:p>
    <w:p w14:paraId="542A3D32" w14:textId="77777777" w:rsidR="00CE7D65" w:rsidRDefault="00CE7D65" w:rsidP="005B5614">
      <w:pPr>
        <w:spacing w:after="240" w:line="360" w:lineRule="auto"/>
        <w:ind w:firstLine="720"/>
        <w:contextualSpacing/>
        <w:jc w:val="both"/>
        <w:rPr>
          <w:lang w:eastAsia="en-US"/>
        </w:rPr>
      </w:pPr>
    </w:p>
    <w:p w14:paraId="2254AC27" w14:textId="77777777" w:rsidR="006F7E7E" w:rsidRDefault="006F7E7E" w:rsidP="00CE7D65">
      <w:pPr>
        <w:pStyle w:val="Ttulosinternos"/>
        <w:rPr>
          <w:lang w:eastAsia="en-US"/>
        </w:rPr>
      </w:pPr>
      <w:proofErr w:type="spellStart"/>
      <w:r>
        <w:rPr>
          <w:lang w:eastAsia="en-US"/>
        </w:rPr>
        <w:lastRenderedPageBreak/>
        <w:t>Método</w:t>
      </w:r>
      <w:proofErr w:type="spellEnd"/>
    </w:p>
    <w:p w14:paraId="2F19162A" w14:textId="21EE03D1" w:rsidR="006F7E7E" w:rsidRPr="007C2308" w:rsidRDefault="005B5614" w:rsidP="00CE7D65">
      <w:pPr>
        <w:pStyle w:val="SubtituloInterno"/>
        <w:rPr>
          <w:rFonts w:eastAsia="Calibri"/>
          <w:lang w:eastAsia="en-US"/>
        </w:rPr>
      </w:pPr>
      <w:r w:rsidRPr="005B5614">
        <w:rPr>
          <w:rFonts w:eastAsia="Calibri"/>
          <w:lang w:eastAsia="en-US"/>
        </w:rPr>
        <w:t>Participants</w:t>
      </w:r>
    </w:p>
    <w:p w14:paraId="2ECD28CA" w14:textId="1FE9140A" w:rsidR="006F7E7E" w:rsidRDefault="005B5614" w:rsidP="00CE7D65">
      <w:pPr>
        <w:pStyle w:val="Prrafocomn"/>
        <w:rPr>
          <w:rFonts w:eastAsia="Calibri"/>
          <w:lang w:eastAsia="en-US"/>
        </w:rPr>
      </w:pPr>
      <w:r w:rsidRPr="005B5614">
        <w:rPr>
          <w:lang w:eastAsia="en-US"/>
        </w:rPr>
        <w:t>For this study, children from five schools, in the western zone of the city, with similar characteristics, composed our convenience sample. All 382 children enrolled in 4th and 5th grades were invited to participate in the research. A total of 356 children were included in the study, corresponding to a 93.2% of response rate.</w:t>
      </w:r>
    </w:p>
    <w:p w14:paraId="0FA29A56" w14:textId="4E256378" w:rsidR="006F7E7E" w:rsidRPr="005B5614" w:rsidRDefault="005B5614" w:rsidP="00CE7D65">
      <w:pPr>
        <w:pStyle w:val="SubtituloInterno"/>
        <w:rPr>
          <w:lang w:eastAsia="en-US"/>
        </w:rPr>
      </w:pPr>
      <w:r w:rsidRPr="005B5614">
        <w:rPr>
          <w:lang w:eastAsia="en-US"/>
        </w:rPr>
        <w:t>Study Design and Data Collection</w:t>
      </w:r>
    </w:p>
    <w:p w14:paraId="47E70274" w14:textId="77777777" w:rsidR="005B5614" w:rsidRPr="005B5614" w:rsidRDefault="005B5614" w:rsidP="00CE7D65">
      <w:pPr>
        <w:pStyle w:val="Prrafocomn"/>
      </w:pPr>
      <w:r w:rsidRPr="005B5614">
        <w:t xml:space="preserve">The data used in this research came from a cross-sectional study, involving students from the city of Santa Maria, RS, Brazil. The city has an estimated population of 261,031 inhabitants, including 26,477 children ages 8 to 14 years (Instituto </w:t>
      </w:r>
      <w:proofErr w:type="spellStart"/>
      <w:r w:rsidRPr="005B5614">
        <w:t>Brasileiro</w:t>
      </w:r>
      <w:proofErr w:type="spellEnd"/>
      <w:r w:rsidRPr="005B5614">
        <w:t xml:space="preserve"> de Geografia e </w:t>
      </w:r>
      <w:proofErr w:type="spellStart"/>
      <w:r w:rsidRPr="005B5614">
        <w:t>Estatística</w:t>
      </w:r>
      <w:proofErr w:type="spellEnd"/>
      <w:r w:rsidRPr="005B5614">
        <w:t xml:space="preserve">, 2013). </w:t>
      </w:r>
    </w:p>
    <w:p w14:paraId="7B36C86E" w14:textId="0455EF9D" w:rsidR="006F7E7E" w:rsidRPr="005B5614" w:rsidRDefault="005B5614" w:rsidP="00CE7D65">
      <w:pPr>
        <w:pStyle w:val="Prrafocomn"/>
        <w:rPr>
          <w:lang w:eastAsia="en-US"/>
        </w:rPr>
      </w:pPr>
      <w:r w:rsidRPr="005B5614">
        <w:rPr>
          <w:i/>
          <w:iCs/>
        </w:rPr>
        <w:t>Sense of Coherence Scale</w:t>
      </w:r>
      <w:r w:rsidRPr="005B5614">
        <w:t>. (</w:t>
      </w:r>
      <w:proofErr w:type="spellStart"/>
      <w:r w:rsidRPr="005B5614">
        <w:t>Bonanato</w:t>
      </w:r>
      <w:proofErr w:type="spellEnd"/>
      <w:r w:rsidRPr="005B5614">
        <w:t xml:space="preserve"> et al., 2009). The short version of the Sense of Coherence Scale was developed to understand how individuals deal with stressful events in their lives. The scale is comprised of 13 questions, covering the three dimensions of SOC: Comprehensibility, Management and Meaning. Comprehensibility is the global orientation, expressed in the people´s ability of understanding what happens around them. Management is one’s confidence in ability exert a positive impact on life, using available resources. Lastly, meaning is the realization that life has a meaning and a purpose (</w:t>
      </w:r>
      <w:proofErr w:type="spellStart"/>
      <w:r w:rsidRPr="005B5614">
        <w:t>Antonovsky</w:t>
      </w:r>
      <w:proofErr w:type="spellEnd"/>
      <w:r w:rsidRPr="005B5614">
        <w:t xml:space="preserve">, 1993). The Brazilian version of the scale allows responses on a five-point Likert scale. The first items of the scale include the following prompts: 1) “What you do daily is…”; and 2) “Until today your life has been…” The possible responses vary from 1 to 5 with 5 being: “an enormous suffering and annoyance” and 1 being “a great pleasure and satisfaction” for the first question and, “with no aim” to “full of aims”, respectively, for the second question. Subsequent items are: 3) “Do you have interest in what happens around you?” 4) “Do you think that you are treated with injustice?” 5) “Do you have confused ideas and feelings?” 6) ”Do you think that the things you do in your life make no sense?”7) ”Have you already felt disappointed with people you trusted?” 8) ”Do you have feelings you would not wish to have?” 9) ”Do you have doubts if you can control your feelings?”;10) ”Have you ever felt surprised by the behavior of someone you knew well?” </w:t>
      </w:r>
      <w:r>
        <w:t>11) ”In some situations, people feel like they've failed. Have you ever felt that you failed?” and, 12</w:t>
      </w:r>
      <w:proofErr w:type="gramStart"/>
      <w:r>
        <w:t>) ”Do</w:t>
      </w:r>
      <w:proofErr w:type="gramEnd"/>
      <w:r>
        <w:t xml:space="preserve"> you feel that you are in an unusual situation and you do not know what to do?”. The answers vary </w:t>
      </w:r>
      <w:r>
        <w:lastRenderedPageBreak/>
        <w:t>from "never" to "always." The last item of the scale is: 13</w:t>
      </w:r>
      <w:proofErr w:type="gramStart"/>
      <w:r>
        <w:t>) ”Sometimes</w:t>
      </w:r>
      <w:proofErr w:type="gramEnd"/>
      <w:r>
        <w:t xml:space="preserve"> things happen in our lives and later we think we did not give the deserved importance to it. When something happens in your life, you think you gave it importance?”. The answers can vary from “totally wrong” to “totally right” on the last question. </w:t>
      </w:r>
      <w:r w:rsidRPr="005B5614">
        <w:t xml:space="preserve">The scale was administered by trained interviewers during a face-to-face interview with </w:t>
      </w:r>
      <w:proofErr w:type="spellStart"/>
      <w:r w:rsidRPr="005B5614">
        <w:t>particpants</w:t>
      </w:r>
      <w:proofErr w:type="spellEnd"/>
      <w:r w:rsidRPr="005B5614">
        <w:t>. The answers to questions 1 and 13 were reverse-scored, thus they would have the same meaning as the others. The final score is obtained through the sum of the items, with a range of 13 to 65, and higher scores representing a greater SOC (</w:t>
      </w:r>
      <w:proofErr w:type="spellStart"/>
      <w:r w:rsidRPr="005B5614">
        <w:t>Bonanato</w:t>
      </w:r>
      <w:proofErr w:type="spellEnd"/>
      <w:r w:rsidRPr="005B5614">
        <w:t xml:space="preserve"> et al., 2009). The SOC-13 scale was administered twice to the same group of people after an average period of one month to evaluate its reliability.</w:t>
      </w:r>
    </w:p>
    <w:p w14:paraId="7FB424E9" w14:textId="4CE7921E" w:rsidR="006F7E7E" w:rsidRPr="005B5614" w:rsidRDefault="005B5614" w:rsidP="00CE7D65">
      <w:pPr>
        <w:pStyle w:val="SubtituloInterno"/>
      </w:pPr>
      <w:r w:rsidRPr="005B5614">
        <w:t>Statistical Analysis</w:t>
      </w:r>
    </w:p>
    <w:p w14:paraId="2819CC84" w14:textId="77777777" w:rsidR="005B5614" w:rsidRPr="005B5614" w:rsidRDefault="005B5614" w:rsidP="00CE7D65">
      <w:pPr>
        <w:pStyle w:val="Prrafocomn"/>
      </w:pPr>
      <w:r w:rsidRPr="005B5614">
        <w:t xml:space="preserve">Data were analyzed using the statistical software STATA 14.0 and </w:t>
      </w:r>
      <w:proofErr w:type="spellStart"/>
      <w:r w:rsidRPr="005B5614">
        <w:t>Mplus</w:t>
      </w:r>
      <w:proofErr w:type="spellEnd"/>
      <w:r w:rsidRPr="005B5614">
        <w:t xml:space="preserve"> 6.12 version. The internal consistency of the SOC-13 was assessed using the Cronbach's Alpha Coefficient. The reliability of the scale was evaluated using a test-retest analysis to verify if the scale always measures equally, through Intra-Class Correlation Coefficient (ICC) calculation. For both Cronbach's Alpha Coefficient and ICC, values higher than 0.7 were considered acceptable (Martins, 2006).</w:t>
      </w:r>
    </w:p>
    <w:p w14:paraId="66D52C35" w14:textId="3B2EBD41" w:rsidR="006F7E7E" w:rsidRPr="005B5614" w:rsidRDefault="005B5614" w:rsidP="00CE7D65">
      <w:pPr>
        <w:pStyle w:val="Prrafocomn"/>
      </w:pPr>
      <w:r w:rsidRPr="005B5614">
        <w:t>The construct validity was verified by correlations between the scores of each component of SOC-13 with the overall score using Spearman's Correlation Coefficient (p&lt;0.05). Finally, the Exploratory (EFA) and Confirmatory (CFA) Factor Analyses were performed to verify the relationships between the 13 items of the scale and the latent variable SOC. EFA with 1 factor and 3 factors (comprehensibility, management and meaning) were evaluated. The estimator Maximum Likelihood (ML) was used. Parameters of CFA models may be estimated using a variety of methods including ML. The ML estimation is described in the literature as</w:t>
      </w:r>
      <w:r w:rsidRPr="005B5614" w:rsidDel="005B2A6B">
        <w:t xml:space="preserve"> </w:t>
      </w:r>
      <w:r w:rsidRPr="005B5614">
        <w:t>relatively robust for extensive violations of distributional assumptions (</w:t>
      </w:r>
      <w:proofErr w:type="spellStart"/>
      <w:r w:rsidRPr="005B5614">
        <w:t>Cautin</w:t>
      </w:r>
      <w:proofErr w:type="spellEnd"/>
      <w:r w:rsidRPr="005B5614">
        <w:t xml:space="preserve">, &amp; Lilienfeld, 2015). EFA showed appropriate fit for datasets of three factor. Therefore, CFA was performed to compare the dimensional structure found by EFA. Modifications indices (MI) were also used for statistical fit, as correlations between items. The global model adjustments were analyzed using the following parameters: Comparative Fit Index (CFI), Tucker-Lewis Index (TLI), Standardized Root Mean Square Residual (SRMR), and Root Mean Square Error of Approximation (RMSEA). CFI and TLI </w:t>
      </w:r>
      <w:r w:rsidRPr="005B5614">
        <w:lastRenderedPageBreak/>
        <w:t>≥ 0.90, and RMSEA and SRMR ≤ 0.08, are considered indicative of a good model (Hooper, Coughlan, &amp; Mullen, 2008).</w:t>
      </w:r>
    </w:p>
    <w:p w14:paraId="1B0DDEC6" w14:textId="59C35C94" w:rsidR="006F7E7E" w:rsidRPr="005B5614" w:rsidRDefault="005B5614" w:rsidP="00CE7D65">
      <w:pPr>
        <w:pStyle w:val="SubtituloInterno"/>
      </w:pPr>
      <w:r w:rsidRPr="005B5614">
        <w:t>Ethical Considerations</w:t>
      </w:r>
    </w:p>
    <w:p w14:paraId="480A159B" w14:textId="28E5DF58" w:rsidR="00FC5C57" w:rsidRDefault="005B5614" w:rsidP="00CE7D65">
      <w:pPr>
        <w:pStyle w:val="Prrafocomn"/>
        <w:rPr>
          <w:lang w:val="pt-BR"/>
        </w:rPr>
      </w:pPr>
      <w:r w:rsidRPr="005B5614">
        <w:t>This study was approved by the Ethics Committee of the Federal University of Santa Maria (CAAE:43675415.4.0000.5346). The permissions were obtained from the Education Coordinator and from the schools involved in this study. Data was collected only after obtaining informed consent from the parents and assent from participants.</w:t>
      </w:r>
    </w:p>
    <w:p w14:paraId="15B60D43" w14:textId="77777777" w:rsidR="00CE7D65" w:rsidRPr="00CE7D65" w:rsidRDefault="00CE7D65" w:rsidP="00CE7D65">
      <w:pPr>
        <w:spacing w:line="360" w:lineRule="auto"/>
        <w:ind w:firstLine="720"/>
        <w:contextualSpacing/>
        <w:jc w:val="both"/>
        <w:rPr>
          <w:lang w:val="pt-BR"/>
        </w:rPr>
      </w:pPr>
    </w:p>
    <w:p w14:paraId="61754C2A" w14:textId="1B6422AA" w:rsidR="006F7E7E" w:rsidRPr="005B5614" w:rsidRDefault="005B5614" w:rsidP="00CE7D65">
      <w:pPr>
        <w:pStyle w:val="Ttulosinternos"/>
        <w:rPr>
          <w:lang w:val="pt-BR" w:eastAsia="en-US"/>
        </w:rPr>
      </w:pPr>
      <w:r w:rsidRPr="005B5614">
        <w:rPr>
          <w:lang w:eastAsia="en-US"/>
        </w:rPr>
        <w:t>Results</w:t>
      </w:r>
    </w:p>
    <w:p w14:paraId="07FA916C" w14:textId="77777777" w:rsidR="005B5614" w:rsidRPr="005B5614" w:rsidRDefault="005B5614" w:rsidP="00CE7D65">
      <w:pPr>
        <w:pStyle w:val="Prrafocomn"/>
      </w:pPr>
      <w:r w:rsidRPr="005B5614">
        <w:t>We assessed 356 eight to fourteen-year-old children in the study. In the sample, 52% were female and 48% were male; 76% of the children identified themselves racially as white and 24% as other race, including black, brown, yellow or indigenous people. Most of the children had a low socioeconomic level, with mothers that had not completed high school (60%) and 51% of them had a household income lower than one Brazilian minimum wage (approximately USD 280 during the data gathering).</w:t>
      </w:r>
    </w:p>
    <w:p w14:paraId="647C3571" w14:textId="32A9855F" w:rsidR="00B06283" w:rsidRPr="005B5614" w:rsidRDefault="005B5614" w:rsidP="00CE7D65">
      <w:pPr>
        <w:pStyle w:val="Prrafocomn"/>
        <w:rPr>
          <w:lang w:eastAsia="en-US"/>
        </w:rPr>
      </w:pPr>
      <w:r w:rsidRPr="005B5614">
        <w:t>Table 1 presents a description of the mean distribution of SOC-13 overall and its components scores. SOC-13 scores ranged from 32 to 62, with a mean of 50.67 (SE: 6.22). The scores of the components of the questionnaire showed similar variations, and the "comprehensibility" component presented the greatest variation (range of 8 to 25).</w:t>
      </w:r>
    </w:p>
    <w:p w14:paraId="66741032" w14:textId="4671EA74" w:rsidR="00CE7D65" w:rsidRDefault="00CE7D65" w:rsidP="00CE7D65">
      <w:pPr>
        <w:spacing w:after="240" w:line="480" w:lineRule="auto"/>
        <w:ind w:firstLine="708"/>
        <w:contextualSpacing/>
        <w:jc w:val="both"/>
        <w:rPr>
          <w:lang w:val="en-US" w:eastAsia="en-US"/>
        </w:rPr>
      </w:pPr>
      <w:r w:rsidRPr="00CE7D65">
        <w:rPr>
          <w:lang w:val="en-US" w:eastAsia="en-US"/>
        </w:rPr>
        <w:t xml:space="preserve">The internal consistency of the Sense of Coherence scale was 0.63, showing a questionable correlation between the different items in the same test. The ICC was statistically significant, indicating a good reproducibility (ICC = 0.70, p = 0.01). The construct validity of SOC-13 questionnaire was assessed through the correlation between the scores of its components (comprehensibility, management and meaning) and the total score. The results showed a positive correlation for all components (p &lt; 0.001). The components comprehensibility and management </w:t>
      </w:r>
      <w:r w:rsidRPr="00CE7D65">
        <w:rPr>
          <w:lang w:val="en-US" w:eastAsia="en-US"/>
        </w:rPr>
        <w:lastRenderedPageBreak/>
        <w:t>presented a strong and positive correlation with SOC-13 overall score (R = 0.78 and 0.72, respectively). These results are shown in Table 2.</w:t>
      </w:r>
    </w:p>
    <w:tbl>
      <w:tblPr>
        <w:tblpPr w:leftFromText="180" w:rightFromText="180" w:vertAnchor="text" w:horzAnchor="margin" w:tblpXSpec="center" w:tblpY="17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
        <w:gridCol w:w="2637"/>
        <w:gridCol w:w="111"/>
        <w:gridCol w:w="1046"/>
        <w:gridCol w:w="110"/>
        <w:gridCol w:w="1913"/>
        <w:gridCol w:w="110"/>
        <w:gridCol w:w="1479"/>
        <w:gridCol w:w="110"/>
        <w:gridCol w:w="1623"/>
        <w:gridCol w:w="110"/>
      </w:tblGrid>
      <w:tr w:rsidR="00CE7D65" w:rsidRPr="00E34BA7" w14:paraId="20485680" w14:textId="77777777" w:rsidTr="00CE7D65">
        <w:trPr>
          <w:gridBefore w:val="1"/>
          <w:wBefore w:w="59" w:type="pct"/>
        </w:trPr>
        <w:tc>
          <w:tcPr>
            <w:tcW w:w="4941" w:type="pct"/>
            <w:gridSpan w:val="10"/>
            <w:tcBorders>
              <w:left w:val="nil"/>
              <w:bottom w:val="single" w:sz="4" w:space="0" w:color="auto"/>
              <w:right w:val="nil"/>
            </w:tcBorders>
            <w:vAlign w:val="center"/>
          </w:tcPr>
          <w:p w14:paraId="72BDA55C" w14:textId="77777777" w:rsidR="00CE7D65" w:rsidRDefault="00CE7D65" w:rsidP="00CE7D65">
            <w:pPr>
              <w:rPr>
                <w:b/>
                <w:bCs/>
                <w:lang w:val="en-US"/>
              </w:rPr>
            </w:pPr>
            <w:r w:rsidRPr="00920B6E">
              <w:rPr>
                <w:b/>
                <w:bCs/>
                <w:lang w:val="en-US"/>
              </w:rPr>
              <w:t>Table 1</w:t>
            </w:r>
          </w:p>
          <w:p w14:paraId="707DAC4F" w14:textId="77777777" w:rsidR="00CE7D65" w:rsidRPr="00523FC8" w:rsidRDefault="00CE7D65" w:rsidP="00CE7D65">
            <w:pPr>
              <w:rPr>
                <w:b/>
              </w:rPr>
            </w:pPr>
            <w:r w:rsidRPr="001A7CA5">
              <w:rPr>
                <w:lang w:val="en-US"/>
              </w:rPr>
              <w:t xml:space="preserve"> </w:t>
            </w:r>
            <w:r w:rsidRPr="004F3D63">
              <w:rPr>
                <w:lang w:val="en-US"/>
              </w:rPr>
              <w:t>Descriptive Distribution</w:t>
            </w:r>
            <w:r>
              <w:rPr>
                <w:lang w:val="en-US"/>
              </w:rPr>
              <w:t xml:space="preserve"> of Overall and Components of SOC-13</w:t>
            </w:r>
            <w:r w:rsidRPr="004F3D63">
              <w:rPr>
                <w:lang w:val="en-US"/>
              </w:rPr>
              <w:t xml:space="preserve"> Scores</w:t>
            </w:r>
            <w:r>
              <w:rPr>
                <w:lang w:val="en-US"/>
              </w:rPr>
              <w:t xml:space="preserve">. </w:t>
            </w:r>
            <w:r w:rsidRPr="003D1E2B">
              <w:rPr>
                <w:lang w:val="en-US"/>
              </w:rPr>
              <w:t>Santa Maria, 2016</w:t>
            </w:r>
            <w:r>
              <w:rPr>
                <w:lang w:val="en-US"/>
              </w:rPr>
              <w:t>.</w:t>
            </w:r>
          </w:p>
        </w:tc>
      </w:tr>
      <w:tr w:rsidR="00CE7D65" w:rsidRPr="00CE7D65" w14:paraId="188C1B21" w14:textId="77777777" w:rsidTr="00CE7D65">
        <w:trPr>
          <w:gridBefore w:val="1"/>
          <w:wBefore w:w="59" w:type="pct"/>
        </w:trPr>
        <w:tc>
          <w:tcPr>
            <w:tcW w:w="1467" w:type="pct"/>
            <w:gridSpan w:val="2"/>
            <w:tcBorders>
              <w:left w:val="nil"/>
              <w:bottom w:val="single" w:sz="4" w:space="0" w:color="auto"/>
              <w:right w:val="nil"/>
            </w:tcBorders>
            <w:vAlign w:val="center"/>
          </w:tcPr>
          <w:p w14:paraId="122B3376" w14:textId="77777777" w:rsidR="00CE7D65" w:rsidRPr="00CE7D65" w:rsidRDefault="00CE7D65" w:rsidP="005C77D4">
            <w:pPr>
              <w:spacing w:line="360" w:lineRule="auto"/>
              <w:jc w:val="center"/>
              <w:rPr>
                <w:sz w:val="20"/>
                <w:szCs w:val="20"/>
                <w:lang w:val="en-US"/>
              </w:rPr>
            </w:pPr>
          </w:p>
        </w:tc>
        <w:tc>
          <w:tcPr>
            <w:tcW w:w="618" w:type="pct"/>
            <w:gridSpan w:val="2"/>
            <w:tcBorders>
              <w:left w:val="nil"/>
              <w:bottom w:val="single" w:sz="4" w:space="0" w:color="auto"/>
              <w:right w:val="nil"/>
            </w:tcBorders>
            <w:vAlign w:val="center"/>
          </w:tcPr>
          <w:p w14:paraId="1E61E9DF" w14:textId="77777777" w:rsidR="00CE7D65" w:rsidRPr="00CE7D65" w:rsidRDefault="00CE7D65" w:rsidP="005C77D4">
            <w:pPr>
              <w:spacing w:line="360" w:lineRule="auto"/>
              <w:jc w:val="center"/>
              <w:rPr>
                <w:b/>
                <w:sz w:val="20"/>
                <w:szCs w:val="20"/>
              </w:rPr>
            </w:pPr>
            <w:proofErr w:type="spellStart"/>
            <w:r w:rsidRPr="00CE7D65">
              <w:rPr>
                <w:b/>
                <w:sz w:val="20"/>
                <w:szCs w:val="20"/>
              </w:rPr>
              <w:t>Number</w:t>
            </w:r>
            <w:proofErr w:type="spellEnd"/>
            <w:r w:rsidRPr="00CE7D65">
              <w:rPr>
                <w:b/>
                <w:sz w:val="20"/>
                <w:szCs w:val="20"/>
              </w:rPr>
              <w:t xml:space="preserve"> of </w:t>
            </w:r>
            <w:proofErr w:type="spellStart"/>
            <w:r w:rsidRPr="00CE7D65">
              <w:rPr>
                <w:b/>
                <w:sz w:val="20"/>
                <w:szCs w:val="20"/>
              </w:rPr>
              <w:t>Items</w:t>
            </w:r>
            <w:proofErr w:type="spellEnd"/>
          </w:p>
        </w:tc>
        <w:tc>
          <w:tcPr>
            <w:tcW w:w="1081" w:type="pct"/>
            <w:gridSpan w:val="2"/>
            <w:tcBorders>
              <w:left w:val="nil"/>
              <w:bottom w:val="single" w:sz="4" w:space="0" w:color="auto"/>
              <w:right w:val="nil"/>
            </w:tcBorders>
            <w:vAlign w:val="center"/>
          </w:tcPr>
          <w:p w14:paraId="2D55C5BD" w14:textId="77777777" w:rsidR="00CE7D65" w:rsidRPr="00CE7D65" w:rsidRDefault="00CE7D65" w:rsidP="005C77D4">
            <w:pPr>
              <w:spacing w:line="360" w:lineRule="auto"/>
              <w:jc w:val="center"/>
              <w:rPr>
                <w:b/>
                <w:sz w:val="20"/>
                <w:szCs w:val="20"/>
                <w:lang w:val="en-US"/>
              </w:rPr>
            </w:pPr>
            <w:r w:rsidRPr="00CE7D65">
              <w:rPr>
                <w:b/>
                <w:sz w:val="20"/>
                <w:szCs w:val="20"/>
                <w:lang w:val="en-US"/>
              </w:rPr>
              <w:t>Mean of SOC-13 Scores (SE)*</w:t>
            </w:r>
          </w:p>
        </w:tc>
        <w:tc>
          <w:tcPr>
            <w:tcW w:w="849" w:type="pct"/>
            <w:gridSpan w:val="2"/>
            <w:tcBorders>
              <w:left w:val="nil"/>
              <w:bottom w:val="single" w:sz="4" w:space="0" w:color="auto"/>
              <w:right w:val="nil"/>
            </w:tcBorders>
            <w:vAlign w:val="center"/>
          </w:tcPr>
          <w:p w14:paraId="4E8FA034" w14:textId="77777777" w:rsidR="00CE7D65" w:rsidRPr="00CE7D65" w:rsidRDefault="00CE7D65" w:rsidP="005C77D4">
            <w:pPr>
              <w:spacing w:line="360" w:lineRule="auto"/>
              <w:jc w:val="center"/>
              <w:rPr>
                <w:b/>
                <w:sz w:val="20"/>
                <w:szCs w:val="20"/>
              </w:rPr>
            </w:pPr>
            <w:proofErr w:type="spellStart"/>
            <w:r w:rsidRPr="00CE7D65">
              <w:rPr>
                <w:b/>
                <w:sz w:val="20"/>
                <w:szCs w:val="20"/>
              </w:rPr>
              <w:t>Possible</w:t>
            </w:r>
            <w:proofErr w:type="spellEnd"/>
            <w:r w:rsidRPr="00CE7D65">
              <w:rPr>
                <w:b/>
                <w:sz w:val="20"/>
                <w:szCs w:val="20"/>
              </w:rPr>
              <w:t xml:space="preserve"> </w:t>
            </w:r>
            <w:proofErr w:type="spellStart"/>
            <w:r w:rsidRPr="00CE7D65">
              <w:rPr>
                <w:b/>
                <w:sz w:val="20"/>
                <w:szCs w:val="20"/>
              </w:rPr>
              <w:t>Range</w:t>
            </w:r>
            <w:proofErr w:type="spellEnd"/>
          </w:p>
        </w:tc>
        <w:tc>
          <w:tcPr>
            <w:tcW w:w="926" w:type="pct"/>
            <w:gridSpan w:val="2"/>
            <w:tcBorders>
              <w:left w:val="nil"/>
              <w:bottom w:val="single" w:sz="4" w:space="0" w:color="auto"/>
              <w:right w:val="nil"/>
            </w:tcBorders>
            <w:vAlign w:val="center"/>
          </w:tcPr>
          <w:p w14:paraId="7701BBBC" w14:textId="77777777" w:rsidR="00CE7D65" w:rsidRPr="00CE7D65" w:rsidRDefault="00CE7D65" w:rsidP="005C77D4">
            <w:pPr>
              <w:spacing w:line="360" w:lineRule="auto"/>
              <w:jc w:val="center"/>
              <w:rPr>
                <w:b/>
                <w:sz w:val="20"/>
                <w:szCs w:val="20"/>
              </w:rPr>
            </w:pPr>
            <w:proofErr w:type="spellStart"/>
            <w:r w:rsidRPr="00CE7D65">
              <w:rPr>
                <w:b/>
                <w:sz w:val="20"/>
                <w:szCs w:val="20"/>
              </w:rPr>
              <w:t>Observed</w:t>
            </w:r>
            <w:proofErr w:type="spellEnd"/>
            <w:r w:rsidRPr="00CE7D65">
              <w:rPr>
                <w:b/>
                <w:sz w:val="20"/>
                <w:szCs w:val="20"/>
              </w:rPr>
              <w:t xml:space="preserve"> </w:t>
            </w:r>
            <w:proofErr w:type="spellStart"/>
            <w:r w:rsidRPr="00CE7D65">
              <w:rPr>
                <w:b/>
                <w:sz w:val="20"/>
                <w:szCs w:val="20"/>
              </w:rPr>
              <w:t>Range</w:t>
            </w:r>
            <w:proofErr w:type="spellEnd"/>
          </w:p>
        </w:tc>
      </w:tr>
      <w:tr w:rsidR="00CE7D65" w:rsidRPr="00CE7D65" w14:paraId="5ABE7CC9" w14:textId="77777777" w:rsidTr="00CE7D65">
        <w:trPr>
          <w:gridBefore w:val="1"/>
          <w:wBefore w:w="59" w:type="pct"/>
        </w:trPr>
        <w:tc>
          <w:tcPr>
            <w:tcW w:w="1467" w:type="pct"/>
            <w:gridSpan w:val="2"/>
            <w:tcBorders>
              <w:left w:val="nil"/>
              <w:bottom w:val="single" w:sz="4" w:space="0" w:color="auto"/>
              <w:right w:val="nil"/>
            </w:tcBorders>
            <w:vAlign w:val="center"/>
          </w:tcPr>
          <w:p w14:paraId="51F96FF8" w14:textId="77777777" w:rsidR="00CE7D65" w:rsidRPr="00CE7D65" w:rsidRDefault="00CE7D65" w:rsidP="005C77D4">
            <w:pPr>
              <w:spacing w:line="360" w:lineRule="auto"/>
              <w:rPr>
                <w:sz w:val="20"/>
                <w:szCs w:val="20"/>
              </w:rPr>
            </w:pPr>
            <w:r w:rsidRPr="00CE7D65">
              <w:rPr>
                <w:sz w:val="20"/>
                <w:szCs w:val="20"/>
              </w:rPr>
              <w:t>SOC-13 (</w:t>
            </w:r>
            <w:proofErr w:type="spellStart"/>
            <w:r w:rsidRPr="00CE7D65">
              <w:rPr>
                <w:sz w:val="20"/>
                <w:szCs w:val="20"/>
              </w:rPr>
              <w:t>Overall</w:t>
            </w:r>
            <w:proofErr w:type="spellEnd"/>
            <w:r w:rsidRPr="00CE7D65">
              <w:rPr>
                <w:sz w:val="20"/>
                <w:szCs w:val="20"/>
              </w:rPr>
              <w:t xml:space="preserve"> </w:t>
            </w:r>
            <w:proofErr w:type="spellStart"/>
            <w:r w:rsidRPr="00CE7D65">
              <w:rPr>
                <w:sz w:val="20"/>
                <w:szCs w:val="20"/>
              </w:rPr>
              <w:t>Scale</w:t>
            </w:r>
            <w:proofErr w:type="spellEnd"/>
            <w:r w:rsidRPr="00CE7D65">
              <w:rPr>
                <w:sz w:val="20"/>
                <w:szCs w:val="20"/>
              </w:rPr>
              <w:t>)</w:t>
            </w:r>
          </w:p>
        </w:tc>
        <w:tc>
          <w:tcPr>
            <w:tcW w:w="618" w:type="pct"/>
            <w:gridSpan w:val="2"/>
            <w:tcBorders>
              <w:left w:val="nil"/>
              <w:bottom w:val="single" w:sz="4" w:space="0" w:color="auto"/>
              <w:right w:val="nil"/>
            </w:tcBorders>
            <w:vAlign w:val="center"/>
          </w:tcPr>
          <w:p w14:paraId="694952A9" w14:textId="77777777" w:rsidR="00CE7D65" w:rsidRPr="00CE7D65" w:rsidRDefault="00CE7D65" w:rsidP="005C77D4">
            <w:pPr>
              <w:spacing w:line="360" w:lineRule="auto"/>
              <w:jc w:val="center"/>
              <w:rPr>
                <w:sz w:val="20"/>
                <w:szCs w:val="20"/>
              </w:rPr>
            </w:pPr>
            <w:r w:rsidRPr="00CE7D65">
              <w:rPr>
                <w:sz w:val="20"/>
                <w:szCs w:val="20"/>
              </w:rPr>
              <w:t>13</w:t>
            </w:r>
          </w:p>
        </w:tc>
        <w:tc>
          <w:tcPr>
            <w:tcW w:w="1081" w:type="pct"/>
            <w:gridSpan w:val="2"/>
            <w:tcBorders>
              <w:left w:val="nil"/>
              <w:bottom w:val="single" w:sz="4" w:space="0" w:color="auto"/>
              <w:right w:val="nil"/>
            </w:tcBorders>
            <w:vAlign w:val="center"/>
          </w:tcPr>
          <w:p w14:paraId="3CF507DE" w14:textId="77777777" w:rsidR="00CE7D65" w:rsidRPr="00CE7D65" w:rsidRDefault="00CE7D65" w:rsidP="005C77D4">
            <w:pPr>
              <w:spacing w:line="360" w:lineRule="auto"/>
              <w:jc w:val="center"/>
              <w:rPr>
                <w:sz w:val="20"/>
                <w:szCs w:val="20"/>
              </w:rPr>
            </w:pPr>
            <w:r w:rsidRPr="00CE7D65">
              <w:rPr>
                <w:sz w:val="20"/>
                <w:szCs w:val="20"/>
              </w:rPr>
              <w:t>50.67 (6.22)</w:t>
            </w:r>
          </w:p>
        </w:tc>
        <w:tc>
          <w:tcPr>
            <w:tcW w:w="849" w:type="pct"/>
            <w:gridSpan w:val="2"/>
            <w:tcBorders>
              <w:left w:val="nil"/>
              <w:bottom w:val="single" w:sz="4" w:space="0" w:color="auto"/>
              <w:right w:val="nil"/>
            </w:tcBorders>
            <w:vAlign w:val="center"/>
          </w:tcPr>
          <w:p w14:paraId="1F3BADC3" w14:textId="77777777" w:rsidR="00CE7D65" w:rsidRPr="00CE7D65" w:rsidRDefault="00CE7D65" w:rsidP="005C77D4">
            <w:pPr>
              <w:spacing w:line="360" w:lineRule="auto"/>
              <w:jc w:val="center"/>
              <w:rPr>
                <w:sz w:val="20"/>
                <w:szCs w:val="20"/>
              </w:rPr>
            </w:pPr>
            <w:r w:rsidRPr="00CE7D65">
              <w:rPr>
                <w:sz w:val="20"/>
                <w:szCs w:val="20"/>
              </w:rPr>
              <w:t>13 – 65</w:t>
            </w:r>
          </w:p>
        </w:tc>
        <w:tc>
          <w:tcPr>
            <w:tcW w:w="926" w:type="pct"/>
            <w:gridSpan w:val="2"/>
            <w:tcBorders>
              <w:left w:val="nil"/>
              <w:bottom w:val="single" w:sz="4" w:space="0" w:color="auto"/>
              <w:right w:val="nil"/>
            </w:tcBorders>
            <w:vAlign w:val="center"/>
          </w:tcPr>
          <w:p w14:paraId="4F85CAB6" w14:textId="77777777" w:rsidR="00CE7D65" w:rsidRPr="00CE7D65" w:rsidRDefault="00CE7D65" w:rsidP="005C77D4">
            <w:pPr>
              <w:spacing w:line="360" w:lineRule="auto"/>
              <w:jc w:val="center"/>
              <w:rPr>
                <w:sz w:val="20"/>
                <w:szCs w:val="20"/>
              </w:rPr>
            </w:pPr>
            <w:r w:rsidRPr="00CE7D65">
              <w:rPr>
                <w:sz w:val="20"/>
                <w:szCs w:val="20"/>
              </w:rPr>
              <w:t>32 – 62</w:t>
            </w:r>
          </w:p>
        </w:tc>
      </w:tr>
      <w:tr w:rsidR="00CE7D65" w:rsidRPr="00CE7D65" w14:paraId="65B5FE83" w14:textId="77777777" w:rsidTr="00CE7D65">
        <w:trPr>
          <w:gridBefore w:val="1"/>
          <w:wBefore w:w="59" w:type="pct"/>
        </w:trPr>
        <w:tc>
          <w:tcPr>
            <w:tcW w:w="1467" w:type="pct"/>
            <w:gridSpan w:val="2"/>
            <w:tcBorders>
              <w:top w:val="single" w:sz="4" w:space="0" w:color="auto"/>
              <w:left w:val="nil"/>
              <w:bottom w:val="nil"/>
              <w:right w:val="nil"/>
            </w:tcBorders>
            <w:vAlign w:val="center"/>
          </w:tcPr>
          <w:p w14:paraId="58C60E99" w14:textId="77777777" w:rsidR="00CE7D65" w:rsidRPr="00CE7D65" w:rsidRDefault="00CE7D65" w:rsidP="005C77D4">
            <w:pPr>
              <w:spacing w:line="360" w:lineRule="auto"/>
              <w:rPr>
                <w:sz w:val="20"/>
                <w:szCs w:val="20"/>
              </w:rPr>
            </w:pPr>
            <w:proofErr w:type="spellStart"/>
            <w:r w:rsidRPr="00CE7D65">
              <w:rPr>
                <w:sz w:val="20"/>
                <w:szCs w:val="20"/>
              </w:rPr>
              <w:t>Components</w:t>
            </w:r>
            <w:proofErr w:type="spellEnd"/>
          </w:p>
        </w:tc>
        <w:tc>
          <w:tcPr>
            <w:tcW w:w="618" w:type="pct"/>
            <w:gridSpan w:val="2"/>
            <w:tcBorders>
              <w:top w:val="single" w:sz="4" w:space="0" w:color="auto"/>
              <w:left w:val="nil"/>
              <w:bottom w:val="nil"/>
              <w:right w:val="nil"/>
            </w:tcBorders>
            <w:vAlign w:val="center"/>
          </w:tcPr>
          <w:p w14:paraId="412AECC8" w14:textId="77777777" w:rsidR="00CE7D65" w:rsidRPr="00CE7D65" w:rsidRDefault="00CE7D65" w:rsidP="005C77D4">
            <w:pPr>
              <w:spacing w:line="360" w:lineRule="auto"/>
              <w:jc w:val="center"/>
              <w:rPr>
                <w:sz w:val="20"/>
                <w:szCs w:val="20"/>
              </w:rPr>
            </w:pPr>
          </w:p>
        </w:tc>
        <w:tc>
          <w:tcPr>
            <w:tcW w:w="1081" w:type="pct"/>
            <w:gridSpan w:val="2"/>
            <w:tcBorders>
              <w:top w:val="single" w:sz="4" w:space="0" w:color="auto"/>
              <w:left w:val="nil"/>
              <w:bottom w:val="nil"/>
              <w:right w:val="nil"/>
            </w:tcBorders>
            <w:vAlign w:val="center"/>
          </w:tcPr>
          <w:p w14:paraId="26CA8F65" w14:textId="77777777" w:rsidR="00CE7D65" w:rsidRPr="00CE7D65" w:rsidRDefault="00CE7D65" w:rsidP="005C77D4">
            <w:pPr>
              <w:spacing w:line="360" w:lineRule="auto"/>
              <w:jc w:val="center"/>
              <w:rPr>
                <w:sz w:val="20"/>
                <w:szCs w:val="20"/>
              </w:rPr>
            </w:pPr>
          </w:p>
        </w:tc>
        <w:tc>
          <w:tcPr>
            <w:tcW w:w="849" w:type="pct"/>
            <w:gridSpan w:val="2"/>
            <w:tcBorders>
              <w:top w:val="single" w:sz="4" w:space="0" w:color="auto"/>
              <w:left w:val="nil"/>
              <w:bottom w:val="nil"/>
              <w:right w:val="nil"/>
            </w:tcBorders>
            <w:vAlign w:val="center"/>
          </w:tcPr>
          <w:p w14:paraId="43EBEE42" w14:textId="77777777" w:rsidR="00CE7D65" w:rsidRPr="00CE7D65" w:rsidRDefault="00CE7D65" w:rsidP="005C77D4">
            <w:pPr>
              <w:spacing w:line="360" w:lineRule="auto"/>
              <w:jc w:val="center"/>
              <w:rPr>
                <w:sz w:val="20"/>
                <w:szCs w:val="20"/>
              </w:rPr>
            </w:pPr>
          </w:p>
        </w:tc>
        <w:tc>
          <w:tcPr>
            <w:tcW w:w="926" w:type="pct"/>
            <w:gridSpan w:val="2"/>
            <w:tcBorders>
              <w:top w:val="single" w:sz="4" w:space="0" w:color="auto"/>
              <w:left w:val="nil"/>
              <w:bottom w:val="nil"/>
              <w:right w:val="nil"/>
            </w:tcBorders>
            <w:vAlign w:val="center"/>
          </w:tcPr>
          <w:p w14:paraId="4D202847" w14:textId="77777777" w:rsidR="00CE7D65" w:rsidRPr="00CE7D65" w:rsidRDefault="00CE7D65" w:rsidP="005C77D4">
            <w:pPr>
              <w:spacing w:line="360" w:lineRule="auto"/>
              <w:jc w:val="center"/>
              <w:rPr>
                <w:sz w:val="20"/>
                <w:szCs w:val="20"/>
              </w:rPr>
            </w:pPr>
          </w:p>
        </w:tc>
      </w:tr>
      <w:tr w:rsidR="00CE7D65" w:rsidRPr="00CE7D65" w14:paraId="57A3E664" w14:textId="77777777" w:rsidTr="00CE7D65">
        <w:trPr>
          <w:gridAfter w:val="1"/>
          <w:wAfter w:w="59" w:type="pct"/>
        </w:trPr>
        <w:tc>
          <w:tcPr>
            <w:tcW w:w="1467" w:type="pct"/>
            <w:gridSpan w:val="2"/>
            <w:tcBorders>
              <w:top w:val="nil"/>
              <w:left w:val="nil"/>
              <w:bottom w:val="nil"/>
              <w:right w:val="nil"/>
            </w:tcBorders>
            <w:vAlign w:val="center"/>
          </w:tcPr>
          <w:p w14:paraId="11F1D5D0" w14:textId="77777777" w:rsidR="00CE7D65" w:rsidRPr="00CE7D65" w:rsidRDefault="00CE7D65" w:rsidP="005C77D4">
            <w:pPr>
              <w:spacing w:line="360" w:lineRule="auto"/>
              <w:rPr>
                <w:sz w:val="20"/>
                <w:szCs w:val="20"/>
              </w:rPr>
            </w:pPr>
            <w:r w:rsidRPr="00CE7D65">
              <w:rPr>
                <w:sz w:val="20"/>
                <w:szCs w:val="20"/>
              </w:rPr>
              <w:t xml:space="preserve">     </w:t>
            </w:r>
            <w:proofErr w:type="spellStart"/>
            <w:r w:rsidRPr="00CE7D65">
              <w:rPr>
                <w:sz w:val="20"/>
                <w:szCs w:val="20"/>
              </w:rPr>
              <w:t>Comprehensibility</w:t>
            </w:r>
            <w:proofErr w:type="spellEnd"/>
          </w:p>
        </w:tc>
        <w:tc>
          <w:tcPr>
            <w:tcW w:w="618" w:type="pct"/>
            <w:gridSpan w:val="2"/>
            <w:tcBorders>
              <w:top w:val="nil"/>
              <w:left w:val="nil"/>
              <w:bottom w:val="nil"/>
              <w:right w:val="nil"/>
            </w:tcBorders>
            <w:vAlign w:val="center"/>
          </w:tcPr>
          <w:p w14:paraId="05A44776" w14:textId="77777777" w:rsidR="00CE7D65" w:rsidRPr="00CE7D65" w:rsidRDefault="00CE7D65" w:rsidP="005C77D4">
            <w:pPr>
              <w:spacing w:line="360" w:lineRule="auto"/>
              <w:jc w:val="center"/>
              <w:rPr>
                <w:sz w:val="20"/>
                <w:szCs w:val="20"/>
              </w:rPr>
            </w:pPr>
            <w:r w:rsidRPr="00CE7D65">
              <w:rPr>
                <w:sz w:val="20"/>
                <w:szCs w:val="20"/>
              </w:rPr>
              <w:t>5</w:t>
            </w:r>
          </w:p>
        </w:tc>
        <w:tc>
          <w:tcPr>
            <w:tcW w:w="1081" w:type="pct"/>
            <w:gridSpan w:val="2"/>
            <w:tcBorders>
              <w:top w:val="nil"/>
              <w:left w:val="nil"/>
              <w:bottom w:val="nil"/>
              <w:right w:val="nil"/>
            </w:tcBorders>
            <w:vAlign w:val="center"/>
          </w:tcPr>
          <w:p w14:paraId="0A562481" w14:textId="77777777" w:rsidR="00CE7D65" w:rsidRPr="00CE7D65" w:rsidRDefault="00CE7D65" w:rsidP="005C77D4">
            <w:pPr>
              <w:spacing w:line="360" w:lineRule="auto"/>
              <w:jc w:val="center"/>
              <w:rPr>
                <w:sz w:val="20"/>
                <w:szCs w:val="20"/>
              </w:rPr>
            </w:pPr>
            <w:r w:rsidRPr="00CE7D65">
              <w:rPr>
                <w:sz w:val="20"/>
                <w:szCs w:val="20"/>
              </w:rPr>
              <w:t>19.55 (3.48)</w:t>
            </w:r>
          </w:p>
        </w:tc>
        <w:tc>
          <w:tcPr>
            <w:tcW w:w="849" w:type="pct"/>
            <w:gridSpan w:val="2"/>
            <w:tcBorders>
              <w:top w:val="nil"/>
              <w:left w:val="nil"/>
              <w:bottom w:val="nil"/>
              <w:right w:val="nil"/>
            </w:tcBorders>
            <w:vAlign w:val="center"/>
          </w:tcPr>
          <w:p w14:paraId="25C329E7" w14:textId="77777777" w:rsidR="00CE7D65" w:rsidRPr="00CE7D65" w:rsidRDefault="00CE7D65" w:rsidP="005C77D4">
            <w:pPr>
              <w:spacing w:line="360" w:lineRule="auto"/>
              <w:jc w:val="center"/>
              <w:rPr>
                <w:sz w:val="20"/>
                <w:szCs w:val="20"/>
              </w:rPr>
            </w:pPr>
            <w:r w:rsidRPr="00CE7D65">
              <w:rPr>
                <w:sz w:val="20"/>
                <w:szCs w:val="20"/>
              </w:rPr>
              <w:t>5 – 25</w:t>
            </w:r>
          </w:p>
        </w:tc>
        <w:tc>
          <w:tcPr>
            <w:tcW w:w="926" w:type="pct"/>
            <w:gridSpan w:val="2"/>
            <w:tcBorders>
              <w:top w:val="nil"/>
              <w:left w:val="nil"/>
              <w:bottom w:val="nil"/>
              <w:right w:val="nil"/>
            </w:tcBorders>
            <w:vAlign w:val="center"/>
          </w:tcPr>
          <w:p w14:paraId="4B2B4FDE" w14:textId="77777777" w:rsidR="00CE7D65" w:rsidRPr="00CE7D65" w:rsidRDefault="00CE7D65" w:rsidP="005C77D4">
            <w:pPr>
              <w:spacing w:line="360" w:lineRule="auto"/>
              <w:jc w:val="center"/>
              <w:rPr>
                <w:sz w:val="20"/>
                <w:szCs w:val="20"/>
              </w:rPr>
            </w:pPr>
            <w:r w:rsidRPr="00CE7D65">
              <w:rPr>
                <w:sz w:val="20"/>
                <w:szCs w:val="20"/>
              </w:rPr>
              <w:t>8 – 25</w:t>
            </w:r>
          </w:p>
        </w:tc>
      </w:tr>
      <w:tr w:rsidR="00CE7D65" w:rsidRPr="00CE7D65" w14:paraId="6E08F0D7" w14:textId="77777777" w:rsidTr="00CE7D65">
        <w:trPr>
          <w:gridAfter w:val="1"/>
          <w:wAfter w:w="59" w:type="pct"/>
        </w:trPr>
        <w:tc>
          <w:tcPr>
            <w:tcW w:w="1467" w:type="pct"/>
            <w:gridSpan w:val="2"/>
            <w:tcBorders>
              <w:top w:val="nil"/>
              <w:left w:val="nil"/>
              <w:bottom w:val="nil"/>
              <w:right w:val="nil"/>
            </w:tcBorders>
            <w:vAlign w:val="center"/>
          </w:tcPr>
          <w:p w14:paraId="45CA7600" w14:textId="77777777" w:rsidR="00CE7D65" w:rsidRPr="00CE7D65" w:rsidRDefault="00CE7D65" w:rsidP="005C77D4">
            <w:pPr>
              <w:spacing w:line="360" w:lineRule="auto"/>
              <w:rPr>
                <w:sz w:val="20"/>
                <w:szCs w:val="20"/>
              </w:rPr>
            </w:pPr>
            <w:r w:rsidRPr="00CE7D65">
              <w:rPr>
                <w:sz w:val="20"/>
                <w:szCs w:val="20"/>
              </w:rPr>
              <w:t xml:space="preserve">     </w:t>
            </w:r>
            <w:proofErr w:type="spellStart"/>
            <w:r w:rsidRPr="00CE7D65">
              <w:rPr>
                <w:sz w:val="20"/>
                <w:szCs w:val="20"/>
              </w:rPr>
              <w:t>Manageability</w:t>
            </w:r>
            <w:proofErr w:type="spellEnd"/>
          </w:p>
        </w:tc>
        <w:tc>
          <w:tcPr>
            <w:tcW w:w="618" w:type="pct"/>
            <w:gridSpan w:val="2"/>
            <w:tcBorders>
              <w:top w:val="nil"/>
              <w:left w:val="nil"/>
              <w:bottom w:val="nil"/>
              <w:right w:val="nil"/>
            </w:tcBorders>
            <w:vAlign w:val="center"/>
          </w:tcPr>
          <w:p w14:paraId="031DB884" w14:textId="77777777" w:rsidR="00CE7D65" w:rsidRPr="00CE7D65" w:rsidRDefault="00CE7D65" w:rsidP="005C77D4">
            <w:pPr>
              <w:spacing w:line="360" w:lineRule="auto"/>
              <w:jc w:val="center"/>
              <w:rPr>
                <w:sz w:val="20"/>
                <w:szCs w:val="20"/>
              </w:rPr>
            </w:pPr>
            <w:r w:rsidRPr="00CE7D65">
              <w:rPr>
                <w:sz w:val="20"/>
                <w:szCs w:val="20"/>
              </w:rPr>
              <w:t>4</w:t>
            </w:r>
          </w:p>
        </w:tc>
        <w:tc>
          <w:tcPr>
            <w:tcW w:w="1081" w:type="pct"/>
            <w:gridSpan w:val="2"/>
            <w:tcBorders>
              <w:top w:val="nil"/>
              <w:left w:val="nil"/>
              <w:bottom w:val="nil"/>
              <w:right w:val="nil"/>
            </w:tcBorders>
            <w:vAlign w:val="center"/>
          </w:tcPr>
          <w:p w14:paraId="263C639E" w14:textId="77777777" w:rsidR="00CE7D65" w:rsidRPr="00CE7D65" w:rsidRDefault="00CE7D65" w:rsidP="005C77D4">
            <w:pPr>
              <w:spacing w:line="360" w:lineRule="auto"/>
              <w:jc w:val="center"/>
              <w:rPr>
                <w:sz w:val="20"/>
                <w:szCs w:val="20"/>
              </w:rPr>
            </w:pPr>
            <w:r w:rsidRPr="00CE7D65">
              <w:rPr>
                <w:sz w:val="20"/>
                <w:szCs w:val="20"/>
              </w:rPr>
              <w:t>16.92 (2.80)</w:t>
            </w:r>
          </w:p>
        </w:tc>
        <w:tc>
          <w:tcPr>
            <w:tcW w:w="849" w:type="pct"/>
            <w:gridSpan w:val="2"/>
            <w:tcBorders>
              <w:top w:val="nil"/>
              <w:left w:val="nil"/>
              <w:bottom w:val="nil"/>
              <w:right w:val="nil"/>
            </w:tcBorders>
            <w:vAlign w:val="center"/>
          </w:tcPr>
          <w:p w14:paraId="75C658B3" w14:textId="77777777" w:rsidR="00CE7D65" w:rsidRPr="00CE7D65" w:rsidRDefault="00CE7D65" w:rsidP="005C77D4">
            <w:pPr>
              <w:spacing w:line="360" w:lineRule="auto"/>
              <w:jc w:val="center"/>
              <w:rPr>
                <w:sz w:val="20"/>
                <w:szCs w:val="20"/>
              </w:rPr>
            </w:pPr>
            <w:r w:rsidRPr="00CE7D65">
              <w:rPr>
                <w:sz w:val="20"/>
                <w:szCs w:val="20"/>
              </w:rPr>
              <w:t>4 – 20</w:t>
            </w:r>
          </w:p>
        </w:tc>
        <w:tc>
          <w:tcPr>
            <w:tcW w:w="926" w:type="pct"/>
            <w:gridSpan w:val="2"/>
            <w:tcBorders>
              <w:top w:val="nil"/>
              <w:left w:val="nil"/>
              <w:bottom w:val="nil"/>
              <w:right w:val="nil"/>
            </w:tcBorders>
            <w:vAlign w:val="center"/>
          </w:tcPr>
          <w:p w14:paraId="5545B3A0" w14:textId="77777777" w:rsidR="00CE7D65" w:rsidRPr="00CE7D65" w:rsidRDefault="00CE7D65" w:rsidP="005C77D4">
            <w:pPr>
              <w:spacing w:line="360" w:lineRule="auto"/>
              <w:jc w:val="center"/>
              <w:rPr>
                <w:sz w:val="20"/>
                <w:szCs w:val="20"/>
              </w:rPr>
            </w:pPr>
            <w:r w:rsidRPr="00CE7D65">
              <w:rPr>
                <w:sz w:val="20"/>
                <w:szCs w:val="20"/>
              </w:rPr>
              <w:t>5 – 20</w:t>
            </w:r>
          </w:p>
        </w:tc>
      </w:tr>
      <w:tr w:rsidR="00CE7D65" w:rsidRPr="00CE7D65" w14:paraId="23D8F635" w14:textId="77777777" w:rsidTr="00CE7D65">
        <w:trPr>
          <w:gridAfter w:val="1"/>
          <w:wAfter w:w="59" w:type="pct"/>
        </w:trPr>
        <w:tc>
          <w:tcPr>
            <w:tcW w:w="1467" w:type="pct"/>
            <w:gridSpan w:val="2"/>
            <w:tcBorders>
              <w:top w:val="nil"/>
              <w:left w:val="nil"/>
              <w:bottom w:val="single" w:sz="4" w:space="0" w:color="auto"/>
              <w:right w:val="nil"/>
            </w:tcBorders>
            <w:vAlign w:val="center"/>
          </w:tcPr>
          <w:p w14:paraId="680C61A3" w14:textId="77777777" w:rsidR="00CE7D65" w:rsidRPr="00CE7D65" w:rsidRDefault="00CE7D65" w:rsidP="005C77D4">
            <w:pPr>
              <w:spacing w:line="360" w:lineRule="auto"/>
              <w:rPr>
                <w:sz w:val="20"/>
                <w:szCs w:val="20"/>
              </w:rPr>
            </w:pPr>
            <w:r w:rsidRPr="00CE7D65">
              <w:rPr>
                <w:sz w:val="20"/>
                <w:szCs w:val="20"/>
              </w:rPr>
              <w:t xml:space="preserve">     </w:t>
            </w:r>
            <w:proofErr w:type="spellStart"/>
            <w:r w:rsidRPr="00CE7D65">
              <w:rPr>
                <w:sz w:val="20"/>
                <w:szCs w:val="20"/>
              </w:rPr>
              <w:t>Meaningfulness</w:t>
            </w:r>
            <w:proofErr w:type="spellEnd"/>
          </w:p>
        </w:tc>
        <w:tc>
          <w:tcPr>
            <w:tcW w:w="618" w:type="pct"/>
            <w:gridSpan w:val="2"/>
            <w:tcBorders>
              <w:top w:val="nil"/>
              <w:left w:val="nil"/>
              <w:bottom w:val="single" w:sz="4" w:space="0" w:color="auto"/>
              <w:right w:val="nil"/>
            </w:tcBorders>
            <w:vAlign w:val="center"/>
          </w:tcPr>
          <w:p w14:paraId="3E0A9C08" w14:textId="77777777" w:rsidR="00CE7D65" w:rsidRPr="00CE7D65" w:rsidRDefault="00CE7D65" w:rsidP="005C77D4">
            <w:pPr>
              <w:spacing w:line="360" w:lineRule="auto"/>
              <w:jc w:val="center"/>
              <w:rPr>
                <w:sz w:val="20"/>
                <w:szCs w:val="20"/>
              </w:rPr>
            </w:pPr>
            <w:r w:rsidRPr="00CE7D65">
              <w:rPr>
                <w:sz w:val="20"/>
                <w:szCs w:val="20"/>
              </w:rPr>
              <w:t>4</w:t>
            </w:r>
          </w:p>
        </w:tc>
        <w:tc>
          <w:tcPr>
            <w:tcW w:w="1081" w:type="pct"/>
            <w:gridSpan w:val="2"/>
            <w:tcBorders>
              <w:top w:val="nil"/>
              <w:left w:val="nil"/>
              <w:bottom w:val="single" w:sz="4" w:space="0" w:color="auto"/>
              <w:right w:val="nil"/>
            </w:tcBorders>
            <w:vAlign w:val="center"/>
          </w:tcPr>
          <w:p w14:paraId="3810B560" w14:textId="77777777" w:rsidR="00CE7D65" w:rsidRPr="00CE7D65" w:rsidRDefault="00CE7D65" w:rsidP="005C77D4">
            <w:pPr>
              <w:spacing w:line="360" w:lineRule="auto"/>
              <w:jc w:val="center"/>
              <w:rPr>
                <w:sz w:val="20"/>
                <w:szCs w:val="20"/>
              </w:rPr>
            </w:pPr>
            <w:r w:rsidRPr="00CE7D65">
              <w:rPr>
                <w:sz w:val="20"/>
                <w:szCs w:val="20"/>
              </w:rPr>
              <w:t>14.21 (2.66)</w:t>
            </w:r>
          </w:p>
        </w:tc>
        <w:tc>
          <w:tcPr>
            <w:tcW w:w="849" w:type="pct"/>
            <w:gridSpan w:val="2"/>
            <w:tcBorders>
              <w:top w:val="nil"/>
              <w:left w:val="nil"/>
              <w:bottom w:val="single" w:sz="4" w:space="0" w:color="auto"/>
              <w:right w:val="nil"/>
            </w:tcBorders>
            <w:vAlign w:val="center"/>
          </w:tcPr>
          <w:p w14:paraId="740AEEE0" w14:textId="77777777" w:rsidR="00CE7D65" w:rsidRPr="00CE7D65" w:rsidRDefault="00CE7D65" w:rsidP="005C77D4">
            <w:pPr>
              <w:spacing w:line="360" w:lineRule="auto"/>
              <w:jc w:val="center"/>
              <w:rPr>
                <w:sz w:val="20"/>
                <w:szCs w:val="20"/>
              </w:rPr>
            </w:pPr>
            <w:r w:rsidRPr="00CE7D65">
              <w:rPr>
                <w:sz w:val="20"/>
                <w:szCs w:val="20"/>
              </w:rPr>
              <w:t>4 – 20</w:t>
            </w:r>
          </w:p>
        </w:tc>
        <w:tc>
          <w:tcPr>
            <w:tcW w:w="926" w:type="pct"/>
            <w:gridSpan w:val="2"/>
            <w:tcBorders>
              <w:top w:val="nil"/>
              <w:left w:val="nil"/>
              <w:bottom w:val="single" w:sz="4" w:space="0" w:color="auto"/>
              <w:right w:val="nil"/>
            </w:tcBorders>
            <w:vAlign w:val="center"/>
          </w:tcPr>
          <w:p w14:paraId="627B00C2" w14:textId="77777777" w:rsidR="00CE7D65" w:rsidRPr="00CE7D65" w:rsidRDefault="00CE7D65" w:rsidP="005C77D4">
            <w:pPr>
              <w:spacing w:line="360" w:lineRule="auto"/>
              <w:jc w:val="center"/>
              <w:rPr>
                <w:sz w:val="20"/>
                <w:szCs w:val="20"/>
              </w:rPr>
            </w:pPr>
            <w:r w:rsidRPr="00CE7D65">
              <w:rPr>
                <w:sz w:val="20"/>
                <w:szCs w:val="20"/>
              </w:rPr>
              <w:t>6 – 20</w:t>
            </w:r>
          </w:p>
        </w:tc>
      </w:tr>
      <w:tr w:rsidR="00CE7D65" w:rsidRPr="00CE7D65" w14:paraId="48257BF2" w14:textId="77777777" w:rsidTr="00CE7D65">
        <w:trPr>
          <w:gridAfter w:val="1"/>
          <w:wAfter w:w="59" w:type="pct"/>
        </w:trPr>
        <w:tc>
          <w:tcPr>
            <w:tcW w:w="4941" w:type="pct"/>
            <w:gridSpan w:val="10"/>
            <w:tcBorders>
              <w:top w:val="single" w:sz="4" w:space="0" w:color="auto"/>
              <w:left w:val="nil"/>
              <w:bottom w:val="single" w:sz="4" w:space="0" w:color="auto"/>
              <w:right w:val="nil"/>
            </w:tcBorders>
            <w:vAlign w:val="center"/>
          </w:tcPr>
          <w:p w14:paraId="556A2007" w14:textId="77777777" w:rsidR="00CE7D65" w:rsidRPr="00CE7D65" w:rsidRDefault="00CE7D65" w:rsidP="005C77D4">
            <w:pPr>
              <w:spacing w:line="360" w:lineRule="auto"/>
              <w:jc w:val="both"/>
              <w:rPr>
                <w:sz w:val="20"/>
                <w:szCs w:val="20"/>
                <w:lang w:val="en-US"/>
              </w:rPr>
            </w:pPr>
            <w:r w:rsidRPr="00CE7D65">
              <w:rPr>
                <w:b/>
                <w:bCs/>
                <w:sz w:val="20"/>
                <w:szCs w:val="20"/>
                <w:lang w:val="en-US"/>
              </w:rPr>
              <w:t>Abbreviations:</w:t>
            </w:r>
            <w:r w:rsidRPr="00CE7D65">
              <w:rPr>
                <w:sz w:val="20"/>
                <w:szCs w:val="20"/>
                <w:lang w:val="en-US"/>
              </w:rPr>
              <w:t xml:space="preserve"> SOC, sense of coherence; SE, standard error.</w:t>
            </w:r>
          </w:p>
          <w:p w14:paraId="635B7F0A" w14:textId="77777777" w:rsidR="00CE7D65" w:rsidRPr="00CE7D65" w:rsidRDefault="00CE7D65" w:rsidP="005C77D4">
            <w:pPr>
              <w:spacing w:line="360" w:lineRule="auto"/>
              <w:rPr>
                <w:sz w:val="20"/>
                <w:szCs w:val="20"/>
              </w:rPr>
            </w:pPr>
            <w:r w:rsidRPr="00CE7D65">
              <w:rPr>
                <w:sz w:val="20"/>
                <w:szCs w:val="20"/>
                <w:lang w:val="en-US"/>
              </w:rPr>
              <w:t>*Taking into account the sampling weight.</w:t>
            </w:r>
          </w:p>
        </w:tc>
      </w:tr>
    </w:tbl>
    <w:p w14:paraId="1B3C48B2" w14:textId="77777777" w:rsidR="00CE7D65" w:rsidRDefault="00CE7D65" w:rsidP="00CE7D65">
      <w:pPr>
        <w:spacing w:after="240" w:line="480" w:lineRule="auto"/>
        <w:contextualSpacing/>
        <w:jc w:val="both"/>
        <w:rPr>
          <w:lang w:val="en-US" w:eastAsia="en-US"/>
        </w:rPr>
      </w:pPr>
    </w:p>
    <w:tbl>
      <w:tblPr>
        <w:tblStyle w:val="Tablaconcuadrcula"/>
        <w:tblW w:w="5000" w:type="pct"/>
        <w:tblLook w:val="04A0" w:firstRow="1" w:lastRow="0" w:firstColumn="1" w:lastColumn="0" w:noHBand="0" w:noVBand="1"/>
      </w:tblPr>
      <w:tblGrid>
        <w:gridCol w:w="2206"/>
        <w:gridCol w:w="2449"/>
        <w:gridCol w:w="1559"/>
        <w:gridCol w:w="1559"/>
        <w:gridCol w:w="1587"/>
      </w:tblGrid>
      <w:tr w:rsidR="00CE7D65" w:rsidRPr="009B22D8" w14:paraId="2077BE0D" w14:textId="77777777" w:rsidTr="005C77D4">
        <w:trPr>
          <w:trHeight w:val="114"/>
        </w:trPr>
        <w:tc>
          <w:tcPr>
            <w:tcW w:w="5000" w:type="pct"/>
            <w:gridSpan w:val="5"/>
            <w:tcBorders>
              <w:left w:val="nil"/>
              <w:right w:val="nil"/>
            </w:tcBorders>
            <w:vAlign w:val="center"/>
          </w:tcPr>
          <w:p w14:paraId="41FE8A01" w14:textId="77777777" w:rsidR="00CE7D65" w:rsidRDefault="00CE7D65" w:rsidP="00CE7D65">
            <w:pPr>
              <w:rPr>
                <w:b/>
                <w:bCs/>
                <w:sz w:val="24"/>
                <w:szCs w:val="24"/>
                <w:lang w:val="en-US"/>
              </w:rPr>
            </w:pPr>
            <w:r w:rsidRPr="00920B6E">
              <w:rPr>
                <w:b/>
                <w:bCs/>
                <w:sz w:val="24"/>
                <w:szCs w:val="24"/>
                <w:lang w:val="en-US"/>
              </w:rPr>
              <w:t>Table 2</w:t>
            </w:r>
          </w:p>
          <w:p w14:paraId="5AF5BD9B" w14:textId="156E429F" w:rsidR="00CE7D65" w:rsidRPr="00523FC8" w:rsidRDefault="00CE7D65" w:rsidP="00CE7D65">
            <w:pPr>
              <w:rPr>
                <w:b/>
                <w:sz w:val="24"/>
                <w:szCs w:val="24"/>
              </w:rPr>
            </w:pPr>
            <w:r w:rsidRPr="003D1E2B">
              <w:rPr>
                <w:sz w:val="24"/>
                <w:szCs w:val="24"/>
                <w:lang w:val="en-US"/>
              </w:rPr>
              <w:t>Internal consistency, reproducibility and construct validity of the SOC-13 questionnaire. Santa Maria, 2016</w:t>
            </w:r>
            <w:r>
              <w:rPr>
                <w:sz w:val="24"/>
                <w:szCs w:val="24"/>
                <w:lang w:val="en-US"/>
              </w:rPr>
              <w:t>.</w:t>
            </w:r>
          </w:p>
        </w:tc>
      </w:tr>
      <w:tr w:rsidR="00CE7D65" w:rsidRPr="00CE7D65" w14:paraId="61846ED7" w14:textId="77777777" w:rsidTr="005C77D4">
        <w:trPr>
          <w:trHeight w:val="114"/>
        </w:trPr>
        <w:tc>
          <w:tcPr>
            <w:tcW w:w="1178" w:type="pct"/>
            <w:vMerge w:val="restart"/>
            <w:tcBorders>
              <w:left w:val="nil"/>
              <w:right w:val="nil"/>
            </w:tcBorders>
            <w:vAlign w:val="center"/>
          </w:tcPr>
          <w:p w14:paraId="2CC2AAED" w14:textId="77777777" w:rsidR="00CE7D65" w:rsidRPr="00CE7D65" w:rsidRDefault="00CE7D65" w:rsidP="005C77D4">
            <w:pPr>
              <w:spacing w:line="360" w:lineRule="auto"/>
              <w:rPr>
                <w:b/>
                <w:sz w:val="20"/>
                <w:szCs w:val="20"/>
              </w:rPr>
            </w:pPr>
          </w:p>
          <w:p w14:paraId="43241466" w14:textId="77777777" w:rsidR="00CE7D65" w:rsidRPr="00CE7D65" w:rsidRDefault="00CE7D65" w:rsidP="005C77D4">
            <w:pPr>
              <w:spacing w:line="360" w:lineRule="auto"/>
              <w:rPr>
                <w:b/>
                <w:sz w:val="20"/>
                <w:szCs w:val="20"/>
              </w:rPr>
            </w:pPr>
            <w:r w:rsidRPr="00CE7D65">
              <w:rPr>
                <w:b/>
                <w:sz w:val="20"/>
                <w:szCs w:val="20"/>
              </w:rPr>
              <w:t>Variables</w:t>
            </w:r>
          </w:p>
        </w:tc>
        <w:tc>
          <w:tcPr>
            <w:tcW w:w="1308" w:type="pct"/>
            <w:vMerge w:val="restart"/>
            <w:tcBorders>
              <w:left w:val="nil"/>
              <w:right w:val="nil"/>
            </w:tcBorders>
            <w:vAlign w:val="center"/>
          </w:tcPr>
          <w:p w14:paraId="5A2F5FC6" w14:textId="77777777" w:rsidR="00CE7D65" w:rsidRPr="00CE7D65" w:rsidRDefault="00CE7D65" w:rsidP="005C77D4">
            <w:pPr>
              <w:spacing w:line="360" w:lineRule="auto"/>
              <w:rPr>
                <w:b/>
                <w:sz w:val="20"/>
                <w:szCs w:val="20"/>
              </w:rPr>
            </w:pPr>
          </w:p>
          <w:p w14:paraId="667A1D26" w14:textId="77777777" w:rsidR="00CE7D65" w:rsidRPr="00CE7D65" w:rsidRDefault="00CE7D65" w:rsidP="005C77D4">
            <w:pPr>
              <w:spacing w:line="360" w:lineRule="auto"/>
              <w:rPr>
                <w:b/>
                <w:sz w:val="20"/>
                <w:szCs w:val="20"/>
              </w:rPr>
            </w:pPr>
            <w:proofErr w:type="spellStart"/>
            <w:r w:rsidRPr="00CE7D65">
              <w:rPr>
                <w:b/>
                <w:sz w:val="20"/>
                <w:szCs w:val="20"/>
              </w:rPr>
              <w:t>Measure</w:t>
            </w:r>
            <w:proofErr w:type="spellEnd"/>
          </w:p>
        </w:tc>
        <w:tc>
          <w:tcPr>
            <w:tcW w:w="833" w:type="pct"/>
            <w:tcBorders>
              <w:left w:val="nil"/>
              <w:bottom w:val="single" w:sz="4" w:space="0" w:color="auto"/>
              <w:right w:val="nil"/>
            </w:tcBorders>
            <w:vAlign w:val="center"/>
          </w:tcPr>
          <w:p w14:paraId="75BD1C0F" w14:textId="77777777" w:rsidR="00CE7D65" w:rsidRPr="00CE7D65" w:rsidRDefault="00CE7D65" w:rsidP="005C77D4">
            <w:pPr>
              <w:spacing w:line="360" w:lineRule="auto"/>
              <w:rPr>
                <w:b/>
                <w:sz w:val="20"/>
                <w:szCs w:val="20"/>
              </w:rPr>
            </w:pPr>
            <w:proofErr w:type="spellStart"/>
            <w:r w:rsidRPr="00CE7D65">
              <w:rPr>
                <w:b/>
                <w:sz w:val="20"/>
                <w:szCs w:val="20"/>
              </w:rPr>
              <w:t>Cronbach’s</w:t>
            </w:r>
            <w:proofErr w:type="spellEnd"/>
            <w:r w:rsidRPr="00CE7D65">
              <w:rPr>
                <w:b/>
                <w:sz w:val="20"/>
                <w:szCs w:val="20"/>
              </w:rPr>
              <w:t xml:space="preserve"> </w:t>
            </w:r>
            <w:proofErr w:type="spellStart"/>
            <w:r w:rsidRPr="00CE7D65">
              <w:rPr>
                <w:b/>
                <w:sz w:val="20"/>
                <w:szCs w:val="20"/>
              </w:rPr>
              <w:t>Alpha</w:t>
            </w:r>
            <w:proofErr w:type="spellEnd"/>
            <w:r w:rsidRPr="00CE7D65">
              <w:rPr>
                <w:b/>
                <w:sz w:val="20"/>
                <w:szCs w:val="20"/>
              </w:rPr>
              <w:t xml:space="preserve"> </w:t>
            </w:r>
            <w:proofErr w:type="spellStart"/>
            <w:r w:rsidRPr="00CE7D65">
              <w:rPr>
                <w:b/>
                <w:sz w:val="20"/>
                <w:szCs w:val="20"/>
              </w:rPr>
              <w:t>Coefficient</w:t>
            </w:r>
            <w:proofErr w:type="spellEnd"/>
          </w:p>
        </w:tc>
        <w:tc>
          <w:tcPr>
            <w:tcW w:w="833" w:type="pct"/>
            <w:tcBorders>
              <w:left w:val="nil"/>
              <w:bottom w:val="single" w:sz="4" w:space="0" w:color="auto"/>
              <w:right w:val="nil"/>
            </w:tcBorders>
            <w:shd w:val="clear" w:color="auto" w:fill="auto"/>
            <w:vAlign w:val="center"/>
          </w:tcPr>
          <w:p w14:paraId="72EA62CF" w14:textId="77777777" w:rsidR="00CE7D65" w:rsidRPr="00CE7D65" w:rsidRDefault="00CE7D65" w:rsidP="005C77D4">
            <w:pPr>
              <w:spacing w:line="360" w:lineRule="auto"/>
              <w:rPr>
                <w:b/>
                <w:sz w:val="20"/>
                <w:szCs w:val="20"/>
              </w:rPr>
            </w:pPr>
            <w:proofErr w:type="spellStart"/>
            <w:r w:rsidRPr="00CE7D65">
              <w:rPr>
                <w:b/>
                <w:sz w:val="20"/>
                <w:szCs w:val="20"/>
              </w:rPr>
              <w:t>Intra-class</w:t>
            </w:r>
            <w:proofErr w:type="spellEnd"/>
            <w:r w:rsidRPr="00CE7D65">
              <w:rPr>
                <w:b/>
                <w:sz w:val="20"/>
                <w:szCs w:val="20"/>
              </w:rPr>
              <w:t xml:space="preserve"> </w:t>
            </w:r>
            <w:proofErr w:type="spellStart"/>
            <w:r w:rsidRPr="00CE7D65">
              <w:rPr>
                <w:b/>
                <w:sz w:val="20"/>
                <w:szCs w:val="20"/>
              </w:rPr>
              <w:t>Correlation</w:t>
            </w:r>
            <w:proofErr w:type="spellEnd"/>
            <w:r w:rsidRPr="00CE7D65">
              <w:rPr>
                <w:b/>
                <w:sz w:val="20"/>
                <w:szCs w:val="20"/>
              </w:rPr>
              <w:t xml:space="preserve"> </w:t>
            </w:r>
            <w:proofErr w:type="spellStart"/>
            <w:r w:rsidRPr="00CE7D65">
              <w:rPr>
                <w:b/>
                <w:sz w:val="20"/>
                <w:szCs w:val="20"/>
              </w:rPr>
              <w:t>Coefficient</w:t>
            </w:r>
            <w:proofErr w:type="spellEnd"/>
          </w:p>
        </w:tc>
        <w:tc>
          <w:tcPr>
            <w:tcW w:w="848" w:type="pct"/>
            <w:tcBorders>
              <w:left w:val="nil"/>
              <w:bottom w:val="single" w:sz="4" w:space="0" w:color="auto"/>
              <w:right w:val="nil"/>
            </w:tcBorders>
          </w:tcPr>
          <w:p w14:paraId="24DD86AD" w14:textId="77777777" w:rsidR="00CE7D65" w:rsidRPr="00CE7D65" w:rsidRDefault="00CE7D65" w:rsidP="005C77D4">
            <w:pPr>
              <w:spacing w:line="360" w:lineRule="auto"/>
              <w:rPr>
                <w:b/>
                <w:sz w:val="20"/>
                <w:szCs w:val="20"/>
              </w:rPr>
            </w:pPr>
            <w:proofErr w:type="spellStart"/>
            <w:r w:rsidRPr="00CE7D65">
              <w:rPr>
                <w:b/>
                <w:sz w:val="20"/>
                <w:szCs w:val="20"/>
              </w:rPr>
              <w:t>Spearman’s</w:t>
            </w:r>
            <w:proofErr w:type="spellEnd"/>
            <w:r w:rsidRPr="00CE7D65">
              <w:rPr>
                <w:b/>
                <w:sz w:val="20"/>
                <w:szCs w:val="20"/>
              </w:rPr>
              <w:t xml:space="preserve"> </w:t>
            </w:r>
            <w:proofErr w:type="spellStart"/>
            <w:r w:rsidRPr="00CE7D65">
              <w:rPr>
                <w:b/>
                <w:sz w:val="20"/>
                <w:szCs w:val="20"/>
              </w:rPr>
              <w:t>Correlation</w:t>
            </w:r>
            <w:proofErr w:type="spellEnd"/>
            <w:r w:rsidRPr="00CE7D65">
              <w:rPr>
                <w:b/>
                <w:sz w:val="20"/>
                <w:szCs w:val="20"/>
              </w:rPr>
              <w:t xml:space="preserve"> </w:t>
            </w:r>
            <w:proofErr w:type="spellStart"/>
            <w:r w:rsidRPr="00CE7D65">
              <w:rPr>
                <w:b/>
                <w:sz w:val="20"/>
                <w:szCs w:val="20"/>
              </w:rPr>
              <w:t>Coefficient</w:t>
            </w:r>
            <w:proofErr w:type="spellEnd"/>
          </w:p>
        </w:tc>
      </w:tr>
      <w:tr w:rsidR="00CE7D65" w:rsidRPr="00CE7D65" w14:paraId="2FAEE163" w14:textId="77777777" w:rsidTr="005C77D4">
        <w:trPr>
          <w:trHeight w:val="323"/>
        </w:trPr>
        <w:tc>
          <w:tcPr>
            <w:tcW w:w="1178" w:type="pct"/>
            <w:vMerge/>
            <w:tcBorders>
              <w:left w:val="nil"/>
              <w:right w:val="nil"/>
            </w:tcBorders>
            <w:vAlign w:val="center"/>
          </w:tcPr>
          <w:p w14:paraId="309D1FB3" w14:textId="77777777" w:rsidR="00CE7D65" w:rsidRPr="00CE7D65" w:rsidRDefault="00CE7D65" w:rsidP="005C77D4">
            <w:pPr>
              <w:spacing w:line="360" w:lineRule="auto"/>
              <w:jc w:val="center"/>
              <w:rPr>
                <w:sz w:val="20"/>
                <w:szCs w:val="20"/>
              </w:rPr>
            </w:pPr>
          </w:p>
        </w:tc>
        <w:tc>
          <w:tcPr>
            <w:tcW w:w="1308" w:type="pct"/>
            <w:vMerge/>
            <w:tcBorders>
              <w:left w:val="nil"/>
              <w:bottom w:val="single" w:sz="4" w:space="0" w:color="auto"/>
              <w:right w:val="nil"/>
            </w:tcBorders>
            <w:vAlign w:val="center"/>
          </w:tcPr>
          <w:p w14:paraId="16D5D798" w14:textId="77777777" w:rsidR="00CE7D65" w:rsidRPr="00CE7D65" w:rsidRDefault="00CE7D65" w:rsidP="005C77D4">
            <w:pPr>
              <w:spacing w:line="360" w:lineRule="auto"/>
              <w:jc w:val="center"/>
              <w:rPr>
                <w:sz w:val="20"/>
                <w:szCs w:val="20"/>
              </w:rPr>
            </w:pPr>
          </w:p>
        </w:tc>
        <w:tc>
          <w:tcPr>
            <w:tcW w:w="833" w:type="pct"/>
            <w:tcBorders>
              <w:left w:val="nil"/>
              <w:bottom w:val="single" w:sz="4" w:space="0" w:color="auto"/>
              <w:right w:val="nil"/>
            </w:tcBorders>
            <w:vAlign w:val="center"/>
          </w:tcPr>
          <w:p w14:paraId="24BC9339" w14:textId="77777777" w:rsidR="00CE7D65" w:rsidRPr="00CE7D65" w:rsidRDefault="00CE7D65" w:rsidP="005C77D4">
            <w:pPr>
              <w:spacing w:line="360" w:lineRule="auto"/>
              <w:rPr>
                <w:b/>
                <w:sz w:val="20"/>
                <w:szCs w:val="20"/>
              </w:rPr>
            </w:pPr>
            <w:r w:rsidRPr="00CE7D65">
              <w:rPr>
                <w:b/>
                <w:sz w:val="20"/>
                <w:szCs w:val="20"/>
              </w:rPr>
              <w:t>T1</w:t>
            </w:r>
          </w:p>
        </w:tc>
        <w:tc>
          <w:tcPr>
            <w:tcW w:w="833" w:type="pct"/>
            <w:tcBorders>
              <w:left w:val="nil"/>
              <w:bottom w:val="single" w:sz="4" w:space="0" w:color="auto"/>
              <w:right w:val="nil"/>
            </w:tcBorders>
            <w:shd w:val="clear" w:color="auto" w:fill="auto"/>
            <w:vAlign w:val="center"/>
          </w:tcPr>
          <w:p w14:paraId="7168C39A" w14:textId="77777777" w:rsidR="00CE7D65" w:rsidRPr="00CE7D65" w:rsidRDefault="00CE7D65" w:rsidP="005C77D4">
            <w:pPr>
              <w:spacing w:line="360" w:lineRule="auto"/>
              <w:rPr>
                <w:b/>
                <w:sz w:val="20"/>
                <w:szCs w:val="20"/>
              </w:rPr>
            </w:pPr>
            <w:r w:rsidRPr="00CE7D65">
              <w:rPr>
                <w:b/>
                <w:sz w:val="20"/>
                <w:szCs w:val="20"/>
              </w:rPr>
              <w:t>T1 to T2</w:t>
            </w:r>
          </w:p>
        </w:tc>
        <w:tc>
          <w:tcPr>
            <w:tcW w:w="848" w:type="pct"/>
            <w:tcBorders>
              <w:left w:val="nil"/>
              <w:bottom w:val="single" w:sz="4" w:space="0" w:color="auto"/>
              <w:right w:val="nil"/>
            </w:tcBorders>
          </w:tcPr>
          <w:p w14:paraId="5B24D93D" w14:textId="77777777" w:rsidR="00CE7D65" w:rsidRPr="00CE7D65" w:rsidRDefault="00CE7D65" w:rsidP="005C77D4">
            <w:pPr>
              <w:spacing w:line="360" w:lineRule="auto"/>
              <w:rPr>
                <w:b/>
                <w:sz w:val="20"/>
                <w:szCs w:val="20"/>
              </w:rPr>
            </w:pPr>
            <w:r w:rsidRPr="00CE7D65">
              <w:rPr>
                <w:b/>
                <w:sz w:val="20"/>
                <w:szCs w:val="20"/>
              </w:rPr>
              <w:t>T1</w:t>
            </w:r>
          </w:p>
        </w:tc>
      </w:tr>
      <w:tr w:rsidR="00CE7D65" w:rsidRPr="00CE7D65" w14:paraId="4DE5C0E7" w14:textId="77777777" w:rsidTr="005C77D4">
        <w:trPr>
          <w:trHeight w:val="298"/>
        </w:trPr>
        <w:tc>
          <w:tcPr>
            <w:tcW w:w="1178" w:type="pct"/>
            <w:tcBorders>
              <w:left w:val="nil"/>
              <w:bottom w:val="nil"/>
              <w:right w:val="nil"/>
            </w:tcBorders>
            <w:vAlign w:val="center"/>
          </w:tcPr>
          <w:p w14:paraId="63095FD7" w14:textId="77777777" w:rsidR="00CE7D65" w:rsidRPr="00CE7D65" w:rsidRDefault="00CE7D65" w:rsidP="005C77D4">
            <w:pPr>
              <w:spacing w:line="360" w:lineRule="auto"/>
              <w:rPr>
                <w:sz w:val="20"/>
                <w:szCs w:val="20"/>
              </w:rPr>
            </w:pPr>
            <w:proofErr w:type="spellStart"/>
            <w:r w:rsidRPr="00CE7D65">
              <w:rPr>
                <w:sz w:val="20"/>
                <w:szCs w:val="20"/>
              </w:rPr>
              <w:t>Sense</w:t>
            </w:r>
            <w:proofErr w:type="spellEnd"/>
            <w:r w:rsidRPr="00CE7D65">
              <w:rPr>
                <w:sz w:val="20"/>
                <w:szCs w:val="20"/>
              </w:rPr>
              <w:t xml:space="preserve"> of </w:t>
            </w:r>
            <w:proofErr w:type="spellStart"/>
            <w:r w:rsidRPr="00CE7D65">
              <w:rPr>
                <w:sz w:val="20"/>
                <w:szCs w:val="20"/>
              </w:rPr>
              <w:t>coherence</w:t>
            </w:r>
            <w:proofErr w:type="spellEnd"/>
            <w:r w:rsidRPr="00CE7D65">
              <w:rPr>
                <w:sz w:val="20"/>
                <w:szCs w:val="20"/>
              </w:rPr>
              <w:t xml:space="preserve"> (SOC)</w:t>
            </w:r>
          </w:p>
        </w:tc>
        <w:tc>
          <w:tcPr>
            <w:tcW w:w="1308" w:type="pct"/>
            <w:tcBorders>
              <w:left w:val="nil"/>
              <w:bottom w:val="nil"/>
              <w:right w:val="nil"/>
            </w:tcBorders>
            <w:vAlign w:val="center"/>
          </w:tcPr>
          <w:p w14:paraId="79AEA2E1" w14:textId="77777777" w:rsidR="00CE7D65" w:rsidRPr="00CE7D65" w:rsidRDefault="00CE7D65" w:rsidP="005C77D4">
            <w:pPr>
              <w:spacing w:line="360" w:lineRule="auto"/>
              <w:rPr>
                <w:sz w:val="20"/>
                <w:szCs w:val="20"/>
              </w:rPr>
            </w:pPr>
            <w:r w:rsidRPr="00CE7D65">
              <w:rPr>
                <w:sz w:val="20"/>
                <w:szCs w:val="20"/>
              </w:rPr>
              <w:t>SOC-13 (</w:t>
            </w:r>
            <w:proofErr w:type="spellStart"/>
            <w:r w:rsidRPr="00CE7D65">
              <w:rPr>
                <w:sz w:val="20"/>
                <w:szCs w:val="20"/>
              </w:rPr>
              <w:t>Overall</w:t>
            </w:r>
            <w:proofErr w:type="spellEnd"/>
            <w:r w:rsidRPr="00CE7D65">
              <w:rPr>
                <w:sz w:val="20"/>
                <w:szCs w:val="20"/>
              </w:rPr>
              <w:t xml:space="preserve"> </w:t>
            </w:r>
            <w:proofErr w:type="spellStart"/>
            <w:r w:rsidRPr="00CE7D65">
              <w:rPr>
                <w:sz w:val="20"/>
                <w:szCs w:val="20"/>
              </w:rPr>
              <w:t>Scale</w:t>
            </w:r>
            <w:proofErr w:type="spellEnd"/>
            <w:r w:rsidRPr="00CE7D65">
              <w:rPr>
                <w:sz w:val="20"/>
                <w:szCs w:val="20"/>
              </w:rPr>
              <w:t>)</w:t>
            </w:r>
          </w:p>
        </w:tc>
        <w:tc>
          <w:tcPr>
            <w:tcW w:w="833" w:type="pct"/>
            <w:tcBorders>
              <w:left w:val="nil"/>
              <w:bottom w:val="nil"/>
              <w:right w:val="nil"/>
            </w:tcBorders>
            <w:vAlign w:val="center"/>
          </w:tcPr>
          <w:p w14:paraId="3BAB8188" w14:textId="77777777" w:rsidR="00CE7D65" w:rsidRPr="00CE7D65" w:rsidRDefault="00CE7D65" w:rsidP="005C77D4">
            <w:pPr>
              <w:spacing w:line="360" w:lineRule="auto"/>
              <w:rPr>
                <w:sz w:val="20"/>
                <w:szCs w:val="20"/>
              </w:rPr>
            </w:pPr>
            <w:r w:rsidRPr="00CE7D65">
              <w:rPr>
                <w:sz w:val="20"/>
                <w:szCs w:val="20"/>
              </w:rPr>
              <w:t>0.63</w:t>
            </w:r>
          </w:p>
        </w:tc>
        <w:tc>
          <w:tcPr>
            <w:tcW w:w="833" w:type="pct"/>
            <w:tcBorders>
              <w:left w:val="nil"/>
              <w:bottom w:val="nil"/>
              <w:right w:val="nil"/>
            </w:tcBorders>
            <w:shd w:val="clear" w:color="auto" w:fill="auto"/>
            <w:vAlign w:val="center"/>
          </w:tcPr>
          <w:p w14:paraId="3D95188C" w14:textId="77777777" w:rsidR="00CE7D65" w:rsidRPr="00CE7D65" w:rsidRDefault="00CE7D65" w:rsidP="005C77D4">
            <w:pPr>
              <w:spacing w:line="360" w:lineRule="auto"/>
              <w:rPr>
                <w:sz w:val="20"/>
                <w:szCs w:val="20"/>
                <w:lang w:val="en-US"/>
              </w:rPr>
            </w:pPr>
            <w:r w:rsidRPr="00CE7D65">
              <w:rPr>
                <w:sz w:val="20"/>
                <w:szCs w:val="20"/>
                <w:lang w:val="en-US"/>
              </w:rPr>
              <w:t>0.70*</w:t>
            </w:r>
          </w:p>
        </w:tc>
        <w:tc>
          <w:tcPr>
            <w:tcW w:w="848" w:type="pct"/>
            <w:tcBorders>
              <w:left w:val="nil"/>
              <w:bottom w:val="nil"/>
              <w:right w:val="nil"/>
            </w:tcBorders>
            <w:vAlign w:val="center"/>
          </w:tcPr>
          <w:p w14:paraId="1BDB7A0B" w14:textId="77777777" w:rsidR="00CE7D65" w:rsidRPr="00CE7D65" w:rsidRDefault="00CE7D65" w:rsidP="005C77D4">
            <w:pPr>
              <w:spacing w:line="360" w:lineRule="auto"/>
              <w:rPr>
                <w:sz w:val="20"/>
                <w:szCs w:val="20"/>
                <w:lang w:val="en-US"/>
              </w:rPr>
            </w:pPr>
            <w:r w:rsidRPr="00CE7D65">
              <w:rPr>
                <w:sz w:val="20"/>
                <w:szCs w:val="20"/>
                <w:lang w:val="en-US"/>
              </w:rPr>
              <w:t>-</w:t>
            </w:r>
          </w:p>
        </w:tc>
      </w:tr>
      <w:tr w:rsidR="00CE7D65" w:rsidRPr="00CE7D65" w14:paraId="240FBFAC" w14:textId="77777777" w:rsidTr="005C77D4">
        <w:trPr>
          <w:trHeight w:val="298"/>
        </w:trPr>
        <w:tc>
          <w:tcPr>
            <w:tcW w:w="1178" w:type="pct"/>
            <w:tcBorders>
              <w:top w:val="nil"/>
              <w:left w:val="nil"/>
              <w:bottom w:val="nil"/>
              <w:right w:val="nil"/>
            </w:tcBorders>
            <w:vAlign w:val="center"/>
          </w:tcPr>
          <w:p w14:paraId="02262DA5" w14:textId="77777777" w:rsidR="00CE7D65" w:rsidRPr="00CE7D65" w:rsidRDefault="00CE7D65" w:rsidP="005C77D4">
            <w:pPr>
              <w:spacing w:line="360" w:lineRule="auto"/>
              <w:rPr>
                <w:sz w:val="20"/>
                <w:szCs w:val="20"/>
              </w:rPr>
            </w:pPr>
            <w:proofErr w:type="spellStart"/>
            <w:r w:rsidRPr="00CE7D65">
              <w:rPr>
                <w:sz w:val="20"/>
                <w:szCs w:val="20"/>
              </w:rPr>
              <w:t>Components</w:t>
            </w:r>
            <w:proofErr w:type="spellEnd"/>
          </w:p>
        </w:tc>
        <w:tc>
          <w:tcPr>
            <w:tcW w:w="1308" w:type="pct"/>
            <w:tcBorders>
              <w:top w:val="nil"/>
              <w:left w:val="nil"/>
              <w:bottom w:val="nil"/>
              <w:right w:val="nil"/>
            </w:tcBorders>
            <w:vAlign w:val="center"/>
          </w:tcPr>
          <w:p w14:paraId="0DB1D09C" w14:textId="77777777" w:rsidR="00CE7D65" w:rsidRPr="00CE7D65" w:rsidRDefault="00CE7D65" w:rsidP="005C77D4">
            <w:pPr>
              <w:spacing w:line="360" w:lineRule="auto"/>
              <w:jc w:val="center"/>
              <w:rPr>
                <w:sz w:val="20"/>
                <w:szCs w:val="20"/>
              </w:rPr>
            </w:pPr>
          </w:p>
        </w:tc>
        <w:tc>
          <w:tcPr>
            <w:tcW w:w="833" w:type="pct"/>
            <w:tcBorders>
              <w:top w:val="nil"/>
              <w:left w:val="nil"/>
              <w:bottom w:val="nil"/>
              <w:right w:val="nil"/>
            </w:tcBorders>
            <w:vAlign w:val="center"/>
          </w:tcPr>
          <w:p w14:paraId="799CB6F4" w14:textId="77777777" w:rsidR="00CE7D65" w:rsidRPr="00CE7D65" w:rsidRDefault="00CE7D65" w:rsidP="005C77D4">
            <w:pPr>
              <w:spacing w:line="360" w:lineRule="auto"/>
              <w:rPr>
                <w:sz w:val="20"/>
                <w:szCs w:val="20"/>
              </w:rPr>
            </w:pPr>
          </w:p>
        </w:tc>
        <w:tc>
          <w:tcPr>
            <w:tcW w:w="833" w:type="pct"/>
            <w:tcBorders>
              <w:top w:val="nil"/>
              <w:left w:val="nil"/>
              <w:bottom w:val="nil"/>
              <w:right w:val="nil"/>
            </w:tcBorders>
            <w:shd w:val="clear" w:color="auto" w:fill="auto"/>
            <w:vAlign w:val="center"/>
          </w:tcPr>
          <w:p w14:paraId="0C23AE06" w14:textId="77777777" w:rsidR="00CE7D65" w:rsidRPr="00CE7D65" w:rsidRDefault="00CE7D65" w:rsidP="005C77D4">
            <w:pPr>
              <w:spacing w:line="360" w:lineRule="auto"/>
              <w:rPr>
                <w:sz w:val="20"/>
                <w:szCs w:val="20"/>
                <w:lang w:val="en-US"/>
              </w:rPr>
            </w:pPr>
          </w:p>
        </w:tc>
        <w:tc>
          <w:tcPr>
            <w:tcW w:w="848" w:type="pct"/>
            <w:tcBorders>
              <w:top w:val="nil"/>
              <w:left w:val="nil"/>
              <w:bottom w:val="nil"/>
              <w:right w:val="nil"/>
            </w:tcBorders>
          </w:tcPr>
          <w:p w14:paraId="4FD7C790" w14:textId="77777777" w:rsidR="00CE7D65" w:rsidRPr="00CE7D65" w:rsidRDefault="00CE7D65" w:rsidP="005C77D4">
            <w:pPr>
              <w:spacing w:line="360" w:lineRule="auto"/>
              <w:rPr>
                <w:sz w:val="20"/>
                <w:szCs w:val="20"/>
                <w:lang w:val="en-US"/>
              </w:rPr>
            </w:pPr>
          </w:p>
        </w:tc>
      </w:tr>
      <w:tr w:rsidR="00CE7D65" w:rsidRPr="00CE7D65" w14:paraId="111C1A7F" w14:textId="77777777" w:rsidTr="005C77D4">
        <w:trPr>
          <w:trHeight w:val="298"/>
        </w:trPr>
        <w:tc>
          <w:tcPr>
            <w:tcW w:w="1178" w:type="pct"/>
            <w:tcBorders>
              <w:top w:val="nil"/>
              <w:left w:val="nil"/>
              <w:bottom w:val="nil"/>
              <w:right w:val="nil"/>
            </w:tcBorders>
            <w:vAlign w:val="center"/>
          </w:tcPr>
          <w:p w14:paraId="0B38F398" w14:textId="77777777" w:rsidR="00CE7D65" w:rsidRPr="00CE7D65" w:rsidRDefault="00CE7D65" w:rsidP="005C77D4">
            <w:pPr>
              <w:spacing w:line="360" w:lineRule="auto"/>
              <w:rPr>
                <w:sz w:val="20"/>
                <w:szCs w:val="20"/>
              </w:rPr>
            </w:pPr>
            <w:r w:rsidRPr="00CE7D65">
              <w:rPr>
                <w:sz w:val="20"/>
                <w:szCs w:val="20"/>
              </w:rPr>
              <w:t xml:space="preserve">     </w:t>
            </w:r>
            <w:proofErr w:type="spellStart"/>
            <w:r w:rsidRPr="00CE7D65">
              <w:rPr>
                <w:sz w:val="20"/>
                <w:szCs w:val="20"/>
              </w:rPr>
              <w:t>Comprehensibility</w:t>
            </w:r>
            <w:proofErr w:type="spellEnd"/>
          </w:p>
        </w:tc>
        <w:tc>
          <w:tcPr>
            <w:tcW w:w="1308" w:type="pct"/>
            <w:tcBorders>
              <w:top w:val="nil"/>
              <w:left w:val="nil"/>
              <w:bottom w:val="nil"/>
              <w:right w:val="nil"/>
            </w:tcBorders>
            <w:vAlign w:val="center"/>
          </w:tcPr>
          <w:p w14:paraId="22E5B3FC" w14:textId="77777777" w:rsidR="00CE7D65" w:rsidRPr="00CE7D65" w:rsidRDefault="00CE7D65" w:rsidP="005C77D4">
            <w:pPr>
              <w:spacing w:line="360" w:lineRule="auto"/>
              <w:rPr>
                <w:sz w:val="20"/>
                <w:szCs w:val="20"/>
              </w:rPr>
            </w:pPr>
            <w:proofErr w:type="spellStart"/>
            <w:r w:rsidRPr="00CE7D65">
              <w:rPr>
                <w:sz w:val="20"/>
                <w:szCs w:val="20"/>
              </w:rPr>
              <w:t>Items</w:t>
            </w:r>
            <w:proofErr w:type="spellEnd"/>
            <w:r w:rsidRPr="00CE7D65">
              <w:rPr>
                <w:sz w:val="20"/>
                <w:szCs w:val="20"/>
              </w:rPr>
              <w:t xml:space="preserve"> 5, 8, 10, 12 and 13 of SOC-13</w:t>
            </w:r>
          </w:p>
        </w:tc>
        <w:tc>
          <w:tcPr>
            <w:tcW w:w="833" w:type="pct"/>
            <w:tcBorders>
              <w:top w:val="nil"/>
              <w:left w:val="nil"/>
              <w:bottom w:val="nil"/>
              <w:right w:val="nil"/>
            </w:tcBorders>
            <w:vAlign w:val="center"/>
          </w:tcPr>
          <w:p w14:paraId="61369300" w14:textId="77777777" w:rsidR="00CE7D65" w:rsidRPr="00CE7D65" w:rsidRDefault="00CE7D65" w:rsidP="005C77D4">
            <w:pPr>
              <w:spacing w:line="360" w:lineRule="auto"/>
              <w:rPr>
                <w:sz w:val="20"/>
                <w:szCs w:val="20"/>
              </w:rPr>
            </w:pPr>
            <w:r w:rsidRPr="00CE7D65">
              <w:rPr>
                <w:sz w:val="20"/>
                <w:szCs w:val="20"/>
              </w:rPr>
              <w:t>0.58</w:t>
            </w:r>
          </w:p>
        </w:tc>
        <w:tc>
          <w:tcPr>
            <w:tcW w:w="833" w:type="pct"/>
            <w:tcBorders>
              <w:top w:val="nil"/>
              <w:left w:val="nil"/>
              <w:bottom w:val="nil"/>
              <w:right w:val="nil"/>
            </w:tcBorders>
            <w:shd w:val="clear" w:color="auto" w:fill="auto"/>
            <w:vAlign w:val="center"/>
          </w:tcPr>
          <w:p w14:paraId="05B259A5" w14:textId="77777777" w:rsidR="00CE7D65" w:rsidRPr="00CE7D65" w:rsidRDefault="00CE7D65" w:rsidP="005C77D4">
            <w:pPr>
              <w:spacing w:line="360" w:lineRule="auto"/>
              <w:rPr>
                <w:sz w:val="20"/>
                <w:szCs w:val="20"/>
                <w:lang w:val="en-US"/>
              </w:rPr>
            </w:pPr>
            <w:r w:rsidRPr="00CE7D65">
              <w:rPr>
                <w:sz w:val="20"/>
                <w:szCs w:val="20"/>
                <w:lang w:val="en-US"/>
              </w:rPr>
              <w:t>-</w:t>
            </w:r>
          </w:p>
        </w:tc>
        <w:tc>
          <w:tcPr>
            <w:tcW w:w="848" w:type="pct"/>
            <w:tcBorders>
              <w:top w:val="nil"/>
              <w:left w:val="nil"/>
              <w:bottom w:val="nil"/>
              <w:right w:val="nil"/>
            </w:tcBorders>
          </w:tcPr>
          <w:p w14:paraId="2625BEF9" w14:textId="77777777" w:rsidR="00CE7D65" w:rsidRPr="00CE7D65" w:rsidRDefault="00CE7D65" w:rsidP="005C77D4">
            <w:pPr>
              <w:spacing w:line="360" w:lineRule="auto"/>
              <w:rPr>
                <w:sz w:val="20"/>
                <w:szCs w:val="20"/>
                <w:lang w:val="en-US"/>
              </w:rPr>
            </w:pPr>
            <w:r w:rsidRPr="00CE7D65">
              <w:rPr>
                <w:sz w:val="20"/>
                <w:szCs w:val="20"/>
                <w:lang w:val="en-US"/>
              </w:rPr>
              <w:t>0.78**</w:t>
            </w:r>
          </w:p>
        </w:tc>
      </w:tr>
      <w:tr w:rsidR="00CE7D65" w:rsidRPr="00CE7D65" w14:paraId="044FB321" w14:textId="77777777" w:rsidTr="005C77D4">
        <w:trPr>
          <w:trHeight w:val="312"/>
        </w:trPr>
        <w:tc>
          <w:tcPr>
            <w:tcW w:w="1178" w:type="pct"/>
            <w:tcBorders>
              <w:top w:val="nil"/>
              <w:left w:val="nil"/>
              <w:bottom w:val="nil"/>
              <w:right w:val="nil"/>
            </w:tcBorders>
            <w:vAlign w:val="center"/>
          </w:tcPr>
          <w:p w14:paraId="7E312AE9" w14:textId="77777777" w:rsidR="00CE7D65" w:rsidRPr="00CE7D65" w:rsidRDefault="00CE7D65" w:rsidP="005C77D4">
            <w:pPr>
              <w:spacing w:line="360" w:lineRule="auto"/>
              <w:rPr>
                <w:sz w:val="20"/>
                <w:szCs w:val="20"/>
              </w:rPr>
            </w:pPr>
            <w:r w:rsidRPr="00CE7D65">
              <w:rPr>
                <w:sz w:val="20"/>
                <w:szCs w:val="20"/>
              </w:rPr>
              <w:t xml:space="preserve">     </w:t>
            </w:r>
            <w:proofErr w:type="spellStart"/>
            <w:r w:rsidRPr="00CE7D65">
              <w:rPr>
                <w:sz w:val="20"/>
                <w:szCs w:val="20"/>
              </w:rPr>
              <w:t>Manageability</w:t>
            </w:r>
            <w:proofErr w:type="spellEnd"/>
          </w:p>
        </w:tc>
        <w:tc>
          <w:tcPr>
            <w:tcW w:w="1308" w:type="pct"/>
            <w:tcBorders>
              <w:top w:val="nil"/>
              <w:left w:val="nil"/>
              <w:bottom w:val="nil"/>
              <w:right w:val="nil"/>
            </w:tcBorders>
            <w:vAlign w:val="center"/>
          </w:tcPr>
          <w:p w14:paraId="3F48365D" w14:textId="77777777" w:rsidR="00CE7D65" w:rsidRPr="00CE7D65" w:rsidRDefault="00CE7D65" w:rsidP="005C77D4">
            <w:pPr>
              <w:spacing w:line="360" w:lineRule="auto"/>
              <w:rPr>
                <w:sz w:val="20"/>
                <w:szCs w:val="20"/>
              </w:rPr>
            </w:pPr>
            <w:proofErr w:type="spellStart"/>
            <w:r w:rsidRPr="00CE7D65">
              <w:rPr>
                <w:sz w:val="20"/>
                <w:szCs w:val="20"/>
              </w:rPr>
              <w:t>Items</w:t>
            </w:r>
            <w:proofErr w:type="spellEnd"/>
            <w:r w:rsidRPr="00CE7D65">
              <w:rPr>
                <w:sz w:val="20"/>
                <w:szCs w:val="20"/>
              </w:rPr>
              <w:t xml:space="preserve"> 4, 7, 9 and 11 of SOC-13</w:t>
            </w:r>
          </w:p>
        </w:tc>
        <w:tc>
          <w:tcPr>
            <w:tcW w:w="833" w:type="pct"/>
            <w:tcBorders>
              <w:top w:val="nil"/>
              <w:left w:val="nil"/>
              <w:bottom w:val="nil"/>
              <w:right w:val="nil"/>
            </w:tcBorders>
            <w:vAlign w:val="center"/>
          </w:tcPr>
          <w:p w14:paraId="505A623B" w14:textId="77777777" w:rsidR="00CE7D65" w:rsidRPr="00CE7D65" w:rsidRDefault="00CE7D65" w:rsidP="005C77D4">
            <w:pPr>
              <w:spacing w:line="360" w:lineRule="auto"/>
              <w:rPr>
                <w:sz w:val="20"/>
                <w:szCs w:val="20"/>
              </w:rPr>
            </w:pPr>
            <w:r w:rsidRPr="00CE7D65">
              <w:rPr>
                <w:sz w:val="20"/>
                <w:szCs w:val="20"/>
              </w:rPr>
              <w:t>0.50</w:t>
            </w:r>
          </w:p>
        </w:tc>
        <w:tc>
          <w:tcPr>
            <w:tcW w:w="833" w:type="pct"/>
            <w:tcBorders>
              <w:top w:val="nil"/>
              <w:left w:val="nil"/>
              <w:bottom w:val="nil"/>
              <w:right w:val="nil"/>
            </w:tcBorders>
            <w:shd w:val="clear" w:color="auto" w:fill="auto"/>
            <w:vAlign w:val="center"/>
          </w:tcPr>
          <w:p w14:paraId="3677401C" w14:textId="77777777" w:rsidR="00CE7D65" w:rsidRPr="00CE7D65" w:rsidRDefault="00CE7D65" w:rsidP="005C77D4">
            <w:pPr>
              <w:spacing w:line="360" w:lineRule="auto"/>
              <w:rPr>
                <w:sz w:val="20"/>
                <w:szCs w:val="20"/>
                <w:lang w:val="en-US"/>
              </w:rPr>
            </w:pPr>
            <w:r w:rsidRPr="00CE7D65">
              <w:rPr>
                <w:sz w:val="20"/>
                <w:szCs w:val="20"/>
                <w:lang w:val="en-US"/>
              </w:rPr>
              <w:t>-</w:t>
            </w:r>
          </w:p>
        </w:tc>
        <w:tc>
          <w:tcPr>
            <w:tcW w:w="848" w:type="pct"/>
            <w:tcBorders>
              <w:top w:val="nil"/>
              <w:left w:val="nil"/>
              <w:bottom w:val="nil"/>
              <w:right w:val="nil"/>
            </w:tcBorders>
          </w:tcPr>
          <w:p w14:paraId="17E34160" w14:textId="77777777" w:rsidR="00CE7D65" w:rsidRPr="00CE7D65" w:rsidRDefault="00CE7D65" w:rsidP="005C77D4">
            <w:pPr>
              <w:spacing w:line="360" w:lineRule="auto"/>
              <w:rPr>
                <w:sz w:val="20"/>
                <w:szCs w:val="20"/>
                <w:lang w:val="en-US"/>
              </w:rPr>
            </w:pPr>
            <w:r w:rsidRPr="00CE7D65">
              <w:rPr>
                <w:sz w:val="20"/>
                <w:szCs w:val="20"/>
                <w:lang w:val="en-US"/>
              </w:rPr>
              <w:t>0.72**</w:t>
            </w:r>
          </w:p>
        </w:tc>
      </w:tr>
      <w:tr w:rsidR="00CE7D65" w:rsidRPr="00CE7D65" w14:paraId="35EDB4D8" w14:textId="77777777" w:rsidTr="005C77D4">
        <w:trPr>
          <w:trHeight w:val="312"/>
        </w:trPr>
        <w:tc>
          <w:tcPr>
            <w:tcW w:w="1178" w:type="pct"/>
            <w:tcBorders>
              <w:top w:val="nil"/>
              <w:left w:val="nil"/>
              <w:bottom w:val="single" w:sz="4" w:space="0" w:color="auto"/>
              <w:right w:val="nil"/>
            </w:tcBorders>
            <w:vAlign w:val="center"/>
          </w:tcPr>
          <w:p w14:paraId="0097B5C2" w14:textId="77777777" w:rsidR="00CE7D65" w:rsidRPr="00CE7D65" w:rsidRDefault="00CE7D65" w:rsidP="005C77D4">
            <w:pPr>
              <w:spacing w:line="360" w:lineRule="auto"/>
              <w:rPr>
                <w:sz w:val="20"/>
                <w:szCs w:val="20"/>
              </w:rPr>
            </w:pPr>
            <w:r w:rsidRPr="00CE7D65">
              <w:rPr>
                <w:sz w:val="20"/>
                <w:szCs w:val="20"/>
              </w:rPr>
              <w:t xml:space="preserve">     </w:t>
            </w:r>
            <w:proofErr w:type="spellStart"/>
            <w:r w:rsidRPr="00CE7D65">
              <w:rPr>
                <w:sz w:val="20"/>
                <w:szCs w:val="20"/>
              </w:rPr>
              <w:t>Meaningfulness</w:t>
            </w:r>
            <w:proofErr w:type="spellEnd"/>
          </w:p>
        </w:tc>
        <w:tc>
          <w:tcPr>
            <w:tcW w:w="1308" w:type="pct"/>
            <w:tcBorders>
              <w:top w:val="nil"/>
              <w:left w:val="nil"/>
              <w:bottom w:val="single" w:sz="4" w:space="0" w:color="auto"/>
              <w:right w:val="nil"/>
            </w:tcBorders>
            <w:vAlign w:val="center"/>
          </w:tcPr>
          <w:p w14:paraId="572492DD" w14:textId="77777777" w:rsidR="00CE7D65" w:rsidRPr="00CE7D65" w:rsidRDefault="00CE7D65" w:rsidP="005C77D4">
            <w:pPr>
              <w:spacing w:line="360" w:lineRule="auto"/>
              <w:rPr>
                <w:sz w:val="20"/>
                <w:szCs w:val="20"/>
              </w:rPr>
            </w:pPr>
            <w:proofErr w:type="spellStart"/>
            <w:r w:rsidRPr="00CE7D65">
              <w:rPr>
                <w:sz w:val="20"/>
                <w:szCs w:val="20"/>
              </w:rPr>
              <w:t>Items</w:t>
            </w:r>
            <w:proofErr w:type="spellEnd"/>
            <w:r w:rsidRPr="00CE7D65">
              <w:rPr>
                <w:sz w:val="20"/>
                <w:szCs w:val="20"/>
              </w:rPr>
              <w:t xml:space="preserve"> 1, 2, 3 and 6 of SOC-13</w:t>
            </w:r>
          </w:p>
        </w:tc>
        <w:tc>
          <w:tcPr>
            <w:tcW w:w="833" w:type="pct"/>
            <w:tcBorders>
              <w:top w:val="nil"/>
              <w:left w:val="nil"/>
              <w:bottom w:val="single" w:sz="4" w:space="0" w:color="auto"/>
              <w:right w:val="nil"/>
            </w:tcBorders>
            <w:vAlign w:val="center"/>
          </w:tcPr>
          <w:p w14:paraId="31231BC1" w14:textId="77777777" w:rsidR="00CE7D65" w:rsidRPr="00CE7D65" w:rsidRDefault="00CE7D65" w:rsidP="005C77D4">
            <w:pPr>
              <w:spacing w:line="360" w:lineRule="auto"/>
              <w:rPr>
                <w:sz w:val="20"/>
                <w:szCs w:val="20"/>
              </w:rPr>
            </w:pPr>
            <w:r w:rsidRPr="00CE7D65">
              <w:rPr>
                <w:sz w:val="20"/>
                <w:szCs w:val="20"/>
              </w:rPr>
              <w:t>0.25</w:t>
            </w:r>
          </w:p>
        </w:tc>
        <w:tc>
          <w:tcPr>
            <w:tcW w:w="833" w:type="pct"/>
            <w:tcBorders>
              <w:top w:val="nil"/>
              <w:left w:val="nil"/>
              <w:bottom w:val="single" w:sz="4" w:space="0" w:color="auto"/>
              <w:right w:val="nil"/>
            </w:tcBorders>
            <w:shd w:val="clear" w:color="auto" w:fill="auto"/>
            <w:vAlign w:val="center"/>
          </w:tcPr>
          <w:p w14:paraId="2AEC7688" w14:textId="77777777" w:rsidR="00CE7D65" w:rsidRPr="00CE7D65" w:rsidRDefault="00CE7D65" w:rsidP="005C77D4">
            <w:pPr>
              <w:spacing w:line="360" w:lineRule="auto"/>
              <w:rPr>
                <w:sz w:val="20"/>
                <w:szCs w:val="20"/>
                <w:lang w:val="en-US"/>
              </w:rPr>
            </w:pPr>
            <w:r w:rsidRPr="00CE7D65">
              <w:rPr>
                <w:sz w:val="20"/>
                <w:szCs w:val="20"/>
                <w:lang w:val="en-US"/>
              </w:rPr>
              <w:t>-</w:t>
            </w:r>
          </w:p>
        </w:tc>
        <w:tc>
          <w:tcPr>
            <w:tcW w:w="848" w:type="pct"/>
            <w:tcBorders>
              <w:top w:val="nil"/>
              <w:left w:val="nil"/>
              <w:bottom w:val="single" w:sz="4" w:space="0" w:color="auto"/>
              <w:right w:val="nil"/>
            </w:tcBorders>
          </w:tcPr>
          <w:p w14:paraId="4C8C1AD1" w14:textId="77777777" w:rsidR="00CE7D65" w:rsidRPr="00CE7D65" w:rsidRDefault="00CE7D65" w:rsidP="005C77D4">
            <w:pPr>
              <w:spacing w:line="360" w:lineRule="auto"/>
              <w:rPr>
                <w:sz w:val="20"/>
                <w:szCs w:val="20"/>
                <w:lang w:val="en-US"/>
              </w:rPr>
            </w:pPr>
            <w:r w:rsidRPr="00CE7D65">
              <w:rPr>
                <w:sz w:val="20"/>
                <w:szCs w:val="20"/>
                <w:lang w:val="en-US"/>
              </w:rPr>
              <w:t>0.47**</w:t>
            </w:r>
          </w:p>
        </w:tc>
      </w:tr>
      <w:tr w:rsidR="00CE7D65" w:rsidRPr="00CE7D65" w14:paraId="35D1F53C" w14:textId="77777777" w:rsidTr="005C77D4">
        <w:trPr>
          <w:trHeight w:val="312"/>
        </w:trPr>
        <w:tc>
          <w:tcPr>
            <w:tcW w:w="5000" w:type="pct"/>
            <w:gridSpan w:val="5"/>
            <w:tcBorders>
              <w:top w:val="single" w:sz="4" w:space="0" w:color="auto"/>
              <w:left w:val="nil"/>
              <w:bottom w:val="single" w:sz="4" w:space="0" w:color="auto"/>
              <w:right w:val="nil"/>
            </w:tcBorders>
            <w:vAlign w:val="center"/>
          </w:tcPr>
          <w:p w14:paraId="7B3F920A" w14:textId="77777777" w:rsidR="00CE7D65" w:rsidRPr="00CE7D65" w:rsidRDefault="00CE7D65" w:rsidP="005C77D4">
            <w:pPr>
              <w:spacing w:line="360" w:lineRule="auto"/>
              <w:rPr>
                <w:sz w:val="20"/>
                <w:szCs w:val="20"/>
                <w:lang w:val="en-US"/>
              </w:rPr>
            </w:pPr>
            <w:r w:rsidRPr="00CE7D65">
              <w:rPr>
                <w:b/>
                <w:bCs/>
                <w:sz w:val="20"/>
                <w:szCs w:val="20"/>
                <w:lang w:val="en-US"/>
              </w:rPr>
              <w:t>Abbreviations:</w:t>
            </w:r>
            <w:r w:rsidRPr="00CE7D65">
              <w:rPr>
                <w:sz w:val="20"/>
                <w:szCs w:val="20"/>
                <w:lang w:val="en-US"/>
              </w:rPr>
              <w:t xml:space="preserve"> SOC, sense of coherence; T1, baseline; T2, one-month follow-up.</w:t>
            </w:r>
          </w:p>
          <w:p w14:paraId="50D28617" w14:textId="77777777" w:rsidR="00CE7D65" w:rsidRPr="00CE7D65" w:rsidRDefault="00CE7D65" w:rsidP="005C77D4">
            <w:pPr>
              <w:spacing w:line="360" w:lineRule="auto"/>
              <w:rPr>
                <w:sz w:val="20"/>
                <w:szCs w:val="20"/>
                <w:lang w:val="en-US"/>
              </w:rPr>
            </w:pPr>
            <w:r w:rsidRPr="00CE7D65">
              <w:rPr>
                <w:sz w:val="20"/>
                <w:szCs w:val="20"/>
                <w:lang w:val="en-US"/>
              </w:rPr>
              <w:t>*The correlation coefficient is significant in the p value of 0.01 (two-tailed).</w:t>
            </w:r>
          </w:p>
          <w:p w14:paraId="376EEEF5" w14:textId="77777777" w:rsidR="00CE7D65" w:rsidRPr="00CE7D65" w:rsidRDefault="00CE7D65" w:rsidP="005C77D4">
            <w:pPr>
              <w:spacing w:line="360" w:lineRule="auto"/>
              <w:rPr>
                <w:sz w:val="20"/>
                <w:szCs w:val="20"/>
                <w:lang w:val="en-US"/>
              </w:rPr>
            </w:pPr>
            <w:r w:rsidRPr="00CE7D65">
              <w:rPr>
                <w:sz w:val="20"/>
                <w:szCs w:val="20"/>
                <w:lang w:val="en-US"/>
              </w:rPr>
              <w:t>**p-value &lt; 0.001.</w:t>
            </w:r>
          </w:p>
        </w:tc>
      </w:tr>
    </w:tbl>
    <w:p w14:paraId="108CCC92" w14:textId="77777777" w:rsidR="00CE7D65" w:rsidRPr="00CE7D65" w:rsidRDefault="00CE7D65" w:rsidP="00CE7D65">
      <w:pPr>
        <w:pStyle w:val="Prrafocomn"/>
        <w:rPr>
          <w:lang w:eastAsia="en-US"/>
        </w:rPr>
      </w:pPr>
      <w:r w:rsidRPr="00CE7D65">
        <w:rPr>
          <w:lang w:eastAsia="en-US"/>
        </w:rPr>
        <w:lastRenderedPageBreak/>
        <w:t>The Exploratory Factorial Analysis (EFA) was performed to 1 factor and 3 factors.  The global adjustments of the model for 3 factors (CFI= 0.97; TLI= 0.94; RMSEA = 0.03 (90%CI: 0.00-0.05); and SRMR= 0.03) was confirmed by CFA.</w:t>
      </w:r>
    </w:p>
    <w:p w14:paraId="6D6F1E99" w14:textId="278AFD76" w:rsidR="00CE7D65" w:rsidRDefault="00CE7D65" w:rsidP="00CE7D65">
      <w:pPr>
        <w:pStyle w:val="Prrafocomn"/>
        <w:rPr>
          <w:lang w:eastAsia="en-US"/>
        </w:rPr>
      </w:pPr>
      <w:r w:rsidRPr="00CE7D65">
        <w:rPr>
          <w:lang w:eastAsia="en-US"/>
        </w:rPr>
        <w:t>The Confirmatory Factorial Analysis (CFA) is shown in Figure 1 and factor loadings are shown in Table 3. The latent variable was related, through standardized factor loadings, to the other items in the questionnaire. The three-dimensional factors of SOC were confirmed. Furthermore, questions 1 and 2, and 6 and 7 had weak correlations, but they were retained in the fit model. The global adjustments of the model were: CFI= 0.92; TLI= 0.89; RMSEA = 0.05; and SRMR= 0.04.</w:t>
      </w:r>
    </w:p>
    <w:p w14:paraId="1A2A6D96" w14:textId="34CC008C" w:rsidR="00CE7D65" w:rsidRDefault="00CE7D65" w:rsidP="00CE7D65">
      <w:pPr>
        <w:spacing w:after="240" w:line="480" w:lineRule="auto"/>
        <w:contextualSpacing/>
        <w:jc w:val="center"/>
        <w:rPr>
          <w:lang w:val="en-US"/>
        </w:rPr>
      </w:pPr>
      <w:r w:rsidRPr="00CE7D65">
        <w:rPr>
          <w:i/>
          <w:iCs/>
          <w:noProof/>
          <w:lang w:eastAsia="pt-BR"/>
        </w:rPr>
        <w:drawing>
          <wp:anchor distT="0" distB="0" distL="114300" distR="114300" simplePos="0" relativeHeight="251661312" behindDoc="0" locked="0" layoutInCell="1" allowOverlap="1" wp14:anchorId="515D71AB" wp14:editId="2A15CEDC">
            <wp:simplePos x="0" y="0"/>
            <wp:positionH relativeFrom="column">
              <wp:posOffset>449580</wp:posOffset>
            </wp:positionH>
            <wp:positionV relativeFrom="paragraph">
              <wp:posOffset>3810</wp:posOffset>
            </wp:positionV>
            <wp:extent cx="4638675" cy="4333875"/>
            <wp:effectExtent l="0" t="0" r="0" b="0"/>
            <wp:wrapTopAndBottom/>
            <wp:docPr id="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38675" cy="4333875"/>
                    </a:xfrm>
                    <a:prstGeom prst="rect">
                      <a:avLst/>
                    </a:prstGeom>
                  </pic:spPr>
                </pic:pic>
              </a:graphicData>
            </a:graphic>
            <wp14:sizeRelH relativeFrom="page">
              <wp14:pctWidth>0</wp14:pctWidth>
            </wp14:sizeRelH>
            <wp14:sizeRelV relativeFrom="page">
              <wp14:pctHeight>0</wp14:pctHeight>
            </wp14:sizeRelV>
          </wp:anchor>
        </w:drawing>
      </w:r>
      <w:r w:rsidRPr="00CE7D65">
        <w:rPr>
          <w:b/>
          <w:bCs/>
          <w:i/>
          <w:iCs/>
          <w:lang w:val="en-US"/>
        </w:rPr>
        <w:t>Figure 1.</w:t>
      </w:r>
      <w:r w:rsidRPr="003D1E2B">
        <w:rPr>
          <w:lang w:val="en-US"/>
        </w:rPr>
        <w:t xml:space="preserve"> </w:t>
      </w:r>
      <w:r w:rsidRPr="0009402F">
        <w:rPr>
          <w:lang w:val="en-US"/>
        </w:rPr>
        <w:t>Confirmatory Factor</w:t>
      </w:r>
      <w:r>
        <w:rPr>
          <w:lang w:val="en-US"/>
        </w:rPr>
        <w:t>ial</w:t>
      </w:r>
      <w:r w:rsidRPr="0009402F">
        <w:rPr>
          <w:lang w:val="en-US"/>
        </w:rPr>
        <w:t xml:space="preserve"> Analysis</w:t>
      </w:r>
      <w:r>
        <w:rPr>
          <w:lang w:val="en-US"/>
        </w:rPr>
        <w:t xml:space="preserve"> (CFA)</w:t>
      </w:r>
      <w:r w:rsidRPr="003D1E2B">
        <w:rPr>
          <w:lang w:val="en-US"/>
        </w:rPr>
        <w:t xml:space="preserve"> of the SOC-13 questionnaire.</w:t>
      </w:r>
    </w:p>
    <w:p w14:paraId="113DB8E7" w14:textId="07EB38AF" w:rsidR="00CE7D65" w:rsidRDefault="00CE7D65" w:rsidP="00CE7D65">
      <w:pPr>
        <w:spacing w:after="240" w:line="480" w:lineRule="auto"/>
        <w:contextualSpacing/>
        <w:jc w:val="center"/>
        <w:rPr>
          <w:lang w:val="en-US"/>
        </w:rPr>
      </w:pPr>
    </w:p>
    <w:p w14:paraId="65EA3EFB" w14:textId="667EFFDE" w:rsidR="00CE7D65" w:rsidRDefault="00CE7D65" w:rsidP="00CE7D65">
      <w:pPr>
        <w:spacing w:after="240" w:line="480" w:lineRule="auto"/>
        <w:contextualSpacing/>
        <w:jc w:val="center"/>
        <w:rPr>
          <w:lang w:val="en-US"/>
        </w:rPr>
      </w:pPr>
    </w:p>
    <w:p w14:paraId="312ADBF0" w14:textId="77777777" w:rsidR="00CE7D65" w:rsidRDefault="00CE7D65" w:rsidP="00CE7D65">
      <w:pPr>
        <w:spacing w:after="240" w:line="480" w:lineRule="auto"/>
        <w:contextualSpacing/>
        <w:jc w:val="center"/>
        <w:rPr>
          <w:lang w:val="en-US"/>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1187"/>
        <w:gridCol w:w="2123"/>
        <w:gridCol w:w="1696"/>
        <w:gridCol w:w="1831"/>
        <w:gridCol w:w="1217"/>
      </w:tblGrid>
      <w:tr w:rsidR="00CE7D65" w14:paraId="27DBFEDF" w14:textId="77777777" w:rsidTr="005C77D4">
        <w:trPr>
          <w:trHeight w:val="412"/>
          <w:jc w:val="center"/>
        </w:trPr>
        <w:tc>
          <w:tcPr>
            <w:tcW w:w="5000" w:type="pct"/>
            <w:gridSpan w:val="6"/>
            <w:tcBorders>
              <w:top w:val="single" w:sz="4" w:space="0" w:color="auto"/>
              <w:left w:val="nil"/>
              <w:bottom w:val="nil"/>
              <w:right w:val="nil"/>
            </w:tcBorders>
          </w:tcPr>
          <w:p w14:paraId="1D38D1F9" w14:textId="77777777" w:rsidR="00CE7D65" w:rsidRPr="00D77D6D" w:rsidRDefault="00CE7D65" w:rsidP="005C77D4">
            <w:pPr>
              <w:rPr>
                <w:sz w:val="24"/>
                <w:szCs w:val="24"/>
                <w:lang w:val="en-US"/>
              </w:rPr>
            </w:pPr>
            <w:r w:rsidRPr="00920B6E">
              <w:rPr>
                <w:b/>
                <w:bCs/>
                <w:sz w:val="24"/>
                <w:szCs w:val="24"/>
                <w:lang w:val="en-US"/>
              </w:rPr>
              <w:lastRenderedPageBreak/>
              <w:t>Table 3.</w:t>
            </w:r>
            <w:r w:rsidRPr="00920B6E">
              <w:rPr>
                <w:sz w:val="24"/>
                <w:szCs w:val="24"/>
                <w:lang w:val="en-US"/>
              </w:rPr>
              <w:t xml:space="preserve"> Dimensional models of the </w:t>
            </w:r>
            <w:proofErr w:type="spellStart"/>
            <w:r w:rsidRPr="00920B6E">
              <w:rPr>
                <w:sz w:val="24"/>
                <w:szCs w:val="24"/>
                <w:lang w:val="en-US"/>
              </w:rPr>
              <w:t>Sence</w:t>
            </w:r>
            <w:proofErr w:type="spellEnd"/>
            <w:r w:rsidRPr="00920B6E">
              <w:rPr>
                <w:sz w:val="24"/>
                <w:szCs w:val="24"/>
                <w:lang w:val="en-US"/>
              </w:rPr>
              <w:t xml:space="preserve"> of Coherence (SOC) by confirmatory factor analysis (CFA).</w:t>
            </w:r>
          </w:p>
        </w:tc>
      </w:tr>
      <w:tr w:rsidR="00CE7D65" w:rsidRPr="00CE7D65" w14:paraId="54A822DD" w14:textId="77777777" w:rsidTr="00CE7D65">
        <w:trPr>
          <w:trHeight w:val="412"/>
          <w:jc w:val="center"/>
        </w:trPr>
        <w:tc>
          <w:tcPr>
            <w:tcW w:w="698" w:type="pct"/>
            <w:tcBorders>
              <w:top w:val="single" w:sz="4" w:space="0" w:color="auto"/>
              <w:left w:val="nil"/>
              <w:bottom w:val="nil"/>
              <w:right w:val="nil"/>
            </w:tcBorders>
          </w:tcPr>
          <w:p w14:paraId="3DCD7A71" w14:textId="77777777" w:rsidR="00CE7D65" w:rsidRPr="00CE7D65" w:rsidRDefault="00CE7D65" w:rsidP="005C77D4">
            <w:pPr>
              <w:rPr>
                <w:sz w:val="20"/>
                <w:szCs w:val="20"/>
                <w:lang w:val="en-US"/>
              </w:rPr>
            </w:pPr>
          </w:p>
        </w:tc>
        <w:tc>
          <w:tcPr>
            <w:tcW w:w="634" w:type="pct"/>
            <w:tcBorders>
              <w:top w:val="single" w:sz="4" w:space="0" w:color="auto"/>
              <w:left w:val="nil"/>
              <w:bottom w:val="nil"/>
              <w:right w:val="nil"/>
            </w:tcBorders>
          </w:tcPr>
          <w:p w14:paraId="0EDF1B31" w14:textId="77777777" w:rsidR="00CE7D65" w:rsidRPr="00CE7D65" w:rsidRDefault="00CE7D65" w:rsidP="005C77D4">
            <w:pPr>
              <w:rPr>
                <w:sz w:val="20"/>
                <w:szCs w:val="20"/>
                <w:lang w:val="en-US"/>
              </w:rPr>
            </w:pPr>
          </w:p>
        </w:tc>
        <w:tc>
          <w:tcPr>
            <w:tcW w:w="3018" w:type="pct"/>
            <w:gridSpan w:val="3"/>
            <w:tcBorders>
              <w:top w:val="single" w:sz="4" w:space="0" w:color="auto"/>
              <w:left w:val="nil"/>
              <w:bottom w:val="single" w:sz="4" w:space="0" w:color="auto"/>
              <w:right w:val="nil"/>
            </w:tcBorders>
            <w:vAlign w:val="center"/>
            <w:hideMark/>
          </w:tcPr>
          <w:p w14:paraId="2022EDFC" w14:textId="77777777" w:rsidR="00CE7D65" w:rsidRPr="00CE7D65" w:rsidRDefault="00CE7D65" w:rsidP="005C77D4">
            <w:pPr>
              <w:jc w:val="center"/>
              <w:rPr>
                <w:b/>
                <w:sz w:val="20"/>
                <w:szCs w:val="20"/>
              </w:rPr>
            </w:pPr>
            <w:r w:rsidRPr="00CE7D65">
              <w:rPr>
                <w:b/>
                <w:sz w:val="20"/>
                <w:szCs w:val="20"/>
              </w:rPr>
              <w:t>3-Factor CFA</w:t>
            </w:r>
          </w:p>
        </w:tc>
        <w:tc>
          <w:tcPr>
            <w:tcW w:w="650" w:type="pct"/>
            <w:tcBorders>
              <w:top w:val="single" w:sz="4" w:space="0" w:color="auto"/>
              <w:left w:val="nil"/>
              <w:bottom w:val="single" w:sz="4" w:space="0" w:color="auto"/>
              <w:right w:val="nil"/>
            </w:tcBorders>
          </w:tcPr>
          <w:p w14:paraId="7710A573" w14:textId="77777777" w:rsidR="00CE7D65" w:rsidRPr="00CE7D65" w:rsidRDefault="00CE7D65" w:rsidP="005C77D4">
            <w:pPr>
              <w:rPr>
                <w:b/>
                <w:sz w:val="20"/>
                <w:szCs w:val="20"/>
              </w:rPr>
            </w:pPr>
          </w:p>
        </w:tc>
      </w:tr>
      <w:tr w:rsidR="00CE7D65" w:rsidRPr="00CE7D65" w14:paraId="04117F0F" w14:textId="77777777" w:rsidTr="00CE7D65">
        <w:trPr>
          <w:jc w:val="center"/>
        </w:trPr>
        <w:tc>
          <w:tcPr>
            <w:tcW w:w="698" w:type="pct"/>
            <w:tcBorders>
              <w:top w:val="nil"/>
              <w:left w:val="nil"/>
              <w:bottom w:val="single" w:sz="4" w:space="0" w:color="auto"/>
              <w:right w:val="nil"/>
            </w:tcBorders>
          </w:tcPr>
          <w:p w14:paraId="514E5C50" w14:textId="77777777" w:rsidR="00CE7D65" w:rsidRPr="00CE7D65" w:rsidRDefault="00CE7D65" w:rsidP="005C77D4">
            <w:pPr>
              <w:rPr>
                <w:b/>
                <w:sz w:val="20"/>
                <w:szCs w:val="20"/>
              </w:rPr>
            </w:pPr>
            <w:proofErr w:type="spellStart"/>
            <w:r w:rsidRPr="00CE7D65">
              <w:rPr>
                <w:b/>
                <w:sz w:val="20"/>
                <w:szCs w:val="20"/>
              </w:rPr>
              <w:t>Items</w:t>
            </w:r>
            <w:proofErr w:type="spellEnd"/>
            <w:r w:rsidRPr="00CE7D65">
              <w:rPr>
                <w:b/>
                <w:sz w:val="20"/>
                <w:szCs w:val="20"/>
              </w:rPr>
              <w:t xml:space="preserve"> (SOC-13)</w:t>
            </w:r>
          </w:p>
        </w:tc>
        <w:tc>
          <w:tcPr>
            <w:tcW w:w="634" w:type="pct"/>
            <w:tcBorders>
              <w:top w:val="nil"/>
              <w:left w:val="nil"/>
              <w:bottom w:val="single" w:sz="4" w:space="0" w:color="auto"/>
              <w:right w:val="nil"/>
            </w:tcBorders>
          </w:tcPr>
          <w:p w14:paraId="463855B5" w14:textId="77777777" w:rsidR="00CE7D65" w:rsidRPr="00CE7D65" w:rsidRDefault="00CE7D65" w:rsidP="005C77D4">
            <w:pPr>
              <w:rPr>
                <w:sz w:val="20"/>
                <w:szCs w:val="20"/>
              </w:rPr>
            </w:pPr>
          </w:p>
        </w:tc>
        <w:tc>
          <w:tcPr>
            <w:tcW w:w="1134" w:type="pct"/>
            <w:tcBorders>
              <w:top w:val="single" w:sz="4" w:space="0" w:color="auto"/>
              <w:left w:val="nil"/>
              <w:bottom w:val="single" w:sz="4" w:space="0" w:color="auto"/>
              <w:right w:val="nil"/>
            </w:tcBorders>
            <w:hideMark/>
          </w:tcPr>
          <w:p w14:paraId="7A3CE920" w14:textId="77777777" w:rsidR="00CE7D65" w:rsidRPr="00CE7D65" w:rsidRDefault="00CE7D65" w:rsidP="005C77D4">
            <w:pPr>
              <w:jc w:val="center"/>
              <w:rPr>
                <w:b/>
                <w:sz w:val="20"/>
                <w:szCs w:val="20"/>
              </w:rPr>
            </w:pPr>
            <w:proofErr w:type="spellStart"/>
            <w:r w:rsidRPr="00CE7D65">
              <w:rPr>
                <w:b/>
                <w:sz w:val="20"/>
                <w:szCs w:val="20"/>
              </w:rPr>
              <w:t>Comprehensibility</w:t>
            </w:r>
            <w:proofErr w:type="spellEnd"/>
            <w:r w:rsidRPr="00CE7D65">
              <w:rPr>
                <w:b/>
                <w:sz w:val="20"/>
                <w:szCs w:val="20"/>
              </w:rPr>
              <w:t xml:space="preserve"> Factor 1</w:t>
            </w:r>
          </w:p>
        </w:tc>
        <w:tc>
          <w:tcPr>
            <w:tcW w:w="906" w:type="pct"/>
            <w:tcBorders>
              <w:top w:val="single" w:sz="4" w:space="0" w:color="auto"/>
              <w:left w:val="nil"/>
              <w:bottom w:val="single" w:sz="4" w:space="0" w:color="auto"/>
              <w:right w:val="nil"/>
            </w:tcBorders>
            <w:hideMark/>
          </w:tcPr>
          <w:p w14:paraId="0DC871CE" w14:textId="77777777" w:rsidR="00CE7D65" w:rsidRPr="00CE7D65" w:rsidRDefault="00CE7D65" w:rsidP="005C77D4">
            <w:pPr>
              <w:rPr>
                <w:b/>
                <w:sz w:val="20"/>
                <w:szCs w:val="20"/>
              </w:rPr>
            </w:pPr>
            <w:proofErr w:type="spellStart"/>
            <w:r w:rsidRPr="00CE7D65">
              <w:rPr>
                <w:b/>
                <w:sz w:val="20"/>
                <w:szCs w:val="20"/>
              </w:rPr>
              <w:t>Manageability</w:t>
            </w:r>
            <w:proofErr w:type="spellEnd"/>
          </w:p>
          <w:p w14:paraId="5DC2A501" w14:textId="77777777" w:rsidR="00CE7D65" w:rsidRPr="00CE7D65" w:rsidRDefault="00CE7D65" w:rsidP="005C77D4">
            <w:pPr>
              <w:jc w:val="center"/>
              <w:rPr>
                <w:b/>
                <w:sz w:val="20"/>
                <w:szCs w:val="20"/>
              </w:rPr>
            </w:pPr>
            <w:r w:rsidRPr="00CE7D65">
              <w:rPr>
                <w:b/>
                <w:sz w:val="20"/>
                <w:szCs w:val="20"/>
              </w:rPr>
              <w:t>Factor 2</w:t>
            </w:r>
          </w:p>
        </w:tc>
        <w:tc>
          <w:tcPr>
            <w:tcW w:w="978" w:type="pct"/>
            <w:tcBorders>
              <w:top w:val="single" w:sz="4" w:space="0" w:color="auto"/>
              <w:left w:val="nil"/>
              <w:bottom w:val="single" w:sz="4" w:space="0" w:color="auto"/>
              <w:right w:val="nil"/>
            </w:tcBorders>
            <w:hideMark/>
          </w:tcPr>
          <w:p w14:paraId="0F4107E9" w14:textId="77777777" w:rsidR="00CE7D65" w:rsidRPr="00CE7D65" w:rsidRDefault="00CE7D65" w:rsidP="005C77D4">
            <w:pPr>
              <w:rPr>
                <w:b/>
                <w:sz w:val="20"/>
                <w:szCs w:val="20"/>
              </w:rPr>
            </w:pPr>
            <w:proofErr w:type="spellStart"/>
            <w:r w:rsidRPr="00CE7D65">
              <w:rPr>
                <w:b/>
                <w:sz w:val="20"/>
                <w:szCs w:val="20"/>
              </w:rPr>
              <w:t>Meaningfulness</w:t>
            </w:r>
            <w:proofErr w:type="spellEnd"/>
          </w:p>
          <w:p w14:paraId="4CD92260" w14:textId="77777777" w:rsidR="00CE7D65" w:rsidRPr="00CE7D65" w:rsidRDefault="00CE7D65" w:rsidP="005C77D4">
            <w:pPr>
              <w:jc w:val="center"/>
              <w:rPr>
                <w:b/>
                <w:sz w:val="20"/>
                <w:szCs w:val="20"/>
              </w:rPr>
            </w:pPr>
            <w:r w:rsidRPr="00CE7D65">
              <w:rPr>
                <w:b/>
                <w:sz w:val="20"/>
                <w:szCs w:val="20"/>
              </w:rPr>
              <w:t>Factor 3</w:t>
            </w:r>
          </w:p>
        </w:tc>
        <w:tc>
          <w:tcPr>
            <w:tcW w:w="650" w:type="pct"/>
            <w:tcBorders>
              <w:top w:val="single" w:sz="4" w:space="0" w:color="auto"/>
              <w:left w:val="nil"/>
              <w:bottom w:val="single" w:sz="4" w:space="0" w:color="auto"/>
              <w:right w:val="nil"/>
            </w:tcBorders>
            <w:vAlign w:val="center"/>
            <w:hideMark/>
          </w:tcPr>
          <w:p w14:paraId="4108A793" w14:textId="77777777" w:rsidR="00CE7D65" w:rsidRPr="00CE7D65" w:rsidRDefault="00CE7D65" w:rsidP="005C77D4">
            <w:pPr>
              <w:jc w:val="center"/>
              <w:rPr>
                <w:b/>
                <w:sz w:val="20"/>
                <w:szCs w:val="20"/>
              </w:rPr>
            </w:pPr>
            <w:r w:rsidRPr="00CE7D65">
              <w:rPr>
                <w:b/>
                <w:sz w:val="20"/>
                <w:szCs w:val="20"/>
              </w:rPr>
              <w:t>R-SQUARE</w:t>
            </w:r>
          </w:p>
        </w:tc>
      </w:tr>
      <w:tr w:rsidR="00CE7D65" w:rsidRPr="00CE7D65" w14:paraId="0BE0EE07" w14:textId="77777777" w:rsidTr="00CE7D65">
        <w:trPr>
          <w:jc w:val="center"/>
        </w:trPr>
        <w:tc>
          <w:tcPr>
            <w:tcW w:w="698" w:type="pct"/>
            <w:tcBorders>
              <w:top w:val="single" w:sz="4" w:space="0" w:color="auto"/>
              <w:left w:val="nil"/>
              <w:bottom w:val="nil"/>
              <w:right w:val="nil"/>
            </w:tcBorders>
            <w:hideMark/>
          </w:tcPr>
          <w:p w14:paraId="2E440EF5" w14:textId="77777777" w:rsidR="00CE7D65" w:rsidRPr="00CE7D65" w:rsidRDefault="00CE7D65" w:rsidP="005C77D4">
            <w:pPr>
              <w:rPr>
                <w:sz w:val="20"/>
                <w:szCs w:val="20"/>
              </w:rPr>
            </w:pPr>
            <w:r w:rsidRPr="00CE7D65">
              <w:rPr>
                <w:sz w:val="20"/>
                <w:szCs w:val="20"/>
              </w:rPr>
              <w:t>SOC-1</w:t>
            </w:r>
          </w:p>
        </w:tc>
        <w:tc>
          <w:tcPr>
            <w:tcW w:w="634" w:type="pct"/>
            <w:tcBorders>
              <w:top w:val="single" w:sz="4" w:space="0" w:color="auto"/>
              <w:left w:val="nil"/>
              <w:bottom w:val="nil"/>
              <w:right w:val="nil"/>
            </w:tcBorders>
          </w:tcPr>
          <w:p w14:paraId="03FEA2CD" w14:textId="77777777" w:rsidR="00CE7D65" w:rsidRPr="00CE7D65" w:rsidRDefault="00CE7D65" w:rsidP="005C77D4">
            <w:pPr>
              <w:jc w:val="center"/>
              <w:rPr>
                <w:sz w:val="20"/>
                <w:szCs w:val="20"/>
              </w:rPr>
            </w:pPr>
          </w:p>
        </w:tc>
        <w:tc>
          <w:tcPr>
            <w:tcW w:w="1134" w:type="pct"/>
            <w:tcBorders>
              <w:top w:val="single" w:sz="4" w:space="0" w:color="auto"/>
              <w:left w:val="nil"/>
              <w:bottom w:val="nil"/>
              <w:right w:val="nil"/>
            </w:tcBorders>
          </w:tcPr>
          <w:p w14:paraId="5AB8451F" w14:textId="77777777" w:rsidR="00CE7D65" w:rsidRPr="00CE7D65" w:rsidRDefault="00CE7D65" w:rsidP="005C77D4">
            <w:pPr>
              <w:jc w:val="center"/>
              <w:rPr>
                <w:sz w:val="20"/>
                <w:szCs w:val="20"/>
              </w:rPr>
            </w:pPr>
          </w:p>
        </w:tc>
        <w:tc>
          <w:tcPr>
            <w:tcW w:w="906" w:type="pct"/>
            <w:tcBorders>
              <w:top w:val="single" w:sz="4" w:space="0" w:color="auto"/>
              <w:left w:val="nil"/>
              <w:bottom w:val="nil"/>
              <w:right w:val="nil"/>
            </w:tcBorders>
          </w:tcPr>
          <w:p w14:paraId="6A40AE5F" w14:textId="77777777" w:rsidR="00CE7D65" w:rsidRPr="00CE7D65" w:rsidRDefault="00CE7D65" w:rsidP="005C77D4">
            <w:pPr>
              <w:jc w:val="center"/>
              <w:rPr>
                <w:sz w:val="20"/>
                <w:szCs w:val="20"/>
              </w:rPr>
            </w:pPr>
          </w:p>
        </w:tc>
        <w:tc>
          <w:tcPr>
            <w:tcW w:w="978" w:type="pct"/>
            <w:tcBorders>
              <w:top w:val="single" w:sz="4" w:space="0" w:color="auto"/>
              <w:left w:val="nil"/>
              <w:bottom w:val="nil"/>
              <w:right w:val="nil"/>
            </w:tcBorders>
            <w:hideMark/>
          </w:tcPr>
          <w:p w14:paraId="4E6E52DE" w14:textId="77777777" w:rsidR="00CE7D65" w:rsidRPr="00CE7D65" w:rsidRDefault="00CE7D65" w:rsidP="005C77D4">
            <w:pPr>
              <w:jc w:val="center"/>
              <w:rPr>
                <w:sz w:val="20"/>
                <w:szCs w:val="20"/>
              </w:rPr>
            </w:pPr>
            <w:r w:rsidRPr="00CE7D65">
              <w:rPr>
                <w:sz w:val="20"/>
                <w:szCs w:val="20"/>
              </w:rPr>
              <w:t>0.09</w:t>
            </w:r>
          </w:p>
        </w:tc>
        <w:tc>
          <w:tcPr>
            <w:tcW w:w="650" w:type="pct"/>
            <w:tcBorders>
              <w:top w:val="single" w:sz="4" w:space="0" w:color="auto"/>
              <w:left w:val="nil"/>
              <w:bottom w:val="nil"/>
              <w:right w:val="nil"/>
            </w:tcBorders>
            <w:hideMark/>
          </w:tcPr>
          <w:p w14:paraId="796DFF1D" w14:textId="77777777" w:rsidR="00CE7D65" w:rsidRPr="00CE7D65" w:rsidRDefault="00CE7D65" w:rsidP="005C77D4">
            <w:pPr>
              <w:jc w:val="center"/>
              <w:rPr>
                <w:sz w:val="20"/>
                <w:szCs w:val="20"/>
              </w:rPr>
            </w:pPr>
            <w:r w:rsidRPr="00CE7D65">
              <w:rPr>
                <w:sz w:val="20"/>
                <w:szCs w:val="20"/>
              </w:rPr>
              <w:t>&lt;0.01</w:t>
            </w:r>
          </w:p>
        </w:tc>
      </w:tr>
      <w:tr w:rsidR="00CE7D65" w:rsidRPr="00CE7D65" w14:paraId="3FABDA43" w14:textId="77777777" w:rsidTr="00CE7D65">
        <w:trPr>
          <w:jc w:val="center"/>
        </w:trPr>
        <w:tc>
          <w:tcPr>
            <w:tcW w:w="698" w:type="pct"/>
            <w:hideMark/>
          </w:tcPr>
          <w:p w14:paraId="4F184AFF" w14:textId="77777777" w:rsidR="00CE7D65" w:rsidRPr="00CE7D65" w:rsidRDefault="00CE7D65" w:rsidP="005C77D4">
            <w:pPr>
              <w:rPr>
                <w:sz w:val="20"/>
                <w:szCs w:val="20"/>
              </w:rPr>
            </w:pPr>
            <w:r w:rsidRPr="00CE7D65">
              <w:rPr>
                <w:sz w:val="20"/>
                <w:szCs w:val="20"/>
              </w:rPr>
              <w:t>SOC-2</w:t>
            </w:r>
          </w:p>
        </w:tc>
        <w:tc>
          <w:tcPr>
            <w:tcW w:w="634" w:type="pct"/>
          </w:tcPr>
          <w:p w14:paraId="72020B46" w14:textId="77777777" w:rsidR="00CE7D65" w:rsidRPr="00CE7D65" w:rsidRDefault="00CE7D65" w:rsidP="005C77D4">
            <w:pPr>
              <w:jc w:val="center"/>
              <w:rPr>
                <w:sz w:val="20"/>
                <w:szCs w:val="20"/>
              </w:rPr>
            </w:pPr>
          </w:p>
        </w:tc>
        <w:tc>
          <w:tcPr>
            <w:tcW w:w="1134" w:type="pct"/>
          </w:tcPr>
          <w:p w14:paraId="5377792F" w14:textId="77777777" w:rsidR="00CE7D65" w:rsidRPr="00CE7D65" w:rsidRDefault="00CE7D65" w:rsidP="005C77D4">
            <w:pPr>
              <w:jc w:val="center"/>
              <w:rPr>
                <w:sz w:val="20"/>
                <w:szCs w:val="20"/>
              </w:rPr>
            </w:pPr>
          </w:p>
        </w:tc>
        <w:tc>
          <w:tcPr>
            <w:tcW w:w="906" w:type="pct"/>
          </w:tcPr>
          <w:p w14:paraId="2970EA8D" w14:textId="77777777" w:rsidR="00CE7D65" w:rsidRPr="00CE7D65" w:rsidRDefault="00CE7D65" w:rsidP="005C77D4">
            <w:pPr>
              <w:jc w:val="center"/>
              <w:rPr>
                <w:sz w:val="20"/>
                <w:szCs w:val="20"/>
              </w:rPr>
            </w:pPr>
          </w:p>
        </w:tc>
        <w:tc>
          <w:tcPr>
            <w:tcW w:w="978" w:type="pct"/>
            <w:hideMark/>
          </w:tcPr>
          <w:p w14:paraId="6BE2DAF8" w14:textId="77777777" w:rsidR="00CE7D65" w:rsidRPr="00CE7D65" w:rsidRDefault="00CE7D65" w:rsidP="005C77D4">
            <w:pPr>
              <w:jc w:val="center"/>
              <w:rPr>
                <w:sz w:val="20"/>
                <w:szCs w:val="20"/>
              </w:rPr>
            </w:pPr>
            <w:r w:rsidRPr="00CE7D65">
              <w:rPr>
                <w:sz w:val="20"/>
                <w:szCs w:val="20"/>
              </w:rPr>
              <w:t>-0.06</w:t>
            </w:r>
          </w:p>
        </w:tc>
        <w:tc>
          <w:tcPr>
            <w:tcW w:w="650" w:type="pct"/>
            <w:hideMark/>
          </w:tcPr>
          <w:p w14:paraId="78F73B53" w14:textId="77777777" w:rsidR="00CE7D65" w:rsidRPr="00CE7D65" w:rsidRDefault="00CE7D65" w:rsidP="005C77D4">
            <w:pPr>
              <w:jc w:val="center"/>
              <w:rPr>
                <w:sz w:val="20"/>
                <w:szCs w:val="20"/>
              </w:rPr>
            </w:pPr>
            <w:r w:rsidRPr="00CE7D65">
              <w:rPr>
                <w:sz w:val="20"/>
                <w:szCs w:val="20"/>
              </w:rPr>
              <w:t>&lt;0.01</w:t>
            </w:r>
          </w:p>
        </w:tc>
      </w:tr>
      <w:tr w:rsidR="00CE7D65" w:rsidRPr="00CE7D65" w14:paraId="68616641" w14:textId="77777777" w:rsidTr="00CE7D65">
        <w:trPr>
          <w:jc w:val="center"/>
        </w:trPr>
        <w:tc>
          <w:tcPr>
            <w:tcW w:w="698" w:type="pct"/>
            <w:hideMark/>
          </w:tcPr>
          <w:p w14:paraId="3EE1009A" w14:textId="77777777" w:rsidR="00CE7D65" w:rsidRPr="00CE7D65" w:rsidRDefault="00CE7D65" w:rsidP="005C77D4">
            <w:pPr>
              <w:rPr>
                <w:sz w:val="20"/>
                <w:szCs w:val="20"/>
              </w:rPr>
            </w:pPr>
            <w:r w:rsidRPr="00CE7D65">
              <w:rPr>
                <w:sz w:val="20"/>
                <w:szCs w:val="20"/>
              </w:rPr>
              <w:t>SOC-3</w:t>
            </w:r>
          </w:p>
        </w:tc>
        <w:tc>
          <w:tcPr>
            <w:tcW w:w="634" w:type="pct"/>
          </w:tcPr>
          <w:p w14:paraId="58E0D9A1" w14:textId="77777777" w:rsidR="00CE7D65" w:rsidRPr="00CE7D65" w:rsidRDefault="00CE7D65" w:rsidP="005C77D4">
            <w:pPr>
              <w:jc w:val="center"/>
              <w:rPr>
                <w:sz w:val="20"/>
                <w:szCs w:val="20"/>
              </w:rPr>
            </w:pPr>
          </w:p>
        </w:tc>
        <w:tc>
          <w:tcPr>
            <w:tcW w:w="1134" w:type="pct"/>
          </w:tcPr>
          <w:p w14:paraId="4509CC7B" w14:textId="77777777" w:rsidR="00CE7D65" w:rsidRPr="00CE7D65" w:rsidRDefault="00CE7D65" w:rsidP="005C77D4">
            <w:pPr>
              <w:jc w:val="center"/>
              <w:rPr>
                <w:sz w:val="20"/>
                <w:szCs w:val="20"/>
              </w:rPr>
            </w:pPr>
          </w:p>
        </w:tc>
        <w:tc>
          <w:tcPr>
            <w:tcW w:w="906" w:type="pct"/>
          </w:tcPr>
          <w:p w14:paraId="23F6601B" w14:textId="77777777" w:rsidR="00CE7D65" w:rsidRPr="00CE7D65" w:rsidRDefault="00CE7D65" w:rsidP="005C77D4">
            <w:pPr>
              <w:jc w:val="center"/>
              <w:rPr>
                <w:sz w:val="20"/>
                <w:szCs w:val="20"/>
              </w:rPr>
            </w:pPr>
          </w:p>
        </w:tc>
        <w:tc>
          <w:tcPr>
            <w:tcW w:w="978" w:type="pct"/>
            <w:hideMark/>
          </w:tcPr>
          <w:p w14:paraId="3DD1A1FB" w14:textId="77777777" w:rsidR="00CE7D65" w:rsidRPr="00CE7D65" w:rsidRDefault="00CE7D65" w:rsidP="005C77D4">
            <w:pPr>
              <w:jc w:val="center"/>
              <w:rPr>
                <w:sz w:val="20"/>
                <w:szCs w:val="20"/>
              </w:rPr>
            </w:pPr>
            <w:r w:rsidRPr="00CE7D65">
              <w:rPr>
                <w:sz w:val="20"/>
                <w:szCs w:val="20"/>
              </w:rPr>
              <w:t>-0.19*</w:t>
            </w:r>
          </w:p>
        </w:tc>
        <w:tc>
          <w:tcPr>
            <w:tcW w:w="650" w:type="pct"/>
            <w:hideMark/>
          </w:tcPr>
          <w:p w14:paraId="2E400089" w14:textId="77777777" w:rsidR="00CE7D65" w:rsidRPr="00CE7D65" w:rsidRDefault="00CE7D65" w:rsidP="005C77D4">
            <w:pPr>
              <w:jc w:val="center"/>
              <w:rPr>
                <w:sz w:val="20"/>
                <w:szCs w:val="20"/>
              </w:rPr>
            </w:pPr>
            <w:r w:rsidRPr="00CE7D65">
              <w:rPr>
                <w:sz w:val="20"/>
                <w:szCs w:val="20"/>
              </w:rPr>
              <w:t>0.03</w:t>
            </w:r>
          </w:p>
        </w:tc>
      </w:tr>
      <w:tr w:rsidR="00CE7D65" w:rsidRPr="00CE7D65" w14:paraId="75790BCD" w14:textId="77777777" w:rsidTr="00CE7D65">
        <w:trPr>
          <w:jc w:val="center"/>
        </w:trPr>
        <w:tc>
          <w:tcPr>
            <w:tcW w:w="698" w:type="pct"/>
            <w:hideMark/>
          </w:tcPr>
          <w:p w14:paraId="7B9CA752" w14:textId="77777777" w:rsidR="00CE7D65" w:rsidRPr="00CE7D65" w:rsidRDefault="00CE7D65" w:rsidP="005C77D4">
            <w:pPr>
              <w:rPr>
                <w:sz w:val="20"/>
                <w:szCs w:val="20"/>
              </w:rPr>
            </w:pPr>
            <w:r w:rsidRPr="00CE7D65">
              <w:rPr>
                <w:sz w:val="20"/>
                <w:szCs w:val="20"/>
              </w:rPr>
              <w:t>SOC-4</w:t>
            </w:r>
          </w:p>
        </w:tc>
        <w:tc>
          <w:tcPr>
            <w:tcW w:w="634" w:type="pct"/>
          </w:tcPr>
          <w:p w14:paraId="43CC0194" w14:textId="77777777" w:rsidR="00CE7D65" w:rsidRPr="00CE7D65" w:rsidRDefault="00CE7D65" w:rsidP="005C77D4">
            <w:pPr>
              <w:jc w:val="center"/>
              <w:rPr>
                <w:sz w:val="20"/>
                <w:szCs w:val="20"/>
              </w:rPr>
            </w:pPr>
          </w:p>
        </w:tc>
        <w:tc>
          <w:tcPr>
            <w:tcW w:w="1134" w:type="pct"/>
          </w:tcPr>
          <w:p w14:paraId="0465704C" w14:textId="77777777" w:rsidR="00CE7D65" w:rsidRPr="00CE7D65" w:rsidRDefault="00CE7D65" w:rsidP="005C77D4">
            <w:pPr>
              <w:jc w:val="center"/>
              <w:rPr>
                <w:sz w:val="20"/>
                <w:szCs w:val="20"/>
              </w:rPr>
            </w:pPr>
          </w:p>
        </w:tc>
        <w:tc>
          <w:tcPr>
            <w:tcW w:w="906" w:type="pct"/>
            <w:hideMark/>
          </w:tcPr>
          <w:p w14:paraId="4291CBCE" w14:textId="77777777" w:rsidR="00CE7D65" w:rsidRPr="00CE7D65" w:rsidRDefault="00CE7D65" w:rsidP="005C77D4">
            <w:pPr>
              <w:jc w:val="center"/>
              <w:rPr>
                <w:sz w:val="20"/>
                <w:szCs w:val="20"/>
              </w:rPr>
            </w:pPr>
            <w:r w:rsidRPr="00CE7D65">
              <w:rPr>
                <w:sz w:val="20"/>
                <w:szCs w:val="20"/>
              </w:rPr>
              <w:t>0.35*</w:t>
            </w:r>
          </w:p>
        </w:tc>
        <w:tc>
          <w:tcPr>
            <w:tcW w:w="978" w:type="pct"/>
          </w:tcPr>
          <w:p w14:paraId="6E448084" w14:textId="77777777" w:rsidR="00CE7D65" w:rsidRPr="00CE7D65" w:rsidRDefault="00CE7D65" w:rsidP="005C77D4">
            <w:pPr>
              <w:jc w:val="center"/>
              <w:rPr>
                <w:sz w:val="20"/>
                <w:szCs w:val="20"/>
              </w:rPr>
            </w:pPr>
          </w:p>
        </w:tc>
        <w:tc>
          <w:tcPr>
            <w:tcW w:w="650" w:type="pct"/>
            <w:hideMark/>
          </w:tcPr>
          <w:p w14:paraId="55032A42" w14:textId="77777777" w:rsidR="00CE7D65" w:rsidRPr="00CE7D65" w:rsidRDefault="00CE7D65" w:rsidP="005C77D4">
            <w:pPr>
              <w:jc w:val="center"/>
              <w:rPr>
                <w:sz w:val="20"/>
                <w:szCs w:val="20"/>
              </w:rPr>
            </w:pPr>
            <w:r w:rsidRPr="00CE7D65">
              <w:rPr>
                <w:sz w:val="20"/>
                <w:szCs w:val="20"/>
              </w:rPr>
              <w:t>0.13</w:t>
            </w:r>
          </w:p>
        </w:tc>
      </w:tr>
      <w:tr w:rsidR="00CE7D65" w:rsidRPr="00CE7D65" w14:paraId="2FE74210" w14:textId="77777777" w:rsidTr="00CE7D65">
        <w:trPr>
          <w:jc w:val="center"/>
        </w:trPr>
        <w:tc>
          <w:tcPr>
            <w:tcW w:w="698" w:type="pct"/>
            <w:hideMark/>
          </w:tcPr>
          <w:p w14:paraId="3FC6B1E8" w14:textId="77777777" w:rsidR="00CE7D65" w:rsidRPr="00CE7D65" w:rsidRDefault="00CE7D65" w:rsidP="005C77D4">
            <w:pPr>
              <w:rPr>
                <w:sz w:val="20"/>
                <w:szCs w:val="20"/>
              </w:rPr>
            </w:pPr>
            <w:r w:rsidRPr="00CE7D65">
              <w:rPr>
                <w:sz w:val="20"/>
                <w:szCs w:val="20"/>
              </w:rPr>
              <w:t>SOC-5</w:t>
            </w:r>
          </w:p>
        </w:tc>
        <w:tc>
          <w:tcPr>
            <w:tcW w:w="634" w:type="pct"/>
          </w:tcPr>
          <w:p w14:paraId="44A3E3A1" w14:textId="77777777" w:rsidR="00CE7D65" w:rsidRPr="00CE7D65" w:rsidRDefault="00CE7D65" w:rsidP="005C77D4">
            <w:pPr>
              <w:jc w:val="center"/>
              <w:rPr>
                <w:sz w:val="20"/>
                <w:szCs w:val="20"/>
              </w:rPr>
            </w:pPr>
          </w:p>
        </w:tc>
        <w:tc>
          <w:tcPr>
            <w:tcW w:w="1134" w:type="pct"/>
            <w:hideMark/>
          </w:tcPr>
          <w:p w14:paraId="5E6062DD" w14:textId="77777777" w:rsidR="00CE7D65" w:rsidRPr="00CE7D65" w:rsidRDefault="00CE7D65" w:rsidP="005C77D4">
            <w:pPr>
              <w:jc w:val="center"/>
              <w:rPr>
                <w:sz w:val="20"/>
                <w:szCs w:val="20"/>
              </w:rPr>
            </w:pPr>
            <w:r w:rsidRPr="00CE7D65">
              <w:rPr>
                <w:sz w:val="20"/>
                <w:szCs w:val="20"/>
              </w:rPr>
              <w:t>0.56*</w:t>
            </w:r>
          </w:p>
        </w:tc>
        <w:tc>
          <w:tcPr>
            <w:tcW w:w="906" w:type="pct"/>
          </w:tcPr>
          <w:p w14:paraId="32BDAE26" w14:textId="77777777" w:rsidR="00CE7D65" w:rsidRPr="00CE7D65" w:rsidRDefault="00CE7D65" w:rsidP="005C77D4">
            <w:pPr>
              <w:jc w:val="center"/>
              <w:rPr>
                <w:sz w:val="20"/>
                <w:szCs w:val="20"/>
              </w:rPr>
            </w:pPr>
          </w:p>
        </w:tc>
        <w:tc>
          <w:tcPr>
            <w:tcW w:w="978" w:type="pct"/>
          </w:tcPr>
          <w:p w14:paraId="31CEB6EE" w14:textId="77777777" w:rsidR="00CE7D65" w:rsidRPr="00CE7D65" w:rsidRDefault="00CE7D65" w:rsidP="005C77D4">
            <w:pPr>
              <w:jc w:val="center"/>
              <w:rPr>
                <w:sz w:val="20"/>
                <w:szCs w:val="20"/>
              </w:rPr>
            </w:pPr>
          </w:p>
        </w:tc>
        <w:tc>
          <w:tcPr>
            <w:tcW w:w="650" w:type="pct"/>
            <w:hideMark/>
          </w:tcPr>
          <w:p w14:paraId="624C9B1B" w14:textId="77777777" w:rsidR="00CE7D65" w:rsidRPr="00CE7D65" w:rsidRDefault="00CE7D65" w:rsidP="005C77D4">
            <w:pPr>
              <w:jc w:val="center"/>
              <w:rPr>
                <w:sz w:val="20"/>
                <w:szCs w:val="20"/>
              </w:rPr>
            </w:pPr>
            <w:r w:rsidRPr="00CE7D65">
              <w:rPr>
                <w:sz w:val="20"/>
                <w:szCs w:val="20"/>
              </w:rPr>
              <w:t>0.31</w:t>
            </w:r>
          </w:p>
        </w:tc>
      </w:tr>
      <w:tr w:rsidR="00CE7D65" w:rsidRPr="00CE7D65" w14:paraId="061CA243" w14:textId="77777777" w:rsidTr="00CE7D65">
        <w:trPr>
          <w:jc w:val="center"/>
        </w:trPr>
        <w:tc>
          <w:tcPr>
            <w:tcW w:w="698" w:type="pct"/>
            <w:hideMark/>
          </w:tcPr>
          <w:p w14:paraId="55DE1ED4" w14:textId="77777777" w:rsidR="00CE7D65" w:rsidRPr="00CE7D65" w:rsidRDefault="00CE7D65" w:rsidP="005C77D4">
            <w:pPr>
              <w:rPr>
                <w:sz w:val="20"/>
                <w:szCs w:val="20"/>
              </w:rPr>
            </w:pPr>
            <w:r w:rsidRPr="00CE7D65">
              <w:rPr>
                <w:sz w:val="20"/>
                <w:szCs w:val="20"/>
              </w:rPr>
              <w:t>SOC-6</w:t>
            </w:r>
          </w:p>
        </w:tc>
        <w:tc>
          <w:tcPr>
            <w:tcW w:w="634" w:type="pct"/>
          </w:tcPr>
          <w:p w14:paraId="45517BA3" w14:textId="77777777" w:rsidR="00CE7D65" w:rsidRPr="00CE7D65" w:rsidRDefault="00CE7D65" w:rsidP="005C77D4">
            <w:pPr>
              <w:jc w:val="center"/>
              <w:rPr>
                <w:sz w:val="20"/>
                <w:szCs w:val="20"/>
              </w:rPr>
            </w:pPr>
          </w:p>
        </w:tc>
        <w:tc>
          <w:tcPr>
            <w:tcW w:w="1134" w:type="pct"/>
          </w:tcPr>
          <w:p w14:paraId="62010723" w14:textId="77777777" w:rsidR="00CE7D65" w:rsidRPr="00CE7D65" w:rsidRDefault="00CE7D65" w:rsidP="005C77D4">
            <w:pPr>
              <w:jc w:val="center"/>
              <w:rPr>
                <w:sz w:val="20"/>
                <w:szCs w:val="20"/>
              </w:rPr>
            </w:pPr>
          </w:p>
        </w:tc>
        <w:tc>
          <w:tcPr>
            <w:tcW w:w="906" w:type="pct"/>
          </w:tcPr>
          <w:p w14:paraId="5C7BAB45" w14:textId="77777777" w:rsidR="00CE7D65" w:rsidRPr="00CE7D65" w:rsidRDefault="00CE7D65" w:rsidP="005C77D4">
            <w:pPr>
              <w:jc w:val="center"/>
              <w:rPr>
                <w:sz w:val="20"/>
                <w:szCs w:val="20"/>
              </w:rPr>
            </w:pPr>
          </w:p>
        </w:tc>
        <w:tc>
          <w:tcPr>
            <w:tcW w:w="978" w:type="pct"/>
            <w:hideMark/>
          </w:tcPr>
          <w:p w14:paraId="0F6662F1" w14:textId="77777777" w:rsidR="00CE7D65" w:rsidRPr="00CE7D65" w:rsidRDefault="00CE7D65" w:rsidP="005C77D4">
            <w:pPr>
              <w:jc w:val="center"/>
              <w:rPr>
                <w:sz w:val="20"/>
                <w:szCs w:val="20"/>
              </w:rPr>
            </w:pPr>
            <w:r w:rsidRPr="00CE7D65">
              <w:rPr>
                <w:sz w:val="20"/>
                <w:szCs w:val="20"/>
              </w:rPr>
              <w:t>0.64*</w:t>
            </w:r>
          </w:p>
        </w:tc>
        <w:tc>
          <w:tcPr>
            <w:tcW w:w="650" w:type="pct"/>
            <w:hideMark/>
          </w:tcPr>
          <w:p w14:paraId="65EE681A" w14:textId="77777777" w:rsidR="00CE7D65" w:rsidRPr="00CE7D65" w:rsidRDefault="00CE7D65" w:rsidP="005C77D4">
            <w:pPr>
              <w:jc w:val="center"/>
              <w:rPr>
                <w:sz w:val="20"/>
                <w:szCs w:val="20"/>
              </w:rPr>
            </w:pPr>
            <w:r w:rsidRPr="00CE7D65">
              <w:rPr>
                <w:sz w:val="20"/>
                <w:szCs w:val="20"/>
              </w:rPr>
              <w:t>0.42</w:t>
            </w:r>
          </w:p>
        </w:tc>
      </w:tr>
      <w:tr w:rsidR="00CE7D65" w:rsidRPr="00CE7D65" w14:paraId="0B91F9B7" w14:textId="77777777" w:rsidTr="00CE7D65">
        <w:trPr>
          <w:jc w:val="center"/>
        </w:trPr>
        <w:tc>
          <w:tcPr>
            <w:tcW w:w="698" w:type="pct"/>
            <w:hideMark/>
          </w:tcPr>
          <w:p w14:paraId="13899EA3" w14:textId="77777777" w:rsidR="00CE7D65" w:rsidRPr="00CE7D65" w:rsidRDefault="00CE7D65" w:rsidP="005C77D4">
            <w:pPr>
              <w:rPr>
                <w:sz w:val="20"/>
                <w:szCs w:val="20"/>
              </w:rPr>
            </w:pPr>
            <w:r w:rsidRPr="00CE7D65">
              <w:rPr>
                <w:sz w:val="20"/>
                <w:szCs w:val="20"/>
              </w:rPr>
              <w:t>SOC-7</w:t>
            </w:r>
          </w:p>
        </w:tc>
        <w:tc>
          <w:tcPr>
            <w:tcW w:w="634" w:type="pct"/>
          </w:tcPr>
          <w:p w14:paraId="219792D5" w14:textId="77777777" w:rsidR="00CE7D65" w:rsidRPr="00CE7D65" w:rsidRDefault="00CE7D65" w:rsidP="005C77D4">
            <w:pPr>
              <w:jc w:val="center"/>
              <w:rPr>
                <w:sz w:val="20"/>
                <w:szCs w:val="20"/>
              </w:rPr>
            </w:pPr>
          </w:p>
        </w:tc>
        <w:tc>
          <w:tcPr>
            <w:tcW w:w="1134" w:type="pct"/>
          </w:tcPr>
          <w:p w14:paraId="4EE8B105" w14:textId="77777777" w:rsidR="00CE7D65" w:rsidRPr="00CE7D65" w:rsidRDefault="00CE7D65" w:rsidP="005C77D4">
            <w:pPr>
              <w:jc w:val="center"/>
              <w:rPr>
                <w:sz w:val="20"/>
                <w:szCs w:val="20"/>
              </w:rPr>
            </w:pPr>
          </w:p>
        </w:tc>
        <w:tc>
          <w:tcPr>
            <w:tcW w:w="906" w:type="pct"/>
            <w:hideMark/>
          </w:tcPr>
          <w:p w14:paraId="4FDBFD22" w14:textId="77777777" w:rsidR="00CE7D65" w:rsidRPr="00CE7D65" w:rsidRDefault="00CE7D65" w:rsidP="005C77D4">
            <w:pPr>
              <w:jc w:val="center"/>
              <w:rPr>
                <w:sz w:val="20"/>
                <w:szCs w:val="20"/>
              </w:rPr>
            </w:pPr>
            <w:r w:rsidRPr="00CE7D65">
              <w:rPr>
                <w:sz w:val="20"/>
                <w:szCs w:val="20"/>
              </w:rPr>
              <w:t>0.55*</w:t>
            </w:r>
          </w:p>
        </w:tc>
        <w:tc>
          <w:tcPr>
            <w:tcW w:w="978" w:type="pct"/>
          </w:tcPr>
          <w:p w14:paraId="458AE5E8" w14:textId="77777777" w:rsidR="00CE7D65" w:rsidRPr="00CE7D65" w:rsidRDefault="00CE7D65" w:rsidP="005C77D4">
            <w:pPr>
              <w:jc w:val="center"/>
              <w:rPr>
                <w:sz w:val="20"/>
                <w:szCs w:val="20"/>
              </w:rPr>
            </w:pPr>
          </w:p>
        </w:tc>
        <w:tc>
          <w:tcPr>
            <w:tcW w:w="650" w:type="pct"/>
            <w:hideMark/>
          </w:tcPr>
          <w:p w14:paraId="7CA2C5FA" w14:textId="77777777" w:rsidR="00CE7D65" w:rsidRPr="00CE7D65" w:rsidRDefault="00CE7D65" w:rsidP="005C77D4">
            <w:pPr>
              <w:jc w:val="center"/>
              <w:rPr>
                <w:sz w:val="20"/>
                <w:szCs w:val="20"/>
              </w:rPr>
            </w:pPr>
            <w:r w:rsidRPr="00CE7D65">
              <w:rPr>
                <w:sz w:val="20"/>
                <w:szCs w:val="20"/>
              </w:rPr>
              <w:t>0.30</w:t>
            </w:r>
          </w:p>
        </w:tc>
      </w:tr>
      <w:tr w:rsidR="00CE7D65" w:rsidRPr="00CE7D65" w14:paraId="62F73A31" w14:textId="77777777" w:rsidTr="00CE7D65">
        <w:trPr>
          <w:jc w:val="center"/>
        </w:trPr>
        <w:tc>
          <w:tcPr>
            <w:tcW w:w="698" w:type="pct"/>
            <w:hideMark/>
          </w:tcPr>
          <w:p w14:paraId="7A25988D" w14:textId="77777777" w:rsidR="00CE7D65" w:rsidRPr="00CE7D65" w:rsidRDefault="00CE7D65" w:rsidP="005C77D4">
            <w:pPr>
              <w:rPr>
                <w:sz w:val="20"/>
                <w:szCs w:val="20"/>
              </w:rPr>
            </w:pPr>
            <w:r w:rsidRPr="00CE7D65">
              <w:rPr>
                <w:sz w:val="20"/>
                <w:szCs w:val="20"/>
              </w:rPr>
              <w:t>SOC-8</w:t>
            </w:r>
          </w:p>
        </w:tc>
        <w:tc>
          <w:tcPr>
            <w:tcW w:w="634" w:type="pct"/>
          </w:tcPr>
          <w:p w14:paraId="0F5A4679" w14:textId="77777777" w:rsidR="00CE7D65" w:rsidRPr="00CE7D65" w:rsidRDefault="00CE7D65" w:rsidP="005C77D4">
            <w:pPr>
              <w:jc w:val="center"/>
              <w:rPr>
                <w:sz w:val="20"/>
                <w:szCs w:val="20"/>
              </w:rPr>
            </w:pPr>
          </w:p>
        </w:tc>
        <w:tc>
          <w:tcPr>
            <w:tcW w:w="1134" w:type="pct"/>
            <w:hideMark/>
          </w:tcPr>
          <w:p w14:paraId="154E3D24" w14:textId="77777777" w:rsidR="00CE7D65" w:rsidRPr="00CE7D65" w:rsidRDefault="00CE7D65" w:rsidP="005C77D4">
            <w:pPr>
              <w:jc w:val="center"/>
              <w:rPr>
                <w:sz w:val="20"/>
                <w:szCs w:val="20"/>
              </w:rPr>
            </w:pPr>
            <w:r w:rsidRPr="00CE7D65">
              <w:rPr>
                <w:sz w:val="20"/>
                <w:szCs w:val="20"/>
              </w:rPr>
              <w:t>0.68*</w:t>
            </w:r>
          </w:p>
        </w:tc>
        <w:tc>
          <w:tcPr>
            <w:tcW w:w="906" w:type="pct"/>
          </w:tcPr>
          <w:p w14:paraId="758C55DB" w14:textId="77777777" w:rsidR="00CE7D65" w:rsidRPr="00CE7D65" w:rsidRDefault="00CE7D65" w:rsidP="005C77D4">
            <w:pPr>
              <w:jc w:val="center"/>
              <w:rPr>
                <w:sz w:val="20"/>
                <w:szCs w:val="20"/>
              </w:rPr>
            </w:pPr>
          </w:p>
        </w:tc>
        <w:tc>
          <w:tcPr>
            <w:tcW w:w="978" w:type="pct"/>
          </w:tcPr>
          <w:p w14:paraId="23C6B336" w14:textId="77777777" w:rsidR="00CE7D65" w:rsidRPr="00CE7D65" w:rsidRDefault="00CE7D65" w:rsidP="005C77D4">
            <w:pPr>
              <w:jc w:val="center"/>
              <w:rPr>
                <w:sz w:val="20"/>
                <w:szCs w:val="20"/>
              </w:rPr>
            </w:pPr>
          </w:p>
        </w:tc>
        <w:tc>
          <w:tcPr>
            <w:tcW w:w="650" w:type="pct"/>
            <w:hideMark/>
          </w:tcPr>
          <w:p w14:paraId="18D5F3D0" w14:textId="77777777" w:rsidR="00CE7D65" w:rsidRPr="00CE7D65" w:rsidRDefault="00CE7D65" w:rsidP="005C77D4">
            <w:pPr>
              <w:jc w:val="center"/>
              <w:rPr>
                <w:sz w:val="20"/>
                <w:szCs w:val="20"/>
              </w:rPr>
            </w:pPr>
            <w:r w:rsidRPr="00CE7D65">
              <w:rPr>
                <w:sz w:val="20"/>
                <w:szCs w:val="20"/>
              </w:rPr>
              <w:t>0.46</w:t>
            </w:r>
          </w:p>
        </w:tc>
      </w:tr>
      <w:tr w:rsidR="00CE7D65" w:rsidRPr="00CE7D65" w14:paraId="3EB866D2" w14:textId="77777777" w:rsidTr="00CE7D65">
        <w:trPr>
          <w:jc w:val="center"/>
        </w:trPr>
        <w:tc>
          <w:tcPr>
            <w:tcW w:w="698" w:type="pct"/>
            <w:hideMark/>
          </w:tcPr>
          <w:p w14:paraId="41805C84" w14:textId="77777777" w:rsidR="00CE7D65" w:rsidRPr="00CE7D65" w:rsidRDefault="00CE7D65" w:rsidP="005C77D4">
            <w:pPr>
              <w:rPr>
                <w:sz w:val="20"/>
                <w:szCs w:val="20"/>
              </w:rPr>
            </w:pPr>
            <w:r w:rsidRPr="00CE7D65">
              <w:rPr>
                <w:sz w:val="20"/>
                <w:szCs w:val="20"/>
              </w:rPr>
              <w:t>SOC-9</w:t>
            </w:r>
          </w:p>
        </w:tc>
        <w:tc>
          <w:tcPr>
            <w:tcW w:w="634" w:type="pct"/>
          </w:tcPr>
          <w:p w14:paraId="746A1150" w14:textId="77777777" w:rsidR="00CE7D65" w:rsidRPr="00CE7D65" w:rsidRDefault="00CE7D65" w:rsidP="005C77D4">
            <w:pPr>
              <w:jc w:val="center"/>
              <w:rPr>
                <w:sz w:val="20"/>
                <w:szCs w:val="20"/>
              </w:rPr>
            </w:pPr>
          </w:p>
        </w:tc>
        <w:tc>
          <w:tcPr>
            <w:tcW w:w="1134" w:type="pct"/>
          </w:tcPr>
          <w:p w14:paraId="24271057" w14:textId="77777777" w:rsidR="00CE7D65" w:rsidRPr="00CE7D65" w:rsidRDefault="00CE7D65" w:rsidP="005C77D4">
            <w:pPr>
              <w:jc w:val="center"/>
              <w:rPr>
                <w:sz w:val="20"/>
                <w:szCs w:val="20"/>
              </w:rPr>
            </w:pPr>
          </w:p>
        </w:tc>
        <w:tc>
          <w:tcPr>
            <w:tcW w:w="906" w:type="pct"/>
            <w:hideMark/>
          </w:tcPr>
          <w:p w14:paraId="09AAB133" w14:textId="77777777" w:rsidR="00CE7D65" w:rsidRPr="00CE7D65" w:rsidRDefault="00CE7D65" w:rsidP="005C77D4">
            <w:pPr>
              <w:jc w:val="center"/>
              <w:rPr>
                <w:sz w:val="20"/>
                <w:szCs w:val="20"/>
              </w:rPr>
            </w:pPr>
            <w:r w:rsidRPr="00CE7D65">
              <w:rPr>
                <w:sz w:val="20"/>
                <w:szCs w:val="20"/>
              </w:rPr>
              <w:t>0.40*</w:t>
            </w:r>
          </w:p>
        </w:tc>
        <w:tc>
          <w:tcPr>
            <w:tcW w:w="978" w:type="pct"/>
          </w:tcPr>
          <w:p w14:paraId="745CB1F6" w14:textId="77777777" w:rsidR="00CE7D65" w:rsidRPr="00CE7D65" w:rsidRDefault="00CE7D65" w:rsidP="005C77D4">
            <w:pPr>
              <w:jc w:val="center"/>
              <w:rPr>
                <w:sz w:val="20"/>
                <w:szCs w:val="20"/>
              </w:rPr>
            </w:pPr>
          </w:p>
        </w:tc>
        <w:tc>
          <w:tcPr>
            <w:tcW w:w="650" w:type="pct"/>
            <w:hideMark/>
          </w:tcPr>
          <w:p w14:paraId="232432AA" w14:textId="77777777" w:rsidR="00CE7D65" w:rsidRPr="00CE7D65" w:rsidRDefault="00CE7D65" w:rsidP="005C77D4">
            <w:pPr>
              <w:jc w:val="center"/>
              <w:rPr>
                <w:sz w:val="20"/>
                <w:szCs w:val="20"/>
              </w:rPr>
            </w:pPr>
            <w:r w:rsidRPr="00CE7D65">
              <w:rPr>
                <w:sz w:val="20"/>
                <w:szCs w:val="20"/>
              </w:rPr>
              <w:t>0.16</w:t>
            </w:r>
          </w:p>
        </w:tc>
      </w:tr>
      <w:tr w:rsidR="00CE7D65" w:rsidRPr="00CE7D65" w14:paraId="06FDC33A" w14:textId="77777777" w:rsidTr="00CE7D65">
        <w:trPr>
          <w:jc w:val="center"/>
        </w:trPr>
        <w:tc>
          <w:tcPr>
            <w:tcW w:w="698" w:type="pct"/>
            <w:hideMark/>
          </w:tcPr>
          <w:p w14:paraId="434D4F92" w14:textId="77777777" w:rsidR="00CE7D65" w:rsidRPr="00CE7D65" w:rsidRDefault="00CE7D65" w:rsidP="005C77D4">
            <w:pPr>
              <w:rPr>
                <w:sz w:val="20"/>
                <w:szCs w:val="20"/>
              </w:rPr>
            </w:pPr>
            <w:r w:rsidRPr="00CE7D65">
              <w:rPr>
                <w:sz w:val="20"/>
                <w:szCs w:val="20"/>
              </w:rPr>
              <w:t>SOC-10</w:t>
            </w:r>
          </w:p>
        </w:tc>
        <w:tc>
          <w:tcPr>
            <w:tcW w:w="634" w:type="pct"/>
          </w:tcPr>
          <w:p w14:paraId="07F2603F" w14:textId="77777777" w:rsidR="00CE7D65" w:rsidRPr="00CE7D65" w:rsidRDefault="00CE7D65" w:rsidP="005C77D4">
            <w:pPr>
              <w:jc w:val="center"/>
              <w:rPr>
                <w:sz w:val="20"/>
                <w:szCs w:val="20"/>
              </w:rPr>
            </w:pPr>
          </w:p>
        </w:tc>
        <w:tc>
          <w:tcPr>
            <w:tcW w:w="1134" w:type="pct"/>
            <w:hideMark/>
          </w:tcPr>
          <w:p w14:paraId="7862F9F2" w14:textId="77777777" w:rsidR="00CE7D65" w:rsidRPr="00CE7D65" w:rsidRDefault="00CE7D65" w:rsidP="005C77D4">
            <w:pPr>
              <w:jc w:val="center"/>
              <w:rPr>
                <w:sz w:val="20"/>
                <w:szCs w:val="20"/>
              </w:rPr>
            </w:pPr>
            <w:r w:rsidRPr="00CE7D65">
              <w:rPr>
                <w:sz w:val="20"/>
                <w:szCs w:val="20"/>
              </w:rPr>
              <w:t>0.51*</w:t>
            </w:r>
          </w:p>
        </w:tc>
        <w:tc>
          <w:tcPr>
            <w:tcW w:w="906" w:type="pct"/>
          </w:tcPr>
          <w:p w14:paraId="081BA770" w14:textId="77777777" w:rsidR="00CE7D65" w:rsidRPr="00CE7D65" w:rsidRDefault="00CE7D65" w:rsidP="005C77D4">
            <w:pPr>
              <w:jc w:val="center"/>
              <w:rPr>
                <w:sz w:val="20"/>
                <w:szCs w:val="20"/>
              </w:rPr>
            </w:pPr>
          </w:p>
        </w:tc>
        <w:tc>
          <w:tcPr>
            <w:tcW w:w="978" w:type="pct"/>
          </w:tcPr>
          <w:p w14:paraId="27F3242B" w14:textId="77777777" w:rsidR="00CE7D65" w:rsidRPr="00CE7D65" w:rsidRDefault="00CE7D65" w:rsidP="005C77D4">
            <w:pPr>
              <w:jc w:val="center"/>
              <w:rPr>
                <w:sz w:val="20"/>
                <w:szCs w:val="20"/>
              </w:rPr>
            </w:pPr>
          </w:p>
        </w:tc>
        <w:tc>
          <w:tcPr>
            <w:tcW w:w="650" w:type="pct"/>
            <w:hideMark/>
          </w:tcPr>
          <w:p w14:paraId="35BF4D1B" w14:textId="77777777" w:rsidR="00CE7D65" w:rsidRPr="00CE7D65" w:rsidRDefault="00CE7D65" w:rsidP="005C77D4">
            <w:pPr>
              <w:jc w:val="center"/>
              <w:rPr>
                <w:sz w:val="20"/>
                <w:szCs w:val="20"/>
              </w:rPr>
            </w:pPr>
            <w:r w:rsidRPr="00CE7D65">
              <w:rPr>
                <w:sz w:val="20"/>
                <w:szCs w:val="20"/>
              </w:rPr>
              <w:t>0.26</w:t>
            </w:r>
          </w:p>
        </w:tc>
      </w:tr>
      <w:tr w:rsidR="00CE7D65" w:rsidRPr="00CE7D65" w14:paraId="63A81192" w14:textId="77777777" w:rsidTr="00CE7D65">
        <w:trPr>
          <w:jc w:val="center"/>
        </w:trPr>
        <w:tc>
          <w:tcPr>
            <w:tcW w:w="698" w:type="pct"/>
            <w:hideMark/>
          </w:tcPr>
          <w:p w14:paraId="5037474F" w14:textId="77777777" w:rsidR="00CE7D65" w:rsidRPr="00CE7D65" w:rsidRDefault="00CE7D65" w:rsidP="005C77D4">
            <w:pPr>
              <w:rPr>
                <w:sz w:val="20"/>
                <w:szCs w:val="20"/>
              </w:rPr>
            </w:pPr>
            <w:r w:rsidRPr="00CE7D65">
              <w:rPr>
                <w:sz w:val="20"/>
                <w:szCs w:val="20"/>
              </w:rPr>
              <w:t>SOC-11</w:t>
            </w:r>
          </w:p>
        </w:tc>
        <w:tc>
          <w:tcPr>
            <w:tcW w:w="634" w:type="pct"/>
          </w:tcPr>
          <w:p w14:paraId="73B78739" w14:textId="77777777" w:rsidR="00CE7D65" w:rsidRPr="00CE7D65" w:rsidRDefault="00CE7D65" w:rsidP="005C77D4">
            <w:pPr>
              <w:jc w:val="center"/>
              <w:rPr>
                <w:sz w:val="20"/>
                <w:szCs w:val="20"/>
              </w:rPr>
            </w:pPr>
          </w:p>
        </w:tc>
        <w:tc>
          <w:tcPr>
            <w:tcW w:w="1134" w:type="pct"/>
          </w:tcPr>
          <w:p w14:paraId="62CB9AA1" w14:textId="77777777" w:rsidR="00CE7D65" w:rsidRPr="00CE7D65" w:rsidRDefault="00CE7D65" w:rsidP="005C77D4">
            <w:pPr>
              <w:jc w:val="center"/>
              <w:rPr>
                <w:sz w:val="20"/>
                <w:szCs w:val="20"/>
              </w:rPr>
            </w:pPr>
          </w:p>
        </w:tc>
        <w:tc>
          <w:tcPr>
            <w:tcW w:w="906" w:type="pct"/>
            <w:hideMark/>
          </w:tcPr>
          <w:p w14:paraId="37F7F552" w14:textId="77777777" w:rsidR="00CE7D65" w:rsidRPr="00CE7D65" w:rsidRDefault="00CE7D65" w:rsidP="005C77D4">
            <w:pPr>
              <w:jc w:val="center"/>
              <w:rPr>
                <w:sz w:val="20"/>
                <w:szCs w:val="20"/>
              </w:rPr>
            </w:pPr>
            <w:r w:rsidRPr="00CE7D65">
              <w:rPr>
                <w:sz w:val="20"/>
                <w:szCs w:val="20"/>
              </w:rPr>
              <w:t>0.51*</w:t>
            </w:r>
          </w:p>
        </w:tc>
        <w:tc>
          <w:tcPr>
            <w:tcW w:w="978" w:type="pct"/>
          </w:tcPr>
          <w:p w14:paraId="3E8B14AB" w14:textId="77777777" w:rsidR="00CE7D65" w:rsidRPr="00CE7D65" w:rsidRDefault="00CE7D65" w:rsidP="005C77D4">
            <w:pPr>
              <w:jc w:val="center"/>
              <w:rPr>
                <w:sz w:val="20"/>
                <w:szCs w:val="20"/>
              </w:rPr>
            </w:pPr>
          </w:p>
        </w:tc>
        <w:tc>
          <w:tcPr>
            <w:tcW w:w="650" w:type="pct"/>
            <w:hideMark/>
          </w:tcPr>
          <w:p w14:paraId="78A4C1B4" w14:textId="77777777" w:rsidR="00CE7D65" w:rsidRPr="00CE7D65" w:rsidRDefault="00CE7D65" w:rsidP="005C77D4">
            <w:pPr>
              <w:jc w:val="center"/>
              <w:rPr>
                <w:sz w:val="20"/>
                <w:szCs w:val="20"/>
              </w:rPr>
            </w:pPr>
            <w:r w:rsidRPr="00CE7D65">
              <w:rPr>
                <w:sz w:val="20"/>
                <w:szCs w:val="20"/>
              </w:rPr>
              <w:t>0.26</w:t>
            </w:r>
          </w:p>
        </w:tc>
      </w:tr>
      <w:tr w:rsidR="00CE7D65" w:rsidRPr="00CE7D65" w14:paraId="6498AE06" w14:textId="77777777" w:rsidTr="00CE7D65">
        <w:trPr>
          <w:jc w:val="center"/>
        </w:trPr>
        <w:tc>
          <w:tcPr>
            <w:tcW w:w="698" w:type="pct"/>
            <w:hideMark/>
          </w:tcPr>
          <w:p w14:paraId="41B6FF8E" w14:textId="77777777" w:rsidR="00CE7D65" w:rsidRPr="00CE7D65" w:rsidRDefault="00CE7D65" w:rsidP="005C77D4">
            <w:pPr>
              <w:rPr>
                <w:sz w:val="20"/>
                <w:szCs w:val="20"/>
              </w:rPr>
            </w:pPr>
            <w:r w:rsidRPr="00CE7D65">
              <w:rPr>
                <w:sz w:val="20"/>
                <w:szCs w:val="20"/>
              </w:rPr>
              <w:t>SOC-12</w:t>
            </w:r>
          </w:p>
        </w:tc>
        <w:tc>
          <w:tcPr>
            <w:tcW w:w="634" w:type="pct"/>
          </w:tcPr>
          <w:p w14:paraId="2476CB8C" w14:textId="77777777" w:rsidR="00CE7D65" w:rsidRPr="00CE7D65" w:rsidRDefault="00CE7D65" w:rsidP="005C77D4">
            <w:pPr>
              <w:jc w:val="center"/>
              <w:rPr>
                <w:sz w:val="20"/>
                <w:szCs w:val="20"/>
              </w:rPr>
            </w:pPr>
          </w:p>
        </w:tc>
        <w:tc>
          <w:tcPr>
            <w:tcW w:w="1134" w:type="pct"/>
            <w:hideMark/>
          </w:tcPr>
          <w:p w14:paraId="7C6B6EFB" w14:textId="77777777" w:rsidR="00CE7D65" w:rsidRPr="00CE7D65" w:rsidRDefault="00CE7D65" w:rsidP="005C77D4">
            <w:pPr>
              <w:jc w:val="center"/>
              <w:rPr>
                <w:sz w:val="20"/>
                <w:szCs w:val="20"/>
              </w:rPr>
            </w:pPr>
            <w:r w:rsidRPr="00CE7D65">
              <w:rPr>
                <w:sz w:val="20"/>
                <w:szCs w:val="20"/>
              </w:rPr>
              <w:t>0.50*</w:t>
            </w:r>
          </w:p>
        </w:tc>
        <w:tc>
          <w:tcPr>
            <w:tcW w:w="906" w:type="pct"/>
          </w:tcPr>
          <w:p w14:paraId="408D8B12" w14:textId="77777777" w:rsidR="00CE7D65" w:rsidRPr="00CE7D65" w:rsidRDefault="00CE7D65" w:rsidP="005C77D4">
            <w:pPr>
              <w:jc w:val="center"/>
              <w:rPr>
                <w:sz w:val="20"/>
                <w:szCs w:val="20"/>
              </w:rPr>
            </w:pPr>
          </w:p>
        </w:tc>
        <w:tc>
          <w:tcPr>
            <w:tcW w:w="978" w:type="pct"/>
          </w:tcPr>
          <w:p w14:paraId="111CFCFF" w14:textId="77777777" w:rsidR="00CE7D65" w:rsidRPr="00CE7D65" w:rsidRDefault="00CE7D65" w:rsidP="005C77D4">
            <w:pPr>
              <w:jc w:val="center"/>
              <w:rPr>
                <w:sz w:val="20"/>
                <w:szCs w:val="20"/>
              </w:rPr>
            </w:pPr>
          </w:p>
        </w:tc>
        <w:tc>
          <w:tcPr>
            <w:tcW w:w="650" w:type="pct"/>
            <w:hideMark/>
          </w:tcPr>
          <w:p w14:paraId="202272BE" w14:textId="77777777" w:rsidR="00CE7D65" w:rsidRPr="00CE7D65" w:rsidRDefault="00CE7D65" w:rsidP="005C77D4">
            <w:pPr>
              <w:jc w:val="center"/>
              <w:rPr>
                <w:sz w:val="20"/>
                <w:szCs w:val="20"/>
              </w:rPr>
            </w:pPr>
            <w:r w:rsidRPr="00CE7D65">
              <w:rPr>
                <w:sz w:val="20"/>
                <w:szCs w:val="20"/>
              </w:rPr>
              <w:t>0.25</w:t>
            </w:r>
          </w:p>
        </w:tc>
      </w:tr>
      <w:tr w:rsidR="00CE7D65" w:rsidRPr="00CE7D65" w14:paraId="02201FC4" w14:textId="77777777" w:rsidTr="00CE7D65">
        <w:trPr>
          <w:jc w:val="center"/>
        </w:trPr>
        <w:tc>
          <w:tcPr>
            <w:tcW w:w="698" w:type="pct"/>
            <w:tcBorders>
              <w:bottom w:val="single" w:sz="4" w:space="0" w:color="auto"/>
            </w:tcBorders>
            <w:hideMark/>
          </w:tcPr>
          <w:p w14:paraId="50591590" w14:textId="77777777" w:rsidR="00CE7D65" w:rsidRPr="00CE7D65" w:rsidRDefault="00CE7D65" w:rsidP="005C77D4">
            <w:pPr>
              <w:rPr>
                <w:sz w:val="20"/>
                <w:szCs w:val="20"/>
              </w:rPr>
            </w:pPr>
            <w:r w:rsidRPr="00CE7D65">
              <w:rPr>
                <w:sz w:val="20"/>
                <w:szCs w:val="20"/>
              </w:rPr>
              <w:t>SOC-13</w:t>
            </w:r>
          </w:p>
        </w:tc>
        <w:tc>
          <w:tcPr>
            <w:tcW w:w="634" w:type="pct"/>
            <w:tcBorders>
              <w:bottom w:val="single" w:sz="4" w:space="0" w:color="auto"/>
            </w:tcBorders>
          </w:tcPr>
          <w:p w14:paraId="049D190C" w14:textId="77777777" w:rsidR="00CE7D65" w:rsidRPr="00CE7D65" w:rsidRDefault="00CE7D65" w:rsidP="005C77D4">
            <w:pPr>
              <w:jc w:val="center"/>
              <w:rPr>
                <w:sz w:val="20"/>
                <w:szCs w:val="20"/>
              </w:rPr>
            </w:pPr>
          </w:p>
        </w:tc>
        <w:tc>
          <w:tcPr>
            <w:tcW w:w="1134" w:type="pct"/>
            <w:tcBorders>
              <w:bottom w:val="single" w:sz="4" w:space="0" w:color="auto"/>
            </w:tcBorders>
            <w:hideMark/>
          </w:tcPr>
          <w:p w14:paraId="19D68BC5" w14:textId="77777777" w:rsidR="00CE7D65" w:rsidRPr="00CE7D65" w:rsidRDefault="00CE7D65" w:rsidP="005C77D4">
            <w:pPr>
              <w:rPr>
                <w:sz w:val="20"/>
                <w:szCs w:val="20"/>
              </w:rPr>
            </w:pPr>
            <w:r w:rsidRPr="00CE7D65">
              <w:rPr>
                <w:sz w:val="20"/>
                <w:szCs w:val="20"/>
              </w:rPr>
              <w:t xml:space="preserve">            0.08</w:t>
            </w:r>
          </w:p>
        </w:tc>
        <w:tc>
          <w:tcPr>
            <w:tcW w:w="906" w:type="pct"/>
            <w:tcBorders>
              <w:bottom w:val="single" w:sz="4" w:space="0" w:color="auto"/>
            </w:tcBorders>
          </w:tcPr>
          <w:p w14:paraId="56BCD710" w14:textId="77777777" w:rsidR="00CE7D65" w:rsidRPr="00CE7D65" w:rsidRDefault="00CE7D65" w:rsidP="005C77D4">
            <w:pPr>
              <w:jc w:val="center"/>
              <w:rPr>
                <w:sz w:val="20"/>
                <w:szCs w:val="20"/>
              </w:rPr>
            </w:pPr>
          </w:p>
        </w:tc>
        <w:tc>
          <w:tcPr>
            <w:tcW w:w="978" w:type="pct"/>
            <w:tcBorders>
              <w:bottom w:val="single" w:sz="4" w:space="0" w:color="auto"/>
            </w:tcBorders>
          </w:tcPr>
          <w:p w14:paraId="25935A21" w14:textId="77777777" w:rsidR="00CE7D65" w:rsidRPr="00CE7D65" w:rsidRDefault="00CE7D65" w:rsidP="005C77D4">
            <w:pPr>
              <w:jc w:val="center"/>
              <w:rPr>
                <w:sz w:val="20"/>
                <w:szCs w:val="20"/>
              </w:rPr>
            </w:pPr>
          </w:p>
        </w:tc>
        <w:tc>
          <w:tcPr>
            <w:tcW w:w="650" w:type="pct"/>
            <w:tcBorders>
              <w:bottom w:val="single" w:sz="4" w:space="0" w:color="auto"/>
            </w:tcBorders>
            <w:hideMark/>
          </w:tcPr>
          <w:p w14:paraId="20F56B3F" w14:textId="77777777" w:rsidR="00CE7D65" w:rsidRPr="00CE7D65" w:rsidRDefault="00CE7D65" w:rsidP="005C77D4">
            <w:pPr>
              <w:jc w:val="center"/>
              <w:rPr>
                <w:sz w:val="20"/>
                <w:szCs w:val="20"/>
              </w:rPr>
            </w:pPr>
            <w:r w:rsidRPr="00CE7D65">
              <w:rPr>
                <w:sz w:val="20"/>
                <w:szCs w:val="20"/>
              </w:rPr>
              <w:t>&lt;0.01</w:t>
            </w:r>
          </w:p>
        </w:tc>
      </w:tr>
      <w:tr w:rsidR="00CE7D65" w:rsidRPr="00CE7D65" w14:paraId="0E316F2D" w14:textId="77777777" w:rsidTr="00CE7D65">
        <w:trPr>
          <w:jc w:val="center"/>
        </w:trPr>
        <w:tc>
          <w:tcPr>
            <w:tcW w:w="698" w:type="pct"/>
            <w:tcBorders>
              <w:top w:val="single" w:sz="4" w:space="0" w:color="auto"/>
            </w:tcBorders>
            <w:hideMark/>
          </w:tcPr>
          <w:p w14:paraId="256F4772" w14:textId="77777777" w:rsidR="00CE7D65" w:rsidRPr="00CE7D65" w:rsidRDefault="00CE7D65" w:rsidP="005C77D4">
            <w:pPr>
              <w:rPr>
                <w:sz w:val="20"/>
                <w:szCs w:val="20"/>
                <w:vertAlign w:val="superscript"/>
              </w:rPr>
            </w:pPr>
            <w:r w:rsidRPr="00CE7D65">
              <w:rPr>
                <w:sz w:val="20"/>
                <w:szCs w:val="20"/>
              </w:rPr>
              <w:t>F1&lt;-&gt;F2</w:t>
            </w:r>
            <w:r w:rsidRPr="00CE7D65">
              <w:rPr>
                <w:sz w:val="20"/>
                <w:szCs w:val="20"/>
                <w:vertAlign w:val="superscript"/>
              </w:rPr>
              <w:t>£</w:t>
            </w:r>
          </w:p>
        </w:tc>
        <w:tc>
          <w:tcPr>
            <w:tcW w:w="634" w:type="pct"/>
            <w:tcBorders>
              <w:top w:val="single" w:sz="4" w:space="0" w:color="auto"/>
            </w:tcBorders>
            <w:hideMark/>
          </w:tcPr>
          <w:p w14:paraId="39149E75" w14:textId="77777777" w:rsidR="00CE7D65" w:rsidRPr="00CE7D65" w:rsidRDefault="00CE7D65" w:rsidP="005C77D4">
            <w:pPr>
              <w:jc w:val="center"/>
              <w:rPr>
                <w:sz w:val="20"/>
                <w:szCs w:val="20"/>
              </w:rPr>
            </w:pPr>
            <w:r w:rsidRPr="00CE7D65">
              <w:rPr>
                <w:sz w:val="20"/>
                <w:szCs w:val="20"/>
              </w:rPr>
              <w:t>0.93*</w:t>
            </w:r>
          </w:p>
        </w:tc>
        <w:tc>
          <w:tcPr>
            <w:tcW w:w="1134" w:type="pct"/>
            <w:tcBorders>
              <w:top w:val="single" w:sz="4" w:space="0" w:color="auto"/>
            </w:tcBorders>
          </w:tcPr>
          <w:p w14:paraId="670FC844" w14:textId="77777777" w:rsidR="00CE7D65" w:rsidRPr="00CE7D65" w:rsidRDefault="00CE7D65" w:rsidP="005C77D4">
            <w:pPr>
              <w:jc w:val="center"/>
              <w:rPr>
                <w:sz w:val="20"/>
                <w:szCs w:val="20"/>
              </w:rPr>
            </w:pPr>
          </w:p>
        </w:tc>
        <w:tc>
          <w:tcPr>
            <w:tcW w:w="906" w:type="pct"/>
            <w:tcBorders>
              <w:top w:val="single" w:sz="4" w:space="0" w:color="auto"/>
            </w:tcBorders>
          </w:tcPr>
          <w:p w14:paraId="6382C9C5" w14:textId="77777777" w:rsidR="00CE7D65" w:rsidRPr="00CE7D65" w:rsidRDefault="00CE7D65" w:rsidP="005C77D4">
            <w:pPr>
              <w:jc w:val="center"/>
              <w:rPr>
                <w:sz w:val="20"/>
                <w:szCs w:val="20"/>
              </w:rPr>
            </w:pPr>
          </w:p>
        </w:tc>
        <w:tc>
          <w:tcPr>
            <w:tcW w:w="978" w:type="pct"/>
            <w:tcBorders>
              <w:top w:val="single" w:sz="4" w:space="0" w:color="auto"/>
            </w:tcBorders>
          </w:tcPr>
          <w:p w14:paraId="2B836814" w14:textId="77777777" w:rsidR="00CE7D65" w:rsidRPr="00CE7D65" w:rsidRDefault="00CE7D65" w:rsidP="005C77D4">
            <w:pPr>
              <w:jc w:val="center"/>
              <w:rPr>
                <w:sz w:val="20"/>
                <w:szCs w:val="20"/>
              </w:rPr>
            </w:pPr>
          </w:p>
        </w:tc>
        <w:tc>
          <w:tcPr>
            <w:tcW w:w="650" w:type="pct"/>
            <w:tcBorders>
              <w:top w:val="single" w:sz="4" w:space="0" w:color="auto"/>
            </w:tcBorders>
          </w:tcPr>
          <w:p w14:paraId="6B3C951D" w14:textId="77777777" w:rsidR="00CE7D65" w:rsidRPr="00CE7D65" w:rsidRDefault="00CE7D65" w:rsidP="005C77D4">
            <w:pPr>
              <w:jc w:val="center"/>
              <w:rPr>
                <w:sz w:val="20"/>
                <w:szCs w:val="20"/>
              </w:rPr>
            </w:pPr>
          </w:p>
        </w:tc>
      </w:tr>
      <w:tr w:rsidR="00CE7D65" w:rsidRPr="00CE7D65" w14:paraId="0E0A375D" w14:textId="77777777" w:rsidTr="00CE7D65">
        <w:trPr>
          <w:jc w:val="center"/>
        </w:trPr>
        <w:tc>
          <w:tcPr>
            <w:tcW w:w="698" w:type="pct"/>
            <w:hideMark/>
          </w:tcPr>
          <w:p w14:paraId="1982CBB8" w14:textId="77777777" w:rsidR="00CE7D65" w:rsidRPr="00CE7D65" w:rsidRDefault="00CE7D65" w:rsidP="005C77D4">
            <w:pPr>
              <w:rPr>
                <w:sz w:val="20"/>
                <w:szCs w:val="20"/>
                <w:vertAlign w:val="superscript"/>
              </w:rPr>
            </w:pPr>
            <w:r w:rsidRPr="00CE7D65">
              <w:rPr>
                <w:sz w:val="20"/>
                <w:szCs w:val="20"/>
              </w:rPr>
              <w:t>F2&lt;-&gt;F3</w:t>
            </w:r>
            <w:r w:rsidRPr="00CE7D65">
              <w:rPr>
                <w:sz w:val="20"/>
                <w:szCs w:val="20"/>
                <w:vertAlign w:val="superscript"/>
              </w:rPr>
              <w:t>£</w:t>
            </w:r>
          </w:p>
        </w:tc>
        <w:tc>
          <w:tcPr>
            <w:tcW w:w="634" w:type="pct"/>
            <w:hideMark/>
          </w:tcPr>
          <w:p w14:paraId="49CE186D" w14:textId="77777777" w:rsidR="00CE7D65" w:rsidRPr="00CE7D65" w:rsidRDefault="00CE7D65" w:rsidP="005C77D4">
            <w:pPr>
              <w:jc w:val="center"/>
              <w:rPr>
                <w:sz w:val="20"/>
                <w:szCs w:val="20"/>
              </w:rPr>
            </w:pPr>
            <w:r w:rsidRPr="00CE7D65">
              <w:rPr>
                <w:sz w:val="20"/>
                <w:szCs w:val="20"/>
              </w:rPr>
              <w:t>0.98*</w:t>
            </w:r>
          </w:p>
        </w:tc>
        <w:tc>
          <w:tcPr>
            <w:tcW w:w="1134" w:type="pct"/>
          </w:tcPr>
          <w:p w14:paraId="028BEB7D" w14:textId="77777777" w:rsidR="00CE7D65" w:rsidRPr="00CE7D65" w:rsidRDefault="00CE7D65" w:rsidP="005C77D4">
            <w:pPr>
              <w:jc w:val="center"/>
              <w:rPr>
                <w:sz w:val="20"/>
                <w:szCs w:val="20"/>
              </w:rPr>
            </w:pPr>
          </w:p>
        </w:tc>
        <w:tc>
          <w:tcPr>
            <w:tcW w:w="906" w:type="pct"/>
          </w:tcPr>
          <w:p w14:paraId="4CD5BE60" w14:textId="77777777" w:rsidR="00CE7D65" w:rsidRPr="00CE7D65" w:rsidRDefault="00CE7D65" w:rsidP="005C77D4">
            <w:pPr>
              <w:jc w:val="center"/>
              <w:rPr>
                <w:sz w:val="20"/>
                <w:szCs w:val="20"/>
              </w:rPr>
            </w:pPr>
          </w:p>
        </w:tc>
        <w:tc>
          <w:tcPr>
            <w:tcW w:w="978" w:type="pct"/>
          </w:tcPr>
          <w:p w14:paraId="3EF549E9" w14:textId="77777777" w:rsidR="00CE7D65" w:rsidRPr="00CE7D65" w:rsidRDefault="00CE7D65" w:rsidP="005C77D4">
            <w:pPr>
              <w:jc w:val="center"/>
              <w:rPr>
                <w:sz w:val="20"/>
                <w:szCs w:val="20"/>
              </w:rPr>
            </w:pPr>
          </w:p>
        </w:tc>
        <w:tc>
          <w:tcPr>
            <w:tcW w:w="650" w:type="pct"/>
          </w:tcPr>
          <w:p w14:paraId="632142BD" w14:textId="77777777" w:rsidR="00CE7D65" w:rsidRPr="00CE7D65" w:rsidRDefault="00CE7D65" w:rsidP="005C77D4">
            <w:pPr>
              <w:jc w:val="center"/>
              <w:rPr>
                <w:sz w:val="20"/>
                <w:szCs w:val="20"/>
              </w:rPr>
            </w:pPr>
          </w:p>
        </w:tc>
      </w:tr>
      <w:tr w:rsidR="00CE7D65" w:rsidRPr="00CE7D65" w14:paraId="5EBA21CE" w14:textId="77777777" w:rsidTr="00CE7D65">
        <w:trPr>
          <w:jc w:val="center"/>
        </w:trPr>
        <w:tc>
          <w:tcPr>
            <w:tcW w:w="698" w:type="pct"/>
            <w:hideMark/>
          </w:tcPr>
          <w:p w14:paraId="38FA9113" w14:textId="77777777" w:rsidR="00CE7D65" w:rsidRPr="00CE7D65" w:rsidRDefault="00CE7D65" w:rsidP="005C77D4">
            <w:pPr>
              <w:rPr>
                <w:sz w:val="20"/>
                <w:szCs w:val="20"/>
                <w:vertAlign w:val="superscript"/>
              </w:rPr>
            </w:pPr>
            <w:r w:rsidRPr="00CE7D65">
              <w:rPr>
                <w:sz w:val="20"/>
                <w:szCs w:val="20"/>
              </w:rPr>
              <w:t>F1&lt;-&gt;SOC-3</w:t>
            </w:r>
            <w:r w:rsidRPr="00CE7D65">
              <w:rPr>
                <w:sz w:val="20"/>
                <w:szCs w:val="20"/>
                <w:vertAlign w:val="superscript"/>
              </w:rPr>
              <w:t>£</w:t>
            </w:r>
          </w:p>
        </w:tc>
        <w:tc>
          <w:tcPr>
            <w:tcW w:w="634" w:type="pct"/>
            <w:hideMark/>
          </w:tcPr>
          <w:p w14:paraId="7F9C58C5" w14:textId="77777777" w:rsidR="00CE7D65" w:rsidRPr="00CE7D65" w:rsidRDefault="00CE7D65" w:rsidP="005C77D4">
            <w:pPr>
              <w:jc w:val="center"/>
              <w:rPr>
                <w:sz w:val="20"/>
                <w:szCs w:val="20"/>
              </w:rPr>
            </w:pPr>
            <w:r w:rsidRPr="00CE7D65">
              <w:rPr>
                <w:sz w:val="20"/>
                <w:szCs w:val="20"/>
              </w:rPr>
              <w:t>-0.19*</w:t>
            </w:r>
          </w:p>
        </w:tc>
        <w:tc>
          <w:tcPr>
            <w:tcW w:w="1134" w:type="pct"/>
          </w:tcPr>
          <w:p w14:paraId="2C0679B9" w14:textId="77777777" w:rsidR="00CE7D65" w:rsidRPr="00CE7D65" w:rsidRDefault="00CE7D65" w:rsidP="005C77D4">
            <w:pPr>
              <w:jc w:val="center"/>
              <w:rPr>
                <w:sz w:val="20"/>
                <w:szCs w:val="20"/>
              </w:rPr>
            </w:pPr>
          </w:p>
        </w:tc>
        <w:tc>
          <w:tcPr>
            <w:tcW w:w="906" w:type="pct"/>
          </w:tcPr>
          <w:p w14:paraId="0F78874D" w14:textId="77777777" w:rsidR="00CE7D65" w:rsidRPr="00CE7D65" w:rsidRDefault="00CE7D65" w:rsidP="005C77D4">
            <w:pPr>
              <w:jc w:val="center"/>
              <w:rPr>
                <w:sz w:val="20"/>
                <w:szCs w:val="20"/>
              </w:rPr>
            </w:pPr>
          </w:p>
        </w:tc>
        <w:tc>
          <w:tcPr>
            <w:tcW w:w="978" w:type="pct"/>
          </w:tcPr>
          <w:p w14:paraId="1DEB4754" w14:textId="77777777" w:rsidR="00CE7D65" w:rsidRPr="00CE7D65" w:rsidRDefault="00CE7D65" w:rsidP="005C77D4">
            <w:pPr>
              <w:jc w:val="center"/>
              <w:rPr>
                <w:sz w:val="20"/>
                <w:szCs w:val="20"/>
              </w:rPr>
            </w:pPr>
          </w:p>
        </w:tc>
        <w:tc>
          <w:tcPr>
            <w:tcW w:w="650" w:type="pct"/>
          </w:tcPr>
          <w:p w14:paraId="661C1763" w14:textId="77777777" w:rsidR="00CE7D65" w:rsidRPr="00CE7D65" w:rsidRDefault="00CE7D65" w:rsidP="005C77D4">
            <w:pPr>
              <w:jc w:val="center"/>
              <w:rPr>
                <w:sz w:val="20"/>
                <w:szCs w:val="20"/>
              </w:rPr>
            </w:pPr>
          </w:p>
        </w:tc>
      </w:tr>
      <w:tr w:rsidR="00CE7D65" w:rsidRPr="00CE7D65" w14:paraId="715501B2" w14:textId="77777777" w:rsidTr="00CE7D65">
        <w:trPr>
          <w:jc w:val="center"/>
        </w:trPr>
        <w:tc>
          <w:tcPr>
            <w:tcW w:w="698" w:type="pct"/>
            <w:hideMark/>
          </w:tcPr>
          <w:p w14:paraId="25AFCACF" w14:textId="77777777" w:rsidR="00CE7D65" w:rsidRPr="00CE7D65" w:rsidRDefault="00CE7D65" w:rsidP="005C77D4">
            <w:pPr>
              <w:rPr>
                <w:sz w:val="20"/>
                <w:szCs w:val="20"/>
                <w:vertAlign w:val="superscript"/>
              </w:rPr>
            </w:pPr>
            <w:r w:rsidRPr="00CE7D65">
              <w:rPr>
                <w:sz w:val="20"/>
                <w:szCs w:val="20"/>
              </w:rPr>
              <w:t>SOC-1&lt;-&gt;SOC-2</w:t>
            </w:r>
            <w:r w:rsidRPr="00CE7D65">
              <w:rPr>
                <w:sz w:val="20"/>
                <w:szCs w:val="20"/>
                <w:vertAlign w:val="superscript"/>
              </w:rPr>
              <w:t>£</w:t>
            </w:r>
          </w:p>
        </w:tc>
        <w:tc>
          <w:tcPr>
            <w:tcW w:w="634" w:type="pct"/>
            <w:hideMark/>
          </w:tcPr>
          <w:p w14:paraId="64041B0C" w14:textId="77777777" w:rsidR="00CE7D65" w:rsidRPr="00CE7D65" w:rsidRDefault="00CE7D65" w:rsidP="005C77D4">
            <w:pPr>
              <w:jc w:val="center"/>
              <w:rPr>
                <w:sz w:val="20"/>
                <w:szCs w:val="20"/>
              </w:rPr>
            </w:pPr>
            <w:r w:rsidRPr="00CE7D65">
              <w:rPr>
                <w:sz w:val="20"/>
                <w:szCs w:val="20"/>
              </w:rPr>
              <w:t>0.26*</w:t>
            </w:r>
          </w:p>
        </w:tc>
        <w:tc>
          <w:tcPr>
            <w:tcW w:w="1134" w:type="pct"/>
          </w:tcPr>
          <w:p w14:paraId="0C8E8FE0" w14:textId="77777777" w:rsidR="00CE7D65" w:rsidRPr="00CE7D65" w:rsidRDefault="00CE7D65" w:rsidP="005C77D4">
            <w:pPr>
              <w:jc w:val="center"/>
              <w:rPr>
                <w:sz w:val="20"/>
                <w:szCs w:val="20"/>
              </w:rPr>
            </w:pPr>
          </w:p>
        </w:tc>
        <w:tc>
          <w:tcPr>
            <w:tcW w:w="906" w:type="pct"/>
          </w:tcPr>
          <w:p w14:paraId="54324929" w14:textId="77777777" w:rsidR="00CE7D65" w:rsidRPr="00CE7D65" w:rsidRDefault="00CE7D65" w:rsidP="005C77D4">
            <w:pPr>
              <w:jc w:val="center"/>
              <w:rPr>
                <w:sz w:val="20"/>
                <w:szCs w:val="20"/>
              </w:rPr>
            </w:pPr>
          </w:p>
        </w:tc>
        <w:tc>
          <w:tcPr>
            <w:tcW w:w="978" w:type="pct"/>
          </w:tcPr>
          <w:p w14:paraId="282D79FF" w14:textId="77777777" w:rsidR="00CE7D65" w:rsidRPr="00CE7D65" w:rsidRDefault="00CE7D65" w:rsidP="005C77D4">
            <w:pPr>
              <w:jc w:val="center"/>
              <w:rPr>
                <w:sz w:val="20"/>
                <w:szCs w:val="20"/>
              </w:rPr>
            </w:pPr>
          </w:p>
        </w:tc>
        <w:tc>
          <w:tcPr>
            <w:tcW w:w="650" w:type="pct"/>
          </w:tcPr>
          <w:p w14:paraId="73ADE5C7" w14:textId="77777777" w:rsidR="00CE7D65" w:rsidRPr="00CE7D65" w:rsidRDefault="00CE7D65" w:rsidP="005C77D4">
            <w:pPr>
              <w:jc w:val="center"/>
              <w:rPr>
                <w:sz w:val="20"/>
                <w:szCs w:val="20"/>
              </w:rPr>
            </w:pPr>
          </w:p>
        </w:tc>
      </w:tr>
      <w:tr w:rsidR="00CE7D65" w:rsidRPr="00CE7D65" w14:paraId="20C6DEA0" w14:textId="77777777" w:rsidTr="00CE7D65">
        <w:trPr>
          <w:jc w:val="center"/>
        </w:trPr>
        <w:tc>
          <w:tcPr>
            <w:tcW w:w="698" w:type="pct"/>
            <w:tcBorders>
              <w:bottom w:val="single" w:sz="4" w:space="0" w:color="auto"/>
            </w:tcBorders>
            <w:hideMark/>
          </w:tcPr>
          <w:p w14:paraId="652EF3FC" w14:textId="77777777" w:rsidR="00CE7D65" w:rsidRPr="00CE7D65" w:rsidRDefault="00CE7D65" w:rsidP="005C77D4">
            <w:pPr>
              <w:rPr>
                <w:sz w:val="20"/>
                <w:szCs w:val="20"/>
                <w:vertAlign w:val="superscript"/>
              </w:rPr>
            </w:pPr>
            <w:r w:rsidRPr="00CE7D65">
              <w:rPr>
                <w:sz w:val="20"/>
                <w:szCs w:val="20"/>
              </w:rPr>
              <w:t>SOC-6&lt;-&gt;SOC-7</w:t>
            </w:r>
            <w:r w:rsidRPr="00CE7D65">
              <w:rPr>
                <w:sz w:val="20"/>
                <w:szCs w:val="20"/>
                <w:vertAlign w:val="superscript"/>
              </w:rPr>
              <w:t>£</w:t>
            </w:r>
          </w:p>
        </w:tc>
        <w:tc>
          <w:tcPr>
            <w:tcW w:w="634" w:type="pct"/>
            <w:tcBorders>
              <w:bottom w:val="single" w:sz="4" w:space="0" w:color="auto"/>
            </w:tcBorders>
            <w:hideMark/>
          </w:tcPr>
          <w:p w14:paraId="55530128" w14:textId="77777777" w:rsidR="00CE7D65" w:rsidRPr="00CE7D65" w:rsidRDefault="00CE7D65" w:rsidP="005C77D4">
            <w:pPr>
              <w:jc w:val="center"/>
              <w:rPr>
                <w:sz w:val="20"/>
                <w:szCs w:val="20"/>
              </w:rPr>
            </w:pPr>
            <w:r w:rsidRPr="00CE7D65">
              <w:rPr>
                <w:sz w:val="20"/>
                <w:szCs w:val="20"/>
              </w:rPr>
              <w:t>-0.29*</w:t>
            </w:r>
          </w:p>
        </w:tc>
        <w:tc>
          <w:tcPr>
            <w:tcW w:w="1134" w:type="pct"/>
            <w:tcBorders>
              <w:bottom w:val="single" w:sz="4" w:space="0" w:color="auto"/>
            </w:tcBorders>
          </w:tcPr>
          <w:p w14:paraId="6C6049F9" w14:textId="77777777" w:rsidR="00CE7D65" w:rsidRPr="00CE7D65" w:rsidRDefault="00CE7D65" w:rsidP="005C77D4">
            <w:pPr>
              <w:jc w:val="center"/>
              <w:rPr>
                <w:sz w:val="20"/>
                <w:szCs w:val="20"/>
              </w:rPr>
            </w:pPr>
          </w:p>
        </w:tc>
        <w:tc>
          <w:tcPr>
            <w:tcW w:w="906" w:type="pct"/>
            <w:tcBorders>
              <w:bottom w:val="single" w:sz="4" w:space="0" w:color="auto"/>
            </w:tcBorders>
          </w:tcPr>
          <w:p w14:paraId="4502CB9E" w14:textId="77777777" w:rsidR="00CE7D65" w:rsidRPr="00CE7D65" w:rsidRDefault="00CE7D65" w:rsidP="005C77D4">
            <w:pPr>
              <w:jc w:val="center"/>
              <w:rPr>
                <w:sz w:val="20"/>
                <w:szCs w:val="20"/>
              </w:rPr>
            </w:pPr>
          </w:p>
        </w:tc>
        <w:tc>
          <w:tcPr>
            <w:tcW w:w="978" w:type="pct"/>
            <w:tcBorders>
              <w:bottom w:val="single" w:sz="4" w:space="0" w:color="auto"/>
            </w:tcBorders>
          </w:tcPr>
          <w:p w14:paraId="174A5779" w14:textId="77777777" w:rsidR="00CE7D65" w:rsidRPr="00CE7D65" w:rsidRDefault="00CE7D65" w:rsidP="005C77D4">
            <w:pPr>
              <w:jc w:val="center"/>
              <w:rPr>
                <w:sz w:val="20"/>
                <w:szCs w:val="20"/>
              </w:rPr>
            </w:pPr>
          </w:p>
        </w:tc>
        <w:tc>
          <w:tcPr>
            <w:tcW w:w="650" w:type="pct"/>
            <w:tcBorders>
              <w:bottom w:val="single" w:sz="4" w:space="0" w:color="auto"/>
            </w:tcBorders>
          </w:tcPr>
          <w:p w14:paraId="1A0A8617" w14:textId="77777777" w:rsidR="00CE7D65" w:rsidRPr="00CE7D65" w:rsidRDefault="00CE7D65" w:rsidP="005C77D4">
            <w:pPr>
              <w:jc w:val="center"/>
              <w:rPr>
                <w:sz w:val="20"/>
                <w:szCs w:val="20"/>
              </w:rPr>
            </w:pPr>
          </w:p>
        </w:tc>
      </w:tr>
      <w:tr w:rsidR="00CE7D65" w:rsidRPr="00CE7D65" w14:paraId="25F54D8D" w14:textId="77777777" w:rsidTr="00CE7D65">
        <w:trPr>
          <w:jc w:val="center"/>
        </w:trPr>
        <w:tc>
          <w:tcPr>
            <w:tcW w:w="698" w:type="pct"/>
            <w:tcBorders>
              <w:top w:val="single" w:sz="4" w:space="0" w:color="auto"/>
            </w:tcBorders>
            <w:hideMark/>
          </w:tcPr>
          <w:p w14:paraId="0857516E" w14:textId="77777777" w:rsidR="00CE7D65" w:rsidRPr="00CE7D65" w:rsidRDefault="00CE7D65" w:rsidP="005C77D4">
            <w:pPr>
              <w:rPr>
                <w:sz w:val="20"/>
                <w:szCs w:val="20"/>
              </w:rPr>
            </w:pPr>
            <w:r w:rsidRPr="00CE7D65">
              <w:rPr>
                <w:sz w:val="20"/>
                <w:szCs w:val="20"/>
              </w:rPr>
              <w:t>RMSEA (90%CI)</w:t>
            </w:r>
          </w:p>
        </w:tc>
        <w:tc>
          <w:tcPr>
            <w:tcW w:w="634" w:type="pct"/>
            <w:tcBorders>
              <w:top w:val="single" w:sz="4" w:space="0" w:color="auto"/>
            </w:tcBorders>
            <w:hideMark/>
          </w:tcPr>
          <w:p w14:paraId="18DBB05F" w14:textId="77777777" w:rsidR="00CE7D65" w:rsidRPr="00CE7D65" w:rsidRDefault="00CE7D65" w:rsidP="005C77D4">
            <w:pPr>
              <w:jc w:val="center"/>
              <w:rPr>
                <w:sz w:val="20"/>
                <w:szCs w:val="20"/>
              </w:rPr>
            </w:pPr>
            <w:r w:rsidRPr="00CE7D65">
              <w:rPr>
                <w:sz w:val="20"/>
                <w:szCs w:val="20"/>
              </w:rPr>
              <w:t>0.05 (0.03-0.06)</w:t>
            </w:r>
          </w:p>
        </w:tc>
        <w:tc>
          <w:tcPr>
            <w:tcW w:w="1134" w:type="pct"/>
            <w:tcBorders>
              <w:top w:val="single" w:sz="4" w:space="0" w:color="auto"/>
            </w:tcBorders>
          </w:tcPr>
          <w:p w14:paraId="3F09E3F6" w14:textId="77777777" w:rsidR="00CE7D65" w:rsidRPr="00CE7D65" w:rsidRDefault="00CE7D65" w:rsidP="005C77D4">
            <w:pPr>
              <w:jc w:val="center"/>
              <w:rPr>
                <w:sz w:val="20"/>
                <w:szCs w:val="20"/>
              </w:rPr>
            </w:pPr>
          </w:p>
        </w:tc>
        <w:tc>
          <w:tcPr>
            <w:tcW w:w="906" w:type="pct"/>
            <w:tcBorders>
              <w:top w:val="single" w:sz="4" w:space="0" w:color="auto"/>
            </w:tcBorders>
          </w:tcPr>
          <w:p w14:paraId="797B17B9" w14:textId="77777777" w:rsidR="00CE7D65" w:rsidRPr="00CE7D65" w:rsidRDefault="00CE7D65" w:rsidP="005C77D4">
            <w:pPr>
              <w:jc w:val="center"/>
              <w:rPr>
                <w:sz w:val="20"/>
                <w:szCs w:val="20"/>
              </w:rPr>
            </w:pPr>
          </w:p>
        </w:tc>
        <w:tc>
          <w:tcPr>
            <w:tcW w:w="978" w:type="pct"/>
            <w:tcBorders>
              <w:top w:val="single" w:sz="4" w:space="0" w:color="auto"/>
            </w:tcBorders>
          </w:tcPr>
          <w:p w14:paraId="024A1FBA" w14:textId="77777777" w:rsidR="00CE7D65" w:rsidRPr="00CE7D65" w:rsidRDefault="00CE7D65" w:rsidP="005C77D4">
            <w:pPr>
              <w:jc w:val="center"/>
              <w:rPr>
                <w:sz w:val="20"/>
                <w:szCs w:val="20"/>
              </w:rPr>
            </w:pPr>
          </w:p>
        </w:tc>
        <w:tc>
          <w:tcPr>
            <w:tcW w:w="650" w:type="pct"/>
            <w:tcBorders>
              <w:top w:val="single" w:sz="4" w:space="0" w:color="auto"/>
            </w:tcBorders>
          </w:tcPr>
          <w:p w14:paraId="70AFDE6F" w14:textId="77777777" w:rsidR="00CE7D65" w:rsidRPr="00CE7D65" w:rsidRDefault="00CE7D65" w:rsidP="005C77D4">
            <w:pPr>
              <w:jc w:val="center"/>
              <w:rPr>
                <w:sz w:val="20"/>
                <w:szCs w:val="20"/>
              </w:rPr>
            </w:pPr>
          </w:p>
        </w:tc>
      </w:tr>
      <w:tr w:rsidR="00CE7D65" w:rsidRPr="00CE7D65" w14:paraId="45051AC5" w14:textId="77777777" w:rsidTr="00CE7D65">
        <w:trPr>
          <w:jc w:val="center"/>
        </w:trPr>
        <w:tc>
          <w:tcPr>
            <w:tcW w:w="698" w:type="pct"/>
            <w:hideMark/>
          </w:tcPr>
          <w:p w14:paraId="4EACE321" w14:textId="77777777" w:rsidR="00CE7D65" w:rsidRPr="00CE7D65" w:rsidRDefault="00CE7D65" w:rsidP="005C77D4">
            <w:pPr>
              <w:rPr>
                <w:sz w:val="20"/>
                <w:szCs w:val="20"/>
              </w:rPr>
            </w:pPr>
            <w:r w:rsidRPr="00CE7D65">
              <w:rPr>
                <w:sz w:val="20"/>
                <w:szCs w:val="20"/>
              </w:rPr>
              <w:t>CFI</w:t>
            </w:r>
          </w:p>
        </w:tc>
        <w:tc>
          <w:tcPr>
            <w:tcW w:w="634" w:type="pct"/>
            <w:hideMark/>
          </w:tcPr>
          <w:p w14:paraId="599238B6" w14:textId="77777777" w:rsidR="00CE7D65" w:rsidRPr="00CE7D65" w:rsidRDefault="00CE7D65" w:rsidP="005C77D4">
            <w:pPr>
              <w:jc w:val="center"/>
              <w:rPr>
                <w:sz w:val="20"/>
                <w:szCs w:val="20"/>
              </w:rPr>
            </w:pPr>
            <w:r w:rsidRPr="00CE7D65">
              <w:rPr>
                <w:sz w:val="20"/>
                <w:szCs w:val="20"/>
              </w:rPr>
              <w:t>0.92</w:t>
            </w:r>
          </w:p>
        </w:tc>
        <w:tc>
          <w:tcPr>
            <w:tcW w:w="1134" w:type="pct"/>
          </w:tcPr>
          <w:p w14:paraId="59968225" w14:textId="77777777" w:rsidR="00CE7D65" w:rsidRPr="00CE7D65" w:rsidRDefault="00CE7D65" w:rsidP="005C77D4">
            <w:pPr>
              <w:jc w:val="center"/>
              <w:rPr>
                <w:sz w:val="20"/>
                <w:szCs w:val="20"/>
              </w:rPr>
            </w:pPr>
          </w:p>
        </w:tc>
        <w:tc>
          <w:tcPr>
            <w:tcW w:w="906" w:type="pct"/>
          </w:tcPr>
          <w:p w14:paraId="7E0BB215" w14:textId="77777777" w:rsidR="00CE7D65" w:rsidRPr="00CE7D65" w:rsidRDefault="00CE7D65" w:rsidP="005C77D4">
            <w:pPr>
              <w:jc w:val="center"/>
              <w:rPr>
                <w:sz w:val="20"/>
                <w:szCs w:val="20"/>
              </w:rPr>
            </w:pPr>
          </w:p>
        </w:tc>
        <w:tc>
          <w:tcPr>
            <w:tcW w:w="978" w:type="pct"/>
          </w:tcPr>
          <w:p w14:paraId="21BBDE5F" w14:textId="77777777" w:rsidR="00CE7D65" w:rsidRPr="00CE7D65" w:rsidRDefault="00CE7D65" w:rsidP="005C77D4">
            <w:pPr>
              <w:jc w:val="center"/>
              <w:rPr>
                <w:sz w:val="20"/>
                <w:szCs w:val="20"/>
              </w:rPr>
            </w:pPr>
          </w:p>
        </w:tc>
        <w:tc>
          <w:tcPr>
            <w:tcW w:w="650" w:type="pct"/>
          </w:tcPr>
          <w:p w14:paraId="3F4E9709" w14:textId="77777777" w:rsidR="00CE7D65" w:rsidRPr="00CE7D65" w:rsidRDefault="00CE7D65" w:rsidP="005C77D4">
            <w:pPr>
              <w:jc w:val="center"/>
              <w:rPr>
                <w:sz w:val="20"/>
                <w:szCs w:val="20"/>
              </w:rPr>
            </w:pPr>
          </w:p>
        </w:tc>
      </w:tr>
      <w:tr w:rsidR="00CE7D65" w:rsidRPr="00CE7D65" w14:paraId="374FD072" w14:textId="77777777" w:rsidTr="00CE7D65">
        <w:trPr>
          <w:jc w:val="center"/>
        </w:trPr>
        <w:tc>
          <w:tcPr>
            <w:tcW w:w="698" w:type="pct"/>
            <w:hideMark/>
          </w:tcPr>
          <w:p w14:paraId="6FE0E3FC" w14:textId="77777777" w:rsidR="00CE7D65" w:rsidRPr="00CE7D65" w:rsidRDefault="00CE7D65" w:rsidP="005C77D4">
            <w:pPr>
              <w:rPr>
                <w:sz w:val="20"/>
                <w:szCs w:val="20"/>
              </w:rPr>
            </w:pPr>
            <w:r w:rsidRPr="00CE7D65">
              <w:rPr>
                <w:sz w:val="20"/>
                <w:szCs w:val="20"/>
              </w:rPr>
              <w:t>TLI</w:t>
            </w:r>
          </w:p>
        </w:tc>
        <w:tc>
          <w:tcPr>
            <w:tcW w:w="634" w:type="pct"/>
            <w:hideMark/>
          </w:tcPr>
          <w:p w14:paraId="21973462" w14:textId="77777777" w:rsidR="00CE7D65" w:rsidRPr="00CE7D65" w:rsidRDefault="00CE7D65" w:rsidP="005C77D4">
            <w:pPr>
              <w:jc w:val="center"/>
              <w:rPr>
                <w:sz w:val="20"/>
                <w:szCs w:val="20"/>
              </w:rPr>
            </w:pPr>
            <w:r w:rsidRPr="00CE7D65">
              <w:rPr>
                <w:sz w:val="20"/>
                <w:szCs w:val="20"/>
              </w:rPr>
              <w:t>0.89</w:t>
            </w:r>
          </w:p>
        </w:tc>
        <w:tc>
          <w:tcPr>
            <w:tcW w:w="1134" w:type="pct"/>
          </w:tcPr>
          <w:p w14:paraId="40C15491" w14:textId="77777777" w:rsidR="00CE7D65" w:rsidRPr="00CE7D65" w:rsidRDefault="00CE7D65" w:rsidP="005C77D4">
            <w:pPr>
              <w:jc w:val="center"/>
              <w:rPr>
                <w:sz w:val="20"/>
                <w:szCs w:val="20"/>
              </w:rPr>
            </w:pPr>
          </w:p>
        </w:tc>
        <w:tc>
          <w:tcPr>
            <w:tcW w:w="906" w:type="pct"/>
          </w:tcPr>
          <w:p w14:paraId="53D604A8" w14:textId="77777777" w:rsidR="00CE7D65" w:rsidRPr="00CE7D65" w:rsidRDefault="00CE7D65" w:rsidP="005C77D4">
            <w:pPr>
              <w:jc w:val="center"/>
              <w:rPr>
                <w:sz w:val="20"/>
                <w:szCs w:val="20"/>
              </w:rPr>
            </w:pPr>
          </w:p>
        </w:tc>
        <w:tc>
          <w:tcPr>
            <w:tcW w:w="978" w:type="pct"/>
          </w:tcPr>
          <w:p w14:paraId="547D93E5" w14:textId="77777777" w:rsidR="00CE7D65" w:rsidRPr="00CE7D65" w:rsidRDefault="00CE7D65" w:rsidP="005C77D4">
            <w:pPr>
              <w:jc w:val="center"/>
              <w:rPr>
                <w:sz w:val="20"/>
                <w:szCs w:val="20"/>
              </w:rPr>
            </w:pPr>
          </w:p>
        </w:tc>
        <w:tc>
          <w:tcPr>
            <w:tcW w:w="650" w:type="pct"/>
          </w:tcPr>
          <w:p w14:paraId="709FA37C" w14:textId="77777777" w:rsidR="00CE7D65" w:rsidRPr="00CE7D65" w:rsidRDefault="00CE7D65" w:rsidP="005C77D4">
            <w:pPr>
              <w:jc w:val="center"/>
              <w:rPr>
                <w:sz w:val="20"/>
                <w:szCs w:val="20"/>
              </w:rPr>
            </w:pPr>
          </w:p>
        </w:tc>
      </w:tr>
      <w:tr w:rsidR="00CE7D65" w:rsidRPr="00CE7D65" w14:paraId="4D52A9B6" w14:textId="77777777" w:rsidTr="00CE7D65">
        <w:trPr>
          <w:jc w:val="center"/>
        </w:trPr>
        <w:tc>
          <w:tcPr>
            <w:tcW w:w="698" w:type="pct"/>
            <w:tcBorders>
              <w:top w:val="nil"/>
              <w:left w:val="nil"/>
              <w:bottom w:val="single" w:sz="4" w:space="0" w:color="auto"/>
              <w:right w:val="nil"/>
            </w:tcBorders>
            <w:hideMark/>
          </w:tcPr>
          <w:p w14:paraId="0BFC7DC2" w14:textId="77777777" w:rsidR="00CE7D65" w:rsidRPr="00CE7D65" w:rsidRDefault="00CE7D65" w:rsidP="005C77D4">
            <w:pPr>
              <w:rPr>
                <w:sz w:val="20"/>
                <w:szCs w:val="20"/>
              </w:rPr>
            </w:pPr>
            <w:r w:rsidRPr="00CE7D65">
              <w:rPr>
                <w:sz w:val="20"/>
                <w:szCs w:val="20"/>
              </w:rPr>
              <w:t>SRMR</w:t>
            </w:r>
          </w:p>
        </w:tc>
        <w:tc>
          <w:tcPr>
            <w:tcW w:w="634" w:type="pct"/>
            <w:tcBorders>
              <w:top w:val="nil"/>
              <w:left w:val="nil"/>
              <w:bottom w:val="single" w:sz="4" w:space="0" w:color="auto"/>
              <w:right w:val="nil"/>
            </w:tcBorders>
            <w:hideMark/>
          </w:tcPr>
          <w:p w14:paraId="707134DE" w14:textId="77777777" w:rsidR="00CE7D65" w:rsidRPr="00CE7D65" w:rsidRDefault="00CE7D65" w:rsidP="005C77D4">
            <w:pPr>
              <w:jc w:val="center"/>
              <w:rPr>
                <w:sz w:val="20"/>
                <w:szCs w:val="20"/>
              </w:rPr>
            </w:pPr>
            <w:r w:rsidRPr="00CE7D65">
              <w:rPr>
                <w:sz w:val="20"/>
                <w:szCs w:val="20"/>
              </w:rPr>
              <w:t>0.04</w:t>
            </w:r>
          </w:p>
        </w:tc>
        <w:tc>
          <w:tcPr>
            <w:tcW w:w="1134" w:type="pct"/>
            <w:tcBorders>
              <w:top w:val="nil"/>
              <w:left w:val="nil"/>
              <w:bottom w:val="single" w:sz="4" w:space="0" w:color="auto"/>
              <w:right w:val="nil"/>
            </w:tcBorders>
          </w:tcPr>
          <w:p w14:paraId="42062E19" w14:textId="77777777" w:rsidR="00CE7D65" w:rsidRPr="00CE7D65" w:rsidRDefault="00CE7D65" w:rsidP="005C77D4">
            <w:pPr>
              <w:jc w:val="center"/>
              <w:rPr>
                <w:sz w:val="20"/>
                <w:szCs w:val="20"/>
              </w:rPr>
            </w:pPr>
          </w:p>
        </w:tc>
        <w:tc>
          <w:tcPr>
            <w:tcW w:w="906" w:type="pct"/>
            <w:tcBorders>
              <w:top w:val="nil"/>
              <w:left w:val="nil"/>
              <w:bottom w:val="single" w:sz="4" w:space="0" w:color="auto"/>
              <w:right w:val="nil"/>
            </w:tcBorders>
          </w:tcPr>
          <w:p w14:paraId="02233BE5" w14:textId="77777777" w:rsidR="00CE7D65" w:rsidRPr="00CE7D65" w:rsidRDefault="00CE7D65" w:rsidP="005C77D4">
            <w:pPr>
              <w:jc w:val="center"/>
              <w:rPr>
                <w:sz w:val="20"/>
                <w:szCs w:val="20"/>
              </w:rPr>
            </w:pPr>
          </w:p>
        </w:tc>
        <w:tc>
          <w:tcPr>
            <w:tcW w:w="978" w:type="pct"/>
            <w:tcBorders>
              <w:top w:val="nil"/>
              <w:left w:val="nil"/>
              <w:bottom w:val="single" w:sz="4" w:space="0" w:color="auto"/>
              <w:right w:val="nil"/>
            </w:tcBorders>
          </w:tcPr>
          <w:p w14:paraId="1CBD6642" w14:textId="77777777" w:rsidR="00CE7D65" w:rsidRPr="00CE7D65" w:rsidRDefault="00CE7D65" w:rsidP="005C77D4">
            <w:pPr>
              <w:jc w:val="center"/>
              <w:rPr>
                <w:sz w:val="20"/>
                <w:szCs w:val="20"/>
              </w:rPr>
            </w:pPr>
          </w:p>
        </w:tc>
        <w:tc>
          <w:tcPr>
            <w:tcW w:w="650" w:type="pct"/>
            <w:tcBorders>
              <w:top w:val="nil"/>
              <w:left w:val="nil"/>
              <w:bottom w:val="single" w:sz="4" w:space="0" w:color="auto"/>
              <w:right w:val="nil"/>
            </w:tcBorders>
          </w:tcPr>
          <w:p w14:paraId="2908AFF2" w14:textId="77777777" w:rsidR="00CE7D65" w:rsidRPr="00CE7D65" w:rsidRDefault="00CE7D65" w:rsidP="005C77D4">
            <w:pPr>
              <w:jc w:val="center"/>
              <w:rPr>
                <w:sz w:val="20"/>
                <w:szCs w:val="20"/>
              </w:rPr>
            </w:pPr>
          </w:p>
        </w:tc>
      </w:tr>
      <w:tr w:rsidR="00CE7D65" w:rsidRPr="00CE7D65" w14:paraId="77EF0462" w14:textId="77777777" w:rsidTr="00CE7D65">
        <w:trPr>
          <w:trHeight w:val="666"/>
          <w:jc w:val="center"/>
        </w:trPr>
        <w:tc>
          <w:tcPr>
            <w:tcW w:w="5000" w:type="pct"/>
            <w:gridSpan w:val="6"/>
            <w:tcBorders>
              <w:top w:val="single" w:sz="4" w:space="0" w:color="auto"/>
              <w:left w:val="nil"/>
              <w:bottom w:val="nil"/>
            </w:tcBorders>
            <w:hideMark/>
          </w:tcPr>
          <w:p w14:paraId="774579F0" w14:textId="77777777" w:rsidR="00CE7D65" w:rsidRPr="00CE7D65" w:rsidRDefault="00CE7D65" w:rsidP="005C77D4">
            <w:pPr>
              <w:rPr>
                <w:sz w:val="20"/>
                <w:szCs w:val="20"/>
                <w:lang w:val="en-US"/>
              </w:rPr>
            </w:pPr>
            <w:r w:rsidRPr="00CE7D65">
              <w:rPr>
                <w:sz w:val="20"/>
                <w:szCs w:val="20"/>
                <w:lang w:val="en-US"/>
              </w:rPr>
              <w:t>*P&lt;0.01; £: Factors correlation;</w:t>
            </w:r>
          </w:p>
          <w:p w14:paraId="3F63EFB0" w14:textId="77777777" w:rsidR="00CE7D65" w:rsidRPr="00CE7D65" w:rsidRDefault="00CE7D65" w:rsidP="005C77D4">
            <w:pPr>
              <w:rPr>
                <w:sz w:val="20"/>
                <w:szCs w:val="20"/>
                <w:lang w:val="en-US"/>
              </w:rPr>
            </w:pPr>
            <w:r w:rsidRPr="00CE7D65">
              <w:rPr>
                <w:sz w:val="20"/>
                <w:szCs w:val="20"/>
                <w:lang w:val="en-US"/>
              </w:rPr>
              <w:t>CI: Confidence Interval; RMSEA: Root Mean Square Error of Approximation; CFI: Comparative Fit Index; TLI:  Tucker-Lewis Index; SRMR: Standardized Root Mean Square Residual.</w:t>
            </w:r>
          </w:p>
        </w:tc>
      </w:tr>
    </w:tbl>
    <w:p w14:paraId="220C813D" w14:textId="10EFEA1E" w:rsidR="00CE7D65" w:rsidRPr="00CE7D65" w:rsidRDefault="00CE7D65" w:rsidP="00CE7D65">
      <w:pPr>
        <w:pStyle w:val="Ttulosinternos"/>
        <w:rPr>
          <w:lang w:eastAsia="en-US"/>
        </w:rPr>
      </w:pPr>
      <w:r w:rsidRPr="00CE7D65">
        <w:rPr>
          <w:lang w:eastAsia="en-US"/>
        </w:rPr>
        <w:t>Discussion</w:t>
      </w:r>
    </w:p>
    <w:p w14:paraId="5C895CAE" w14:textId="77777777" w:rsidR="00CE7D65" w:rsidRPr="00CE7D65" w:rsidRDefault="00CE7D65" w:rsidP="00CE7D65">
      <w:pPr>
        <w:pStyle w:val="Prrafocomn"/>
      </w:pPr>
      <w:r w:rsidRPr="00CE7D65">
        <w:t>This study evaluated the psychometric properties of the Brazilian short version of Sense of Coherence Scale for students from southern Brazil. The absence of literature on this version indicated need for further research on the cross-cultural adaptation of the scale. Some information as dimensional issues and item review needs to be examined by confirmatory factor analysis and theoretical adaptations.</w:t>
      </w:r>
    </w:p>
    <w:p w14:paraId="1CB56B2F" w14:textId="77777777" w:rsidR="00CE7D65" w:rsidRPr="00CE7D65" w:rsidRDefault="00CE7D65" w:rsidP="00CE7D65">
      <w:pPr>
        <w:pStyle w:val="Prrafocomn"/>
      </w:pPr>
      <w:r w:rsidRPr="00CE7D65">
        <w:t xml:space="preserve">As previously stated, the reliability value of SOC-13 scale was acceptable (ICC 0.70). The same was seen in a previous study (Eriksson, &amp; </w:t>
      </w:r>
      <w:proofErr w:type="spellStart"/>
      <w:r w:rsidRPr="00CE7D65">
        <w:t>Lindström</w:t>
      </w:r>
      <w:proofErr w:type="spellEnd"/>
      <w:r w:rsidRPr="00CE7D65">
        <w:t xml:space="preserve">, 2005), showing a good correlation when SOC-13 is reapplied. In the analysis of construct validity, the Spearman’s Correlation Coefficient showed statistically significant data. All scores of the components of SOC-13 </w:t>
      </w:r>
      <w:r w:rsidRPr="00CE7D65">
        <w:lastRenderedPageBreak/>
        <w:t>questionnaire showed positive and strong relationships with the total questionnaire score. In addition, our values were higher than those obtained in another study, conducted in Sweden with a group of physically active, elderly individuals (</w:t>
      </w:r>
      <w:proofErr w:type="spellStart"/>
      <w:r w:rsidRPr="00CE7D65">
        <w:t>Söderhamn</w:t>
      </w:r>
      <w:proofErr w:type="spellEnd"/>
      <w:r w:rsidRPr="00CE7D65">
        <w:t>, &amp; Holmgren, 2004), demonstrating highly significant correlations for all the questions proposed in this article.</w:t>
      </w:r>
    </w:p>
    <w:p w14:paraId="76DDBA18" w14:textId="77777777" w:rsidR="00CE7D65" w:rsidRPr="00CE7D65" w:rsidRDefault="00CE7D65" w:rsidP="00CE7D65">
      <w:pPr>
        <w:pStyle w:val="Prrafocomn"/>
      </w:pPr>
      <w:r w:rsidRPr="00CE7D65">
        <w:t xml:space="preserve">The Cronbach's Alpha Coefficient for our study was not significant. This measure has been largely used to evaluate the consistency of the answers to a question group in a measurement instrument; with values of 0.65-0.70 being commonly deemed "acceptable." However, a high </w:t>
      </w:r>
      <w:r w:rsidRPr="00CE7D65">
        <w:rPr>
          <w:lang w:val="pt-BR"/>
        </w:rPr>
        <w:t>α</w:t>
      </w:r>
      <w:r w:rsidRPr="00CE7D65">
        <w:t xml:space="preserve"> value does not always represent good internal consistency for an instrument (</w:t>
      </w:r>
      <w:proofErr w:type="spellStart"/>
      <w:r w:rsidRPr="00CE7D65">
        <w:t>Streiner</w:t>
      </w:r>
      <w:proofErr w:type="spellEnd"/>
      <w:r w:rsidRPr="00CE7D65">
        <w:t>, 2003). Notwithstanding, some authors show that the Cronbach's Alpha Coefficient, when solely interpreted, is not a reliable measure to reproduce the reliability of the data (</w:t>
      </w:r>
      <w:proofErr w:type="spellStart"/>
      <w:r w:rsidRPr="00CE7D65">
        <w:t>Sijtsma</w:t>
      </w:r>
      <w:proofErr w:type="spellEnd"/>
      <w:r w:rsidRPr="00CE7D65">
        <w:t xml:space="preserve">, 2009; Schmitt, 1996). </w:t>
      </w:r>
    </w:p>
    <w:p w14:paraId="33392A9F" w14:textId="77777777" w:rsidR="00CE7D65" w:rsidRPr="00CE7D65" w:rsidRDefault="00CE7D65" w:rsidP="00CE7D65">
      <w:pPr>
        <w:pStyle w:val="Prrafocomn"/>
      </w:pPr>
      <w:r w:rsidRPr="00CE7D65">
        <w:t>Statistical critics comment that alpha values should be interpreted with caution, because the internal consistency of an instrument should be based on different statistical tests. First, alpha always has a value, which cannot be equal to the test score’s reliability given the interitem covariance matrix and the usual assumptions about measurement error. Second, in practice, alpha is used more often as a measure of the test’s internal consistency than as an estimate of reliability. However, it can be shown easily that alpha is unrelated to the internal structure of the test. Further, statistics based on a single test administration do not convey much information about the accuracy of an individuals’ test performance (</w:t>
      </w:r>
      <w:proofErr w:type="spellStart"/>
      <w:r w:rsidRPr="00CE7D65">
        <w:t>Sijtsma</w:t>
      </w:r>
      <w:proofErr w:type="spellEnd"/>
      <w:r w:rsidRPr="00CE7D65">
        <w:t xml:space="preserve">, 2009). Thus, only alpha values can conduct to an ambiguity of interpretation, being that very low or very high values would indicate the </w:t>
      </w:r>
      <w:proofErr w:type="spellStart"/>
      <w:r w:rsidRPr="00CE7D65">
        <w:t>unidimensionality</w:t>
      </w:r>
      <w:proofErr w:type="spellEnd"/>
      <w:r w:rsidRPr="00CE7D65">
        <w:t xml:space="preserve"> or the multidimensionality of the data (Schmitt, 1996). </w:t>
      </w:r>
    </w:p>
    <w:p w14:paraId="3324F200" w14:textId="77777777" w:rsidR="00CE7D65" w:rsidRPr="00CE7D65" w:rsidRDefault="00CE7D65" w:rsidP="00CE7D65">
      <w:pPr>
        <w:pStyle w:val="Prrafocomn"/>
      </w:pPr>
      <w:r w:rsidRPr="00CE7D65">
        <w:t xml:space="preserve">With the intention to complete the gaps left by the internal consistency test, we used a Confirmatory Factorial Analysis (CFA). This analysis allowed us to verify the relationship between the 13 items of the SOC-13 with the global scale variable. The latent variable by dimension was related to the other variables (items), confirming the use of this scale for the concept of sense of coherence. Some factor loadings presented low values, such as items 1, 2 and 13, probably due to the negative factor expressed in these items. Since there is a change in language and cultural context between the original in Hebrew (Israel) to Portuguese (Brazil), the theoretical-cultural validation of the concept for Brazilian culture demands qualitative research as proposed by </w:t>
      </w:r>
      <w:proofErr w:type="spellStart"/>
      <w:r w:rsidRPr="00CE7D65">
        <w:t>Herdman</w:t>
      </w:r>
      <w:proofErr w:type="spellEnd"/>
      <w:r w:rsidRPr="00CE7D65">
        <w:t xml:space="preserve"> Fox-</w:t>
      </w:r>
      <w:proofErr w:type="spellStart"/>
      <w:r w:rsidRPr="00CE7D65">
        <w:t>Rushby</w:t>
      </w:r>
      <w:proofErr w:type="spellEnd"/>
      <w:r w:rsidRPr="00CE7D65">
        <w:t xml:space="preserve"> and </w:t>
      </w:r>
      <w:proofErr w:type="spellStart"/>
      <w:r w:rsidRPr="00CE7D65">
        <w:t>Badia</w:t>
      </w:r>
      <w:proofErr w:type="spellEnd"/>
      <w:r w:rsidRPr="00CE7D65">
        <w:t xml:space="preserve"> (1997), for the process of scale adaptation and validation to be better accepted (</w:t>
      </w:r>
      <w:proofErr w:type="spellStart"/>
      <w:r w:rsidRPr="00CE7D65">
        <w:t>Herdman</w:t>
      </w:r>
      <w:proofErr w:type="spellEnd"/>
      <w:r w:rsidRPr="00CE7D65">
        <w:t>, Fox-</w:t>
      </w:r>
      <w:proofErr w:type="spellStart"/>
      <w:r w:rsidRPr="00CE7D65">
        <w:t>Rushby</w:t>
      </w:r>
      <w:proofErr w:type="spellEnd"/>
      <w:r w:rsidRPr="00CE7D65">
        <w:t xml:space="preserve">, &amp; Badia,1997). Implicitly, it was assumed that the </w:t>
      </w:r>
      <w:r w:rsidRPr="00CE7D65">
        <w:lastRenderedPageBreak/>
        <w:t xml:space="preserve">SOC concept is expressed in the same way cross-culturally. However, Brazilian studies have reported respondents' difficulties in understanding some items due to cultural differences, making it necessary for target population members and specialists to be consulted again for a cross-cultural </w:t>
      </w:r>
      <w:proofErr w:type="spellStart"/>
      <w:r w:rsidRPr="00CE7D65">
        <w:t>readaptation</w:t>
      </w:r>
      <w:proofErr w:type="spellEnd"/>
      <w:r w:rsidRPr="00CE7D65">
        <w:t xml:space="preserve"> of the scale to Brazilian Portuguese language (</w:t>
      </w:r>
      <w:proofErr w:type="spellStart"/>
      <w:r w:rsidRPr="00CE7D65">
        <w:t>Bonanato</w:t>
      </w:r>
      <w:proofErr w:type="spellEnd"/>
      <w:r w:rsidRPr="00CE7D65">
        <w:t xml:space="preserve"> et al., 2008; </w:t>
      </w:r>
      <w:proofErr w:type="spellStart"/>
      <w:r w:rsidRPr="00CE7D65">
        <w:t>Tomazoni</w:t>
      </w:r>
      <w:proofErr w:type="spellEnd"/>
      <w:r w:rsidRPr="00CE7D65">
        <w:t xml:space="preserve"> et al., 2019).</w:t>
      </w:r>
    </w:p>
    <w:p w14:paraId="2B64B47B" w14:textId="77777777" w:rsidR="00CE7D65" w:rsidRPr="00CE7D65" w:rsidRDefault="00CE7D65" w:rsidP="00CE7D65">
      <w:pPr>
        <w:pStyle w:val="Prrafocomn"/>
      </w:pPr>
      <w:r w:rsidRPr="00CE7D65">
        <w:t>Items 1-2 and 6-7 are weakly correlated, however they have different constructs and for this reason initial construction should be maintained (</w:t>
      </w:r>
      <w:proofErr w:type="spellStart"/>
      <w:r w:rsidRPr="00CE7D65">
        <w:t>Antonovsky</w:t>
      </w:r>
      <w:proofErr w:type="spellEnd"/>
      <w:r w:rsidRPr="00CE7D65">
        <w:t>, 1993). The overall values of the model were acceptable, which demonstrates the validity of the factorial structure for the sample of schoolchildren studied.</w:t>
      </w:r>
    </w:p>
    <w:p w14:paraId="516C9B4A" w14:textId="77777777" w:rsidR="00CE7D65" w:rsidRPr="00CE7D65" w:rsidRDefault="00CE7D65" w:rsidP="00CE7D65">
      <w:pPr>
        <w:pStyle w:val="Prrafocomn"/>
      </w:pPr>
      <w:r w:rsidRPr="00CE7D65">
        <w:t xml:space="preserve">Moreover, in 1993, </w:t>
      </w:r>
      <w:proofErr w:type="spellStart"/>
      <w:r w:rsidRPr="00CE7D65">
        <w:t>Antonovsky</w:t>
      </w:r>
      <w:proofErr w:type="spellEnd"/>
      <w:r w:rsidRPr="00CE7D65">
        <w:t xml:space="preserve"> critically reviewed published papers that used the SOC in its different forms and concluded that several researchers noticed the occurrence of only extreme answers, which is one of the problems of the scale that merits further study (</w:t>
      </w:r>
      <w:proofErr w:type="spellStart"/>
      <w:r w:rsidRPr="00CE7D65">
        <w:t>Antonovsky</w:t>
      </w:r>
      <w:proofErr w:type="spellEnd"/>
      <w:r w:rsidRPr="00CE7D65">
        <w:t>, 1993). Thus, the SOC scale needs to be validated for each specific population and new adaptations may be necessary for differentiated contexts (Martins, 2006).</w:t>
      </w:r>
    </w:p>
    <w:p w14:paraId="4E8E4019" w14:textId="77777777" w:rsidR="00CE7D65" w:rsidRPr="00CE7D65" w:rsidRDefault="00CE7D65" w:rsidP="00CE7D65">
      <w:pPr>
        <w:pStyle w:val="Prrafocomn"/>
      </w:pPr>
      <w:r w:rsidRPr="00CE7D65">
        <w:t xml:space="preserve">As mentioned earlier, criticism of SOC measurement exists, for one, because various Sense of Coherence measures have been shortened, such as the SOC-13. This reflects the reality that in many health survey applications, questionnaires must be very brief. On the other hand, the critique stems from the fact that the SOC-13 are only moderately-to-weakly related to various measures of physical health (Eriksson, &amp; </w:t>
      </w:r>
      <w:proofErr w:type="spellStart"/>
      <w:r w:rsidRPr="00CE7D65">
        <w:t>Mittelmark</w:t>
      </w:r>
      <w:proofErr w:type="spellEnd"/>
      <w:r w:rsidRPr="00CE7D65">
        <w:t xml:space="preserve">, 2017). However, this version has been shown to be broadly associated with more subjective outcomes, important for health construction (Eriksson, &amp; </w:t>
      </w:r>
      <w:proofErr w:type="spellStart"/>
      <w:r w:rsidRPr="00CE7D65">
        <w:t>Mittelmark</w:t>
      </w:r>
      <w:proofErr w:type="spellEnd"/>
      <w:r w:rsidRPr="00CE7D65">
        <w:t xml:space="preserve">, 2017; </w:t>
      </w:r>
      <w:proofErr w:type="spellStart"/>
      <w:r w:rsidRPr="00CE7D65">
        <w:t>Tomazoni</w:t>
      </w:r>
      <w:proofErr w:type="spellEnd"/>
      <w:r w:rsidRPr="00CE7D65">
        <w:t xml:space="preserve"> et al., 2019).</w:t>
      </w:r>
    </w:p>
    <w:p w14:paraId="423DCD3C" w14:textId="77777777" w:rsidR="00CE7D65" w:rsidRPr="00CE7D65" w:rsidRDefault="00CE7D65" w:rsidP="00CE7D65">
      <w:pPr>
        <w:pStyle w:val="Prrafocomn"/>
      </w:pPr>
      <w:r w:rsidRPr="00CE7D65">
        <w:t>Our findings should be interpreted with caution given their limitations and strengths. A convenience sample was used for this study, limiting the generalization of the findings for this population. Additionally, the participants involved in this research have high social vulnerability, which may have influenced their responses. Nonetheless, this is a study that evaluated the psychometric properties of an instrument, and we believe that these limitations do not interfere in the findings. Other studies should be carried out to investigate and determine the importance of SOC and its influence on clinical and psychosocial outcomes in this population.</w:t>
      </w:r>
    </w:p>
    <w:p w14:paraId="17532C57" w14:textId="689A1F26" w:rsidR="006F7E7E" w:rsidRDefault="00CE7D65" w:rsidP="00CE7D65">
      <w:pPr>
        <w:pStyle w:val="Prrafocomn"/>
      </w:pPr>
      <w:r w:rsidRPr="00CE7D65">
        <w:t xml:space="preserve">Working with Sense of Coherence would be a useful strategy to improve the health of schoolchildren. Unhealthy factors are part of the environment, and a healthy state is more related to perception of and dealing with unhealthy factors than to their presence (Watt, 2002). Thus, it </w:t>
      </w:r>
      <w:r w:rsidRPr="00CE7D65">
        <w:lastRenderedPageBreak/>
        <w:t>becomes necessary to measure and qualify the SOC in a standardized way in different populations. The results of this study bring relevant information about the use of SOC-13 scale among Brazilian schoolchildren. It demonstrated acceptable values of validity and reliability of the scale.</w:t>
      </w:r>
    </w:p>
    <w:p w14:paraId="3EE784E7" w14:textId="121C10D1" w:rsidR="00CE7D65" w:rsidRPr="002F38C8" w:rsidRDefault="00CE7D65" w:rsidP="00CE7D65">
      <w:pPr>
        <w:pStyle w:val="Ttulosinternos"/>
      </w:pPr>
      <w:r w:rsidRPr="00CE7D65">
        <w:t>Conclusion</w:t>
      </w:r>
    </w:p>
    <w:p w14:paraId="7BA9DF46" w14:textId="702D67D6" w:rsidR="00CE7D65" w:rsidRPr="00CE7D65" w:rsidRDefault="00CE7D65" w:rsidP="00CE7D65">
      <w:pPr>
        <w:pStyle w:val="Prrafocomn"/>
      </w:pPr>
      <w:r w:rsidRPr="00CE7D65">
        <w:t>In conclusion, the Brazilian version of the short Sense of Coherence scale (SOC-13) showed adequate validity in a school-aged population. These findings are important because they show that subjective measures can be used in promoting the oral health of populations. Validated questionnaires and scales allow reliable findings and, therefore, more accurate public planning can be undertaken in order to reduce health inequalities. In this regard, the questionnaire performs well as a discriminant measure, though more studies are necessary to determine the scale’s minimal clinically important difference.</w:t>
      </w:r>
    </w:p>
    <w:p w14:paraId="6CD8B4A8" w14:textId="34F0BCF8" w:rsidR="006F7E7E" w:rsidRPr="002F38C8" w:rsidRDefault="00CE7D65" w:rsidP="00B06283">
      <w:pPr>
        <w:jc w:val="center"/>
        <w:rPr>
          <w:b/>
          <w:lang w:val="en-US"/>
        </w:rPr>
      </w:pPr>
      <w:r w:rsidRPr="00CE7D65">
        <w:rPr>
          <w:b/>
          <w:bCs/>
          <w:lang w:val="en-US"/>
        </w:rPr>
        <w:t>References</w:t>
      </w:r>
    </w:p>
    <w:p w14:paraId="509793EE" w14:textId="77777777" w:rsidR="006F7E7E" w:rsidRDefault="006F7E7E" w:rsidP="006F7E7E">
      <w:pPr>
        <w:jc w:val="both"/>
        <w:rPr>
          <w:lang w:val="en-US"/>
        </w:rPr>
      </w:pPr>
    </w:p>
    <w:p w14:paraId="5D1E705C" w14:textId="77777777" w:rsidR="00CE7D65" w:rsidRPr="00CE7D65" w:rsidRDefault="00CE7D65" w:rsidP="00CE7D65">
      <w:pPr>
        <w:ind w:left="720" w:hanging="720"/>
        <w:jc w:val="both"/>
        <w:rPr>
          <w:lang w:val="en-US"/>
        </w:rPr>
      </w:pPr>
      <w:proofErr w:type="spellStart"/>
      <w:r w:rsidRPr="00CE7D65">
        <w:rPr>
          <w:lang w:val="en-US"/>
        </w:rPr>
        <w:t>Antonovsky</w:t>
      </w:r>
      <w:proofErr w:type="spellEnd"/>
      <w:r w:rsidRPr="00CE7D65">
        <w:rPr>
          <w:lang w:val="en-US"/>
        </w:rPr>
        <w:t xml:space="preserve">, A. (1987). </w:t>
      </w:r>
      <w:r w:rsidRPr="00CE7D65">
        <w:rPr>
          <w:i/>
          <w:iCs/>
          <w:lang w:val="en-US"/>
        </w:rPr>
        <w:t>Unraveling the mystery of health: How people manage stress and stay well</w:t>
      </w:r>
      <w:r w:rsidRPr="00CE7D65">
        <w:rPr>
          <w:lang w:val="en-US"/>
        </w:rPr>
        <w:t>. Jossey-bass.</w:t>
      </w:r>
    </w:p>
    <w:p w14:paraId="73C96850" w14:textId="77777777" w:rsidR="00CE7D65" w:rsidRPr="00CE7D65" w:rsidRDefault="00CE7D65" w:rsidP="00CE7D65">
      <w:pPr>
        <w:ind w:left="720" w:hanging="720"/>
        <w:jc w:val="both"/>
        <w:rPr>
          <w:lang w:val="en-US"/>
        </w:rPr>
      </w:pPr>
      <w:proofErr w:type="spellStart"/>
      <w:r w:rsidRPr="00CE7D65">
        <w:rPr>
          <w:lang w:val="en-US"/>
        </w:rPr>
        <w:t>Antonovsky</w:t>
      </w:r>
      <w:proofErr w:type="spellEnd"/>
      <w:r w:rsidRPr="00CE7D65">
        <w:rPr>
          <w:lang w:val="en-US"/>
        </w:rPr>
        <w:t>, A. (1993). The structure and properties of the sense of coherence scale. Social science &amp; medicine, 36(6), 725-733.</w:t>
      </w:r>
    </w:p>
    <w:p w14:paraId="10B3BEAD" w14:textId="77777777" w:rsidR="00CE7D65" w:rsidRPr="00CE7D65" w:rsidRDefault="00CE7D65" w:rsidP="00CE7D65">
      <w:pPr>
        <w:ind w:left="720" w:hanging="720"/>
        <w:jc w:val="both"/>
        <w:rPr>
          <w:lang w:val="en-US"/>
        </w:rPr>
      </w:pPr>
      <w:proofErr w:type="spellStart"/>
      <w:r w:rsidRPr="00CE7D65">
        <w:rPr>
          <w:lang w:val="en-US"/>
        </w:rPr>
        <w:t>Bachem</w:t>
      </w:r>
      <w:proofErr w:type="spellEnd"/>
      <w:r w:rsidRPr="00CE7D65">
        <w:rPr>
          <w:lang w:val="en-US"/>
        </w:rPr>
        <w:t xml:space="preserve">, R., &amp; </w:t>
      </w:r>
      <w:proofErr w:type="spellStart"/>
      <w:r w:rsidRPr="00CE7D65">
        <w:rPr>
          <w:lang w:val="en-US"/>
        </w:rPr>
        <w:t>Maercker</w:t>
      </w:r>
      <w:proofErr w:type="spellEnd"/>
      <w:r w:rsidRPr="00CE7D65">
        <w:rPr>
          <w:lang w:val="en-US"/>
        </w:rPr>
        <w:t xml:space="preserve">, A. (2016). Development and psychometric evaluation of a revised sense of coherence scale. </w:t>
      </w:r>
      <w:r w:rsidRPr="00CE7D65">
        <w:rPr>
          <w:i/>
          <w:iCs/>
          <w:lang w:val="en-US"/>
        </w:rPr>
        <w:t>European Journal of Psychological Assessment</w:t>
      </w:r>
      <w:r w:rsidRPr="00CE7D65">
        <w:rPr>
          <w:lang w:val="en-US"/>
        </w:rPr>
        <w:t>.</w:t>
      </w:r>
    </w:p>
    <w:p w14:paraId="5AA69ED4" w14:textId="77777777" w:rsidR="00CE7D65" w:rsidRPr="00CE7D65" w:rsidRDefault="00CE7D65" w:rsidP="00CE7D65">
      <w:pPr>
        <w:ind w:left="720" w:hanging="720"/>
        <w:jc w:val="both"/>
        <w:rPr>
          <w:lang w:val="en-US"/>
        </w:rPr>
      </w:pPr>
      <w:r w:rsidRPr="00CE7D65">
        <w:rPr>
          <w:lang w:val="en-US"/>
        </w:rPr>
        <w:t xml:space="preserve">Baker, S. R., Mat, A., &amp; Robinson, P. G. (2010). What psychosocial factors influence adolescents’ oral </w:t>
      </w:r>
      <w:proofErr w:type="gramStart"/>
      <w:r w:rsidRPr="00CE7D65">
        <w:rPr>
          <w:lang w:val="en-US"/>
        </w:rPr>
        <w:t>health?.</w:t>
      </w:r>
      <w:proofErr w:type="gramEnd"/>
      <w:r w:rsidRPr="00CE7D65">
        <w:rPr>
          <w:lang w:val="en-US"/>
        </w:rPr>
        <w:t xml:space="preserve"> </w:t>
      </w:r>
      <w:r w:rsidRPr="00CE7D65">
        <w:rPr>
          <w:i/>
          <w:iCs/>
          <w:lang w:val="en-US"/>
        </w:rPr>
        <w:t>Journal of Dental Research</w:t>
      </w:r>
      <w:r w:rsidRPr="00CE7D65">
        <w:rPr>
          <w:lang w:val="en-US"/>
        </w:rPr>
        <w:t>, 89(11), 1230-1235.</w:t>
      </w:r>
    </w:p>
    <w:p w14:paraId="45281CC2" w14:textId="77777777" w:rsidR="00CE7D65" w:rsidRPr="00CE7D65" w:rsidRDefault="00CE7D65" w:rsidP="00CE7D65">
      <w:pPr>
        <w:ind w:left="720" w:hanging="720"/>
        <w:jc w:val="both"/>
        <w:rPr>
          <w:bCs/>
          <w:lang w:val="en-US"/>
        </w:rPr>
      </w:pPr>
      <w:proofErr w:type="spellStart"/>
      <w:r w:rsidRPr="00CE7D65">
        <w:rPr>
          <w:lang w:val="en-US"/>
        </w:rPr>
        <w:t>Baxevanos</w:t>
      </w:r>
      <w:proofErr w:type="spellEnd"/>
      <w:r w:rsidRPr="00CE7D65">
        <w:rPr>
          <w:lang w:val="en-US"/>
        </w:rPr>
        <w:t xml:space="preserve">, K., </w:t>
      </w:r>
      <w:proofErr w:type="spellStart"/>
      <w:r w:rsidRPr="00CE7D65">
        <w:rPr>
          <w:lang w:val="en-US"/>
        </w:rPr>
        <w:t>Topitsoglou</w:t>
      </w:r>
      <w:proofErr w:type="spellEnd"/>
      <w:r w:rsidRPr="00CE7D65">
        <w:rPr>
          <w:lang w:val="en-US"/>
        </w:rPr>
        <w:t xml:space="preserve">, V., </w:t>
      </w:r>
      <w:proofErr w:type="spellStart"/>
      <w:r w:rsidRPr="00CE7D65">
        <w:rPr>
          <w:lang w:val="en-US"/>
        </w:rPr>
        <w:t>Menexes</w:t>
      </w:r>
      <w:proofErr w:type="spellEnd"/>
      <w:r w:rsidRPr="00CE7D65">
        <w:rPr>
          <w:lang w:val="en-US"/>
        </w:rPr>
        <w:t xml:space="preserve">, G., &amp; </w:t>
      </w:r>
      <w:proofErr w:type="spellStart"/>
      <w:r w:rsidRPr="00CE7D65">
        <w:rPr>
          <w:lang w:val="en-US"/>
        </w:rPr>
        <w:t>Kalfas</w:t>
      </w:r>
      <w:proofErr w:type="spellEnd"/>
      <w:r w:rsidRPr="00CE7D65">
        <w:rPr>
          <w:lang w:val="en-US"/>
        </w:rPr>
        <w:t xml:space="preserve">, S. (2017). Psychosocial factors and traumatic dental injuries among adolescents. </w:t>
      </w:r>
      <w:r w:rsidRPr="00CE7D65">
        <w:rPr>
          <w:i/>
          <w:iCs/>
          <w:lang w:val="en-US"/>
        </w:rPr>
        <w:t>Community Dentistry and Oral Epidemiology</w:t>
      </w:r>
      <w:r w:rsidRPr="00CE7D65">
        <w:rPr>
          <w:lang w:val="en-US"/>
        </w:rPr>
        <w:t xml:space="preserve">, 45(5), 449-457. </w:t>
      </w:r>
    </w:p>
    <w:p w14:paraId="2EE40DFA" w14:textId="77777777" w:rsidR="00CE7D65" w:rsidRPr="00CE7D65" w:rsidRDefault="00CE7D65" w:rsidP="00CE7D65">
      <w:pPr>
        <w:ind w:left="720" w:hanging="720"/>
        <w:jc w:val="both"/>
        <w:rPr>
          <w:lang w:val="en-US"/>
        </w:rPr>
      </w:pPr>
      <w:proofErr w:type="spellStart"/>
      <w:r w:rsidRPr="00CE7D65">
        <w:rPr>
          <w:lang w:val="pt-BR"/>
        </w:rPr>
        <w:t>Bonanato</w:t>
      </w:r>
      <w:proofErr w:type="spellEnd"/>
      <w:r w:rsidRPr="00CE7D65">
        <w:rPr>
          <w:lang w:val="pt-BR"/>
        </w:rPr>
        <w:t xml:space="preserve">, K., Branco, D. B. T., Mota, J. P. T., Ramos-Jorge, M. L., Paiva, S. M., </w:t>
      </w:r>
      <w:proofErr w:type="spellStart"/>
      <w:r w:rsidRPr="00CE7D65">
        <w:rPr>
          <w:lang w:val="pt-BR"/>
        </w:rPr>
        <w:t>Pordeus</w:t>
      </w:r>
      <w:proofErr w:type="spellEnd"/>
      <w:r w:rsidRPr="00CE7D65">
        <w:rPr>
          <w:lang w:val="pt-BR"/>
        </w:rPr>
        <w:t xml:space="preserve">, I. A., &amp; </w:t>
      </w:r>
      <w:proofErr w:type="spellStart"/>
      <w:r w:rsidRPr="00CE7D65">
        <w:rPr>
          <w:lang w:val="pt-BR"/>
        </w:rPr>
        <w:t>Kaeppler</w:t>
      </w:r>
      <w:proofErr w:type="spellEnd"/>
      <w:r w:rsidRPr="00CE7D65">
        <w:rPr>
          <w:lang w:val="pt-BR"/>
        </w:rPr>
        <w:t xml:space="preserve">, K. C. (2009). </w:t>
      </w:r>
      <w:r w:rsidRPr="00CE7D65">
        <w:rPr>
          <w:lang w:val="en-US"/>
        </w:rPr>
        <w:t xml:space="preserve">Trans-cultural adaptation and psychometric properties of </w:t>
      </w:r>
      <w:proofErr w:type="spellStart"/>
      <w:r w:rsidRPr="00CE7D65">
        <w:rPr>
          <w:lang w:val="en-US"/>
        </w:rPr>
        <w:t>the'Sense</w:t>
      </w:r>
      <w:proofErr w:type="spellEnd"/>
      <w:r w:rsidRPr="00CE7D65">
        <w:rPr>
          <w:lang w:val="en-US"/>
        </w:rPr>
        <w:t xml:space="preserve"> of Coherence </w:t>
      </w:r>
      <w:proofErr w:type="spellStart"/>
      <w:r w:rsidRPr="00CE7D65">
        <w:rPr>
          <w:lang w:val="en-US"/>
        </w:rPr>
        <w:t>Scale'in</w:t>
      </w:r>
      <w:proofErr w:type="spellEnd"/>
      <w:r w:rsidRPr="00CE7D65">
        <w:rPr>
          <w:lang w:val="en-US"/>
        </w:rPr>
        <w:t xml:space="preserve"> mothers of preschool children. </w:t>
      </w:r>
      <w:r w:rsidRPr="00CE7D65">
        <w:rPr>
          <w:i/>
          <w:iCs/>
          <w:lang w:val="en-US"/>
        </w:rPr>
        <w:t>Interamerican Journal of Psychology</w:t>
      </w:r>
      <w:r w:rsidRPr="00CE7D65">
        <w:rPr>
          <w:lang w:val="en-US"/>
        </w:rPr>
        <w:t>, 43(1), 144-153.</w:t>
      </w:r>
    </w:p>
    <w:p w14:paraId="7DF8FEF1" w14:textId="77777777" w:rsidR="00CE7D65" w:rsidRPr="00CE7D65" w:rsidRDefault="00CE7D65" w:rsidP="00CE7D65">
      <w:pPr>
        <w:ind w:left="720" w:hanging="720"/>
        <w:jc w:val="both"/>
        <w:rPr>
          <w:lang w:val="en-US"/>
        </w:rPr>
      </w:pPr>
      <w:proofErr w:type="spellStart"/>
      <w:r w:rsidRPr="00CE7D65">
        <w:rPr>
          <w:lang w:val="en-US"/>
        </w:rPr>
        <w:t>Bonanato</w:t>
      </w:r>
      <w:proofErr w:type="spellEnd"/>
      <w:r w:rsidRPr="00CE7D65">
        <w:rPr>
          <w:lang w:val="en-US"/>
        </w:rPr>
        <w:t xml:space="preserve">, K., </w:t>
      </w:r>
      <w:proofErr w:type="spellStart"/>
      <w:r w:rsidRPr="00CE7D65">
        <w:rPr>
          <w:lang w:val="en-US"/>
        </w:rPr>
        <w:t>Scarpelli</w:t>
      </w:r>
      <w:proofErr w:type="spellEnd"/>
      <w:r w:rsidRPr="00CE7D65">
        <w:rPr>
          <w:lang w:val="en-US"/>
        </w:rPr>
        <w:t xml:space="preserve">, A. C., </w:t>
      </w:r>
      <w:proofErr w:type="spellStart"/>
      <w:r w:rsidRPr="00CE7D65">
        <w:rPr>
          <w:lang w:val="en-US"/>
        </w:rPr>
        <w:t>Goursand</w:t>
      </w:r>
      <w:proofErr w:type="spellEnd"/>
      <w:r w:rsidRPr="00CE7D65">
        <w:rPr>
          <w:lang w:val="en-US"/>
        </w:rPr>
        <w:t xml:space="preserve">, D., </w:t>
      </w:r>
      <w:proofErr w:type="spellStart"/>
      <w:r w:rsidRPr="00CE7D65">
        <w:rPr>
          <w:lang w:val="en-US"/>
        </w:rPr>
        <w:t>Mota</w:t>
      </w:r>
      <w:proofErr w:type="spellEnd"/>
      <w:r w:rsidRPr="00CE7D65">
        <w:rPr>
          <w:lang w:val="en-US"/>
        </w:rPr>
        <w:t xml:space="preserve">, J. P. T., Paiva, S. M., &amp; </w:t>
      </w:r>
      <w:proofErr w:type="spellStart"/>
      <w:r w:rsidRPr="00CE7D65">
        <w:rPr>
          <w:lang w:val="en-US"/>
        </w:rPr>
        <w:t>Pordeus</w:t>
      </w:r>
      <w:proofErr w:type="spellEnd"/>
      <w:r w:rsidRPr="00CE7D65">
        <w:rPr>
          <w:lang w:val="en-US"/>
        </w:rPr>
        <w:t xml:space="preserve">, I. A. (2008). Sense of coherence and dental caries experience in preschool children from Belo Horizonte city. </w:t>
      </w:r>
      <w:proofErr w:type="spellStart"/>
      <w:r w:rsidRPr="00CE7D65">
        <w:rPr>
          <w:i/>
          <w:iCs/>
          <w:lang w:val="en-US"/>
        </w:rPr>
        <w:t>Revista</w:t>
      </w:r>
      <w:proofErr w:type="spellEnd"/>
      <w:r w:rsidRPr="00CE7D65">
        <w:rPr>
          <w:i/>
          <w:iCs/>
          <w:lang w:val="en-US"/>
        </w:rPr>
        <w:t xml:space="preserve"> </w:t>
      </w:r>
      <w:proofErr w:type="spellStart"/>
      <w:r w:rsidRPr="00CE7D65">
        <w:rPr>
          <w:i/>
          <w:iCs/>
          <w:lang w:val="en-US"/>
        </w:rPr>
        <w:t>Odonto</w:t>
      </w:r>
      <w:proofErr w:type="spellEnd"/>
      <w:r w:rsidRPr="00CE7D65">
        <w:rPr>
          <w:i/>
          <w:iCs/>
          <w:lang w:val="en-US"/>
        </w:rPr>
        <w:t xml:space="preserve"> </w:t>
      </w:r>
      <w:proofErr w:type="spellStart"/>
      <w:r w:rsidRPr="00CE7D65">
        <w:rPr>
          <w:i/>
          <w:iCs/>
          <w:lang w:val="en-US"/>
        </w:rPr>
        <w:t>Ciência</w:t>
      </w:r>
      <w:proofErr w:type="spellEnd"/>
      <w:r w:rsidRPr="00CE7D65">
        <w:rPr>
          <w:lang w:val="en-US"/>
        </w:rPr>
        <w:t>, 23(3), 251-255.</w:t>
      </w:r>
    </w:p>
    <w:p w14:paraId="54595C8F" w14:textId="77777777" w:rsidR="00CE7D65" w:rsidRPr="00CE7D65" w:rsidRDefault="00CE7D65" w:rsidP="00CE7D65">
      <w:pPr>
        <w:ind w:left="720" w:hanging="720"/>
        <w:jc w:val="both"/>
        <w:rPr>
          <w:lang w:val="en-US"/>
        </w:rPr>
      </w:pPr>
      <w:r w:rsidRPr="00CE7D65">
        <w:rPr>
          <w:lang w:val="en-US"/>
        </w:rPr>
        <w:t xml:space="preserve">Broder, H. L. (2001). Using psychological assessment and therapeutic strategies to enhance well-being. </w:t>
      </w:r>
      <w:r w:rsidRPr="00CE7D65">
        <w:rPr>
          <w:i/>
          <w:iCs/>
          <w:lang w:val="en-US"/>
        </w:rPr>
        <w:t>The Cleft Palate-Craniofacial Journal</w:t>
      </w:r>
      <w:r w:rsidRPr="00CE7D65">
        <w:rPr>
          <w:lang w:val="en-US"/>
        </w:rPr>
        <w:t>, 38(3), 248-254.</w:t>
      </w:r>
    </w:p>
    <w:p w14:paraId="0340C148" w14:textId="77777777" w:rsidR="00CE7D65" w:rsidRPr="00CE7D65" w:rsidRDefault="00CE7D65" w:rsidP="00CE7D65">
      <w:pPr>
        <w:ind w:left="720" w:hanging="720"/>
        <w:jc w:val="both"/>
        <w:rPr>
          <w:lang w:val="en-US"/>
        </w:rPr>
      </w:pPr>
      <w:proofErr w:type="spellStart"/>
      <w:r w:rsidRPr="00CE7D65">
        <w:rPr>
          <w:lang w:val="en-US"/>
        </w:rPr>
        <w:t>Cautin</w:t>
      </w:r>
      <w:proofErr w:type="spellEnd"/>
      <w:r w:rsidRPr="00CE7D65">
        <w:rPr>
          <w:lang w:val="en-US"/>
        </w:rPr>
        <w:t xml:space="preserve">, R. L., &amp; Lilienfeld, S. O. (Eds.). (2015). </w:t>
      </w:r>
      <w:r w:rsidRPr="00CE7D65">
        <w:rPr>
          <w:i/>
          <w:iCs/>
          <w:lang w:val="en-US"/>
        </w:rPr>
        <w:t>The Encyclopedia of Clinical Psychology, 5 Volume Set</w:t>
      </w:r>
      <w:r w:rsidRPr="00CE7D65">
        <w:rPr>
          <w:lang w:val="en-US"/>
        </w:rPr>
        <w:t>. John Wiley &amp; Sons.</w:t>
      </w:r>
    </w:p>
    <w:p w14:paraId="664386C6" w14:textId="77777777" w:rsidR="00CE7D65" w:rsidRPr="00CE7D65" w:rsidRDefault="00CE7D65" w:rsidP="00CE7D65">
      <w:pPr>
        <w:ind w:left="720" w:hanging="720"/>
        <w:jc w:val="both"/>
        <w:rPr>
          <w:lang w:val="en-US"/>
        </w:rPr>
      </w:pPr>
      <w:r w:rsidRPr="00CE7D65">
        <w:rPr>
          <w:lang w:val="en-US"/>
        </w:rPr>
        <w:t xml:space="preserve">do </w:t>
      </w:r>
      <w:proofErr w:type="spellStart"/>
      <w:r w:rsidRPr="00CE7D65">
        <w:rPr>
          <w:lang w:val="en-US"/>
        </w:rPr>
        <w:t>Carmo</w:t>
      </w:r>
      <w:proofErr w:type="spellEnd"/>
      <w:r w:rsidRPr="00CE7D65">
        <w:rPr>
          <w:lang w:val="en-US"/>
        </w:rPr>
        <w:t xml:space="preserve"> Matias Freire, M., </w:t>
      </w:r>
      <w:proofErr w:type="spellStart"/>
      <w:r w:rsidRPr="00CE7D65">
        <w:rPr>
          <w:lang w:val="en-US"/>
        </w:rPr>
        <w:t>Sheiham</w:t>
      </w:r>
      <w:proofErr w:type="spellEnd"/>
      <w:r w:rsidRPr="00CE7D65">
        <w:rPr>
          <w:lang w:val="en-US"/>
        </w:rPr>
        <w:t xml:space="preserve">, A., &amp; Hardy, R. (2001). Adolescents’ sense of coherence, oral health status, and oral health‐related </w:t>
      </w:r>
      <w:proofErr w:type="spellStart"/>
      <w:r w:rsidRPr="00CE7D65">
        <w:rPr>
          <w:lang w:val="en-US"/>
        </w:rPr>
        <w:t>behaviours</w:t>
      </w:r>
      <w:proofErr w:type="spellEnd"/>
      <w:r w:rsidRPr="00CE7D65">
        <w:rPr>
          <w:lang w:val="en-US"/>
        </w:rPr>
        <w:t xml:space="preserve">. </w:t>
      </w:r>
      <w:r w:rsidRPr="00CE7D65">
        <w:rPr>
          <w:i/>
          <w:iCs/>
          <w:lang w:val="en-US"/>
        </w:rPr>
        <w:t>Community Dentistry and Oral Epidemiology</w:t>
      </w:r>
      <w:r w:rsidRPr="00CE7D65">
        <w:rPr>
          <w:lang w:val="en-US"/>
        </w:rPr>
        <w:t>, 29(3), 204-212.</w:t>
      </w:r>
    </w:p>
    <w:p w14:paraId="47964CCC" w14:textId="77777777" w:rsidR="00CE7D65" w:rsidRPr="00CE7D65" w:rsidRDefault="00CE7D65" w:rsidP="00CE7D65">
      <w:pPr>
        <w:ind w:left="720" w:hanging="720"/>
        <w:jc w:val="both"/>
        <w:rPr>
          <w:lang w:val="en-US"/>
        </w:rPr>
      </w:pPr>
      <w:r w:rsidRPr="00CE7D65">
        <w:rPr>
          <w:lang w:val="en-US"/>
        </w:rPr>
        <w:lastRenderedPageBreak/>
        <w:t xml:space="preserve">Eriksson, M., &amp; </w:t>
      </w:r>
      <w:proofErr w:type="spellStart"/>
      <w:r w:rsidRPr="00CE7D65">
        <w:rPr>
          <w:lang w:val="en-US"/>
        </w:rPr>
        <w:t>Lindström</w:t>
      </w:r>
      <w:proofErr w:type="spellEnd"/>
      <w:r w:rsidRPr="00CE7D65">
        <w:rPr>
          <w:lang w:val="en-US"/>
        </w:rPr>
        <w:t xml:space="preserve">, B. (2005). Validity of </w:t>
      </w:r>
      <w:proofErr w:type="spellStart"/>
      <w:r w:rsidRPr="00CE7D65">
        <w:rPr>
          <w:lang w:val="en-US"/>
        </w:rPr>
        <w:t>Antonovsky’s</w:t>
      </w:r>
      <w:proofErr w:type="spellEnd"/>
      <w:r w:rsidRPr="00CE7D65">
        <w:rPr>
          <w:lang w:val="en-US"/>
        </w:rPr>
        <w:t xml:space="preserve"> sense of coherence scale: a systematic review. </w:t>
      </w:r>
      <w:r w:rsidRPr="00CE7D65">
        <w:rPr>
          <w:i/>
          <w:iCs/>
          <w:lang w:val="en-US"/>
        </w:rPr>
        <w:t>Journal of Epidemiology &amp; Community Health</w:t>
      </w:r>
      <w:r w:rsidRPr="00CE7D65">
        <w:rPr>
          <w:lang w:val="en-US"/>
        </w:rPr>
        <w:t>, 59(6), 460-466.</w:t>
      </w:r>
    </w:p>
    <w:p w14:paraId="6C0D0A0B" w14:textId="77777777" w:rsidR="00CE7D65" w:rsidRPr="00CE7D65" w:rsidRDefault="00CE7D65" w:rsidP="00CE7D65">
      <w:pPr>
        <w:ind w:left="720" w:hanging="720"/>
        <w:jc w:val="both"/>
        <w:rPr>
          <w:lang w:val="en-US"/>
        </w:rPr>
      </w:pPr>
      <w:r w:rsidRPr="00CE7D65">
        <w:rPr>
          <w:lang w:val="en-US"/>
        </w:rPr>
        <w:t xml:space="preserve">Eriksson, M., &amp; </w:t>
      </w:r>
      <w:proofErr w:type="spellStart"/>
      <w:r w:rsidRPr="00CE7D65">
        <w:rPr>
          <w:lang w:val="en-US"/>
        </w:rPr>
        <w:t>Lindström</w:t>
      </w:r>
      <w:proofErr w:type="spellEnd"/>
      <w:r w:rsidRPr="00CE7D65">
        <w:rPr>
          <w:lang w:val="en-US"/>
        </w:rPr>
        <w:t xml:space="preserve">, B. (2006). </w:t>
      </w:r>
      <w:proofErr w:type="spellStart"/>
      <w:r w:rsidRPr="00CE7D65">
        <w:rPr>
          <w:lang w:val="en-US"/>
        </w:rPr>
        <w:t>Antonovsky’s</w:t>
      </w:r>
      <w:proofErr w:type="spellEnd"/>
      <w:r w:rsidRPr="00CE7D65">
        <w:rPr>
          <w:lang w:val="en-US"/>
        </w:rPr>
        <w:t xml:space="preserve"> sense of coherence scale and the relation with health: a systematic review. </w:t>
      </w:r>
      <w:r w:rsidRPr="00CE7D65">
        <w:rPr>
          <w:i/>
          <w:iCs/>
          <w:lang w:val="en-US"/>
        </w:rPr>
        <w:t>Journal of Epidemiology &amp; Community Health</w:t>
      </w:r>
      <w:r w:rsidRPr="00CE7D65">
        <w:rPr>
          <w:lang w:val="en-US"/>
        </w:rPr>
        <w:t>, 60(5), 376-381.</w:t>
      </w:r>
    </w:p>
    <w:p w14:paraId="4B474354" w14:textId="77777777" w:rsidR="00CE7D65" w:rsidRPr="00CE7D65" w:rsidRDefault="00CE7D65" w:rsidP="00CE7D65">
      <w:pPr>
        <w:ind w:left="720" w:hanging="720"/>
        <w:jc w:val="both"/>
        <w:rPr>
          <w:lang w:val="en-US"/>
        </w:rPr>
      </w:pPr>
      <w:r w:rsidRPr="00CE7D65">
        <w:rPr>
          <w:lang w:val="en-US"/>
        </w:rPr>
        <w:t xml:space="preserve">Eriksson, M., &amp; </w:t>
      </w:r>
      <w:proofErr w:type="spellStart"/>
      <w:r w:rsidRPr="00CE7D65">
        <w:rPr>
          <w:lang w:val="en-US"/>
        </w:rPr>
        <w:t>Lindström</w:t>
      </w:r>
      <w:proofErr w:type="spellEnd"/>
      <w:r w:rsidRPr="00CE7D65">
        <w:rPr>
          <w:lang w:val="en-US"/>
        </w:rPr>
        <w:t xml:space="preserve">, B. (2007). </w:t>
      </w:r>
      <w:proofErr w:type="spellStart"/>
      <w:r w:rsidRPr="00CE7D65">
        <w:rPr>
          <w:lang w:val="en-US"/>
        </w:rPr>
        <w:t>Antonovsky’s</w:t>
      </w:r>
      <w:proofErr w:type="spellEnd"/>
      <w:r w:rsidRPr="00CE7D65">
        <w:rPr>
          <w:lang w:val="en-US"/>
        </w:rPr>
        <w:t xml:space="preserve"> sense of coherence scale and its relation with quality of life: a systematic review. </w:t>
      </w:r>
      <w:r w:rsidRPr="00CE7D65">
        <w:rPr>
          <w:i/>
          <w:iCs/>
          <w:lang w:val="en-US"/>
        </w:rPr>
        <w:t>Journal of Epidemiology &amp; Community Health</w:t>
      </w:r>
      <w:r w:rsidRPr="00CE7D65">
        <w:rPr>
          <w:lang w:val="en-US"/>
        </w:rPr>
        <w:t>, 61(11), 938-944.</w:t>
      </w:r>
    </w:p>
    <w:p w14:paraId="07EEC6C2" w14:textId="77777777" w:rsidR="00CE7D65" w:rsidRPr="00CE7D65" w:rsidRDefault="00CE7D65" w:rsidP="00CE7D65">
      <w:pPr>
        <w:ind w:left="720" w:hanging="720"/>
        <w:jc w:val="both"/>
        <w:rPr>
          <w:lang w:val="en-US"/>
        </w:rPr>
      </w:pPr>
      <w:r w:rsidRPr="00CE7D65">
        <w:rPr>
          <w:lang w:val="en-US"/>
        </w:rPr>
        <w:t xml:space="preserve">Eriksson M., </w:t>
      </w:r>
      <w:proofErr w:type="spellStart"/>
      <w:r w:rsidRPr="00CE7D65">
        <w:rPr>
          <w:lang w:val="en-US"/>
        </w:rPr>
        <w:t>Mittelmark</w:t>
      </w:r>
      <w:proofErr w:type="spellEnd"/>
      <w:r w:rsidRPr="00CE7D65">
        <w:rPr>
          <w:lang w:val="en-US"/>
        </w:rPr>
        <w:t xml:space="preserve"> M.B. (2017) </w:t>
      </w:r>
      <w:r w:rsidRPr="00CE7D65">
        <w:rPr>
          <w:i/>
          <w:iCs/>
          <w:lang w:val="en-US"/>
        </w:rPr>
        <w:t>The Sense of Coherence and Its Measurement</w:t>
      </w:r>
      <w:r w:rsidRPr="00CE7D65">
        <w:rPr>
          <w:lang w:val="en-US"/>
        </w:rPr>
        <w:t xml:space="preserve"> 12. </w:t>
      </w:r>
      <w:r w:rsidRPr="00CE7D65">
        <w:rPr>
          <w:i/>
          <w:iCs/>
          <w:lang w:val="en-US"/>
        </w:rPr>
        <w:t xml:space="preserve">The Handbook of </w:t>
      </w:r>
      <w:proofErr w:type="spellStart"/>
      <w:r w:rsidRPr="00CE7D65">
        <w:rPr>
          <w:i/>
          <w:iCs/>
          <w:lang w:val="en-US"/>
        </w:rPr>
        <w:t>Salutogenesis</w:t>
      </w:r>
      <w:proofErr w:type="spellEnd"/>
      <w:r w:rsidRPr="00CE7D65">
        <w:rPr>
          <w:lang w:val="en-US"/>
        </w:rPr>
        <w:t xml:space="preserve">, 97. </w:t>
      </w:r>
    </w:p>
    <w:p w14:paraId="6E4BC0C3" w14:textId="77777777" w:rsidR="00CE7D65" w:rsidRPr="00CE7D65" w:rsidRDefault="00CE7D65" w:rsidP="00CE7D65">
      <w:pPr>
        <w:ind w:left="720" w:hanging="720"/>
        <w:jc w:val="both"/>
        <w:rPr>
          <w:lang w:val="en-US"/>
        </w:rPr>
      </w:pPr>
      <w:proofErr w:type="spellStart"/>
      <w:r w:rsidRPr="00CE7D65">
        <w:rPr>
          <w:lang w:val="en-US"/>
        </w:rPr>
        <w:t>Herdman</w:t>
      </w:r>
      <w:proofErr w:type="spellEnd"/>
      <w:r w:rsidRPr="00CE7D65">
        <w:rPr>
          <w:lang w:val="en-US"/>
        </w:rPr>
        <w:t xml:space="preserve"> M, Fox-</w:t>
      </w:r>
      <w:proofErr w:type="spellStart"/>
      <w:r w:rsidRPr="00CE7D65">
        <w:rPr>
          <w:lang w:val="en-US"/>
        </w:rPr>
        <w:t>Rushby</w:t>
      </w:r>
      <w:proofErr w:type="spellEnd"/>
      <w:r w:rsidRPr="00CE7D65">
        <w:rPr>
          <w:lang w:val="en-US"/>
        </w:rPr>
        <w:t xml:space="preserve"> J, </w:t>
      </w:r>
      <w:proofErr w:type="spellStart"/>
      <w:r w:rsidRPr="00CE7D65">
        <w:rPr>
          <w:lang w:val="en-US"/>
        </w:rPr>
        <w:t>Badia</w:t>
      </w:r>
      <w:proofErr w:type="spellEnd"/>
      <w:r w:rsidRPr="00CE7D65">
        <w:rPr>
          <w:lang w:val="en-US"/>
        </w:rPr>
        <w:t xml:space="preserve"> X. (1997) “Equivalence” and the translation and adaptation of health-related quality of life questionnaires. </w:t>
      </w:r>
      <w:r w:rsidRPr="00CE7D65">
        <w:rPr>
          <w:i/>
          <w:iCs/>
          <w:lang w:val="en-US"/>
        </w:rPr>
        <w:t>Quality of Life Research</w:t>
      </w:r>
      <w:r w:rsidRPr="00CE7D65">
        <w:rPr>
          <w:lang w:val="en-US"/>
        </w:rPr>
        <w:t>, 6(3), 237–47.</w:t>
      </w:r>
    </w:p>
    <w:p w14:paraId="6B2EF332" w14:textId="77777777" w:rsidR="00CE7D65" w:rsidRPr="00CE7D65" w:rsidRDefault="00CE7D65" w:rsidP="00CE7D65">
      <w:pPr>
        <w:ind w:left="720" w:hanging="720"/>
        <w:jc w:val="both"/>
        <w:rPr>
          <w:lang w:val="pt-BR"/>
        </w:rPr>
      </w:pPr>
      <w:r w:rsidRPr="00CE7D65">
        <w:rPr>
          <w:lang w:val="en-US"/>
        </w:rPr>
        <w:t xml:space="preserve">Hooper, D., Coughlan, J., &amp; Mullen, M. (2008). Structural equation modelling: Guidelines for determining model fit. </w:t>
      </w:r>
      <w:proofErr w:type="spellStart"/>
      <w:r w:rsidRPr="00CE7D65">
        <w:rPr>
          <w:i/>
          <w:iCs/>
          <w:lang w:val="pt-BR"/>
        </w:rPr>
        <w:t>Electronic</w:t>
      </w:r>
      <w:proofErr w:type="spellEnd"/>
      <w:r w:rsidRPr="00CE7D65">
        <w:rPr>
          <w:i/>
          <w:iCs/>
          <w:lang w:val="pt-BR"/>
        </w:rPr>
        <w:t xml:space="preserve"> </w:t>
      </w:r>
      <w:proofErr w:type="spellStart"/>
      <w:r w:rsidRPr="00CE7D65">
        <w:rPr>
          <w:i/>
          <w:iCs/>
          <w:lang w:val="pt-BR"/>
        </w:rPr>
        <w:t>Journal</w:t>
      </w:r>
      <w:proofErr w:type="spellEnd"/>
      <w:r w:rsidRPr="00CE7D65">
        <w:rPr>
          <w:i/>
          <w:iCs/>
          <w:lang w:val="pt-BR"/>
        </w:rPr>
        <w:t xml:space="preserve"> </w:t>
      </w:r>
      <w:proofErr w:type="spellStart"/>
      <w:r w:rsidRPr="00CE7D65">
        <w:rPr>
          <w:i/>
          <w:iCs/>
          <w:lang w:val="pt-BR"/>
        </w:rPr>
        <w:t>of</w:t>
      </w:r>
      <w:proofErr w:type="spellEnd"/>
      <w:r w:rsidRPr="00CE7D65">
        <w:rPr>
          <w:i/>
          <w:iCs/>
          <w:lang w:val="pt-BR"/>
        </w:rPr>
        <w:t xml:space="preserve"> Business </w:t>
      </w:r>
      <w:proofErr w:type="spellStart"/>
      <w:r w:rsidRPr="00CE7D65">
        <w:rPr>
          <w:i/>
          <w:iCs/>
          <w:lang w:val="pt-BR"/>
        </w:rPr>
        <w:t>Research</w:t>
      </w:r>
      <w:proofErr w:type="spellEnd"/>
      <w:r w:rsidRPr="00CE7D65">
        <w:rPr>
          <w:i/>
          <w:iCs/>
          <w:lang w:val="pt-BR"/>
        </w:rPr>
        <w:t xml:space="preserve"> </w:t>
      </w:r>
      <w:proofErr w:type="spellStart"/>
      <w:r w:rsidRPr="00CE7D65">
        <w:rPr>
          <w:i/>
          <w:iCs/>
          <w:lang w:val="pt-BR"/>
        </w:rPr>
        <w:t>Methods</w:t>
      </w:r>
      <w:proofErr w:type="spellEnd"/>
      <w:r w:rsidRPr="00CE7D65">
        <w:rPr>
          <w:lang w:val="pt-BR"/>
        </w:rPr>
        <w:t>, 6(1), 53-60.</w:t>
      </w:r>
    </w:p>
    <w:p w14:paraId="0334B6D6" w14:textId="77777777" w:rsidR="00CE7D65" w:rsidRPr="00CE7D65" w:rsidRDefault="00CE7D65" w:rsidP="00CE7D65">
      <w:pPr>
        <w:ind w:left="720" w:hanging="720"/>
        <w:jc w:val="both"/>
        <w:rPr>
          <w:lang w:val="pt-BR"/>
        </w:rPr>
      </w:pPr>
      <w:r w:rsidRPr="00CE7D65">
        <w:rPr>
          <w:lang w:val="pt-BR"/>
        </w:rPr>
        <w:t xml:space="preserve">Instituto Brasileiro de Geografia e Estatística, IBGE. (2013) </w:t>
      </w:r>
      <w:r w:rsidRPr="00CE7D65">
        <w:rPr>
          <w:i/>
          <w:iCs/>
          <w:lang w:val="pt-BR"/>
        </w:rPr>
        <w:t>Síntese de Indicadores Sociais: Uma análise das condições de vida da população brasileira</w:t>
      </w:r>
      <w:r w:rsidRPr="00CE7D65">
        <w:rPr>
          <w:lang w:val="pt-BR"/>
        </w:rPr>
        <w:t>.</w:t>
      </w:r>
    </w:p>
    <w:p w14:paraId="1856D1FD" w14:textId="77777777" w:rsidR="00CE7D65" w:rsidRPr="00CE7D65" w:rsidRDefault="00CE7D65" w:rsidP="00CE7D65">
      <w:pPr>
        <w:ind w:left="720" w:hanging="720"/>
        <w:jc w:val="both"/>
        <w:rPr>
          <w:bCs/>
          <w:lang w:val="en-US"/>
        </w:rPr>
      </w:pPr>
      <w:r w:rsidRPr="00CE7D65">
        <w:rPr>
          <w:lang w:val="pt-BR"/>
        </w:rPr>
        <w:t xml:space="preserve">Lage, C. F., </w:t>
      </w:r>
      <w:proofErr w:type="spellStart"/>
      <w:r w:rsidRPr="00CE7D65">
        <w:rPr>
          <w:lang w:val="pt-BR"/>
        </w:rPr>
        <w:t>Fulgencio</w:t>
      </w:r>
      <w:proofErr w:type="spellEnd"/>
      <w:r w:rsidRPr="00CE7D65">
        <w:rPr>
          <w:lang w:val="pt-BR"/>
        </w:rPr>
        <w:t xml:space="preserve">, L. B., Corrêa Faria, P., Serra Negra, J. M., Paiva, S. M., &amp; </w:t>
      </w:r>
      <w:proofErr w:type="spellStart"/>
      <w:r w:rsidRPr="00CE7D65">
        <w:rPr>
          <w:lang w:val="pt-BR"/>
        </w:rPr>
        <w:t>Pordeus</w:t>
      </w:r>
      <w:proofErr w:type="spellEnd"/>
      <w:r w:rsidRPr="00CE7D65">
        <w:rPr>
          <w:lang w:val="pt-BR"/>
        </w:rPr>
        <w:t xml:space="preserve">, I. A. (2017). </w:t>
      </w:r>
      <w:r w:rsidRPr="00CE7D65">
        <w:rPr>
          <w:lang w:val="en-US"/>
        </w:rPr>
        <w:t xml:space="preserve">Association between dental caries experience and sense of coherence among adolescents and mothers. </w:t>
      </w:r>
      <w:r w:rsidRPr="00CE7D65">
        <w:rPr>
          <w:i/>
          <w:iCs/>
          <w:lang w:val="en-US"/>
        </w:rPr>
        <w:t xml:space="preserve">International Journal of </w:t>
      </w:r>
      <w:proofErr w:type="spellStart"/>
      <w:r w:rsidRPr="00CE7D65">
        <w:rPr>
          <w:i/>
          <w:iCs/>
          <w:lang w:val="en-US"/>
        </w:rPr>
        <w:t>Paediatric</w:t>
      </w:r>
      <w:proofErr w:type="spellEnd"/>
      <w:r w:rsidRPr="00CE7D65">
        <w:rPr>
          <w:i/>
          <w:iCs/>
          <w:lang w:val="en-US"/>
        </w:rPr>
        <w:t xml:space="preserve"> Dentistry</w:t>
      </w:r>
      <w:r w:rsidRPr="00CE7D65">
        <w:rPr>
          <w:lang w:val="en-US"/>
        </w:rPr>
        <w:t>, 27(5), 412-419.</w:t>
      </w:r>
    </w:p>
    <w:p w14:paraId="55C28AC3" w14:textId="77777777" w:rsidR="00CE7D65" w:rsidRPr="00CE7D65" w:rsidRDefault="00CE7D65" w:rsidP="00CE7D65">
      <w:pPr>
        <w:ind w:left="720" w:hanging="720"/>
        <w:jc w:val="both"/>
        <w:rPr>
          <w:lang w:val="en-US"/>
        </w:rPr>
      </w:pPr>
      <w:r w:rsidRPr="00CE7D65">
        <w:rPr>
          <w:lang w:val="uz-Cyrl-UZ"/>
        </w:rPr>
        <w:t xml:space="preserve">Länsimies, H., Pietilä, A. M., Hietasola Husu, S., &amp; Kangasniemi, M. (2017). </w:t>
      </w:r>
      <w:r w:rsidRPr="00CE7D65">
        <w:rPr>
          <w:lang w:val="en-US"/>
        </w:rPr>
        <w:t xml:space="preserve">A systematic review of adolescents’ sense of coherence and health. </w:t>
      </w:r>
      <w:r w:rsidRPr="00CE7D65">
        <w:rPr>
          <w:i/>
          <w:iCs/>
          <w:lang w:val="en-US"/>
        </w:rPr>
        <w:t>Scandinavian Journal of Caring Sciences</w:t>
      </w:r>
      <w:r w:rsidRPr="00CE7D65">
        <w:rPr>
          <w:lang w:val="en-US"/>
        </w:rPr>
        <w:t>, 31(4), 651-661.</w:t>
      </w:r>
    </w:p>
    <w:p w14:paraId="23523FFF" w14:textId="77777777" w:rsidR="00CE7D65" w:rsidRPr="00CE7D65" w:rsidRDefault="00CE7D65" w:rsidP="00CE7D65">
      <w:pPr>
        <w:ind w:left="720" w:hanging="720"/>
        <w:jc w:val="both"/>
        <w:rPr>
          <w:lang w:val="en-US"/>
        </w:rPr>
      </w:pPr>
      <w:r w:rsidRPr="00CE7D65">
        <w:rPr>
          <w:lang w:val="pt-BR"/>
        </w:rPr>
        <w:t xml:space="preserve">Machado, F. W., Perroni, A. P., Nascimento, G. G., Goettems, M. L., &amp; </w:t>
      </w:r>
      <w:proofErr w:type="spellStart"/>
      <w:r w:rsidRPr="00CE7D65">
        <w:rPr>
          <w:lang w:val="pt-BR"/>
        </w:rPr>
        <w:t>Boscato</w:t>
      </w:r>
      <w:proofErr w:type="spellEnd"/>
      <w:r w:rsidRPr="00CE7D65">
        <w:rPr>
          <w:lang w:val="pt-BR"/>
        </w:rPr>
        <w:t xml:space="preserve">, N. (2017). </w:t>
      </w:r>
      <w:r w:rsidRPr="00CE7D65">
        <w:rPr>
          <w:lang w:val="en-US"/>
        </w:rPr>
        <w:t xml:space="preserve">Does the Sense of Coherence modifies the relationship of oral clinical conditions and Oral Health-Related Quality of </w:t>
      </w:r>
      <w:proofErr w:type="gramStart"/>
      <w:r w:rsidRPr="00CE7D65">
        <w:rPr>
          <w:lang w:val="en-US"/>
        </w:rPr>
        <w:t>Life?.</w:t>
      </w:r>
      <w:proofErr w:type="gramEnd"/>
      <w:r w:rsidRPr="00CE7D65">
        <w:rPr>
          <w:lang w:val="en-US"/>
        </w:rPr>
        <w:t xml:space="preserve"> </w:t>
      </w:r>
      <w:r w:rsidRPr="00CE7D65">
        <w:rPr>
          <w:i/>
          <w:iCs/>
          <w:lang w:val="en-US"/>
        </w:rPr>
        <w:t>Quality of Life Research</w:t>
      </w:r>
      <w:r w:rsidRPr="00CE7D65">
        <w:rPr>
          <w:lang w:val="en-US"/>
        </w:rPr>
        <w:t>, 26(8), 2181-2187.</w:t>
      </w:r>
    </w:p>
    <w:p w14:paraId="256DD55B" w14:textId="77777777" w:rsidR="00CE7D65" w:rsidRPr="00CE7D65" w:rsidRDefault="00CE7D65" w:rsidP="00CE7D65">
      <w:pPr>
        <w:ind w:left="720" w:hanging="720"/>
        <w:jc w:val="both"/>
        <w:rPr>
          <w:lang w:val="en-US"/>
        </w:rPr>
      </w:pPr>
      <w:r w:rsidRPr="00CE7D65">
        <w:rPr>
          <w:lang w:val="en-US"/>
        </w:rPr>
        <w:t xml:space="preserve">Marmot, M. (2010). </w:t>
      </w:r>
      <w:r w:rsidRPr="00CE7D65">
        <w:rPr>
          <w:i/>
          <w:iCs/>
          <w:lang w:val="en-US"/>
        </w:rPr>
        <w:t>Fair Society, Health Lives: Strategic Review of Health Inequalities in England Post-2010-Executive Summary</w:t>
      </w:r>
      <w:r w:rsidRPr="00CE7D65">
        <w:rPr>
          <w:lang w:val="en-US"/>
        </w:rPr>
        <w:t>.</w:t>
      </w:r>
    </w:p>
    <w:p w14:paraId="019ED4FC" w14:textId="77777777" w:rsidR="00CE7D65" w:rsidRPr="00CE7D65" w:rsidRDefault="00CE7D65" w:rsidP="00CE7D65">
      <w:pPr>
        <w:ind w:left="720" w:hanging="720"/>
        <w:jc w:val="both"/>
        <w:rPr>
          <w:lang w:val="pt-BR"/>
        </w:rPr>
      </w:pPr>
      <w:r w:rsidRPr="00CE7D65">
        <w:rPr>
          <w:lang w:val="pt-BR"/>
        </w:rPr>
        <w:t xml:space="preserve">Martins G. A. (2006). Sobre confiabilidade e validade. </w:t>
      </w:r>
      <w:r w:rsidRPr="00CE7D65">
        <w:rPr>
          <w:i/>
          <w:iCs/>
          <w:lang w:val="pt-BR"/>
        </w:rPr>
        <w:t>Revista Brasileira de Gestão de Negócios</w:t>
      </w:r>
      <w:r w:rsidRPr="00CE7D65">
        <w:rPr>
          <w:lang w:val="pt-BR"/>
        </w:rPr>
        <w:t>, 8, 1–12.</w:t>
      </w:r>
    </w:p>
    <w:p w14:paraId="455D819E" w14:textId="77777777" w:rsidR="00CE7D65" w:rsidRPr="00CE7D65" w:rsidRDefault="00CE7D65" w:rsidP="00CE7D65">
      <w:pPr>
        <w:ind w:left="720" w:hanging="720"/>
        <w:jc w:val="both"/>
        <w:rPr>
          <w:lang w:val="en-US"/>
        </w:rPr>
      </w:pPr>
      <w:r w:rsidRPr="00CE7D65">
        <w:rPr>
          <w:lang w:val="uz-Cyrl-UZ"/>
        </w:rPr>
        <w:t xml:space="preserve">Savolainen, J. J., Suominen Taipale, A. L., Uutela, A. K., Martelin, T. P., Niskanen, M. C., &amp; Knuuttila, M. L. (2005). </w:t>
      </w:r>
      <w:r w:rsidRPr="00CE7D65">
        <w:rPr>
          <w:lang w:val="en-US"/>
        </w:rPr>
        <w:t xml:space="preserve">Sense of coherence as a determinant of toothbrushing frequency and level of oral hygiene. </w:t>
      </w:r>
      <w:r w:rsidRPr="00CE7D65">
        <w:rPr>
          <w:i/>
          <w:iCs/>
          <w:lang w:val="en-US"/>
        </w:rPr>
        <w:t>Journal of Periodontology</w:t>
      </w:r>
      <w:r w:rsidRPr="00CE7D65">
        <w:rPr>
          <w:lang w:val="en-US"/>
        </w:rPr>
        <w:t>, 76(6), 1006-1012.</w:t>
      </w:r>
    </w:p>
    <w:p w14:paraId="2F425B79" w14:textId="77777777" w:rsidR="00CE7D65" w:rsidRPr="00CE7D65" w:rsidRDefault="00CE7D65" w:rsidP="00CE7D65">
      <w:pPr>
        <w:ind w:left="720" w:hanging="720"/>
        <w:jc w:val="both"/>
        <w:rPr>
          <w:lang w:val="en-US"/>
        </w:rPr>
      </w:pPr>
      <w:r w:rsidRPr="00CE7D65">
        <w:rPr>
          <w:lang w:val="en-US"/>
        </w:rPr>
        <w:t xml:space="preserve">Schmitt, N. (1996). Uses and abuses of coefficient alpha. </w:t>
      </w:r>
      <w:r w:rsidRPr="00CE7D65">
        <w:rPr>
          <w:i/>
          <w:iCs/>
          <w:lang w:val="en-US"/>
        </w:rPr>
        <w:t>Psychological Assessment</w:t>
      </w:r>
      <w:r w:rsidRPr="00CE7D65">
        <w:rPr>
          <w:lang w:val="en-US"/>
        </w:rPr>
        <w:t>, 8(4), 350.</w:t>
      </w:r>
    </w:p>
    <w:p w14:paraId="1FBC046E" w14:textId="77777777" w:rsidR="00CE7D65" w:rsidRPr="00CE7D65" w:rsidRDefault="00CE7D65" w:rsidP="00CE7D65">
      <w:pPr>
        <w:ind w:left="720" w:hanging="720"/>
        <w:jc w:val="both"/>
        <w:rPr>
          <w:lang w:val="en-US"/>
        </w:rPr>
      </w:pPr>
      <w:proofErr w:type="spellStart"/>
      <w:r w:rsidRPr="00CE7D65">
        <w:rPr>
          <w:lang w:val="en-US"/>
        </w:rPr>
        <w:t>Sijtsma</w:t>
      </w:r>
      <w:proofErr w:type="spellEnd"/>
      <w:r w:rsidRPr="00CE7D65">
        <w:rPr>
          <w:lang w:val="en-US"/>
        </w:rPr>
        <w:t>, K. (2009). On the use, the misuse, and the very limited usefulness of Cronbach’s alpha</w:t>
      </w:r>
      <w:r w:rsidRPr="00CE7D65">
        <w:rPr>
          <w:i/>
          <w:iCs/>
          <w:lang w:val="en-US"/>
        </w:rPr>
        <w:t xml:space="preserve">. </w:t>
      </w:r>
      <w:proofErr w:type="spellStart"/>
      <w:r w:rsidRPr="00CE7D65">
        <w:rPr>
          <w:i/>
          <w:iCs/>
          <w:lang w:val="en-US"/>
        </w:rPr>
        <w:t>Psychometrika</w:t>
      </w:r>
      <w:proofErr w:type="spellEnd"/>
      <w:r w:rsidRPr="00CE7D65">
        <w:rPr>
          <w:lang w:val="en-US"/>
        </w:rPr>
        <w:t>, 74(1), 107.</w:t>
      </w:r>
    </w:p>
    <w:p w14:paraId="0B02B0C7" w14:textId="77777777" w:rsidR="00CE7D65" w:rsidRPr="00CE7D65" w:rsidRDefault="00CE7D65" w:rsidP="00CE7D65">
      <w:pPr>
        <w:ind w:left="720" w:hanging="720"/>
        <w:jc w:val="both"/>
        <w:rPr>
          <w:lang w:val="en-US"/>
        </w:rPr>
      </w:pPr>
      <w:proofErr w:type="spellStart"/>
      <w:r w:rsidRPr="00CE7D65">
        <w:rPr>
          <w:lang w:val="en-US"/>
        </w:rPr>
        <w:t>Söderhamn</w:t>
      </w:r>
      <w:proofErr w:type="spellEnd"/>
      <w:r w:rsidRPr="00CE7D65">
        <w:rPr>
          <w:lang w:val="en-US"/>
        </w:rPr>
        <w:t xml:space="preserve">, O., &amp; Holmgren, L. (2004). Testing </w:t>
      </w:r>
      <w:proofErr w:type="spellStart"/>
      <w:r w:rsidRPr="00CE7D65">
        <w:rPr>
          <w:lang w:val="en-US"/>
        </w:rPr>
        <w:t>Antonovsky's</w:t>
      </w:r>
      <w:proofErr w:type="spellEnd"/>
      <w:r w:rsidRPr="00CE7D65">
        <w:rPr>
          <w:lang w:val="en-US"/>
        </w:rPr>
        <w:t xml:space="preserve"> sense of coherence (SOC) scale among Swedish physically active older people. </w:t>
      </w:r>
      <w:r w:rsidRPr="00CE7D65">
        <w:rPr>
          <w:i/>
          <w:iCs/>
          <w:lang w:val="en-US"/>
        </w:rPr>
        <w:t>Scandinavian Journal of Psychology</w:t>
      </w:r>
      <w:r w:rsidRPr="00CE7D65">
        <w:rPr>
          <w:lang w:val="en-US"/>
        </w:rPr>
        <w:t>, 45(3), 215-221.</w:t>
      </w:r>
    </w:p>
    <w:p w14:paraId="01447A58" w14:textId="77777777" w:rsidR="00CE7D65" w:rsidRPr="00CE7D65" w:rsidRDefault="00CE7D65" w:rsidP="00CE7D65">
      <w:pPr>
        <w:ind w:left="720" w:hanging="720"/>
        <w:jc w:val="both"/>
        <w:rPr>
          <w:lang w:val="en-US"/>
        </w:rPr>
      </w:pPr>
      <w:proofErr w:type="spellStart"/>
      <w:r w:rsidRPr="00CE7D65">
        <w:rPr>
          <w:lang w:val="en-US"/>
        </w:rPr>
        <w:t>Streiner</w:t>
      </w:r>
      <w:proofErr w:type="spellEnd"/>
      <w:r w:rsidRPr="00CE7D65">
        <w:rPr>
          <w:lang w:val="en-US"/>
        </w:rPr>
        <w:t xml:space="preserve">, D. L. (2003). Starting at the beginning: an introduction to coefficient alpha and internal consistency. </w:t>
      </w:r>
      <w:r w:rsidRPr="00CE7D65">
        <w:rPr>
          <w:i/>
          <w:iCs/>
          <w:lang w:val="en-US"/>
        </w:rPr>
        <w:t>Journal of Personality Assessment</w:t>
      </w:r>
      <w:r w:rsidRPr="00CE7D65">
        <w:rPr>
          <w:lang w:val="en-US"/>
        </w:rPr>
        <w:t>, 80(1), 99-103.</w:t>
      </w:r>
    </w:p>
    <w:p w14:paraId="3B16305A" w14:textId="77777777" w:rsidR="00CE7D65" w:rsidRPr="00CE7D65" w:rsidRDefault="00CE7D65" w:rsidP="00CE7D65">
      <w:pPr>
        <w:ind w:left="720" w:hanging="720"/>
        <w:jc w:val="both"/>
        <w:rPr>
          <w:lang w:val="en-US"/>
        </w:rPr>
      </w:pPr>
      <w:proofErr w:type="spellStart"/>
      <w:r w:rsidRPr="00CE7D65">
        <w:rPr>
          <w:lang w:val="en-US"/>
        </w:rPr>
        <w:t>Tomazoni</w:t>
      </w:r>
      <w:proofErr w:type="spellEnd"/>
      <w:r w:rsidRPr="00CE7D65">
        <w:rPr>
          <w:lang w:val="en-US"/>
        </w:rPr>
        <w:t xml:space="preserve">, F., </w:t>
      </w:r>
      <w:proofErr w:type="spellStart"/>
      <w:r w:rsidRPr="00CE7D65">
        <w:rPr>
          <w:lang w:val="en-US"/>
        </w:rPr>
        <w:t>Vettore</w:t>
      </w:r>
      <w:proofErr w:type="spellEnd"/>
      <w:r w:rsidRPr="00CE7D65">
        <w:rPr>
          <w:lang w:val="en-US"/>
        </w:rPr>
        <w:t xml:space="preserve"> M. V., Mendes, F. M., &amp; </w:t>
      </w:r>
      <w:proofErr w:type="spellStart"/>
      <w:r w:rsidRPr="00CE7D65">
        <w:rPr>
          <w:lang w:val="en-US"/>
        </w:rPr>
        <w:t>Ardenghi</w:t>
      </w:r>
      <w:proofErr w:type="spellEnd"/>
      <w:r w:rsidRPr="00CE7D65">
        <w:rPr>
          <w:lang w:val="en-US"/>
        </w:rPr>
        <w:t xml:space="preserve">, T. M. (2019). The Association between Sense of Coherence and Dental Caries in Low Social Status Schoolchildren. </w:t>
      </w:r>
      <w:r w:rsidRPr="00CE7D65">
        <w:rPr>
          <w:i/>
          <w:iCs/>
          <w:lang w:val="en-US"/>
        </w:rPr>
        <w:t>Caries Research</w:t>
      </w:r>
      <w:r w:rsidRPr="00CE7D65">
        <w:rPr>
          <w:lang w:val="en-US"/>
        </w:rPr>
        <w:t>, 53, 314–321.</w:t>
      </w:r>
    </w:p>
    <w:p w14:paraId="5D49B0E1" w14:textId="77777777" w:rsidR="00CE7D65" w:rsidRPr="00CE7D65" w:rsidRDefault="00CE7D65" w:rsidP="00CE7D65">
      <w:pPr>
        <w:ind w:left="720" w:hanging="720"/>
        <w:jc w:val="both"/>
        <w:rPr>
          <w:lang w:val="en-US"/>
        </w:rPr>
      </w:pPr>
      <w:proofErr w:type="spellStart"/>
      <w:r w:rsidRPr="00CE7D65">
        <w:rPr>
          <w:lang w:val="en-US"/>
        </w:rPr>
        <w:t>Vettore</w:t>
      </w:r>
      <w:proofErr w:type="spellEnd"/>
      <w:r w:rsidRPr="00CE7D65">
        <w:rPr>
          <w:lang w:val="en-US"/>
        </w:rPr>
        <w:t xml:space="preserve">, M. V. (2016). Sense of coherence modifies the association between untreated dental caries and dental pain in low-social status women. </w:t>
      </w:r>
      <w:r w:rsidRPr="00CE7D65">
        <w:rPr>
          <w:i/>
          <w:iCs/>
          <w:lang w:val="en-US"/>
        </w:rPr>
        <w:t>Community Dental Health</w:t>
      </w:r>
      <w:r w:rsidRPr="00CE7D65">
        <w:rPr>
          <w:lang w:val="en-US"/>
        </w:rPr>
        <w:t>, 33(1), 54-59.</w:t>
      </w:r>
    </w:p>
    <w:p w14:paraId="16CE82A1" w14:textId="1305B2B4" w:rsidR="00594317" w:rsidRDefault="00CE7D65" w:rsidP="00CE7D65">
      <w:pPr>
        <w:ind w:left="720" w:hanging="720"/>
        <w:jc w:val="both"/>
        <w:rPr>
          <w:lang w:val="en-US"/>
        </w:rPr>
      </w:pPr>
      <w:r w:rsidRPr="00CE7D65">
        <w:rPr>
          <w:lang w:val="en-US"/>
        </w:rPr>
        <w:lastRenderedPageBreak/>
        <w:t xml:space="preserve">Watt, R. G. (2002). Emerging theories into the social determinants of health: implications for oral health promotion. </w:t>
      </w:r>
      <w:r w:rsidRPr="00CE7D65">
        <w:rPr>
          <w:i/>
          <w:iCs/>
          <w:lang w:val="en-US"/>
        </w:rPr>
        <w:t>Community Dentistry and Oral Epidemiology</w:t>
      </w:r>
      <w:r w:rsidRPr="00CE7D65">
        <w:rPr>
          <w:lang w:val="en-US"/>
        </w:rPr>
        <w:t>, 30(4), 241-247.</w:t>
      </w:r>
    </w:p>
    <w:p w14:paraId="5CA55FC8" w14:textId="77777777" w:rsidR="00CE7D65" w:rsidRDefault="00CE7D65" w:rsidP="00CE7D65">
      <w:pPr>
        <w:ind w:left="720" w:hanging="720"/>
        <w:jc w:val="both"/>
        <w:rPr>
          <w:lang w:val="en-US"/>
        </w:rPr>
      </w:pPr>
    </w:p>
    <w:p w14:paraId="2B09FC6A" w14:textId="7E7513AE" w:rsidR="00594317" w:rsidRPr="00153DC5" w:rsidRDefault="00594317" w:rsidP="00594317">
      <w:pPr>
        <w:shd w:val="clear" w:color="auto" w:fill="FFFFFF"/>
        <w:jc w:val="right"/>
        <w:rPr>
          <w:i/>
          <w:iCs/>
          <w:sz w:val="20"/>
          <w:szCs w:val="20"/>
          <w:lang w:val="pt-BR"/>
        </w:rPr>
      </w:pPr>
      <w:proofErr w:type="spellStart"/>
      <w:r w:rsidRPr="00153DC5">
        <w:rPr>
          <w:i/>
          <w:iCs/>
          <w:sz w:val="20"/>
          <w:szCs w:val="20"/>
          <w:lang w:val="pt-BR"/>
        </w:rPr>
        <w:t>Received</w:t>
      </w:r>
      <w:proofErr w:type="spellEnd"/>
      <w:r w:rsidRPr="00153DC5">
        <w:rPr>
          <w:i/>
          <w:iCs/>
          <w:sz w:val="20"/>
          <w:szCs w:val="20"/>
          <w:lang w:val="pt-BR"/>
        </w:rPr>
        <w:t xml:space="preserve">: </w:t>
      </w:r>
      <w:r w:rsidR="00CE7D65">
        <w:rPr>
          <w:i/>
          <w:iCs/>
          <w:sz w:val="20"/>
          <w:szCs w:val="20"/>
          <w:lang w:val="pt-BR"/>
        </w:rPr>
        <w:t>2019/05</w:t>
      </w:r>
      <w:r w:rsidRPr="00153DC5">
        <w:rPr>
          <w:i/>
          <w:iCs/>
          <w:sz w:val="20"/>
          <w:szCs w:val="20"/>
          <w:lang w:val="pt-BR"/>
        </w:rPr>
        <w:t>/</w:t>
      </w:r>
      <w:r w:rsidR="00CE7D65">
        <w:rPr>
          <w:i/>
          <w:iCs/>
          <w:sz w:val="20"/>
          <w:szCs w:val="20"/>
          <w:lang w:val="pt-BR"/>
        </w:rPr>
        <w:t>27</w:t>
      </w:r>
    </w:p>
    <w:p w14:paraId="0C84C4CC" w14:textId="293BF062" w:rsidR="00594317" w:rsidRPr="00594317" w:rsidRDefault="00594317" w:rsidP="00594317">
      <w:pPr>
        <w:shd w:val="clear" w:color="auto" w:fill="FFFFFF"/>
        <w:jc w:val="right"/>
        <w:rPr>
          <w:i/>
          <w:iCs/>
          <w:sz w:val="20"/>
          <w:szCs w:val="20"/>
          <w:lang w:val="es-AR"/>
        </w:rPr>
      </w:pPr>
      <w:r w:rsidRPr="00594317">
        <w:rPr>
          <w:i/>
          <w:iCs/>
          <w:sz w:val="20"/>
          <w:szCs w:val="20"/>
          <w:lang w:val="es-AR"/>
        </w:rPr>
        <w:t>Accepted:</w:t>
      </w:r>
      <w:r w:rsidR="00CE7D65">
        <w:rPr>
          <w:i/>
          <w:iCs/>
          <w:sz w:val="20"/>
          <w:szCs w:val="20"/>
          <w:lang w:val="es-AR"/>
        </w:rPr>
        <w:t>2020</w:t>
      </w:r>
      <w:r w:rsidRPr="00594317">
        <w:rPr>
          <w:i/>
          <w:iCs/>
          <w:sz w:val="20"/>
          <w:szCs w:val="20"/>
          <w:lang w:val="es-AR"/>
        </w:rPr>
        <w:t>/</w:t>
      </w:r>
      <w:r w:rsidR="00CE7D65">
        <w:rPr>
          <w:i/>
          <w:iCs/>
          <w:sz w:val="20"/>
          <w:szCs w:val="20"/>
          <w:lang w:val="es-AR"/>
        </w:rPr>
        <w:t>01</w:t>
      </w:r>
      <w:r w:rsidRPr="00594317">
        <w:rPr>
          <w:i/>
          <w:iCs/>
          <w:sz w:val="20"/>
          <w:szCs w:val="20"/>
          <w:lang w:val="es-AR"/>
        </w:rPr>
        <w:t>/20</w:t>
      </w:r>
    </w:p>
    <w:p w14:paraId="4E83660D" w14:textId="77777777" w:rsidR="00594317" w:rsidRPr="0059034C" w:rsidRDefault="00594317" w:rsidP="006F7E7E">
      <w:pPr>
        <w:jc w:val="both"/>
      </w:pPr>
    </w:p>
    <w:sectPr w:rsidR="00594317" w:rsidRPr="0059034C" w:rsidSect="0059034C">
      <w:headerReference w:type="even" r:id="rId16"/>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26BDF" w14:textId="77777777" w:rsidR="003E4B06" w:rsidRDefault="003E4B06" w:rsidP="00C413D4">
      <w:r>
        <w:separator/>
      </w:r>
    </w:p>
  </w:endnote>
  <w:endnote w:type="continuationSeparator" w:id="0">
    <w:p w14:paraId="219CBBA1" w14:textId="77777777" w:rsidR="003E4B06" w:rsidRDefault="003E4B06"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Open Sans">
    <w:altName w:val="Times New Roman"/>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FC5C57" w:rsidRDefault="00FC5C57"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FC5C57" w:rsidRDefault="00FC5C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FC5C57" w:rsidRDefault="00FC5C57"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FC5C57" w:rsidRDefault="00FC5C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14F15" w14:textId="77777777" w:rsidR="003E4B06" w:rsidRDefault="003E4B06" w:rsidP="00C413D4">
      <w:r>
        <w:separator/>
      </w:r>
    </w:p>
  </w:footnote>
  <w:footnote w:type="continuationSeparator" w:id="0">
    <w:p w14:paraId="45056BF1" w14:textId="77777777" w:rsidR="003E4B06" w:rsidRDefault="003E4B06" w:rsidP="00C413D4">
      <w:r>
        <w:continuationSeparator/>
      </w:r>
    </w:p>
  </w:footnote>
  <w:footnote w:id="1">
    <w:p w14:paraId="392B5125" w14:textId="7AE1E40C" w:rsidR="00FC5C57" w:rsidRPr="00CE7D65" w:rsidRDefault="00FC5C57" w:rsidP="00297AFB">
      <w:pPr>
        <w:rPr>
          <w:rFonts w:ascii="Times" w:hAnsi="Times"/>
          <w:sz w:val="16"/>
          <w:szCs w:val="16"/>
          <w:lang w:val="pt-BR"/>
        </w:rPr>
      </w:pPr>
      <w:r w:rsidRPr="00A528A4">
        <w:rPr>
          <w:rStyle w:val="Refdenotaalpie"/>
          <w:rFonts w:ascii="Times" w:hAnsi="Times"/>
          <w:sz w:val="16"/>
          <w:szCs w:val="16"/>
        </w:rPr>
        <w:footnoteRef/>
      </w:r>
      <w:r w:rsidRPr="00153DC5">
        <w:rPr>
          <w:rFonts w:ascii="Times" w:hAnsi="Times"/>
          <w:sz w:val="16"/>
          <w:szCs w:val="16"/>
          <w:lang w:val="pt-BR"/>
        </w:rPr>
        <w:t xml:space="preserve"> </w:t>
      </w:r>
      <w:proofErr w:type="spellStart"/>
      <w:r w:rsidRPr="00CE7D65">
        <w:rPr>
          <w:rFonts w:ascii="Times" w:hAnsi="Times"/>
          <w:sz w:val="16"/>
          <w:szCs w:val="16"/>
          <w:lang w:val="pt-BR"/>
        </w:rPr>
        <w:t>Correspondence</w:t>
      </w:r>
      <w:proofErr w:type="spellEnd"/>
      <w:r w:rsidRPr="00CE7D65">
        <w:rPr>
          <w:rFonts w:ascii="Times" w:hAnsi="Times"/>
          <w:sz w:val="16"/>
          <w:szCs w:val="16"/>
          <w:lang w:val="pt-BR"/>
        </w:rPr>
        <w:t xml:space="preserve"> </w:t>
      </w:r>
      <w:proofErr w:type="spellStart"/>
      <w:r w:rsidRPr="00CE7D65">
        <w:rPr>
          <w:rFonts w:ascii="Times" w:hAnsi="Times"/>
          <w:sz w:val="16"/>
          <w:szCs w:val="16"/>
          <w:lang w:val="pt-BR"/>
        </w:rPr>
        <w:t>about</w:t>
      </w:r>
      <w:proofErr w:type="spellEnd"/>
      <w:r w:rsidRPr="00CE7D65">
        <w:rPr>
          <w:rFonts w:ascii="Times" w:hAnsi="Times"/>
          <w:sz w:val="16"/>
          <w:szCs w:val="16"/>
          <w:lang w:val="pt-BR"/>
        </w:rPr>
        <w:t xml:space="preserve"> </w:t>
      </w:r>
      <w:proofErr w:type="spellStart"/>
      <w:r w:rsidRPr="00CE7D65">
        <w:rPr>
          <w:rFonts w:ascii="Times" w:hAnsi="Times"/>
          <w:sz w:val="16"/>
          <w:szCs w:val="16"/>
          <w:lang w:val="pt-BR"/>
        </w:rPr>
        <w:t>this</w:t>
      </w:r>
      <w:proofErr w:type="spellEnd"/>
      <w:r w:rsidRPr="00CE7D65">
        <w:rPr>
          <w:rFonts w:ascii="Times" w:hAnsi="Times"/>
          <w:sz w:val="16"/>
          <w:szCs w:val="16"/>
          <w:lang w:val="pt-BR"/>
        </w:rPr>
        <w:t xml:space="preserve"> </w:t>
      </w:r>
      <w:proofErr w:type="spellStart"/>
      <w:r w:rsidRPr="00CE7D65">
        <w:rPr>
          <w:rFonts w:ascii="Times" w:hAnsi="Times"/>
          <w:sz w:val="16"/>
          <w:szCs w:val="16"/>
          <w:lang w:val="pt-BR"/>
        </w:rPr>
        <w:t>article</w:t>
      </w:r>
      <w:proofErr w:type="spellEnd"/>
      <w:r w:rsidRPr="00CE7D65">
        <w:rPr>
          <w:rFonts w:ascii="Times" w:hAnsi="Times"/>
          <w:sz w:val="16"/>
          <w:szCs w:val="16"/>
          <w:lang w:val="pt-BR"/>
        </w:rPr>
        <w:t xml:space="preserve"> </w:t>
      </w:r>
      <w:proofErr w:type="spellStart"/>
      <w:r w:rsidRPr="00CE7D65">
        <w:rPr>
          <w:rFonts w:ascii="Times" w:hAnsi="Times"/>
          <w:sz w:val="16"/>
          <w:szCs w:val="16"/>
          <w:lang w:val="pt-BR"/>
        </w:rPr>
        <w:t>should</w:t>
      </w:r>
      <w:proofErr w:type="spellEnd"/>
      <w:r w:rsidRPr="00CE7D65">
        <w:rPr>
          <w:rFonts w:ascii="Times" w:hAnsi="Times"/>
          <w:sz w:val="16"/>
          <w:szCs w:val="16"/>
          <w:lang w:val="pt-BR"/>
        </w:rPr>
        <w:t xml:space="preserve"> </w:t>
      </w:r>
      <w:proofErr w:type="spellStart"/>
      <w:r w:rsidRPr="00CE7D65">
        <w:rPr>
          <w:rFonts w:ascii="Times" w:hAnsi="Times"/>
          <w:sz w:val="16"/>
          <w:szCs w:val="16"/>
          <w:lang w:val="pt-BR"/>
        </w:rPr>
        <w:t>be</w:t>
      </w:r>
      <w:proofErr w:type="spellEnd"/>
      <w:r w:rsidRPr="00CE7D65">
        <w:rPr>
          <w:rFonts w:ascii="Times" w:hAnsi="Times"/>
          <w:sz w:val="16"/>
          <w:szCs w:val="16"/>
          <w:lang w:val="pt-BR"/>
        </w:rPr>
        <w:t xml:space="preserve"> </w:t>
      </w:r>
      <w:proofErr w:type="spellStart"/>
      <w:r w:rsidRPr="00CE7D65">
        <w:rPr>
          <w:rFonts w:ascii="Times" w:hAnsi="Times"/>
          <w:sz w:val="16"/>
          <w:szCs w:val="16"/>
          <w:lang w:val="pt-BR"/>
        </w:rPr>
        <w:t>addresed</w:t>
      </w:r>
      <w:proofErr w:type="spellEnd"/>
      <w:r w:rsidRPr="00CE7D65">
        <w:rPr>
          <w:rFonts w:ascii="Times" w:hAnsi="Times"/>
          <w:sz w:val="16"/>
          <w:szCs w:val="16"/>
          <w:lang w:val="pt-BR"/>
        </w:rPr>
        <w:t xml:space="preserve"> </w:t>
      </w:r>
      <w:proofErr w:type="spellStart"/>
      <w:r w:rsidRPr="00CE7D65">
        <w:rPr>
          <w:rFonts w:ascii="Times" w:hAnsi="Times"/>
          <w:sz w:val="16"/>
          <w:szCs w:val="16"/>
          <w:lang w:val="pt-BR"/>
        </w:rPr>
        <w:t>to</w:t>
      </w:r>
      <w:proofErr w:type="spellEnd"/>
      <w:r w:rsidRPr="00CE7D65">
        <w:rPr>
          <w:rFonts w:ascii="Times" w:hAnsi="Times"/>
          <w:sz w:val="16"/>
          <w:szCs w:val="16"/>
          <w:lang w:val="pt-BR"/>
        </w:rPr>
        <w:t xml:space="preserve"> </w:t>
      </w:r>
      <w:r w:rsidR="00153DC5" w:rsidRPr="00CE7D65">
        <w:rPr>
          <w:rFonts w:ascii="Times" w:hAnsi="Times"/>
          <w:sz w:val="16"/>
          <w:szCs w:val="16"/>
          <w:lang w:val="pt-BR"/>
        </w:rPr>
        <w:t xml:space="preserve">Thiago Machado </w:t>
      </w:r>
      <w:proofErr w:type="spellStart"/>
      <w:r w:rsidR="00153DC5" w:rsidRPr="00CE7D65">
        <w:rPr>
          <w:rFonts w:ascii="Times" w:hAnsi="Times"/>
          <w:sz w:val="16"/>
          <w:szCs w:val="16"/>
          <w:lang w:val="pt-BR"/>
        </w:rPr>
        <w:t>Ardenghi</w:t>
      </w:r>
      <w:proofErr w:type="spellEnd"/>
      <w:r w:rsidRPr="00CE7D65">
        <w:rPr>
          <w:rFonts w:ascii="Times" w:hAnsi="Times" w:cs="Times"/>
          <w:sz w:val="16"/>
          <w:szCs w:val="16"/>
          <w:lang w:val="pt-BR"/>
        </w:rPr>
        <w:t xml:space="preserve">: </w:t>
      </w:r>
      <w:r w:rsidRPr="00CE7D65">
        <w:rPr>
          <w:rFonts w:ascii="Times" w:hAnsi="Times" w:cs="Segoe UI"/>
          <w:sz w:val="16"/>
          <w:szCs w:val="16"/>
          <w:shd w:val="clear" w:color="auto" w:fill="FFFFFF"/>
          <w:lang w:val="pt-BR"/>
        </w:rPr>
        <w:t>dulceromero@ugr.es</w:t>
      </w:r>
    </w:p>
  </w:footnote>
  <w:footnote w:id="2">
    <w:p w14:paraId="3ECBF3D7" w14:textId="78385363" w:rsidR="00CE7D65" w:rsidRPr="00CE7D65" w:rsidRDefault="00CE7D65">
      <w:pPr>
        <w:pStyle w:val="Textonotapie"/>
        <w:rPr>
          <w:lang w:val="pt-BR"/>
        </w:rPr>
      </w:pPr>
      <w:r w:rsidRPr="00CE7D65">
        <w:rPr>
          <w:rStyle w:val="Refdenotaalpie"/>
          <w:sz w:val="16"/>
          <w:szCs w:val="16"/>
        </w:rPr>
        <w:footnoteRef/>
      </w:r>
      <w:r w:rsidRPr="00CE7D65">
        <w:rPr>
          <w:sz w:val="16"/>
          <w:szCs w:val="16"/>
          <w:lang w:val="pt-BR"/>
        </w:rPr>
        <w:t xml:space="preserve"> </w:t>
      </w:r>
      <w:proofErr w:type="spellStart"/>
      <w:r w:rsidRPr="00CE7D65">
        <w:rPr>
          <w:b/>
          <w:bCs/>
          <w:sz w:val="16"/>
          <w:szCs w:val="16"/>
          <w:lang w:val="pt-BR"/>
        </w:rPr>
        <w:t>Acknowledgements</w:t>
      </w:r>
      <w:proofErr w:type="spellEnd"/>
      <w:r w:rsidRPr="00CE7D65">
        <w:rPr>
          <w:b/>
          <w:bCs/>
          <w:sz w:val="16"/>
          <w:szCs w:val="16"/>
          <w:lang w:val="pt-BR"/>
        </w:rPr>
        <w:t>:</w:t>
      </w:r>
      <w:r w:rsidRPr="00CE7D65">
        <w:rPr>
          <w:sz w:val="16"/>
          <w:szCs w:val="16"/>
          <w:lang w:val="pt-BR"/>
        </w:rPr>
        <w:t xml:space="preserve"> </w:t>
      </w:r>
      <w:r w:rsidRPr="00CE7D65">
        <w:rPr>
          <w:sz w:val="16"/>
          <w:szCs w:val="16"/>
          <w:lang w:val="en-US"/>
        </w:rPr>
        <w:t xml:space="preserve">This project was supported by the </w:t>
      </w:r>
      <w:proofErr w:type="spellStart"/>
      <w:r w:rsidRPr="00CE7D65">
        <w:rPr>
          <w:sz w:val="16"/>
          <w:szCs w:val="16"/>
          <w:lang w:val="en-US"/>
        </w:rPr>
        <w:t>Coordenação</w:t>
      </w:r>
      <w:proofErr w:type="spellEnd"/>
      <w:r w:rsidRPr="00CE7D65">
        <w:rPr>
          <w:sz w:val="16"/>
          <w:szCs w:val="16"/>
          <w:lang w:val="en-US"/>
        </w:rPr>
        <w:t xml:space="preserve"> de </w:t>
      </w:r>
      <w:proofErr w:type="spellStart"/>
      <w:r w:rsidRPr="00CE7D65">
        <w:rPr>
          <w:sz w:val="16"/>
          <w:szCs w:val="16"/>
          <w:lang w:val="en-US"/>
        </w:rPr>
        <w:t>Aperfeiçoamento</w:t>
      </w:r>
      <w:proofErr w:type="spellEnd"/>
      <w:r w:rsidRPr="00CE7D65">
        <w:rPr>
          <w:sz w:val="16"/>
          <w:szCs w:val="16"/>
          <w:lang w:val="en-US"/>
        </w:rPr>
        <w:t xml:space="preserve"> de </w:t>
      </w:r>
      <w:proofErr w:type="spellStart"/>
      <w:r w:rsidRPr="00CE7D65">
        <w:rPr>
          <w:sz w:val="16"/>
          <w:szCs w:val="16"/>
          <w:lang w:val="en-US"/>
        </w:rPr>
        <w:t>Pessoal</w:t>
      </w:r>
      <w:proofErr w:type="spellEnd"/>
      <w:r w:rsidRPr="00CE7D65">
        <w:rPr>
          <w:sz w:val="16"/>
          <w:szCs w:val="16"/>
          <w:lang w:val="en-US"/>
        </w:rPr>
        <w:t xml:space="preserve"> de </w:t>
      </w:r>
      <w:proofErr w:type="spellStart"/>
      <w:r w:rsidRPr="00CE7D65">
        <w:rPr>
          <w:sz w:val="16"/>
          <w:szCs w:val="16"/>
          <w:lang w:val="en-US"/>
        </w:rPr>
        <w:t>Nível</w:t>
      </w:r>
      <w:proofErr w:type="spellEnd"/>
      <w:r w:rsidRPr="00CE7D65">
        <w:rPr>
          <w:sz w:val="16"/>
          <w:szCs w:val="16"/>
          <w:lang w:val="en-US"/>
        </w:rPr>
        <w:t xml:space="preserve"> Superior (CAPES – </w:t>
      </w:r>
      <w:proofErr w:type="spellStart"/>
      <w:r w:rsidRPr="00CE7D65">
        <w:rPr>
          <w:sz w:val="16"/>
          <w:szCs w:val="16"/>
          <w:lang w:val="en-US"/>
        </w:rPr>
        <w:t>processo</w:t>
      </w:r>
      <w:proofErr w:type="spellEnd"/>
      <w:r w:rsidRPr="00CE7D65">
        <w:rPr>
          <w:sz w:val="16"/>
          <w:szCs w:val="16"/>
          <w:lang w:val="en-US"/>
        </w:rPr>
        <w:t xml:space="preserve"> </w:t>
      </w:r>
      <w:r w:rsidRPr="00CE7D65">
        <w:rPr>
          <w:bCs/>
          <w:sz w:val="16"/>
          <w:szCs w:val="16"/>
          <w:lang w:val="en-US"/>
        </w:rPr>
        <w:t>99999.006451/2015-02</w:t>
      </w:r>
      <w:r w:rsidRPr="00CE7D65">
        <w:rPr>
          <w:sz w:val="16"/>
          <w:szCs w:val="16"/>
          <w:lang w:val="en-US"/>
        </w:rPr>
        <w:t>). The authors thank all children, their parents/guardians, and schools for participating in this study, as well as the Education Authorities from Rio Grande do Sul for their collaboration and for granting permission to conduct this survey.</w:t>
      </w:r>
    </w:p>
  </w:footnote>
  <w:footnote w:id="3">
    <w:p w14:paraId="7A5C1485" w14:textId="06BCA6B4" w:rsidR="00CE7D65" w:rsidRPr="00CE7D65" w:rsidRDefault="00CE7D65">
      <w:pPr>
        <w:pStyle w:val="Textonotapie"/>
        <w:rPr>
          <w:lang w:val="pt-BR"/>
        </w:rPr>
      </w:pPr>
      <w:r>
        <w:rPr>
          <w:rStyle w:val="Refdenotaalpie"/>
        </w:rPr>
        <w:footnoteRef/>
      </w:r>
      <w:r w:rsidRPr="00CE7D65">
        <w:rPr>
          <w:lang w:val="pt-BR"/>
        </w:rPr>
        <w:t xml:space="preserve"> </w:t>
      </w:r>
      <w:proofErr w:type="spellStart"/>
      <w:r w:rsidRPr="00CE7D65">
        <w:rPr>
          <w:b/>
          <w:bCs/>
          <w:sz w:val="16"/>
          <w:szCs w:val="16"/>
          <w:lang w:val="pt-BR"/>
        </w:rPr>
        <w:t>Conflicts</w:t>
      </w:r>
      <w:proofErr w:type="spellEnd"/>
      <w:r w:rsidRPr="00CE7D65">
        <w:rPr>
          <w:b/>
          <w:bCs/>
          <w:sz w:val="16"/>
          <w:szCs w:val="16"/>
          <w:lang w:val="pt-BR"/>
        </w:rPr>
        <w:t xml:space="preserve"> </w:t>
      </w:r>
      <w:proofErr w:type="spellStart"/>
      <w:r w:rsidRPr="00CE7D65">
        <w:rPr>
          <w:b/>
          <w:bCs/>
          <w:sz w:val="16"/>
          <w:szCs w:val="16"/>
          <w:lang w:val="pt-BR"/>
        </w:rPr>
        <w:t>of</w:t>
      </w:r>
      <w:proofErr w:type="spellEnd"/>
      <w:r w:rsidRPr="00CE7D65">
        <w:rPr>
          <w:b/>
          <w:bCs/>
          <w:sz w:val="16"/>
          <w:szCs w:val="16"/>
          <w:lang w:val="pt-BR"/>
        </w:rPr>
        <w:t xml:space="preserve"> </w:t>
      </w:r>
      <w:proofErr w:type="spellStart"/>
      <w:r w:rsidRPr="00CE7D65">
        <w:rPr>
          <w:b/>
          <w:bCs/>
          <w:sz w:val="16"/>
          <w:szCs w:val="16"/>
          <w:lang w:val="pt-BR"/>
        </w:rPr>
        <w:t>Interest</w:t>
      </w:r>
      <w:proofErr w:type="spellEnd"/>
      <w:r w:rsidRPr="00CE7D65">
        <w:rPr>
          <w:b/>
          <w:bCs/>
          <w:sz w:val="16"/>
          <w:szCs w:val="16"/>
          <w:lang w:val="pt-BR"/>
        </w:rPr>
        <w:t>:</w:t>
      </w:r>
      <w:r w:rsidRPr="00CE7D65">
        <w:rPr>
          <w:sz w:val="16"/>
          <w:szCs w:val="16"/>
          <w:lang w:val="pt-BR"/>
        </w:rPr>
        <w:t xml:space="preserve"> </w:t>
      </w:r>
      <w:r w:rsidRPr="00CE7D65">
        <w:rPr>
          <w:sz w:val="16"/>
          <w:szCs w:val="16"/>
          <w:lang w:val="pt-BR"/>
        </w:rPr>
        <w:t xml:space="preserve">The </w:t>
      </w:r>
      <w:proofErr w:type="spellStart"/>
      <w:r w:rsidRPr="00CE7D65">
        <w:rPr>
          <w:sz w:val="16"/>
          <w:szCs w:val="16"/>
          <w:lang w:val="pt-BR"/>
        </w:rPr>
        <w:t>authors</w:t>
      </w:r>
      <w:proofErr w:type="spellEnd"/>
      <w:r w:rsidRPr="00CE7D65">
        <w:rPr>
          <w:sz w:val="16"/>
          <w:szCs w:val="16"/>
          <w:lang w:val="pt-BR"/>
        </w:rPr>
        <w:t xml:space="preserve"> </w:t>
      </w:r>
      <w:proofErr w:type="spellStart"/>
      <w:r w:rsidRPr="00CE7D65">
        <w:rPr>
          <w:sz w:val="16"/>
          <w:szCs w:val="16"/>
          <w:lang w:val="pt-BR"/>
        </w:rPr>
        <w:t>have</w:t>
      </w:r>
      <w:proofErr w:type="spellEnd"/>
      <w:r w:rsidRPr="00CE7D65">
        <w:rPr>
          <w:sz w:val="16"/>
          <w:szCs w:val="16"/>
          <w:lang w:val="pt-BR"/>
        </w:rPr>
        <w:t xml:space="preserve"> no </w:t>
      </w:r>
      <w:proofErr w:type="spellStart"/>
      <w:r w:rsidRPr="00CE7D65">
        <w:rPr>
          <w:sz w:val="16"/>
          <w:szCs w:val="16"/>
          <w:lang w:val="pt-BR"/>
        </w:rPr>
        <w:t>conflicts</w:t>
      </w:r>
      <w:proofErr w:type="spellEnd"/>
      <w:r w:rsidRPr="00CE7D65">
        <w:rPr>
          <w:sz w:val="16"/>
          <w:szCs w:val="16"/>
          <w:lang w:val="pt-BR"/>
        </w:rPr>
        <w:t xml:space="preserve"> </w:t>
      </w:r>
      <w:proofErr w:type="spellStart"/>
      <w:r w:rsidRPr="00CE7D65">
        <w:rPr>
          <w:sz w:val="16"/>
          <w:szCs w:val="16"/>
          <w:lang w:val="pt-BR"/>
        </w:rPr>
        <w:t>of</w:t>
      </w:r>
      <w:proofErr w:type="spellEnd"/>
      <w:r w:rsidRPr="00CE7D65">
        <w:rPr>
          <w:sz w:val="16"/>
          <w:szCs w:val="16"/>
          <w:lang w:val="pt-BR"/>
        </w:rPr>
        <w:t xml:space="preserve"> </w:t>
      </w:r>
      <w:proofErr w:type="spellStart"/>
      <w:r w:rsidRPr="00CE7D65">
        <w:rPr>
          <w:sz w:val="16"/>
          <w:szCs w:val="16"/>
          <w:lang w:val="pt-BR"/>
        </w:rPr>
        <w:t>interest</w:t>
      </w:r>
      <w:proofErr w:type="spellEnd"/>
      <w:r w:rsidRPr="00CE7D65">
        <w:rPr>
          <w:sz w:val="16"/>
          <w:szCs w:val="16"/>
          <w:lang w:val="pt-BR"/>
        </w:rPr>
        <w:t xml:space="preserve"> </w:t>
      </w:r>
      <w:proofErr w:type="spellStart"/>
      <w:r w:rsidRPr="00CE7D65">
        <w:rPr>
          <w:sz w:val="16"/>
          <w:szCs w:val="16"/>
          <w:lang w:val="pt-BR"/>
        </w:rPr>
        <w:t>relevant</w:t>
      </w:r>
      <w:proofErr w:type="spellEnd"/>
      <w:r w:rsidRPr="00CE7D65">
        <w:rPr>
          <w:sz w:val="16"/>
          <w:szCs w:val="16"/>
          <w:lang w:val="pt-BR"/>
        </w:rPr>
        <w:t xml:space="preserve"> </w:t>
      </w:r>
      <w:proofErr w:type="spellStart"/>
      <w:r w:rsidRPr="00CE7D65">
        <w:rPr>
          <w:sz w:val="16"/>
          <w:szCs w:val="16"/>
          <w:lang w:val="pt-BR"/>
        </w:rPr>
        <w:t>to</w:t>
      </w:r>
      <w:proofErr w:type="spellEnd"/>
      <w:r w:rsidRPr="00CE7D65">
        <w:rPr>
          <w:sz w:val="16"/>
          <w:szCs w:val="16"/>
          <w:lang w:val="pt-BR"/>
        </w:rPr>
        <w:t xml:space="preserve"> </w:t>
      </w:r>
      <w:proofErr w:type="spellStart"/>
      <w:r w:rsidRPr="00CE7D65">
        <w:rPr>
          <w:sz w:val="16"/>
          <w:szCs w:val="16"/>
          <w:lang w:val="pt-BR"/>
        </w:rPr>
        <w:t>this</w:t>
      </w:r>
      <w:proofErr w:type="spellEnd"/>
      <w:r w:rsidRPr="00CE7D65">
        <w:rPr>
          <w:sz w:val="16"/>
          <w:szCs w:val="16"/>
          <w:lang w:val="pt-BR"/>
        </w:rPr>
        <w:t xml:space="preserve"> </w:t>
      </w:r>
      <w:proofErr w:type="spellStart"/>
      <w:r w:rsidRPr="00CE7D65">
        <w:rPr>
          <w:sz w:val="16"/>
          <w:szCs w:val="16"/>
          <w:lang w:val="pt-BR"/>
        </w:rPr>
        <w:t>article</w:t>
      </w:r>
      <w:proofErr w:type="spellEnd"/>
      <w:r w:rsidRPr="00CE7D65">
        <w:rPr>
          <w:sz w:val="16"/>
          <w:szCs w:val="16"/>
          <w:lang w:val="pt-BR"/>
        </w:rPr>
        <w:t xml:space="preserve"> </w:t>
      </w:r>
      <w:proofErr w:type="spellStart"/>
      <w:r w:rsidRPr="00CE7D65">
        <w:rPr>
          <w:sz w:val="16"/>
          <w:szCs w:val="16"/>
          <w:lang w:val="pt-BR"/>
        </w:rPr>
        <w:t>to</w:t>
      </w:r>
      <w:proofErr w:type="spellEnd"/>
      <w:r w:rsidRPr="00CE7D65">
        <w:rPr>
          <w:sz w:val="16"/>
          <w:szCs w:val="16"/>
          <w:lang w:val="pt-BR"/>
        </w:rPr>
        <w:t xml:space="preserve"> </w:t>
      </w:r>
      <w:proofErr w:type="spellStart"/>
      <w:r w:rsidRPr="00CE7D65">
        <w:rPr>
          <w:sz w:val="16"/>
          <w:szCs w:val="16"/>
          <w:lang w:val="pt-BR"/>
        </w:rPr>
        <w:t>disclose</w:t>
      </w:r>
      <w:proofErr w:type="spellEnd"/>
      <w:r w:rsidRPr="00CE7D65">
        <w:rPr>
          <w:sz w:val="16"/>
          <w:szCs w:val="16"/>
          <w:lang w:val="pt-BR"/>
        </w:rPr>
        <w:t xml:space="preserve">. </w:t>
      </w:r>
      <w:proofErr w:type="spellStart"/>
      <w:r w:rsidRPr="00CE7D65">
        <w:rPr>
          <w:sz w:val="16"/>
          <w:szCs w:val="16"/>
          <w:lang w:val="pt-BR"/>
        </w:rPr>
        <w:t>All</w:t>
      </w:r>
      <w:proofErr w:type="spellEnd"/>
      <w:r w:rsidRPr="00CE7D65">
        <w:rPr>
          <w:sz w:val="16"/>
          <w:szCs w:val="16"/>
          <w:lang w:val="pt-BR"/>
        </w:rPr>
        <w:t xml:space="preserve"> </w:t>
      </w:r>
      <w:proofErr w:type="spellStart"/>
      <w:r w:rsidRPr="00CE7D65">
        <w:rPr>
          <w:sz w:val="16"/>
          <w:szCs w:val="16"/>
          <w:lang w:val="pt-BR"/>
        </w:rPr>
        <w:t>authors</w:t>
      </w:r>
      <w:proofErr w:type="spellEnd"/>
      <w:r w:rsidRPr="00CE7D65">
        <w:rPr>
          <w:sz w:val="16"/>
          <w:szCs w:val="16"/>
          <w:lang w:val="pt-BR"/>
        </w:rPr>
        <w:t xml:space="preserve"> </w:t>
      </w:r>
      <w:proofErr w:type="spellStart"/>
      <w:r w:rsidRPr="00CE7D65">
        <w:rPr>
          <w:sz w:val="16"/>
          <w:szCs w:val="16"/>
          <w:lang w:val="pt-BR"/>
        </w:rPr>
        <w:t>approved</w:t>
      </w:r>
      <w:proofErr w:type="spellEnd"/>
      <w:r w:rsidRPr="00CE7D65">
        <w:rPr>
          <w:sz w:val="16"/>
          <w:szCs w:val="16"/>
          <w:lang w:val="pt-BR"/>
        </w:rPr>
        <w:t xml:space="preserve"> </w:t>
      </w:r>
      <w:proofErr w:type="spellStart"/>
      <w:r w:rsidRPr="00CE7D65">
        <w:rPr>
          <w:sz w:val="16"/>
          <w:szCs w:val="16"/>
          <w:lang w:val="pt-BR"/>
        </w:rPr>
        <w:t>the</w:t>
      </w:r>
      <w:proofErr w:type="spellEnd"/>
      <w:r w:rsidRPr="00CE7D65">
        <w:rPr>
          <w:sz w:val="16"/>
          <w:szCs w:val="16"/>
          <w:lang w:val="pt-BR"/>
        </w:rPr>
        <w:t xml:space="preserve"> final </w:t>
      </w:r>
      <w:proofErr w:type="spellStart"/>
      <w:r w:rsidRPr="00CE7D65">
        <w:rPr>
          <w:sz w:val="16"/>
          <w:szCs w:val="16"/>
          <w:lang w:val="pt-BR"/>
        </w:rPr>
        <w:t>manuscript</w:t>
      </w:r>
      <w:proofErr w:type="spellEnd"/>
      <w:r w:rsidRPr="00CE7D65">
        <w:rPr>
          <w:sz w:val="16"/>
          <w:szCs w:val="16"/>
          <w:lang w:val="pt-BR"/>
        </w:rPr>
        <w:t xml:space="preserve"> as </w:t>
      </w:r>
      <w:proofErr w:type="spellStart"/>
      <w:r w:rsidRPr="00CE7D65">
        <w:rPr>
          <w:sz w:val="16"/>
          <w:szCs w:val="16"/>
          <w:lang w:val="pt-BR"/>
        </w:rPr>
        <w:t>submitted</w:t>
      </w:r>
      <w:proofErr w:type="spellEnd"/>
      <w:r w:rsidRPr="00CE7D65">
        <w:rPr>
          <w:sz w:val="16"/>
          <w:szCs w:val="16"/>
          <w:lang w:val="pt-BR"/>
        </w:rPr>
        <w:t xml:space="preserve"> </w:t>
      </w:r>
      <w:proofErr w:type="spellStart"/>
      <w:r w:rsidRPr="00CE7D65">
        <w:rPr>
          <w:sz w:val="16"/>
          <w:szCs w:val="16"/>
          <w:lang w:val="pt-BR"/>
        </w:rPr>
        <w:t>and</w:t>
      </w:r>
      <w:proofErr w:type="spellEnd"/>
      <w:r w:rsidRPr="00CE7D65">
        <w:rPr>
          <w:sz w:val="16"/>
          <w:szCs w:val="16"/>
          <w:lang w:val="pt-BR"/>
        </w:rPr>
        <w:t xml:space="preserve"> </w:t>
      </w:r>
      <w:proofErr w:type="spellStart"/>
      <w:r w:rsidRPr="00CE7D65">
        <w:rPr>
          <w:sz w:val="16"/>
          <w:szCs w:val="16"/>
          <w:lang w:val="pt-BR"/>
        </w:rPr>
        <w:t>agree</w:t>
      </w:r>
      <w:proofErr w:type="spellEnd"/>
      <w:r w:rsidRPr="00CE7D65">
        <w:rPr>
          <w:sz w:val="16"/>
          <w:szCs w:val="16"/>
          <w:lang w:val="pt-BR"/>
        </w:rPr>
        <w:t xml:space="preserve"> </w:t>
      </w:r>
      <w:proofErr w:type="spellStart"/>
      <w:r w:rsidRPr="00CE7D65">
        <w:rPr>
          <w:sz w:val="16"/>
          <w:szCs w:val="16"/>
          <w:lang w:val="pt-BR"/>
        </w:rPr>
        <w:t>to</w:t>
      </w:r>
      <w:proofErr w:type="spellEnd"/>
      <w:r w:rsidRPr="00CE7D65">
        <w:rPr>
          <w:sz w:val="16"/>
          <w:szCs w:val="16"/>
          <w:lang w:val="pt-BR"/>
        </w:rPr>
        <w:t xml:space="preserve"> </w:t>
      </w:r>
      <w:proofErr w:type="spellStart"/>
      <w:r w:rsidRPr="00CE7D65">
        <w:rPr>
          <w:sz w:val="16"/>
          <w:szCs w:val="16"/>
          <w:lang w:val="pt-BR"/>
        </w:rPr>
        <w:t>be</w:t>
      </w:r>
      <w:proofErr w:type="spellEnd"/>
      <w:r w:rsidRPr="00CE7D65">
        <w:rPr>
          <w:sz w:val="16"/>
          <w:szCs w:val="16"/>
          <w:lang w:val="pt-BR"/>
        </w:rPr>
        <w:t xml:space="preserve"> </w:t>
      </w:r>
      <w:proofErr w:type="spellStart"/>
      <w:r w:rsidRPr="00CE7D65">
        <w:rPr>
          <w:sz w:val="16"/>
          <w:szCs w:val="16"/>
          <w:lang w:val="pt-BR"/>
        </w:rPr>
        <w:t>accountable</w:t>
      </w:r>
      <w:proofErr w:type="spellEnd"/>
      <w:r w:rsidRPr="00CE7D65">
        <w:rPr>
          <w:sz w:val="16"/>
          <w:szCs w:val="16"/>
          <w:lang w:val="pt-BR"/>
        </w:rPr>
        <w:t xml:space="preserve"> for </w:t>
      </w:r>
      <w:proofErr w:type="spellStart"/>
      <w:r w:rsidRPr="00CE7D65">
        <w:rPr>
          <w:sz w:val="16"/>
          <w:szCs w:val="16"/>
          <w:lang w:val="pt-BR"/>
        </w:rPr>
        <w:t>all</w:t>
      </w:r>
      <w:proofErr w:type="spellEnd"/>
      <w:r w:rsidRPr="00CE7D65">
        <w:rPr>
          <w:sz w:val="16"/>
          <w:szCs w:val="16"/>
          <w:lang w:val="pt-BR"/>
        </w:rPr>
        <w:t xml:space="preserve"> </w:t>
      </w:r>
      <w:proofErr w:type="spellStart"/>
      <w:r w:rsidRPr="00CE7D65">
        <w:rPr>
          <w:sz w:val="16"/>
          <w:szCs w:val="16"/>
          <w:lang w:val="pt-BR"/>
        </w:rPr>
        <w:t>aspects</w:t>
      </w:r>
      <w:proofErr w:type="spellEnd"/>
      <w:r w:rsidRPr="00CE7D65">
        <w:rPr>
          <w:sz w:val="16"/>
          <w:szCs w:val="16"/>
          <w:lang w:val="pt-BR"/>
        </w:rPr>
        <w:t xml:space="preserve"> </w:t>
      </w:r>
      <w:proofErr w:type="spellStart"/>
      <w:r w:rsidRPr="00CE7D65">
        <w:rPr>
          <w:sz w:val="16"/>
          <w:szCs w:val="16"/>
          <w:lang w:val="pt-BR"/>
        </w:rPr>
        <w:t>of</w:t>
      </w:r>
      <w:proofErr w:type="spellEnd"/>
      <w:r w:rsidRPr="00CE7D65">
        <w:rPr>
          <w:sz w:val="16"/>
          <w:szCs w:val="16"/>
          <w:lang w:val="pt-BR"/>
        </w:rPr>
        <w:t xml:space="preserve"> </w:t>
      </w:r>
      <w:proofErr w:type="spellStart"/>
      <w:r w:rsidRPr="00CE7D65">
        <w:rPr>
          <w:sz w:val="16"/>
          <w:szCs w:val="16"/>
          <w:lang w:val="pt-BR"/>
        </w:rPr>
        <w:t>the</w:t>
      </w:r>
      <w:proofErr w:type="spellEnd"/>
      <w:r w:rsidRPr="00CE7D65">
        <w:rPr>
          <w:sz w:val="16"/>
          <w:szCs w:val="16"/>
          <w:lang w:val="pt-BR"/>
        </w:rPr>
        <w:t xml:space="preserve"> </w:t>
      </w:r>
      <w:proofErr w:type="spellStart"/>
      <w:r w:rsidRPr="00CE7D65">
        <w:rPr>
          <w:sz w:val="16"/>
          <w:szCs w:val="16"/>
          <w:lang w:val="pt-BR"/>
        </w:rPr>
        <w:t>work</w:t>
      </w:r>
      <w:proofErr w:type="spellEnd"/>
      <w:r w:rsidRPr="00CE7D65">
        <w:rPr>
          <w:sz w:val="16"/>
          <w:szCs w:val="16"/>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0193" w14:textId="4C6A8DC1" w:rsidR="00FC5C57" w:rsidRPr="0059034C" w:rsidRDefault="00153DC5" w:rsidP="0059034C">
    <w:pPr>
      <w:pStyle w:val="Encabezado"/>
      <w:jc w:val="center"/>
      <w:rPr>
        <w:rFonts w:ascii="Times" w:hAnsi="Times" w:cs="Times New Roman (Body CS)"/>
        <w:smallCaps/>
        <w:sz w:val="20"/>
        <w:szCs w:val="20"/>
      </w:rPr>
    </w:pPr>
    <w:proofErr w:type="spellStart"/>
    <w:r w:rsidRPr="00153DC5">
      <w:rPr>
        <w:rFonts w:ascii="Times" w:hAnsi="Times" w:cs="Times New Roman (Body CS)"/>
        <w:smallCaps/>
        <w:sz w:val="20"/>
        <w:szCs w:val="20"/>
      </w:rPr>
      <w:t>Menegazzo</w:t>
    </w:r>
    <w:proofErr w:type="spellEnd"/>
    <w:r w:rsidRPr="00153DC5">
      <w:rPr>
        <w:rFonts w:ascii="Times" w:hAnsi="Times" w:cs="Times New Roman (Body CS)"/>
        <w:smallCaps/>
        <w:sz w:val="20"/>
        <w:szCs w:val="20"/>
      </w:rPr>
      <w:t xml:space="preserve">, </w:t>
    </w:r>
    <w:proofErr w:type="spellStart"/>
    <w:r w:rsidRPr="00153DC5">
      <w:rPr>
        <w:rFonts w:ascii="Times" w:hAnsi="Times" w:cs="Times New Roman (Body CS)"/>
        <w:smallCaps/>
        <w:sz w:val="20"/>
        <w:szCs w:val="20"/>
      </w:rPr>
      <w:t>Klöckner</w:t>
    </w:r>
    <w:proofErr w:type="spellEnd"/>
    <w:r w:rsidRPr="00153DC5">
      <w:rPr>
        <w:rFonts w:ascii="Times" w:hAnsi="Times" w:cs="Times New Roman (Body CS)"/>
        <w:smallCaps/>
        <w:sz w:val="20"/>
        <w:szCs w:val="20"/>
      </w:rPr>
      <w:t xml:space="preserve"> </w:t>
    </w:r>
    <w:proofErr w:type="spellStart"/>
    <w:r w:rsidRPr="00153DC5">
      <w:rPr>
        <w:rFonts w:ascii="Times" w:hAnsi="Times" w:cs="Times New Roman (Body CS)"/>
        <w:smallCaps/>
        <w:sz w:val="20"/>
        <w:szCs w:val="20"/>
      </w:rPr>
      <w:t>Knorst</w:t>
    </w:r>
    <w:proofErr w:type="spellEnd"/>
    <w:r w:rsidRPr="00153DC5">
      <w:rPr>
        <w:rFonts w:ascii="Times" w:hAnsi="Times" w:cs="Times New Roman (Body CS)"/>
        <w:smallCaps/>
        <w:sz w:val="20"/>
        <w:szCs w:val="20"/>
      </w:rPr>
      <w:t xml:space="preserve">, Ruffo Ortiz, </w:t>
    </w:r>
    <w:proofErr w:type="spellStart"/>
    <w:r w:rsidRPr="00153DC5">
      <w:rPr>
        <w:rFonts w:ascii="Times" w:hAnsi="Times" w:cs="Times New Roman (Body CS)"/>
        <w:smallCaps/>
        <w:sz w:val="20"/>
        <w:szCs w:val="20"/>
      </w:rPr>
      <w:t>Tomazoni</w:t>
    </w:r>
    <w:proofErr w:type="spellEnd"/>
    <w:r>
      <w:rPr>
        <w:rFonts w:ascii="Times" w:hAnsi="Times" w:cs="Times New Roman (Body CS)"/>
        <w:smallCaps/>
        <w:sz w:val="20"/>
        <w:szCs w:val="20"/>
      </w:rPr>
      <w:t>,</w:t>
    </w:r>
    <w:r w:rsidRPr="00153DC5">
      <w:rPr>
        <w:rFonts w:ascii="Times" w:hAnsi="Times" w:cs="Times New Roman (Body CS)"/>
        <w:smallCaps/>
        <w:sz w:val="20"/>
        <w:szCs w:val="20"/>
      </w:rPr>
      <w:t xml:space="preserve"> &amp; Machado </w:t>
    </w:r>
    <w:proofErr w:type="spellStart"/>
    <w:r w:rsidRPr="00153DC5">
      <w:rPr>
        <w:rFonts w:ascii="Times" w:hAnsi="Times" w:cs="Times New Roman (Body CS)"/>
        <w:smallCaps/>
        <w:sz w:val="20"/>
        <w:szCs w:val="20"/>
      </w:rPr>
      <w:t>Ardenghi</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0CEF" w14:textId="2BDE3CB7" w:rsidR="00FC5C57" w:rsidRDefault="00FC5C57"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785897D6">
          <wp:simplePos x="0" y="0"/>
          <wp:positionH relativeFrom="column">
            <wp:posOffset>64655</wp:posOffset>
          </wp:positionH>
          <wp:positionV relativeFrom="paragraph">
            <wp:posOffset>-253538</wp:posOffset>
          </wp:positionV>
          <wp:extent cx="681164" cy="628073"/>
          <wp:effectExtent l="0" t="0" r="508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vicom RIP.jpg"/>
                  <pic:cNvPicPr/>
                </pic:nvPicPr>
                <pic:blipFill rotWithShape="1">
                  <a:blip r:embed="rId1">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5684F2CD" w:rsidR="00FC5C57" w:rsidRDefault="00FC5C57" w:rsidP="00C413D4">
    <w:pPr>
      <w:pStyle w:val="Encabezado"/>
      <w:jc w:val="right"/>
      <w:rPr>
        <w:rFonts w:ascii="Times" w:hAnsi="Times"/>
        <w:i/>
        <w:sz w:val="18"/>
        <w:szCs w:val="18"/>
        <w:lang w:val="es-ES"/>
      </w:rPr>
    </w:pPr>
    <w:r>
      <w:rPr>
        <w:rFonts w:ascii="Times" w:hAnsi="Times"/>
        <w:i/>
        <w:sz w:val="18"/>
        <w:szCs w:val="18"/>
        <w:lang w:val="es-ES"/>
      </w:rPr>
      <w:t xml:space="preserve">2019, Vol., 54, No. 1, </w:t>
    </w:r>
    <w:r w:rsidR="002C009C">
      <w:rPr>
        <w:rFonts w:ascii="Times" w:hAnsi="Times"/>
        <w:i/>
        <w:sz w:val="18"/>
        <w:szCs w:val="18"/>
        <w:lang w:val="es-ES"/>
      </w:rPr>
      <w:t>e1</w:t>
    </w:r>
    <w:r w:rsidR="00153DC5">
      <w:rPr>
        <w:rFonts w:ascii="Times" w:hAnsi="Times"/>
        <w:i/>
        <w:sz w:val="18"/>
        <w:szCs w:val="18"/>
        <w:lang w:val="es-ES"/>
      </w:rPr>
      <w:t>1</w:t>
    </w:r>
    <w:r w:rsidR="002C009C">
      <w:rPr>
        <w:rFonts w:ascii="Times" w:hAnsi="Times"/>
        <w:i/>
        <w:sz w:val="18"/>
        <w:szCs w:val="18"/>
        <w:lang w:val="es-ES"/>
      </w:rPr>
      <w:t>4</w:t>
    </w:r>
    <w:r w:rsidR="00153DC5">
      <w:rPr>
        <w:rFonts w:ascii="Times" w:hAnsi="Times"/>
        <w:i/>
        <w:sz w:val="18"/>
        <w:szCs w:val="18"/>
        <w:lang w:val="es-ES"/>
      </w:rPr>
      <w:t>8</w:t>
    </w:r>
    <w:r>
      <w:rPr>
        <w:rFonts w:ascii="Times" w:hAnsi="Times"/>
        <w:i/>
        <w:sz w:val="18"/>
        <w:szCs w:val="18"/>
        <w:lang w:val="es-ES"/>
      </w:rPr>
      <w:t xml:space="preserve"> </w:t>
    </w:r>
  </w:p>
  <w:p w14:paraId="4669E1FB" w14:textId="77777777" w:rsidR="00FC5C57" w:rsidRDefault="00FC5C5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1253E7"/>
    <w:rsid w:val="00153DC5"/>
    <w:rsid w:val="00234E5C"/>
    <w:rsid w:val="00246D04"/>
    <w:rsid w:val="002624E0"/>
    <w:rsid w:val="00271502"/>
    <w:rsid w:val="00294547"/>
    <w:rsid w:val="00297AFB"/>
    <w:rsid w:val="002C009C"/>
    <w:rsid w:val="002C1EB1"/>
    <w:rsid w:val="002C7DF0"/>
    <w:rsid w:val="002D1053"/>
    <w:rsid w:val="002F070D"/>
    <w:rsid w:val="002F257B"/>
    <w:rsid w:val="002F38C8"/>
    <w:rsid w:val="00302C5C"/>
    <w:rsid w:val="003C4AA4"/>
    <w:rsid w:val="003E4B06"/>
    <w:rsid w:val="00430C97"/>
    <w:rsid w:val="00447E89"/>
    <w:rsid w:val="00475FC0"/>
    <w:rsid w:val="004C0823"/>
    <w:rsid w:val="004D5719"/>
    <w:rsid w:val="0059034C"/>
    <w:rsid w:val="00594317"/>
    <w:rsid w:val="005B5614"/>
    <w:rsid w:val="006937D3"/>
    <w:rsid w:val="006A1BA2"/>
    <w:rsid w:val="006B0812"/>
    <w:rsid w:val="006C21BC"/>
    <w:rsid w:val="006F7E7E"/>
    <w:rsid w:val="00724F5C"/>
    <w:rsid w:val="00742E4A"/>
    <w:rsid w:val="00770AE4"/>
    <w:rsid w:val="00795D57"/>
    <w:rsid w:val="007A7C7C"/>
    <w:rsid w:val="007E34D6"/>
    <w:rsid w:val="008114AC"/>
    <w:rsid w:val="00824D3A"/>
    <w:rsid w:val="00863414"/>
    <w:rsid w:val="00872EFD"/>
    <w:rsid w:val="008B0F10"/>
    <w:rsid w:val="008C409A"/>
    <w:rsid w:val="008D509E"/>
    <w:rsid w:val="009032D5"/>
    <w:rsid w:val="00903DEB"/>
    <w:rsid w:val="00993241"/>
    <w:rsid w:val="009D2551"/>
    <w:rsid w:val="00A30790"/>
    <w:rsid w:val="00A457D0"/>
    <w:rsid w:val="00A516C7"/>
    <w:rsid w:val="00AD3238"/>
    <w:rsid w:val="00AE48D4"/>
    <w:rsid w:val="00B06283"/>
    <w:rsid w:val="00B35B61"/>
    <w:rsid w:val="00B511FB"/>
    <w:rsid w:val="00B60E75"/>
    <w:rsid w:val="00B6522A"/>
    <w:rsid w:val="00B74D71"/>
    <w:rsid w:val="00B845A1"/>
    <w:rsid w:val="00B9678D"/>
    <w:rsid w:val="00BC2AFB"/>
    <w:rsid w:val="00BD26F5"/>
    <w:rsid w:val="00C413D4"/>
    <w:rsid w:val="00CE7D65"/>
    <w:rsid w:val="00CF5D21"/>
    <w:rsid w:val="00D609BB"/>
    <w:rsid w:val="00D94A3F"/>
    <w:rsid w:val="00DB6400"/>
    <w:rsid w:val="00DE1119"/>
    <w:rsid w:val="00E449A9"/>
    <w:rsid w:val="00E97D42"/>
    <w:rsid w:val="00EA6646"/>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semiHidden/>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qFormat/>
    <w:rsid w:val="00CE7D65"/>
    <w:pPr>
      <w:spacing w:before="100" w:beforeAutospacing="1" w:after="100" w:afterAutospacing="1"/>
      <w:jc w:val="center"/>
    </w:pPr>
    <w:rPr>
      <w:b/>
      <w:lang w:val="en-US"/>
    </w:rPr>
  </w:style>
  <w:style w:type="paragraph" w:customStyle="1" w:styleId="SubtituloInterno">
    <w:name w:val="Subtitulo Interno"/>
    <w:basedOn w:val="Normal"/>
    <w:qFormat/>
    <w:rsid w:val="00CE7D65"/>
    <w:pPr>
      <w:spacing w:before="100" w:beforeAutospacing="1" w:after="100" w:afterAutospacing="1" w:line="360" w:lineRule="auto"/>
      <w:contextualSpacing/>
      <w:jc w:val="both"/>
    </w:pPr>
    <w:rPr>
      <w:b/>
      <w:i/>
      <w:lang w:val="en-US"/>
    </w:rPr>
  </w:style>
  <w:style w:type="paragraph" w:customStyle="1" w:styleId="TtuloResumen">
    <w:name w:val="Título Resumen"/>
    <w:basedOn w:val="Normal"/>
    <w:qFormat/>
    <w:rsid w:val="00CE7D65"/>
    <w:pPr>
      <w:jc w:val="center"/>
    </w:pPr>
    <w:rPr>
      <w:b/>
      <w:smallCaps/>
      <w:sz w:val="20"/>
      <w:szCs w:val="20"/>
      <w:lang w:val="pt-BR"/>
    </w:rPr>
  </w:style>
  <w:style w:type="paragraph" w:customStyle="1" w:styleId="Resumen">
    <w:name w:val="Resumen"/>
    <w:basedOn w:val="Normal"/>
    <w:qFormat/>
    <w:rsid w:val="00CE7D65"/>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qFormat/>
    <w:rsid w:val="00CE7D65"/>
    <w:pPr>
      <w:jc w:val="center"/>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rcid.org/0000-0001-6291-552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30849/rip/ijp.v54i1.1148" TargetMode="External"/><Relationship Id="rId12" Type="http://schemas.openxmlformats.org/officeDocument/2006/relationships/hyperlink" Target="https://orcid.org/0000-0003-0759-966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0000-0001-7792-8032"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2-4181-0267" TargetMode="External"/><Relationship Id="rId14" Type="http://schemas.openxmlformats.org/officeDocument/2006/relationships/hyperlink" Target="https://orcid.org/0000-0002-5109-740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14</Pages>
  <Words>4624</Words>
  <Characters>25294</Characters>
  <Application>Microsoft Office Word</Application>
  <DocSecurity>0</DocSecurity>
  <Lines>505</Lines>
  <Paragraphs>245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2020-04-16T16:22:00Z</cp:lastPrinted>
  <dcterms:created xsi:type="dcterms:W3CDTF">2020-04-29T15:04:00Z</dcterms:created>
  <dcterms:modified xsi:type="dcterms:W3CDTF">2020-04-29T20:17:00Z</dcterms:modified>
</cp:coreProperties>
</file>