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DABDE3" w14:textId="7A026B2D" w:rsidR="00736FC4" w:rsidRPr="00E137ED" w:rsidRDefault="00736FC4" w:rsidP="00E137ED">
      <w:pPr>
        <w:outlineLvl w:val="0"/>
        <w:rPr>
          <w:b/>
          <w:lang w:val="en-US"/>
        </w:rPr>
      </w:pPr>
      <w:r w:rsidRPr="00E137ED">
        <w:rPr>
          <w:b/>
          <w:lang w:val="en-US"/>
        </w:rPr>
        <w:t>Being psychologically abused is not enough into ending a relationship</w:t>
      </w:r>
    </w:p>
    <w:p w14:paraId="154E58A6" w14:textId="77777777" w:rsidR="00E02E82" w:rsidRPr="00E137ED" w:rsidRDefault="00E02E82" w:rsidP="00E137ED">
      <w:pPr>
        <w:rPr>
          <w:lang w:val="en-US"/>
        </w:rPr>
      </w:pPr>
    </w:p>
    <w:p w14:paraId="6B152CA6" w14:textId="18D74B3A" w:rsidR="00E85FFD" w:rsidRPr="00E137ED" w:rsidRDefault="00E85FFD" w:rsidP="00E137ED">
      <w:pPr>
        <w:outlineLvl w:val="0"/>
        <w:rPr>
          <w:b/>
          <w:lang w:val="en-US"/>
        </w:rPr>
      </w:pPr>
      <w:r w:rsidRPr="00E137ED">
        <w:rPr>
          <w:b/>
          <w:lang w:val="en-US"/>
        </w:rPr>
        <w:t>Abstract</w:t>
      </w:r>
    </w:p>
    <w:p w14:paraId="1C899553" w14:textId="21108DBD" w:rsidR="00C6432C" w:rsidRPr="00E137ED" w:rsidRDefault="000D249B" w:rsidP="00E137ED">
      <w:pPr>
        <w:rPr>
          <w:lang w:val="en-US" w:eastAsia="en-US"/>
        </w:rPr>
      </w:pPr>
      <w:r w:rsidRPr="00E137ED">
        <w:rPr>
          <w:lang w:val="en-US" w:eastAsia="en-US"/>
        </w:rPr>
        <w:t>Our aim</w:t>
      </w:r>
      <w:r w:rsidR="000228AF" w:rsidRPr="00E137ED">
        <w:rPr>
          <w:lang w:val="en-US" w:eastAsia="en-US"/>
        </w:rPr>
        <w:t xml:space="preserve"> is to understand the role of the sunk cost effect in intimate abusive relationships. </w:t>
      </w:r>
      <w:r w:rsidR="00787534" w:rsidRPr="00E137ED">
        <w:rPr>
          <w:lang w:val="en-US" w:eastAsia="en-US"/>
        </w:rPr>
        <w:t>Results of</w:t>
      </w:r>
      <w:r w:rsidR="000228AF" w:rsidRPr="00E137ED">
        <w:rPr>
          <w:lang w:val="en-US" w:eastAsia="en-US"/>
        </w:rPr>
        <w:t xml:space="preserve"> </w:t>
      </w:r>
      <w:r w:rsidR="00787534" w:rsidRPr="00E137ED">
        <w:rPr>
          <w:lang w:val="en-US" w:eastAsia="en-US"/>
        </w:rPr>
        <w:t xml:space="preserve">a </w:t>
      </w:r>
      <w:r w:rsidR="000228AF" w:rsidRPr="00E137ED">
        <w:rPr>
          <w:lang w:val="en-US" w:eastAsia="en-US"/>
        </w:rPr>
        <w:t>questionnaire</w:t>
      </w:r>
      <w:r w:rsidR="00787534" w:rsidRPr="00E137ED">
        <w:rPr>
          <w:lang w:val="en-US" w:eastAsia="en-US"/>
        </w:rPr>
        <w:t>,</w:t>
      </w:r>
      <w:r w:rsidR="000228AF" w:rsidRPr="00E137ED">
        <w:rPr>
          <w:lang w:val="en-US" w:eastAsia="en-US"/>
        </w:rPr>
        <w:t xml:space="preserve"> based on likely scenarios applied to 267 women</w:t>
      </w:r>
      <w:r w:rsidR="00787534" w:rsidRPr="00E137ED">
        <w:rPr>
          <w:lang w:val="en-US" w:eastAsia="en-US"/>
        </w:rPr>
        <w:t xml:space="preserve">, </w:t>
      </w:r>
      <w:r w:rsidR="000228AF" w:rsidRPr="00E137ED">
        <w:rPr>
          <w:lang w:val="en-US" w:eastAsia="en-US"/>
        </w:rPr>
        <w:t xml:space="preserve">show that </w:t>
      </w:r>
      <w:r w:rsidR="00D70DB3" w:rsidRPr="00E137ED">
        <w:rPr>
          <w:lang w:val="en-US" w:eastAsia="en-US"/>
        </w:rPr>
        <w:t>women</w:t>
      </w:r>
      <w:r w:rsidR="000228AF" w:rsidRPr="00E137ED">
        <w:rPr>
          <w:lang w:val="en-US" w:eastAsia="en-US"/>
        </w:rPr>
        <w:t xml:space="preserve"> in a relationship invest more time/days in a relationship</w:t>
      </w:r>
      <w:r w:rsidR="00D70DB3" w:rsidRPr="00E137ED">
        <w:rPr>
          <w:lang w:val="en-US" w:eastAsia="en-US"/>
        </w:rPr>
        <w:t xml:space="preserve"> than those who are not in a relationship</w:t>
      </w:r>
      <w:r w:rsidR="000228AF" w:rsidRPr="00E137ED">
        <w:rPr>
          <w:lang w:val="en-US" w:eastAsia="en-US"/>
        </w:rPr>
        <w:t xml:space="preserve">. </w:t>
      </w:r>
      <w:proofErr w:type="gramStart"/>
      <w:r w:rsidRPr="00E137ED">
        <w:rPr>
          <w:lang w:val="en-US" w:eastAsia="en-US"/>
        </w:rPr>
        <w:t xml:space="preserve">Also, </w:t>
      </w:r>
      <w:r w:rsidR="000228AF" w:rsidRPr="00E137ED">
        <w:rPr>
          <w:lang w:val="en-US" w:eastAsia="en-US"/>
        </w:rPr>
        <w:t xml:space="preserve"> a</w:t>
      </w:r>
      <w:r w:rsidR="00342E2B" w:rsidRPr="00E137ED">
        <w:rPr>
          <w:lang w:val="en-US" w:eastAsia="en-US"/>
        </w:rPr>
        <w:t>n</w:t>
      </w:r>
      <w:proofErr w:type="gramEnd"/>
      <w:r w:rsidR="00342E2B" w:rsidRPr="00E137ED">
        <w:rPr>
          <w:lang w:val="en-US" w:eastAsia="en-US"/>
        </w:rPr>
        <w:t xml:space="preserve"> </w:t>
      </w:r>
      <w:r w:rsidR="000228AF" w:rsidRPr="00E137ED">
        <w:rPr>
          <w:lang w:val="en-US" w:eastAsia="en-US"/>
        </w:rPr>
        <w:t xml:space="preserve">effect of scenario and of relationship status on sunk </w:t>
      </w:r>
      <w:r w:rsidR="00D70DB3" w:rsidRPr="00E137ED">
        <w:rPr>
          <w:lang w:val="en-US" w:eastAsia="en-US"/>
        </w:rPr>
        <w:t>cost</w:t>
      </w:r>
      <w:r w:rsidR="000228AF" w:rsidRPr="00E137ED">
        <w:rPr>
          <w:lang w:val="en-US" w:eastAsia="en-US"/>
        </w:rPr>
        <w:t xml:space="preserve"> effect</w:t>
      </w:r>
      <w:r w:rsidRPr="00E137ED">
        <w:rPr>
          <w:lang w:val="en-US" w:eastAsia="en-US"/>
        </w:rPr>
        <w:t xml:space="preserve"> were found</w:t>
      </w:r>
      <w:r w:rsidR="000228AF" w:rsidRPr="00E137ED">
        <w:rPr>
          <w:lang w:val="en-US" w:eastAsia="en-US"/>
        </w:rPr>
        <w:t xml:space="preserve">. Women spend more time in a </w:t>
      </w:r>
      <w:r w:rsidR="00787534" w:rsidRPr="00E137ED">
        <w:rPr>
          <w:lang w:val="en-US" w:eastAsia="en-US"/>
        </w:rPr>
        <w:t>non-violent scenario</w:t>
      </w:r>
      <w:r w:rsidR="00787534" w:rsidRPr="00E137ED">
        <w:rPr>
          <w:lang w:val="en-US" w:eastAsia="en-US"/>
        </w:rPr>
        <w:t>; also, they spend more time in a scenario of</w:t>
      </w:r>
      <w:r w:rsidR="000228AF" w:rsidRPr="00E137ED">
        <w:rPr>
          <w:lang w:val="en-US" w:eastAsia="en-US"/>
        </w:rPr>
        <w:t xml:space="preserve"> psychological violence than in </w:t>
      </w:r>
      <w:r w:rsidRPr="00E137ED">
        <w:rPr>
          <w:lang w:val="en-US" w:eastAsia="en-US"/>
        </w:rPr>
        <w:t>one</w:t>
      </w:r>
      <w:r w:rsidR="000228AF" w:rsidRPr="00E137ED">
        <w:rPr>
          <w:lang w:val="en-US" w:eastAsia="en-US"/>
        </w:rPr>
        <w:t xml:space="preserve"> of sexual or physical violence. These results suggest that being in a relationship enhance the likelihood of committing sunk cost effect; prior investments in a relationship acquire more value for individuals in a current relationship where those efforts exist naturally.</w:t>
      </w:r>
      <w:r w:rsidR="006864CD" w:rsidRPr="00E137ED">
        <w:rPr>
          <w:lang w:val="en-US" w:eastAsia="en-US"/>
        </w:rPr>
        <w:t xml:space="preserve"> </w:t>
      </w:r>
    </w:p>
    <w:p w14:paraId="282A7072" w14:textId="77777777" w:rsidR="000D249B" w:rsidRPr="00E137ED" w:rsidRDefault="000D249B" w:rsidP="00E137ED">
      <w:pPr>
        <w:rPr>
          <w:b/>
          <w:lang w:val="en-US"/>
        </w:rPr>
      </w:pPr>
    </w:p>
    <w:p w14:paraId="35FF81E6" w14:textId="1E9D887B" w:rsidR="00CF5BA2" w:rsidRPr="00E137ED" w:rsidRDefault="00E85FFD" w:rsidP="00E137ED">
      <w:pPr>
        <w:outlineLvl w:val="0"/>
        <w:rPr>
          <w:b/>
          <w:lang w:val="en-US"/>
        </w:rPr>
      </w:pPr>
      <w:r w:rsidRPr="00E137ED">
        <w:rPr>
          <w:b/>
          <w:lang w:val="en-US"/>
        </w:rPr>
        <w:t>Keywords</w:t>
      </w:r>
    </w:p>
    <w:p w14:paraId="0F3EC058" w14:textId="65D7D023" w:rsidR="00E85FFD" w:rsidRPr="00E137ED" w:rsidRDefault="00D91949" w:rsidP="00E137ED">
      <w:pPr>
        <w:outlineLvl w:val="0"/>
        <w:rPr>
          <w:lang w:val="en-US"/>
        </w:rPr>
      </w:pPr>
      <w:r w:rsidRPr="00E137ED">
        <w:rPr>
          <w:lang w:val="en-US"/>
        </w:rPr>
        <w:t>Sunk cost effect; decision-making; intimate abusive relationship;</w:t>
      </w:r>
      <w:r w:rsidR="004F6316" w:rsidRPr="00E137ED">
        <w:rPr>
          <w:lang w:val="en-US"/>
        </w:rPr>
        <w:t xml:space="preserve"> violence</w:t>
      </w:r>
    </w:p>
    <w:p w14:paraId="7EB82200" w14:textId="77777777" w:rsidR="006278F3" w:rsidRPr="00E137ED" w:rsidRDefault="006278F3" w:rsidP="00E137ED">
      <w:pPr>
        <w:rPr>
          <w:lang w:val="en-US"/>
        </w:rPr>
      </w:pPr>
    </w:p>
    <w:p w14:paraId="147B53B8" w14:textId="78F6B319" w:rsidR="00F71904" w:rsidRPr="00E137ED" w:rsidRDefault="00F71904" w:rsidP="00E137ED">
      <w:pPr>
        <w:rPr>
          <w:b/>
          <w:bCs/>
        </w:rPr>
      </w:pPr>
      <w:r w:rsidRPr="00E137ED">
        <w:rPr>
          <w:b/>
          <w:bCs/>
        </w:rPr>
        <w:t>Resumo</w:t>
      </w:r>
    </w:p>
    <w:p w14:paraId="5A476A05" w14:textId="5377BE31" w:rsidR="00F71904" w:rsidRPr="00E137ED" w:rsidRDefault="00F71904" w:rsidP="00E137ED">
      <w:r w:rsidRPr="00E137ED">
        <w:t>O n</w:t>
      </w:r>
      <w:r w:rsidRPr="00E137ED">
        <w:t xml:space="preserve">osso objetivo é </w:t>
      </w:r>
      <w:r w:rsidRPr="00E137ED">
        <w:t>compreender o</w:t>
      </w:r>
      <w:r w:rsidRPr="00E137ED">
        <w:t xml:space="preserve"> papel do </w:t>
      </w:r>
      <w:bookmarkStart w:id="0" w:name="_Hlk12808657"/>
      <w:r w:rsidR="00D70DB3" w:rsidRPr="00E137ED">
        <w:rPr>
          <w:i/>
          <w:iCs/>
        </w:rPr>
        <w:t>sunk cost effect</w:t>
      </w:r>
      <w:r w:rsidRPr="00E137ED">
        <w:t xml:space="preserve"> </w:t>
      </w:r>
      <w:bookmarkEnd w:id="0"/>
      <w:r w:rsidRPr="00E137ED">
        <w:t>em relacionamentos íntimos</w:t>
      </w:r>
      <w:r w:rsidR="00D70DB3" w:rsidRPr="00E137ED">
        <w:t xml:space="preserve"> </w:t>
      </w:r>
      <w:r w:rsidR="00D70DB3" w:rsidRPr="00E137ED">
        <w:t>abusivos</w:t>
      </w:r>
      <w:r w:rsidRPr="00E137ED">
        <w:t xml:space="preserve">. Os resultados de um questionário, baseado em cenários prováveis ​​aplicados a 267 mulheres, mostram que os participantes de um relacionamento investem mais tempo/ dias </w:t>
      </w:r>
      <w:r w:rsidR="00D70DB3" w:rsidRPr="00E137ED">
        <w:t>n</w:t>
      </w:r>
      <w:r w:rsidRPr="00E137ED">
        <w:t>um relacionamento</w:t>
      </w:r>
      <w:r w:rsidR="00D70DB3" w:rsidRPr="00E137ED">
        <w:t xml:space="preserve"> do que quem não está um relacionamento</w:t>
      </w:r>
      <w:r w:rsidRPr="00E137ED">
        <w:t xml:space="preserve">. Além disso, um efeito do cenário e do </w:t>
      </w:r>
      <w:r w:rsidR="00D70DB3" w:rsidRPr="00E137ED">
        <w:t>estatuto</w:t>
      </w:r>
      <w:r w:rsidRPr="00E137ED">
        <w:t xml:space="preserve"> do relacionamento no </w:t>
      </w:r>
      <w:r w:rsidR="00D70DB3" w:rsidRPr="00E137ED">
        <w:rPr>
          <w:i/>
          <w:iCs/>
        </w:rPr>
        <w:t>sunk cost effect</w:t>
      </w:r>
      <w:r w:rsidR="00D70DB3" w:rsidRPr="00E137ED">
        <w:t xml:space="preserve"> </w:t>
      </w:r>
      <w:r w:rsidRPr="00E137ED">
        <w:t xml:space="preserve">foi encontrado. As mulheres passam mais tempo </w:t>
      </w:r>
      <w:r w:rsidR="00D70DB3" w:rsidRPr="00E137ED">
        <w:t>m</w:t>
      </w:r>
      <w:r w:rsidRPr="00E137ED">
        <w:t xml:space="preserve">um cenário não violento; </w:t>
      </w:r>
      <w:r w:rsidR="00D70DB3" w:rsidRPr="00E137ED">
        <w:t>a</w:t>
      </w:r>
      <w:r w:rsidRPr="00E137ED">
        <w:t>lém disso, el</w:t>
      </w:r>
      <w:r w:rsidR="00D70DB3" w:rsidRPr="00E137ED">
        <w:t>a</w:t>
      </w:r>
      <w:r w:rsidRPr="00E137ED">
        <w:t>s p</w:t>
      </w:r>
      <w:r w:rsidR="00D70DB3" w:rsidRPr="00E137ED">
        <w:t>ermaecem</w:t>
      </w:r>
      <w:r w:rsidRPr="00E137ED">
        <w:t xml:space="preserve"> mais tempo </w:t>
      </w:r>
      <w:r w:rsidR="00D70DB3" w:rsidRPr="00E137ED">
        <w:t>n</w:t>
      </w:r>
      <w:r w:rsidRPr="00E137ED">
        <w:t xml:space="preserve">um cenário de violência psicológica do que </w:t>
      </w:r>
      <w:r w:rsidR="00D70DB3" w:rsidRPr="00E137ED">
        <w:t>num de</w:t>
      </w:r>
      <w:r w:rsidRPr="00E137ED">
        <w:t xml:space="preserve"> violência sexual ou física. Esses resultados sugerem que estar </w:t>
      </w:r>
      <w:r w:rsidR="00D70DB3" w:rsidRPr="00E137ED">
        <w:t>n</w:t>
      </w:r>
      <w:r w:rsidRPr="00E137ED">
        <w:t xml:space="preserve">um relacionamento aumenta a probabilidade de </w:t>
      </w:r>
      <w:r w:rsidR="00D70DB3" w:rsidRPr="00E137ED">
        <w:rPr>
          <w:i/>
          <w:iCs/>
        </w:rPr>
        <w:t>sunk cost effect</w:t>
      </w:r>
      <w:r w:rsidRPr="00E137ED">
        <w:t xml:space="preserve">; investimentos anteriores </w:t>
      </w:r>
      <w:r w:rsidR="00D70DB3" w:rsidRPr="00E137ED">
        <w:t>n</w:t>
      </w:r>
      <w:r w:rsidRPr="00E137ED">
        <w:t xml:space="preserve">um relacionamento adquirem mais valor para os indivíduos </w:t>
      </w:r>
      <w:r w:rsidR="00D70DB3" w:rsidRPr="00E137ED">
        <w:t>n</w:t>
      </w:r>
      <w:r w:rsidRPr="00E137ED">
        <w:t>um relacionamento atual, onde esses esforços existem naturalmente.</w:t>
      </w:r>
    </w:p>
    <w:p w14:paraId="00BB3A28" w14:textId="77777777" w:rsidR="00F71904" w:rsidRPr="00E137ED" w:rsidRDefault="00F71904" w:rsidP="00E137ED"/>
    <w:p w14:paraId="29B2B912" w14:textId="77777777" w:rsidR="00F71904" w:rsidRPr="00E137ED" w:rsidRDefault="00F71904" w:rsidP="00E137ED">
      <w:pPr>
        <w:rPr>
          <w:b/>
          <w:bCs/>
        </w:rPr>
      </w:pPr>
      <w:r w:rsidRPr="00E137ED">
        <w:rPr>
          <w:b/>
          <w:bCs/>
        </w:rPr>
        <w:t>Palavras-chave</w:t>
      </w:r>
    </w:p>
    <w:p w14:paraId="511CBD51" w14:textId="65F8CA82" w:rsidR="00972314" w:rsidRPr="00E137ED" w:rsidRDefault="00034B26" w:rsidP="00E137ED">
      <w:r w:rsidRPr="00E137ED">
        <w:rPr>
          <w:i/>
          <w:iCs/>
        </w:rPr>
        <w:t>S</w:t>
      </w:r>
      <w:r w:rsidR="00D70DB3" w:rsidRPr="00E137ED">
        <w:rPr>
          <w:i/>
          <w:iCs/>
        </w:rPr>
        <w:t>unk cost effect</w:t>
      </w:r>
      <w:r w:rsidR="00F71904" w:rsidRPr="00E137ED">
        <w:t xml:space="preserve">; </w:t>
      </w:r>
      <w:r w:rsidRPr="00E137ED">
        <w:t>tomada de</w:t>
      </w:r>
      <w:r w:rsidR="00F71904" w:rsidRPr="00E137ED">
        <w:t xml:space="preserve"> decisão; relação íntima</w:t>
      </w:r>
      <w:r w:rsidRPr="00E137ED">
        <w:t xml:space="preserve"> </w:t>
      </w:r>
      <w:r w:rsidRPr="00E137ED">
        <w:t>abusiva</w:t>
      </w:r>
      <w:r w:rsidR="00F71904" w:rsidRPr="00E137ED">
        <w:t>; violência</w:t>
      </w:r>
    </w:p>
    <w:p w14:paraId="3CBE7281" w14:textId="0E91D1CC" w:rsidR="0054333C" w:rsidRPr="00E137ED" w:rsidRDefault="0054333C" w:rsidP="00E137ED">
      <w:pPr>
        <w:pStyle w:val="ListParagraph"/>
        <w:outlineLvl w:val="0"/>
        <w:rPr>
          <w:b/>
        </w:rPr>
      </w:pPr>
    </w:p>
    <w:p w14:paraId="6AED390B" w14:textId="029FF436" w:rsidR="001D1DED" w:rsidRPr="00E137ED" w:rsidRDefault="001D1DED" w:rsidP="00E137ED">
      <w:pPr>
        <w:outlineLvl w:val="0"/>
        <w:rPr>
          <w:b/>
          <w:lang w:val="en-US"/>
        </w:rPr>
      </w:pPr>
      <w:r w:rsidRPr="00E137ED">
        <w:rPr>
          <w:b/>
          <w:lang w:val="en-US"/>
        </w:rPr>
        <w:t>Introduction</w:t>
      </w:r>
    </w:p>
    <w:p w14:paraId="5A84E926" w14:textId="5EF6C13C" w:rsidR="001D1DED" w:rsidRPr="00E137ED" w:rsidRDefault="001D1DED" w:rsidP="00E137ED">
      <w:pPr>
        <w:outlineLvl w:val="0"/>
        <w:rPr>
          <w:b/>
          <w:i/>
          <w:lang w:val="en-US"/>
        </w:rPr>
      </w:pPr>
      <w:r w:rsidRPr="00E137ED">
        <w:rPr>
          <w:b/>
          <w:i/>
          <w:lang w:val="en-US"/>
        </w:rPr>
        <w:t>Sunk cost effect</w:t>
      </w:r>
    </w:p>
    <w:p w14:paraId="5087C786" w14:textId="060E086A" w:rsidR="001D1DED" w:rsidRPr="00E137ED" w:rsidRDefault="001D1DED" w:rsidP="00E137ED">
      <w:pPr>
        <w:rPr>
          <w:lang w:val="en-US"/>
        </w:rPr>
      </w:pPr>
      <w:r w:rsidRPr="00E137ED">
        <w:rPr>
          <w:lang w:val="en-US"/>
        </w:rPr>
        <w:t>The sunk cost effect takes place when a prior investment of money, effort or time drives to a continuous investment in a failed direction</w:t>
      </w:r>
      <w:r w:rsidR="00B4318B" w:rsidRPr="00E137ED">
        <w:rPr>
          <w:lang w:val="en-US"/>
        </w:rPr>
        <w:t>,</w:t>
      </w:r>
      <w:r w:rsidRPr="00E137ED">
        <w:rPr>
          <w:lang w:val="en-US"/>
        </w:rPr>
        <w:t xml:space="preserve"> when the logical action would be to stop investing (</w:t>
      </w:r>
      <w:proofErr w:type="spellStart"/>
      <w:r w:rsidRPr="00E137ED">
        <w:rPr>
          <w:lang w:val="en-US"/>
        </w:rPr>
        <w:t>Arkes</w:t>
      </w:r>
      <w:proofErr w:type="spellEnd"/>
      <w:r w:rsidRPr="00E137ED">
        <w:rPr>
          <w:lang w:val="en-US"/>
        </w:rPr>
        <w:t xml:space="preserve"> &amp; Blumer,1985</w:t>
      </w:r>
      <w:r w:rsidR="004B5B0B" w:rsidRPr="00E137ED">
        <w:rPr>
          <w:lang w:val="en-US"/>
        </w:rPr>
        <w:t xml:space="preserve">; Chung &amp; Cheng, 2018). </w:t>
      </w:r>
      <w:r w:rsidRPr="00E137ED">
        <w:rPr>
          <w:lang w:val="en-US"/>
        </w:rPr>
        <w:t>From an economic perspective, this behavior is irrational because only future costs and benefits (not past) should determine decision making (Bornstein &amp; Chapman,1995</w:t>
      </w:r>
      <w:r w:rsidR="00053050" w:rsidRPr="00E137ED">
        <w:rPr>
          <w:lang w:val="en-US"/>
        </w:rPr>
        <w:t>;</w:t>
      </w:r>
      <w:r w:rsidR="00E629CF" w:rsidRPr="00E137ED">
        <w:rPr>
          <w:lang w:val="en-US"/>
        </w:rPr>
        <w:t xml:space="preserve"> Feldman &amp; Wong, 2018</w:t>
      </w:r>
      <w:r w:rsidR="00B4318B" w:rsidRPr="00E137ED">
        <w:rPr>
          <w:lang w:val="en-US"/>
        </w:rPr>
        <w:t>).</w:t>
      </w:r>
      <w:r w:rsidRPr="00E137ED">
        <w:rPr>
          <w:lang w:val="en-US"/>
        </w:rPr>
        <w:t xml:space="preserve"> Several theories try to explain the sunk cost effect, namely, (1) </w:t>
      </w:r>
      <w:r w:rsidR="001A15F5" w:rsidRPr="00E137ED">
        <w:rPr>
          <w:lang w:val="en-US"/>
        </w:rPr>
        <w:t xml:space="preserve">the prospect theory (Kahneman &amp; Tversky, 1979, 1984; </w:t>
      </w:r>
      <w:proofErr w:type="spellStart"/>
      <w:r w:rsidR="001223E7" w:rsidRPr="00E137ED">
        <w:rPr>
          <w:lang w:val="en-US"/>
        </w:rPr>
        <w:t>Pachur</w:t>
      </w:r>
      <w:proofErr w:type="spellEnd"/>
      <w:r w:rsidR="001223E7" w:rsidRPr="00E137ED">
        <w:rPr>
          <w:lang w:val="en-US"/>
        </w:rPr>
        <w:t>, Schulte-</w:t>
      </w:r>
      <w:proofErr w:type="spellStart"/>
      <w:r w:rsidR="001223E7" w:rsidRPr="00E137ED">
        <w:rPr>
          <w:lang w:val="en-US"/>
        </w:rPr>
        <w:t>Mecklenbeck</w:t>
      </w:r>
      <w:proofErr w:type="spellEnd"/>
      <w:r w:rsidR="001223E7" w:rsidRPr="00E137ED">
        <w:rPr>
          <w:lang w:val="en-US"/>
        </w:rPr>
        <w:t xml:space="preserve">, Murphy, &amp; </w:t>
      </w:r>
      <w:proofErr w:type="spellStart"/>
      <w:r w:rsidR="001223E7" w:rsidRPr="00E137ED">
        <w:rPr>
          <w:lang w:val="en-US"/>
        </w:rPr>
        <w:t>Hertwig</w:t>
      </w:r>
      <w:proofErr w:type="spellEnd"/>
      <w:r w:rsidR="001223E7" w:rsidRPr="00E137ED">
        <w:rPr>
          <w:lang w:val="en-US"/>
        </w:rPr>
        <w:t xml:space="preserve">, 2018; </w:t>
      </w:r>
      <w:r w:rsidR="001A15F5" w:rsidRPr="00E137ED">
        <w:rPr>
          <w:lang w:val="en-US"/>
        </w:rPr>
        <w:t>Tversky &amp; Kahneman, 1981, 1986), in which value is assigned to gains and losses, tending individuals to value more losses compared with gains, committing more resources into a losing course of action, even after negative outcomes; (2) the self-justification theory (</w:t>
      </w:r>
      <w:proofErr w:type="spellStart"/>
      <w:r w:rsidR="00447405" w:rsidRPr="00E137ED">
        <w:rPr>
          <w:lang w:val="en-US"/>
        </w:rPr>
        <w:t>Khoso</w:t>
      </w:r>
      <w:proofErr w:type="spellEnd"/>
      <w:r w:rsidR="00447405" w:rsidRPr="00E137ED">
        <w:rPr>
          <w:lang w:val="en-US"/>
        </w:rPr>
        <w:t xml:space="preserve">, Shaikh, Parmar, &amp; Bashir, 2018; </w:t>
      </w:r>
      <w:proofErr w:type="spellStart"/>
      <w:r w:rsidR="001A15F5" w:rsidRPr="00E137ED">
        <w:rPr>
          <w:lang w:val="en-US"/>
        </w:rPr>
        <w:t>Staw</w:t>
      </w:r>
      <w:proofErr w:type="spellEnd"/>
      <w:r w:rsidR="001A15F5" w:rsidRPr="00E137ED">
        <w:rPr>
          <w:lang w:val="en-US"/>
        </w:rPr>
        <w:t xml:space="preserve"> &amp; Fox, 1977; </w:t>
      </w:r>
      <w:proofErr w:type="spellStart"/>
      <w:r w:rsidR="001A15F5" w:rsidRPr="00E137ED">
        <w:rPr>
          <w:lang w:val="en-US"/>
        </w:rPr>
        <w:t>Staw</w:t>
      </w:r>
      <w:proofErr w:type="spellEnd"/>
      <w:r w:rsidR="001A15F5" w:rsidRPr="00E137ED">
        <w:rPr>
          <w:lang w:val="en-US"/>
        </w:rPr>
        <w:t xml:space="preserve"> &amp; Ross, 1987) which states that people are motivated to find justifications for their actions, beliefs and feelings and to convince themselves that it was the only logical and reasonable thing to be done; people are more predisposed to invest in a losing course of action when they are personally responsible for negative past outcomes, i.e., higher personal responsibility for initial decisions leads to higher degree of sunk cost effect; (3) </w:t>
      </w:r>
      <w:r w:rsidR="001A15F5" w:rsidRPr="00E137ED">
        <w:rPr>
          <w:lang w:val="en-US"/>
        </w:rPr>
        <w:lastRenderedPageBreak/>
        <w:t>the waste-avoidance theory (</w:t>
      </w:r>
      <w:proofErr w:type="spellStart"/>
      <w:r w:rsidR="001A15F5" w:rsidRPr="00E137ED">
        <w:rPr>
          <w:lang w:val="en-US"/>
        </w:rPr>
        <w:t>Arkes</w:t>
      </w:r>
      <w:proofErr w:type="spellEnd"/>
      <w:r w:rsidR="001A15F5" w:rsidRPr="00E137ED">
        <w:rPr>
          <w:lang w:val="en-US"/>
        </w:rPr>
        <w:t xml:space="preserve"> &amp; Ayton, 1999; </w:t>
      </w:r>
      <w:proofErr w:type="spellStart"/>
      <w:r w:rsidR="001A15F5" w:rsidRPr="00E137ED">
        <w:rPr>
          <w:lang w:val="en-US"/>
        </w:rPr>
        <w:t>Arkes</w:t>
      </w:r>
      <w:proofErr w:type="spellEnd"/>
      <w:r w:rsidR="001A15F5" w:rsidRPr="00E137ED">
        <w:rPr>
          <w:lang w:val="en-US"/>
        </w:rPr>
        <w:t xml:space="preserve"> &amp; Blumer, 1985</w:t>
      </w:r>
      <w:r w:rsidR="009C07F0" w:rsidRPr="00E137ED">
        <w:rPr>
          <w:lang w:val="en-US"/>
        </w:rPr>
        <w:t xml:space="preserve">; Lin &amp; Chang, 2017), </w:t>
      </w:r>
      <w:r w:rsidR="001A15F5" w:rsidRPr="00E137ED">
        <w:rPr>
          <w:lang w:val="en-US"/>
        </w:rPr>
        <w:t>in which avoidance of waste is a motivating factor in people's decision to honor sunk costs by not abandoning a failed course of action;  (4) and the self-control science (</w:t>
      </w:r>
      <w:r w:rsidR="00EF51F0" w:rsidRPr="00E137ED">
        <w:rPr>
          <w:lang w:val="en-US"/>
        </w:rPr>
        <w:t xml:space="preserve">De Ridder &amp; </w:t>
      </w:r>
      <w:proofErr w:type="spellStart"/>
      <w:r w:rsidR="00EF51F0" w:rsidRPr="00E137ED">
        <w:rPr>
          <w:lang w:val="en-US"/>
        </w:rPr>
        <w:t>Lensvelt</w:t>
      </w:r>
      <w:proofErr w:type="spellEnd"/>
      <w:r w:rsidR="00EF51F0" w:rsidRPr="00E137ED">
        <w:rPr>
          <w:lang w:val="en-US"/>
        </w:rPr>
        <w:t xml:space="preserve">-Mulders, 2018; </w:t>
      </w:r>
      <w:proofErr w:type="spellStart"/>
      <w:r w:rsidR="001A15F5" w:rsidRPr="00E137ED">
        <w:rPr>
          <w:lang w:val="en-US"/>
        </w:rPr>
        <w:t>Rachlin</w:t>
      </w:r>
      <w:proofErr w:type="spellEnd"/>
      <w:r w:rsidR="00AE66A5" w:rsidRPr="00E137ED">
        <w:rPr>
          <w:lang w:val="en-US"/>
        </w:rPr>
        <w:t>,</w:t>
      </w:r>
      <w:r w:rsidR="001A15F5" w:rsidRPr="00E137ED">
        <w:rPr>
          <w:lang w:val="en-US"/>
        </w:rPr>
        <w:t xml:space="preserve"> 2000) </w:t>
      </w:r>
      <w:r w:rsidR="00BA24CB" w:rsidRPr="00E137ED">
        <w:rPr>
          <w:lang w:val="en-US"/>
        </w:rPr>
        <w:t xml:space="preserve">that </w:t>
      </w:r>
      <w:r w:rsidR="001A15F5" w:rsidRPr="00E137ED">
        <w:rPr>
          <w:lang w:val="en-US"/>
        </w:rPr>
        <w:t xml:space="preserve">teaches how to resist temptations and refuse to act impulsively, since we have a tendency to be influenced by sunk costs. </w:t>
      </w:r>
      <w:r w:rsidR="00AA1AAC" w:rsidRPr="00E137ED">
        <w:rPr>
          <w:lang w:val="en-US"/>
        </w:rPr>
        <w:t xml:space="preserve">Ali, Zhou, Miller and </w:t>
      </w:r>
      <w:proofErr w:type="spellStart"/>
      <w:r w:rsidR="00AA1AAC" w:rsidRPr="00E137ED">
        <w:rPr>
          <w:lang w:val="en-US"/>
        </w:rPr>
        <w:t>Ieromonachou</w:t>
      </w:r>
      <w:proofErr w:type="spellEnd"/>
      <w:r w:rsidR="00AA1AAC" w:rsidRPr="00E137ED">
        <w:rPr>
          <w:lang w:val="en-US"/>
        </w:rPr>
        <w:t xml:space="preserve"> (2016) </w:t>
      </w:r>
      <w:r w:rsidR="001A15F5" w:rsidRPr="00E137ED">
        <w:rPr>
          <w:lang w:val="en-US"/>
        </w:rPr>
        <w:t xml:space="preserve">stated that sunk costs </w:t>
      </w:r>
      <w:r w:rsidR="00BA24CB" w:rsidRPr="00E137ED">
        <w:rPr>
          <w:lang w:val="en-US"/>
        </w:rPr>
        <w:t>has</w:t>
      </w:r>
      <w:r w:rsidR="001A15F5" w:rsidRPr="00E137ED">
        <w:rPr>
          <w:lang w:val="en-US"/>
        </w:rPr>
        <w:t xml:space="preserve"> effects on resistance to change, “being trapped in the sunk cost in the domain specific to one's negative schemas may further reinforce the negative schema” (</w:t>
      </w:r>
      <w:r w:rsidR="00AA1AAC" w:rsidRPr="00E137ED">
        <w:rPr>
          <w:lang w:val="en-US"/>
        </w:rPr>
        <w:t xml:space="preserve">Leahy, 2000, </w:t>
      </w:r>
      <w:r w:rsidR="001A15F5" w:rsidRPr="00E137ED">
        <w:rPr>
          <w:lang w:val="en-US"/>
        </w:rPr>
        <w:t>p. 369).</w:t>
      </w:r>
    </w:p>
    <w:p w14:paraId="03FE3D45" w14:textId="77777777" w:rsidR="001D1DED" w:rsidRPr="00E137ED" w:rsidRDefault="001D1DED" w:rsidP="00E137ED">
      <w:pPr>
        <w:outlineLvl w:val="0"/>
        <w:rPr>
          <w:b/>
          <w:i/>
          <w:lang w:val="en-US"/>
        </w:rPr>
      </w:pPr>
      <w:r w:rsidRPr="00E137ED">
        <w:rPr>
          <w:b/>
          <w:i/>
          <w:lang w:val="en-US"/>
        </w:rPr>
        <w:t>Sunk cost effect and decision making</w:t>
      </w:r>
    </w:p>
    <w:p w14:paraId="3D18C94A" w14:textId="63657D62" w:rsidR="00B84BFC" w:rsidRPr="00E137ED" w:rsidRDefault="001D1DED" w:rsidP="00E137ED">
      <w:pPr>
        <w:rPr>
          <w:lang w:val="en-US"/>
        </w:rPr>
      </w:pPr>
      <w:r w:rsidRPr="00E137ED">
        <w:rPr>
          <w:lang w:val="en-US"/>
        </w:rPr>
        <w:t>Sunk cost effect refers to the impact of sunk costs on decision-making (</w:t>
      </w:r>
      <w:proofErr w:type="spellStart"/>
      <w:r w:rsidR="00387D3E" w:rsidRPr="00E137ED">
        <w:rPr>
          <w:lang w:val="en-US"/>
        </w:rPr>
        <w:t>Haita</w:t>
      </w:r>
      <w:proofErr w:type="spellEnd"/>
      <w:r w:rsidR="00387D3E" w:rsidRPr="00E137ED">
        <w:rPr>
          <w:lang w:val="en-US"/>
        </w:rPr>
        <w:t>-Falah, 2017</w:t>
      </w:r>
      <w:r w:rsidR="003B625E" w:rsidRPr="00E137ED">
        <w:rPr>
          <w:lang w:val="en-US"/>
        </w:rPr>
        <w:t>;</w:t>
      </w:r>
      <w:r w:rsidR="00387D3E" w:rsidRPr="00E137ED">
        <w:rPr>
          <w:lang w:val="en-US"/>
        </w:rPr>
        <w:t xml:space="preserve"> </w:t>
      </w:r>
      <w:r w:rsidRPr="00E137ED">
        <w:rPr>
          <w:lang w:val="en-US"/>
        </w:rPr>
        <w:t xml:space="preserve">Navarro &amp; Fantino, 2009).  </w:t>
      </w:r>
      <w:r w:rsidR="001A15F5" w:rsidRPr="00E137ED">
        <w:rPr>
          <w:lang w:val="en-US"/>
        </w:rPr>
        <w:t xml:space="preserve">Rover, </w:t>
      </w:r>
      <w:proofErr w:type="spellStart"/>
      <w:r w:rsidR="001A15F5" w:rsidRPr="00E137ED">
        <w:rPr>
          <w:lang w:val="en-US"/>
        </w:rPr>
        <w:t>Wuerges</w:t>
      </w:r>
      <w:proofErr w:type="spellEnd"/>
      <w:r w:rsidR="001A15F5" w:rsidRPr="00E137ED">
        <w:rPr>
          <w:lang w:val="en-US"/>
        </w:rPr>
        <w:t xml:space="preserve">, </w:t>
      </w:r>
      <w:proofErr w:type="spellStart"/>
      <w:r w:rsidR="001A15F5" w:rsidRPr="00E137ED">
        <w:rPr>
          <w:lang w:val="en-US"/>
        </w:rPr>
        <w:t>Tomazzia</w:t>
      </w:r>
      <w:proofErr w:type="spellEnd"/>
      <w:r w:rsidR="001A15F5" w:rsidRPr="00E137ED">
        <w:rPr>
          <w:lang w:val="en-US"/>
        </w:rPr>
        <w:t xml:space="preserve"> and </w:t>
      </w:r>
      <w:proofErr w:type="spellStart"/>
      <w:r w:rsidR="001A15F5" w:rsidRPr="00E137ED">
        <w:rPr>
          <w:lang w:val="en-US"/>
        </w:rPr>
        <w:t>Borba</w:t>
      </w:r>
      <w:proofErr w:type="spellEnd"/>
      <w:r w:rsidR="001A15F5" w:rsidRPr="00E137ED">
        <w:rPr>
          <w:lang w:val="en-US"/>
        </w:rPr>
        <w:t xml:space="preserve"> (2009) confirm the relevance of the cognitive bias caused by sunk costs, as they indicate a lower probability of choosing the right answer when these involve sunk costs in the decisions. Yoder, Mancha and Agrawal (2014) found that personal decisions were associated with more bias than decisions made on behalf of others; besides, cultural differences on sunk cost bias were consistent with self-justification theory. Yoder and colleagues (2014) also stated that situations influenced error and perceived behavioral control were effective at predicting sunk cost bias. </w:t>
      </w:r>
    </w:p>
    <w:p w14:paraId="509AED56" w14:textId="161305D2" w:rsidR="001D1DED" w:rsidRPr="00E137ED" w:rsidRDefault="00B84BFC" w:rsidP="00E137ED">
      <w:pPr>
        <w:rPr>
          <w:highlight w:val="yellow"/>
          <w:lang w:val="en-US"/>
        </w:rPr>
      </w:pPr>
      <w:r w:rsidRPr="00E137ED">
        <w:rPr>
          <w:lang w:val="en-US"/>
        </w:rPr>
        <w:t xml:space="preserve">Humans are poor decision-makers, not taking account of important information for decision-making and action (O’Mara, 2018). Cognitive biases </w:t>
      </w:r>
      <w:proofErr w:type="gramStart"/>
      <w:r w:rsidR="00BA24CB" w:rsidRPr="00E137ED">
        <w:rPr>
          <w:lang w:val="en-US"/>
        </w:rPr>
        <w:t>is</w:t>
      </w:r>
      <w:proofErr w:type="gramEnd"/>
      <w:r w:rsidRPr="00E137ED">
        <w:rPr>
          <w:lang w:val="en-US"/>
        </w:rPr>
        <w:t xml:space="preserve"> a pervasive and universal aspect of human thinking and become</w:t>
      </w:r>
      <w:r w:rsidR="00BA24CB" w:rsidRPr="00E137ED">
        <w:rPr>
          <w:lang w:val="en-US"/>
        </w:rPr>
        <w:t>s</w:t>
      </w:r>
      <w:r w:rsidRPr="00E137ED">
        <w:rPr>
          <w:lang w:val="en-US"/>
        </w:rPr>
        <w:t xml:space="preserve"> maladaptive when information gathering is conducted over an extended period (O’Mara, 2018). Biases can be adaptive because they solve quickly and eﬃciently problems arising from information overload, lack of meaning</w:t>
      </w:r>
      <w:r w:rsidR="00BA24CB" w:rsidRPr="00E137ED">
        <w:rPr>
          <w:lang w:val="en-US"/>
        </w:rPr>
        <w:t xml:space="preserve"> and</w:t>
      </w:r>
      <w:r w:rsidRPr="00E137ED">
        <w:rPr>
          <w:lang w:val="en-US"/>
        </w:rPr>
        <w:t xml:space="preserve"> the need to act fast (Benson, 2017). When a problem needs to be solved rapidly (incomplete information and high degree of ambiguity), and decisions and actions need to </w:t>
      </w:r>
      <w:proofErr w:type="gramStart"/>
      <w:r w:rsidRPr="00E137ED">
        <w:rPr>
          <w:lang w:val="en-US"/>
        </w:rPr>
        <w:t>be  taken</w:t>
      </w:r>
      <w:proofErr w:type="gramEnd"/>
      <w:r w:rsidRPr="00E137ED">
        <w:rPr>
          <w:lang w:val="en-US"/>
        </w:rPr>
        <w:t xml:space="preserve">, biases will most likely be adaptive (O’Mara, 2018). </w:t>
      </w:r>
      <w:r w:rsidR="001D1DED" w:rsidRPr="00E137ED">
        <w:rPr>
          <w:lang w:val="en-US"/>
        </w:rPr>
        <w:t xml:space="preserve">When a problem is ambiguous (information takes time, extensive deliberative processes involved, outcomes are uncertain), cognitive biases </w:t>
      </w:r>
      <w:r w:rsidR="005C04F9" w:rsidRPr="00E137ED">
        <w:rPr>
          <w:lang w:val="en-US"/>
        </w:rPr>
        <w:t>is</w:t>
      </w:r>
      <w:r w:rsidR="001D1DED" w:rsidRPr="00E137ED">
        <w:rPr>
          <w:lang w:val="en-US"/>
        </w:rPr>
        <w:t xml:space="preserve"> likely to be present and cause</w:t>
      </w:r>
      <w:r w:rsidR="005C04F9" w:rsidRPr="00E137ED">
        <w:rPr>
          <w:lang w:val="en-US"/>
        </w:rPr>
        <w:t>s</w:t>
      </w:r>
      <w:r w:rsidR="001D1DED" w:rsidRPr="00E137ED">
        <w:rPr>
          <w:lang w:val="en-US"/>
        </w:rPr>
        <w:t xml:space="preserve"> a deviation from an optimal course of action (O’Mara, 2018). Tversky and Kahneman (1981) used the concept "'decision frame" to refer to the “decision-maker's conception of the acts, outcomes, and contingencies associated with a particular choice” (p. 45). </w:t>
      </w:r>
      <w:r w:rsidRPr="00E137ED">
        <w:rPr>
          <w:lang w:val="en-US"/>
        </w:rPr>
        <w:t>The decision-maker uses a frame controlled by the formulation of the problem and by the norms, habits, and personal characteristics, namely, age (</w:t>
      </w:r>
      <w:proofErr w:type="spellStart"/>
      <w:r w:rsidRPr="00E137ED">
        <w:rPr>
          <w:lang w:val="en-US"/>
        </w:rPr>
        <w:t>Löckenhoff</w:t>
      </w:r>
      <w:proofErr w:type="spellEnd"/>
      <w:r w:rsidRPr="00E137ED">
        <w:rPr>
          <w:lang w:val="en-US"/>
        </w:rPr>
        <w:t xml:space="preserve">, 2017). According to Keeling, Smith, and Fisher (2016), midlife women differ from younger women by transitioning quickly though the stages of change, due to the experience of living with long-term violence, which changes the women's perception towards the violent partner. </w:t>
      </w:r>
      <w:r w:rsidR="006472E8" w:rsidRPr="00E137ED">
        <w:rPr>
          <w:lang w:val="en-US"/>
        </w:rPr>
        <w:t xml:space="preserve">Most influential </w:t>
      </w:r>
      <w:proofErr w:type="gramStart"/>
      <w:r w:rsidR="006472E8" w:rsidRPr="00E137ED">
        <w:rPr>
          <w:lang w:val="en-US"/>
        </w:rPr>
        <w:t>decision making</w:t>
      </w:r>
      <w:proofErr w:type="gramEnd"/>
      <w:r w:rsidR="006472E8" w:rsidRPr="00E137ED">
        <w:rPr>
          <w:lang w:val="en-US"/>
        </w:rPr>
        <w:t xml:space="preserve"> theories suggest that people are more prone to decision errors and biases as their mental resources become scarce; however, Lee, Keil and Wong (2018) found that a tired mind can help reduce bias escalation.</w:t>
      </w:r>
    </w:p>
    <w:p w14:paraId="796E3C37" w14:textId="65E4BF2C" w:rsidR="009A7EBC" w:rsidRPr="00E137ED" w:rsidRDefault="009A7EBC" w:rsidP="00E137ED">
      <w:pPr>
        <w:outlineLvl w:val="0"/>
        <w:rPr>
          <w:b/>
          <w:i/>
          <w:lang w:val="en-US"/>
        </w:rPr>
      </w:pPr>
      <w:r w:rsidRPr="00E137ED">
        <w:rPr>
          <w:b/>
          <w:i/>
          <w:lang w:val="en-US"/>
        </w:rPr>
        <w:t>Sunk cost effect in relationships</w:t>
      </w:r>
    </w:p>
    <w:p w14:paraId="7E3AAB8C" w14:textId="63D69C26" w:rsidR="00B53061" w:rsidRPr="00E137ED" w:rsidRDefault="00815B9E" w:rsidP="00E137ED">
      <w:pPr>
        <w:rPr>
          <w:lang w:val="en-US"/>
        </w:rPr>
      </w:pPr>
      <w:proofErr w:type="spellStart"/>
      <w:r w:rsidRPr="00E137ED">
        <w:rPr>
          <w:lang w:val="en-US"/>
        </w:rPr>
        <w:t>Rego</w:t>
      </w:r>
      <w:proofErr w:type="spellEnd"/>
      <w:r w:rsidRPr="00E137ED">
        <w:rPr>
          <w:lang w:val="en-US"/>
        </w:rPr>
        <w:t xml:space="preserve">, </w:t>
      </w:r>
      <w:proofErr w:type="spellStart"/>
      <w:r w:rsidRPr="00E137ED">
        <w:rPr>
          <w:lang w:val="en-US"/>
        </w:rPr>
        <w:t>Arantes</w:t>
      </w:r>
      <w:proofErr w:type="spellEnd"/>
      <w:r w:rsidRPr="00E137ED">
        <w:rPr>
          <w:lang w:val="en-US"/>
        </w:rPr>
        <w:t xml:space="preserve"> and </w:t>
      </w:r>
      <w:proofErr w:type="spellStart"/>
      <w:r w:rsidRPr="00E137ED">
        <w:rPr>
          <w:lang w:val="en-US"/>
        </w:rPr>
        <w:t>Magalhães</w:t>
      </w:r>
      <w:proofErr w:type="spellEnd"/>
      <w:r w:rsidRPr="00E137ED">
        <w:rPr>
          <w:lang w:val="en-US"/>
        </w:rPr>
        <w:t xml:space="preserve"> (2016) studied the role of the sunk cost effect in committed relationships and found that the likelihood of participants staying in a relationship was higher when money and effort, but not time, had been previously invested in that relationship; they also found a sunk time effect, that is, participants were willing to invest more time in a relationship in which more time had already been invested. </w:t>
      </w:r>
      <w:r w:rsidR="00B53061" w:rsidRPr="00E137ED">
        <w:rPr>
          <w:lang w:val="en-US"/>
        </w:rPr>
        <w:t>Kim and Son (2009) conceptualized dedication as appreciation for the relationship while constraint</w:t>
      </w:r>
      <w:r w:rsidR="006E7F64" w:rsidRPr="00E137ED">
        <w:rPr>
          <w:lang w:val="en-US"/>
        </w:rPr>
        <w:t>s,</w:t>
      </w:r>
      <w:r w:rsidR="00B53061" w:rsidRPr="00E137ED">
        <w:rPr>
          <w:lang w:val="en-US"/>
        </w:rPr>
        <w:t xml:space="preserve"> as sunk cost</w:t>
      </w:r>
      <w:r w:rsidR="006E7F64" w:rsidRPr="00E137ED">
        <w:rPr>
          <w:lang w:val="en-US"/>
        </w:rPr>
        <w:t>,</w:t>
      </w:r>
      <w:r w:rsidR="00B53061" w:rsidRPr="00E137ED">
        <w:rPr>
          <w:lang w:val="en-US"/>
        </w:rPr>
        <w:t xml:space="preserve"> avoid the loss of investment on the relationship. According to </w:t>
      </w:r>
      <w:proofErr w:type="spellStart"/>
      <w:r w:rsidR="00B53061" w:rsidRPr="00E137ED">
        <w:rPr>
          <w:lang w:val="en-US"/>
        </w:rPr>
        <w:t>Choua</w:t>
      </w:r>
      <w:proofErr w:type="spellEnd"/>
      <w:r w:rsidR="00B53061" w:rsidRPr="00E137ED">
        <w:rPr>
          <w:lang w:val="en-US"/>
        </w:rPr>
        <w:t xml:space="preserve"> and </w:t>
      </w:r>
      <w:proofErr w:type="spellStart"/>
      <w:r w:rsidR="00B53061" w:rsidRPr="00E137ED">
        <w:rPr>
          <w:lang w:val="en-US"/>
        </w:rPr>
        <w:t>Hsub</w:t>
      </w:r>
      <w:proofErr w:type="spellEnd"/>
      <w:r w:rsidR="00B53061" w:rsidRPr="00E137ED">
        <w:rPr>
          <w:lang w:val="en-US"/>
        </w:rPr>
        <w:t xml:space="preserve"> (2018) people understand that beneﬁts occur when these outweigh </w:t>
      </w:r>
      <w:proofErr w:type="gramStart"/>
      <w:r w:rsidR="00B53061" w:rsidRPr="00E137ED">
        <w:rPr>
          <w:lang w:val="en-US"/>
        </w:rPr>
        <w:t>costs;  and</w:t>
      </w:r>
      <w:proofErr w:type="gramEnd"/>
      <w:r w:rsidR="00B53061" w:rsidRPr="00E137ED">
        <w:rPr>
          <w:lang w:val="en-US"/>
        </w:rPr>
        <w:t xml:space="preserve"> </w:t>
      </w:r>
      <w:proofErr w:type="spellStart"/>
      <w:r w:rsidR="00B53061" w:rsidRPr="00E137ED">
        <w:rPr>
          <w:lang w:val="en-US"/>
        </w:rPr>
        <w:t>peolpe</w:t>
      </w:r>
      <w:proofErr w:type="spellEnd"/>
      <w:r w:rsidR="00B53061" w:rsidRPr="00E137ED">
        <w:rPr>
          <w:lang w:val="en-US"/>
        </w:rPr>
        <w:t xml:space="preserve"> perceive investment when investment (sunk) costs outweigh beneﬁts. </w:t>
      </w:r>
    </w:p>
    <w:p w14:paraId="3FA6B4AE" w14:textId="085E262C" w:rsidR="009A7EBC" w:rsidRPr="00E137ED" w:rsidRDefault="00C17692" w:rsidP="00E137ED">
      <w:pPr>
        <w:rPr>
          <w:lang w:val="en-US"/>
        </w:rPr>
      </w:pPr>
      <w:r w:rsidRPr="00E137ED">
        <w:rPr>
          <w:lang w:val="en-US"/>
        </w:rPr>
        <w:lastRenderedPageBreak/>
        <w:t>“A partner’s effort can elicit an implicit sense of commitment to joint action, leading to increased persistence in the face of a temptation to disengage” (</w:t>
      </w:r>
      <w:proofErr w:type="spellStart"/>
      <w:r w:rsidRPr="00E137ED">
        <w:rPr>
          <w:lang w:val="en-US"/>
        </w:rPr>
        <w:t>Székelya</w:t>
      </w:r>
      <w:proofErr w:type="spellEnd"/>
      <w:r w:rsidRPr="00E137ED">
        <w:rPr>
          <w:lang w:val="en-US"/>
        </w:rPr>
        <w:t xml:space="preserve"> &amp; Michaela, 2018, p. 41). The sense of commitment to joint action plays an important role in managing one’s relationships because a partner’s effort investment</w:t>
      </w:r>
      <w:r w:rsidR="00645877" w:rsidRPr="00E137ED">
        <w:rPr>
          <w:lang w:val="en-US"/>
        </w:rPr>
        <w:t xml:space="preserve"> </w:t>
      </w:r>
      <w:r w:rsidRPr="00E137ED">
        <w:rPr>
          <w:lang w:val="en-US"/>
        </w:rPr>
        <w:t>indicates that the continuation of a situation is likely to be valuable (</w:t>
      </w:r>
      <w:proofErr w:type="spellStart"/>
      <w:r w:rsidRPr="00E137ED">
        <w:rPr>
          <w:lang w:val="en-US"/>
        </w:rPr>
        <w:t>Heintz</w:t>
      </w:r>
      <w:proofErr w:type="spellEnd"/>
      <w:r w:rsidRPr="00E137ED">
        <w:rPr>
          <w:lang w:val="en-US"/>
        </w:rPr>
        <w:t xml:space="preserve"> et al., 2015).</w:t>
      </w:r>
    </w:p>
    <w:p w14:paraId="628FD7BA" w14:textId="4916713F" w:rsidR="001D1DED" w:rsidRPr="00E137ED" w:rsidRDefault="001D1DED" w:rsidP="00E137ED">
      <w:pPr>
        <w:outlineLvl w:val="0"/>
        <w:rPr>
          <w:b/>
          <w:i/>
          <w:lang w:val="en-US"/>
        </w:rPr>
      </w:pPr>
      <w:r w:rsidRPr="00E137ED">
        <w:rPr>
          <w:b/>
          <w:i/>
          <w:lang w:val="en-US"/>
        </w:rPr>
        <w:t>Decision to leave an abusive relationship</w:t>
      </w:r>
    </w:p>
    <w:p w14:paraId="4353F275" w14:textId="2ABCC66A" w:rsidR="001D1DED" w:rsidRPr="00E137ED" w:rsidRDefault="001D1DED" w:rsidP="00E137ED">
      <w:pPr>
        <w:rPr>
          <w:lang w:val="en-US"/>
        </w:rPr>
      </w:pPr>
      <w:r w:rsidRPr="00E137ED">
        <w:rPr>
          <w:lang w:val="en-US"/>
        </w:rPr>
        <w:t>Intimate partner violence (IPV) is a serious, although preventable, health problem (</w:t>
      </w:r>
      <w:bookmarkStart w:id="1" w:name="_Hlk505798987"/>
      <w:r w:rsidRPr="00E137ED">
        <w:rPr>
          <w:lang w:val="en-US"/>
        </w:rPr>
        <w:t xml:space="preserve">Centers for Disease Control and Prevention </w:t>
      </w:r>
      <w:bookmarkEnd w:id="1"/>
      <w:r w:rsidRPr="00E137ED">
        <w:rPr>
          <w:lang w:val="en-US"/>
        </w:rPr>
        <w:t>[CDC], 2018)</w:t>
      </w:r>
      <w:r w:rsidR="00827B2D" w:rsidRPr="00E137ED">
        <w:rPr>
          <w:lang w:val="en-US"/>
        </w:rPr>
        <w:t>,</w:t>
      </w:r>
      <w:r w:rsidR="000B06EB" w:rsidRPr="00E137ED">
        <w:rPr>
          <w:lang w:val="en-US"/>
        </w:rPr>
        <w:t xml:space="preserve"> </w:t>
      </w:r>
      <w:r w:rsidR="00827B2D" w:rsidRPr="00E137ED">
        <w:rPr>
          <w:lang w:val="en-US"/>
        </w:rPr>
        <w:t xml:space="preserve">with </w:t>
      </w:r>
      <w:r w:rsidR="000B06EB" w:rsidRPr="00E137ED">
        <w:rPr>
          <w:lang w:val="en-US"/>
        </w:rPr>
        <w:t>10 to 69 percent of women report</w:t>
      </w:r>
      <w:r w:rsidR="00827B2D" w:rsidRPr="00E137ED">
        <w:rPr>
          <w:lang w:val="en-US"/>
        </w:rPr>
        <w:t>ing</w:t>
      </w:r>
      <w:r w:rsidR="000B06EB" w:rsidRPr="00E137ED">
        <w:rPr>
          <w:lang w:val="en-US"/>
        </w:rPr>
        <w:t xml:space="preserve"> physical assault by an intimate partner at some time in their life</w:t>
      </w:r>
      <w:r w:rsidR="00827B2D" w:rsidRPr="00E137ED">
        <w:rPr>
          <w:lang w:val="en-US"/>
        </w:rPr>
        <w:t xml:space="preserve"> (World Health Organization </w:t>
      </w:r>
      <w:r w:rsidR="00DE0F21" w:rsidRPr="00E137ED">
        <w:rPr>
          <w:lang w:val="en-US"/>
        </w:rPr>
        <w:t>[WHO], 2003</w:t>
      </w:r>
      <w:r w:rsidR="00827B2D" w:rsidRPr="00E137ED">
        <w:rPr>
          <w:lang w:val="en-US"/>
        </w:rPr>
        <w:t>)</w:t>
      </w:r>
      <w:r w:rsidRPr="00E137ED">
        <w:rPr>
          <w:lang w:val="en-US"/>
        </w:rPr>
        <w:t xml:space="preserve">. </w:t>
      </w:r>
      <w:proofErr w:type="spellStart"/>
      <w:r w:rsidRPr="00E137ED">
        <w:rPr>
          <w:lang w:val="en-US"/>
        </w:rPr>
        <w:t>Khaw</w:t>
      </w:r>
      <w:proofErr w:type="spellEnd"/>
      <w:r w:rsidRPr="00E137ED">
        <w:rPr>
          <w:lang w:val="en-US"/>
        </w:rPr>
        <w:t xml:space="preserve"> and Hardesty (2015) and Riddell, Ford-Gilboe and </w:t>
      </w:r>
      <w:proofErr w:type="spellStart"/>
      <w:r w:rsidRPr="00E137ED">
        <w:rPr>
          <w:lang w:val="en-US"/>
        </w:rPr>
        <w:t>Leipert</w:t>
      </w:r>
      <w:proofErr w:type="spellEnd"/>
      <w:r w:rsidRPr="00E137ED">
        <w:rPr>
          <w:lang w:val="en-US"/>
        </w:rPr>
        <w:t xml:space="preserve"> (2009) showed that leaving an abusive partner is a complex process occurring in stages (not a single isolated event). The earliest stage is often characterized by an abused woman not recognizing or denying the situation, </w:t>
      </w:r>
      <w:r w:rsidR="00F44F52" w:rsidRPr="00E137ED">
        <w:rPr>
          <w:lang w:val="en-US"/>
        </w:rPr>
        <w:t>which makes that</w:t>
      </w:r>
      <w:r w:rsidRPr="00E137ED">
        <w:rPr>
          <w:lang w:val="en-US"/>
        </w:rPr>
        <w:t xml:space="preserve"> leaving is not an option (</w:t>
      </w:r>
      <w:proofErr w:type="spellStart"/>
      <w:r w:rsidRPr="00E137ED">
        <w:rPr>
          <w:lang w:val="en-US"/>
        </w:rPr>
        <w:t>Bermea</w:t>
      </w:r>
      <w:proofErr w:type="spellEnd"/>
      <w:r w:rsidRPr="00E137ED">
        <w:rPr>
          <w:lang w:val="en-US"/>
        </w:rPr>
        <w:t xml:space="preserve">, </w:t>
      </w:r>
      <w:proofErr w:type="spellStart"/>
      <w:r w:rsidRPr="00E137ED">
        <w:rPr>
          <w:lang w:val="en-US"/>
        </w:rPr>
        <w:t>Khaw</w:t>
      </w:r>
      <w:proofErr w:type="spellEnd"/>
      <w:r w:rsidRPr="00E137ED">
        <w:rPr>
          <w:lang w:val="en-US"/>
        </w:rPr>
        <w:t>, Hardesty, Rosenbloom, and Salerno, 2017). In the middle stage, she recognizes her situation, tries to cope with the abuse, begins to consider leaving her relationship, and decides to leave (</w:t>
      </w:r>
      <w:proofErr w:type="spellStart"/>
      <w:r w:rsidRPr="00E137ED">
        <w:rPr>
          <w:lang w:val="en-US"/>
        </w:rPr>
        <w:t>Bermea</w:t>
      </w:r>
      <w:proofErr w:type="spellEnd"/>
      <w:r w:rsidRPr="00E137ED">
        <w:rPr>
          <w:lang w:val="en-US"/>
        </w:rPr>
        <w:t xml:space="preserve"> et al., 2017). In the last stage, she struggles to remain separated from and prevent returning to her abusive partner (</w:t>
      </w:r>
      <w:proofErr w:type="spellStart"/>
      <w:r w:rsidRPr="00E137ED">
        <w:rPr>
          <w:lang w:val="en-US"/>
        </w:rPr>
        <w:t>Bermea</w:t>
      </w:r>
      <w:proofErr w:type="spellEnd"/>
      <w:r w:rsidRPr="00E137ED">
        <w:rPr>
          <w:lang w:val="en-US"/>
        </w:rPr>
        <w:t xml:space="preserve"> et al., 2017) Lacey, Saunders and Zhang (2011) found that most abused women leave several times their abusive relationships before </w:t>
      </w:r>
      <w:r w:rsidR="00227D78" w:rsidRPr="00E137ED">
        <w:rPr>
          <w:lang w:val="en-US"/>
        </w:rPr>
        <w:t>doing</w:t>
      </w:r>
      <w:r w:rsidRPr="00E137ED">
        <w:rPr>
          <w:lang w:val="en-US"/>
        </w:rPr>
        <w:t xml:space="preserve"> it permanently. A </w:t>
      </w:r>
      <w:bookmarkStart w:id="2" w:name="_Hlk505688622"/>
      <w:r w:rsidRPr="00E137ED">
        <w:rPr>
          <w:lang w:val="en-US"/>
        </w:rPr>
        <w:t xml:space="preserve">decision to leave an abusive relationship </w:t>
      </w:r>
      <w:bookmarkEnd w:id="2"/>
      <w:r w:rsidR="002A2B70" w:rsidRPr="00E137ED">
        <w:rPr>
          <w:lang w:val="en-US"/>
        </w:rPr>
        <w:t>(</w:t>
      </w:r>
      <w:proofErr w:type="spellStart"/>
      <w:r w:rsidR="002A2B70" w:rsidRPr="00E137ED">
        <w:rPr>
          <w:lang w:val="en-US"/>
        </w:rPr>
        <w:t>Copp</w:t>
      </w:r>
      <w:proofErr w:type="spellEnd"/>
      <w:r w:rsidR="002A2B70" w:rsidRPr="00E137ED">
        <w:rPr>
          <w:lang w:val="en-US"/>
        </w:rPr>
        <w:t xml:space="preserve">, Giordano, Longmore, &amp; Manning, 2015) </w:t>
      </w:r>
      <w:r w:rsidRPr="00E137ED">
        <w:rPr>
          <w:lang w:val="en-US"/>
        </w:rPr>
        <w:t xml:space="preserve">has been reviewed by </w:t>
      </w:r>
      <w:proofErr w:type="spellStart"/>
      <w:r w:rsidRPr="00E137ED">
        <w:rPr>
          <w:lang w:val="en-US"/>
        </w:rPr>
        <w:t>Strube</w:t>
      </w:r>
      <w:proofErr w:type="spellEnd"/>
      <w:r w:rsidRPr="00E137ED">
        <w:rPr>
          <w:lang w:val="en-US"/>
        </w:rPr>
        <w:t xml:space="preserve"> (1988) and it was found that several factors influence this decision, namely, employment outside the home, length of relationship, child abuse, and number of previous separations. </w:t>
      </w:r>
      <w:proofErr w:type="spellStart"/>
      <w:r w:rsidRPr="00E137ED">
        <w:rPr>
          <w:lang w:val="en-US"/>
        </w:rPr>
        <w:t>Strube</w:t>
      </w:r>
      <w:proofErr w:type="spellEnd"/>
      <w:r w:rsidRPr="00E137ED">
        <w:rPr>
          <w:lang w:val="en-US"/>
        </w:rPr>
        <w:t xml:space="preserve"> (1988) also found interrelated models that help the understanding of this decision: psychological entrapment, learned helplessness, cost/benefit analysis, and reasoned action. Psychological entrapment is a decision process where individuals keep their commitment to a previously chosen (failed) course of action to justify prior investments (</w:t>
      </w:r>
      <w:proofErr w:type="spellStart"/>
      <w:r w:rsidRPr="00E137ED">
        <w:rPr>
          <w:lang w:val="en-US"/>
        </w:rPr>
        <w:t>Brockner</w:t>
      </w:r>
      <w:proofErr w:type="spellEnd"/>
      <w:r w:rsidRPr="00E137ED">
        <w:rPr>
          <w:lang w:val="en-US"/>
        </w:rPr>
        <w:t xml:space="preserve"> &amp; Rubin, 1985</w:t>
      </w:r>
      <w:r w:rsidR="00595506" w:rsidRPr="00E137ED">
        <w:rPr>
          <w:lang w:val="en-US"/>
        </w:rPr>
        <w:t xml:space="preserve">; </w:t>
      </w:r>
      <w:proofErr w:type="spellStart"/>
      <w:r w:rsidR="00595506" w:rsidRPr="00E137ED">
        <w:rPr>
          <w:lang w:val="en-US"/>
        </w:rPr>
        <w:t>Buchko</w:t>
      </w:r>
      <w:proofErr w:type="spellEnd"/>
      <w:r w:rsidR="00595506" w:rsidRPr="00E137ED">
        <w:rPr>
          <w:lang w:val="en-US"/>
        </w:rPr>
        <w:t xml:space="preserve">, </w:t>
      </w:r>
      <w:proofErr w:type="spellStart"/>
      <w:r w:rsidR="00595506" w:rsidRPr="00E137ED">
        <w:rPr>
          <w:lang w:val="en-US"/>
        </w:rPr>
        <w:t>Buscher</w:t>
      </w:r>
      <w:proofErr w:type="spellEnd"/>
      <w:r w:rsidR="00595506" w:rsidRPr="00E137ED">
        <w:rPr>
          <w:lang w:val="en-US"/>
        </w:rPr>
        <w:t xml:space="preserve">, &amp; </w:t>
      </w:r>
      <w:proofErr w:type="spellStart"/>
      <w:r w:rsidR="00595506" w:rsidRPr="00E137ED">
        <w:rPr>
          <w:lang w:val="en-US"/>
        </w:rPr>
        <w:t>Buchko</w:t>
      </w:r>
      <w:proofErr w:type="spellEnd"/>
      <w:r w:rsidR="00595506" w:rsidRPr="00E137ED">
        <w:rPr>
          <w:lang w:val="en-US"/>
        </w:rPr>
        <w:t xml:space="preserve">, 2017). </w:t>
      </w:r>
      <w:r w:rsidRPr="00E137ED">
        <w:rPr>
          <w:lang w:val="en-US"/>
        </w:rPr>
        <w:t>Learned helplessness results of a perceived non-contingency between responses and outcomes that originates the expectation that future responses and outcomes will also be independent (</w:t>
      </w:r>
      <w:r w:rsidR="00213CFF" w:rsidRPr="00E137ED">
        <w:rPr>
          <w:lang w:val="en-US"/>
        </w:rPr>
        <w:t>Chung, Choi, &amp; Du, 2017</w:t>
      </w:r>
      <w:r w:rsidR="005F1B6E" w:rsidRPr="00E137ED">
        <w:rPr>
          <w:lang w:val="en-US"/>
        </w:rPr>
        <w:t>;</w:t>
      </w:r>
      <w:r w:rsidR="00213CFF" w:rsidRPr="00E137ED">
        <w:rPr>
          <w:lang w:val="en-US"/>
        </w:rPr>
        <w:t xml:space="preserve"> </w:t>
      </w:r>
      <w:r w:rsidRPr="00E137ED">
        <w:rPr>
          <w:lang w:val="en-US"/>
        </w:rPr>
        <w:t xml:space="preserve">Walker, 1983). Cost/benefit analysis derives from the exchange theory (Kelley &amp; Thibaut, 1978; </w:t>
      </w:r>
      <w:r w:rsidR="00214DC0" w:rsidRPr="00E137ED">
        <w:rPr>
          <w:lang w:val="en-US"/>
        </w:rPr>
        <w:t xml:space="preserve">Liao, McComas, &amp; Connie Yuan, 2017; </w:t>
      </w:r>
      <w:r w:rsidRPr="00E137ED">
        <w:rPr>
          <w:lang w:val="en-US"/>
        </w:rPr>
        <w:t xml:space="preserve">Thibaut &amp; Kelley, 1959) </w:t>
      </w:r>
      <w:r w:rsidR="006E7F64" w:rsidRPr="00E137ED">
        <w:rPr>
          <w:lang w:val="en-US"/>
        </w:rPr>
        <w:t>that</w:t>
      </w:r>
      <w:r w:rsidRPr="00E137ED">
        <w:rPr>
          <w:lang w:val="en-US"/>
        </w:rPr>
        <w:t xml:space="preserve"> states that relationship decisions </w:t>
      </w:r>
      <w:r w:rsidR="00091D4D" w:rsidRPr="00E137ED">
        <w:rPr>
          <w:lang w:val="en-US"/>
        </w:rPr>
        <w:t>are</w:t>
      </w:r>
      <w:r w:rsidRPr="00E137ED">
        <w:rPr>
          <w:lang w:val="en-US"/>
        </w:rPr>
        <w:t xml:space="preserve"> the result of an analysis of the costs and benefits of current relationships compared to those of alternative relationships, suggesting a two-stage decision process: (1) the battered woman decides between the benefits and the costs of the relationship, arriving at a subjective estimate of satisfaction; (2) the satisfaction with the current relationship is compared to the estimated satisfaction with alternatives to the relationship. Fishbein and </w:t>
      </w:r>
      <w:proofErr w:type="spellStart"/>
      <w:r w:rsidRPr="00E137ED">
        <w:rPr>
          <w:lang w:val="en-US"/>
        </w:rPr>
        <w:t>Ajzen</w:t>
      </w:r>
      <w:proofErr w:type="spellEnd"/>
      <w:r w:rsidRPr="00E137ED">
        <w:rPr>
          <w:lang w:val="en-US"/>
        </w:rPr>
        <w:t xml:space="preserve"> (1975; </w:t>
      </w:r>
      <w:proofErr w:type="spellStart"/>
      <w:r w:rsidRPr="00E137ED">
        <w:rPr>
          <w:lang w:val="en-US"/>
        </w:rPr>
        <w:t>Ajzen</w:t>
      </w:r>
      <w:proofErr w:type="spellEnd"/>
      <w:r w:rsidRPr="00E137ED">
        <w:rPr>
          <w:lang w:val="en-US"/>
        </w:rPr>
        <w:t xml:space="preserve"> &amp; Fishbein, 1980</w:t>
      </w:r>
      <w:r w:rsidR="00AB5687" w:rsidRPr="00E137ED">
        <w:rPr>
          <w:lang w:val="en-US"/>
        </w:rPr>
        <w:t>; Sheeran  &amp; Abraham, 2017</w:t>
      </w:r>
      <w:r w:rsidRPr="00E137ED">
        <w:rPr>
          <w:lang w:val="en-US"/>
        </w:rPr>
        <w:t xml:space="preserve">) proposed the  theory of reasoned action </w:t>
      </w:r>
      <w:r w:rsidR="00F44F52" w:rsidRPr="00E137ED">
        <w:rPr>
          <w:lang w:val="en-US"/>
        </w:rPr>
        <w:t xml:space="preserve">which </w:t>
      </w:r>
      <w:r w:rsidRPr="00E137ED">
        <w:rPr>
          <w:lang w:val="en-US"/>
        </w:rPr>
        <w:t>states that thoughtful actions and decisions are directly related to behavioral intentions, that are, in turn, determined by the attitude toward the behavior and the subjective norm; if an individual believes that a behavior has a high likelihood of resulting in valued outcomes, or avoiding undesirable ones, the intention to perform that behavior will be high.</w:t>
      </w:r>
    </w:p>
    <w:p w14:paraId="71EB9CD3" w14:textId="39E6E1A4" w:rsidR="007E7032" w:rsidRPr="00E137ED" w:rsidRDefault="00442524" w:rsidP="00E137ED">
      <w:pPr>
        <w:ind w:firstLine="708"/>
        <w:rPr>
          <w:lang w:val="en-US"/>
        </w:rPr>
      </w:pPr>
      <w:r w:rsidRPr="00E137ED">
        <w:rPr>
          <w:lang w:val="en-US"/>
        </w:rPr>
        <w:t xml:space="preserve">The main purpose of the current study is </w:t>
      </w:r>
      <w:r w:rsidR="009A7EBC" w:rsidRPr="00E137ED">
        <w:rPr>
          <w:lang w:val="en-US"/>
        </w:rPr>
        <w:t xml:space="preserve">to understand </w:t>
      </w:r>
      <w:r w:rsidRPr="00E137ED">
        <w:rPr>
          <w:lang w:val="en-US"/>
        </w:rPr>
        <w:t xml:space="preserve">the role of the sunk cost effect in intimate </w:t>
      </w:r>
      <w:r w:rsidR="00736FC4" w:rsidRPr="00E137ED">
        <w:rPr>
          <w:lang w:val="en-US"/>
        </w:rPr>
        <w:t xml:space="preserve">abusive </w:t>
      </w:r>
      <w:r w:rsidRPr="00E137ED">
        <w:rPr>
          <w:lang w:val="en-US"/>
        </w:rPr>
        <w:t xml:space="preserve">relationships. More </w:t>
      </w:r>
      <w:r w:rsidR="007E7032" w:rsidRPr="00E137ED">
        <w:rPr>
          <w:lang w:val="en-US"/>
        </w:rPr>
        <w:t>specifically</w:t>
      </w:r>
      <w:r w:rsidRPr="00E137ED">
        <w:rPr>
          <w:lang w:val="en-US"/>
        </w:rPr>
        <w:t xml:space="preserve">, the present study seeks </w:t>
      </w:r>
      <w:r w:rsidR="007E7032" w:rsidRPr="00E137ED">
        <w:rPr>
          <w:lang w:val="en-US"/>
        </w:rPr>
        <w:t>to understand if prior monetary</w:t>
      </w:r>
      <w:r w:rsidR="006E7F64" w:rsidRPr="00E137ED">
        <w:rPr>
          <w:lang w:val="en-US"/>
        </w:rPr>
        <w:t xml:space="preserve"> issues,</w:t>
      </w:r>
      <w:r w:rsidR="00736FC4" w:rsidRPr="00E137ED">
        <w:rPr>
          <w:lang w:val="en-US"/>
        </w:rPr>
        <w:t xml:space="preserve"> effort</w:t>
      </w:r>
      <w:r w:rsidR="007E7032" w:rsidRPr="00E137ED">
        <w:rPr>
          <w:lang w:val="en-US"/>
        </w:rPr>
        <w:t xml:space="preserve"> and time investment in a relationship will produce the sunk cost effect when there is no violence</w:t>
      </w:r>
      <w:r w:rsidR="006E7F64" w:rsidRPr="00E137ED">
        <w:rPr>
          <w:lang w:val="en-US"/>
        </w:rPr>
        <w:t xml:space="preserve"> ad when </w:t>
      </w:r>
      <w:r w:rsidR="007E7032" w:rsidRPr="00E137ED">
        <w:rPr>
          <w:lang w:val="en-US"/>
        </w:rPr>
        <w:t>physical violence, psychological violence or sexual violence</w:t>
      </w:r>
      <w:r w:rsidR="006E7F64" w:rsidRPr="00E137ED">
        <w:rPr>
          <w:lang w:val="en-US"/>
        </w:rPr>
        <w:t xml:space="preserve"> exist.</w:t>
      </w:r>
      <w:r w:rsidR="007E7032" w:rsidRPr="00E137ED">
        <w:rPr>
          <w:lang w:val="en-US"/>
        </w:rPr>
        <w:t xml:space="preserve"> </w:t>
      </w:r>
    </w:p>
    <w:p w14:paraId="6C1225E1" w14:textId="77777777" w:rsidR="001D1DED" w:rsidRPr="00E137ED" w:rsidRDefault="001D1DED" w:rsidP="00E137ED">
      <w:pPr>
        <w:rPr>
          <w:lang w:val="en-US"/>
        </w:rPr>
      </w:pPr>
    </w:p>
    <w:p w14:paraId="15C900DE" w14:textId="3CD13EA9" w:rsidR="008A40CA" w:rsidRPr="00E137ED" w:rsidRDefault="008A40CA" w:rsidP="00E137ED">
      <w:pPr>
        <w:outlineLvl w:val="0"/>
        <w:rPr>
          <w:b/>
          <w:lang w:val="en-US"/>
        </w:rPr>
      </w:pPr>
      <w:r w:rsidRPr="00E137ED">
        <w:rPr>
          <w:b/>
          <w:lang w:val="en-US"/>
        </w:rPr>
        <w:lastRenderedPageBreak/>
        <w:t>Methods</w:t>
      </w:r>
    </w:p>
    <w:p w14:paraId="5B330A7B" w14:textId="20AB073B" w:rsidR="0092380F" w:rsidRPr="00E137ED" w:rsidRDefault="0092380F" w:rsidP="00E137ED">
      <w:pPr>
        <w:outlineLvl w:val="0"/>
        <w:rPr>
          <w:b/>
          <w:i/>
          <w:lang w:val="en-US"/>
        </w:rPr>
      </w:pPr>
      <w:r w:rsidRPr="00E137ED">
        <w:rPr>
          <w:b/>
          <w:i/>
          <w:lang w:val="en-US"/>
        </w:rPr>
        <w:t>Procedures</w:t>
      </w:r>
    </w:p>
    <w:p w14:paraId="22B61FE8" w14:textId="14B48769" w:rsidR="0032763C" w:rsidRPr="00E137ED" w:rsidRDefault="00B061C4" w:rsidP="00E137ED">
      <w:pPr>
        <w:rPr>
          <w:lang w:val="en-US"/>
        </w:rPr>
      </w:pPr>
      <w:r w:rsidRPr="00E137ED">
        <w:rPr>
          <w:lang w:val="en-US"/>
        </w:rPr>
        <w:t>The p</w:t>
      </w:r>
      <w:r w:rsidR="00F44F52" w:rsidRPr="00E137ED">
        <w:rPr>
          <w:lang w:val="en-US"/>
        </w:rPr>
        <w:t>resent study procedures were b</w:t>
      </w:r>
      <w:r w:rsidR="0092380F" w:rsidRPr="00E137ED">
        <w:rPr>
          <w:lang w:val="en-US"/>
        </w:rPr>
        <w:t xml:space="preserve">ased on </w:t>
      </w:r>
      <w:proofErr w:type="gramStart"/>
      <w:r w:rsidR="00F44F52" w:rsidRPr="00E137ED">
        <w:rPr>
          <w:lang w:val="en-US"/>
        </w:rPr>
        <w:t xml:space="preserve">the </w:t>
      </w:r>
      <w:r w:rsidR="0092380F" w:rsidRPr="00E137ED">
        <w:rPr>
          <w:lang w:val="en-US"/>
        </w:rPr>
        <w:t xml:space="preserve"> study</w:t>
      </w:r>
      <w:proofErr w:type="gramEnd"/>
      <w:r w:rsidR="0092380F" w:rsidRPr="00E137ED">
        <w:rPr>
          <w:lang w:val="en-US"/>
        </w:rPr>
        <w:t xml:space="preserve"> "Is there a Sunk Cost Effect in Committed Relationships?" (</w:t>
      </w:r>
      <w:proofErr w:type="spellStart"/>
      <w:r w:rsidR="0092380F" w:rsidRPr="00E137ED">
        <w:rPr>
          <w:lang w:val="en-US"/>
        </w:rPr>
        <w:t>Rego</w:t>
      </w:r>
      <w:proofErr w:type="spellEnd"/>
      <w:r w:rsidR="0092380F" w:rsidRPr="00E137ED">
        <w:rPr>
          <w:lang w:val="en-US"/>
        </w:rPr>
        <w:t xml:space="preserve">, </w:t>
      </w:r>
      <w:proofErr w:type="spellStart"/>
      <w:r w:rsidR="0092380F" w:rsidRPr="00E137ED">
        <w:rPr>
          <w:lang w:val="en-US"/>
        </w:rPr>
        <w:t>Arantes</w:t>
      </w:r>
      <w:proofErr w:type="spellEnd"/>
      <w:r w:rsidR="0092380F" w:rsidRPr="00E137ED">
        <w:rPr>
          <w:lang w:val="en-US"/>
        </w:rPr>
        <w:t xml:space="preserve">, &amp; </w:t>
      </w:r>
      <w:proofErr w:type="spellStart"/>
      <w:r w:rsidR="0092380F" w:rsidRPr="00E137ED">
        <w:rPr>
          <w:lang w:val="en-US"/>
        </w:rPr>
        <w:t>Magalhães</w:t>
      </w:r>
      <w:proofErr w:type="spellEnd"/>
      <w:r w:rsidR="0092380F" w:rsidRPr="00E137ED">
        <w:rPr>
          <w:lang w:val="en-US"/>
        </w:rPr>
        <w:t>, 2016).</w:t>
      </w:r>
      <w:r w:rsidR="00D03C54" w:rsidRPr="00E137ED">
        <w:rPr>
          <w:lang w:val="en-US"/>
        </w:rPr>
        <w:t xml:space="preserve"> This</w:t>
      </w:r>
      <w:r w:rsidR="00850D7C" w:rsidRPr="00E137ED">
        <w:rPr>
          <w:lang w:val="en-US"/>
        </w:rPr>
        <w:t xml:space="preserve"> </w:t>
      </w:r>
      <w:r w:rsidR="00D03C54" w:rsidRPr="00E137ED">
        <w:rPr>
          <w:lang w:val="en-US"/>
        </w:rPr>
        <w:t>study received Institutional Review Board approval</w:t>
      </w:r>
      <w:r w:rsidR="0032763C" w:rsidRPr="00E137ED">
        <w:rPr>
          <w:lang w:val="en-US"/>
        </w:rPr>
        <w:t xml:space="preserve"> and the researchers obtained</w:t>
      </w:r>
      <w:r w:rsidRPr="00E137ED">
        <w:rPr>
          <w:lang w:val="en-US"/>
        </w:rPr>
        <w:t xml:space="preserve"> </w:t>
      </w:r>
      <w:r w:rsidR="0032763C" w:rsidRPr="00E137ED">
        <w:rPr>
          <w:lang w:val="en-US"/>
        </w:rPr>
        <w:t>participant’s informed consent.</w:t>
      </w:r>
    </w:p>
    <w:p w14:paraId="4E009177" w14:textId="750215D2" w:rsidR="006C2B92" w:rsidRPr="00E137ED" w:rsidRDefault="0032763C" w:rsidP="00E137ED">
      <w:pPr>
        <w:rPr>
          <w:lang w:val="en-US"/>
        </w:rPr>
      </w:pPr>
      <w:r w:rsidRPr="00E137ED">
        <w:rPr>
          <w:lang w:val="en-US"/>
        </w:rPr>
        <w:t xml:space="preserve"> </w:t>
      </w:r>
      <w:r w:rsidRPr="00E137ED">
        <w:rPr>
          <w:lang w:val="en-US"/>
        </w:rPr>
        <w:tab/>
      </w:r>
      <w:r w:rsidR="0092380F" w:rsidRPr="00E137ED">
        <w:rPr>
          <w:lang w:val="en-US"/>
        </w:rPr>
        <w:t>The sample and data were collected through a</w:t>
      </w:r>
      <w:r w:rsidR="00C466BA" w:rsidRPr="00E137ED">
        <w:rPr>
          <w:lang w:val="en-US"/>
        </w:rPr>
        <w:t>n online</w:t>
      </w:r>
      <w:r w:rsidR="0092380F" w:rsidRPr="00E137ED">
        <w:rPr>
          <w:lang w:val="en-US"/>
        </w:rPr>
        <w:t xml:space="preserve"> questionnaire</w:t>
      </w:r>
      <w:r w:rsidR="00CF738E" w:rsidRPr="00E137ED">
        <w:rPr>
          <w:lang w:val="en-US"/>
        </w:rPr>
        <w:t xml:space="preserve"> that included sociodemographic </w:t>
      </w:r>
      <w:r w:rsidR="002F436C" w:rsidRPr="00E137ED">
        <w:rPr>
          <w:lang w:val="en-US"/>
        </w:rPr>
        <w:t xml:space="preserve">questions </w:t>
      </w:r>
      <w:r w:rsidR="008C10F2" w:rsidRPr="00E137ED">
        <w:rPr>
          <w:lang w:val="en-US"/>
        </w:rPr>
        <w:t>(age, literacy, marital status, number of children, sexual orientation</w:t>
      </w:r>
      <w:r w:rsidR="00D31ED9" w:rsidRPr="00E137ED">
        <w:rPr>
          <w:lang w:val="en-US"/>
        </w:rPr>
        <w:t>,</w:t>
      </w:r>
      <w:r w:rsidR="008C10F2" w:rsidRPr="00E137ED">
        <w:rPr>
          <w:lang w:val="en-US"/>
        </w:rPr>
        <w:t xml:space="preserve"> whether is currently in a relationship and for how long) </w:t>
      </w:r>
      <w:r w:rsidR="002F436C" w:rsidRPr="00E137ED">
        <w:rPr>
          <w:lang w:val="en-US"/>
        </w:rPr>
        <w:t>and</w:t>
      </w:r>
      <w:r w:rsidR="00CF738E" w:rsidRPr="00E137ED">
        <w:rPr>
          <w:lang w:val="en-US"/>
        </w:rPr>
        <w:t xml:space="preserve"> </w:t>
      </w:r>
      <w:r w:rsidR="002F436C" w:rsidRPr="00E137ED">
        <w:rPr>
          <w:lang w:val="en-US"/>
        </w:rPr>
        <w:t xml:space="preserve">four questions related to the theme: (1) "From 0 to 100 how much longer would you invest in this relationship?” (being 0 - no time, 100 - very long), (2) "From 0 days to 1000 days how much longer would you invest in this relationship?", (3) "In the context of a romantic relationship (past or current), have you ever been betrayed?", and (4) “In the context of a romantic relationship (past or present), have you betrayed?". </w:t>
      </w:r>
      <w:r w:rsidR="00B061C4" w:rsidRPr="00E137ED">
        <w:rPr>
          <w:lang w:val="en-US"/>
        </w:rPr>
        <w:t>Four hypothetical scenarios of a relationship (A</w:t>
      </w:r>
      <w:r w:rsidR="00C466BA" w:rsidRPr="00E137ED">
        <w:rPr>
          <w:lang w:val="en-US"/>
        </w:rPr>
        <w:t xml:space="preserve"> – no violence</w:t>
      </w:r>
      <w:r w:rsidR="00B061C4" w:rsidRPr="00E137ED">
        <w:rPr>
          <w:lang w:val="en-US"/>
        </w:rPr>
        <w:t>, B</w:t>
      </w:r>
      <w:r w:rsidR="00C466BA" w:rsidRPr="00E137ED">
        <w:rPr>
          <w:lang w:val="en-US"/>
        </w:rPr>
        <w:t xml:space="preserve"> – physical </w:t>
      </w:r>
      <w:proofErr w:type="spellStart"/>
      <w:r w:rsidR="00C466BA" w:rsidRPr="00E137ED">
        <w:rPr>
          <w:lang w:val="en-US"/>
        </w:rPr>
        <w:t>violende</w:t>
      </w:r>
      <w:proofErr w:type="spellEnd"/>
      <w:r w:rsidR="00B061C4" w:rsidRPr="00E137ED">
        <w:rPr>
          <w:lang w:val="en-US"/>
        </w:rPr>
        <w:t>, C</w:t>
      </w:r>
      <w:r w:rsidR="00C466BA" w:rsidRPr="00E137ED">
        <w:rPr>
          <w:lang w:val="en-US"/>
        </w:rPr>
        <w:t xml:space="preserve"> – psychological violence</w:t>
      </w:r>
      <w:r w:rsidR="00B061C4" w:rsidRPr="00E137ED">
        <w:rPr>
          <w:lang w:val="en-US"/>
        </w:rPr>
        <w:t xml:space="preserve"> or D</w:t>
      </w:r>
      <w:r w:rsidR="00C466BA" w:rsidRPr="00E137ED">
        <w:rPr>
          <w:lang w:val="en-US"/>
        </w:rPr>
        <w:t xml:space="preserve"> – sexual violence</w:t>
      </w:r>
      <w:r w:rsidR="00B061C4" w:rsidRPr="00E137ED">
        <w:rPr>
          <w:lang w:val="en-US"/>
        </w:rPr>
        <w:t xml:space="preserve">) </w:t>
      </w:r>
      <w:r w:rsidR="00C466BA" w:rsidRPr="00E137ED">
        <w:rPr>
          <w:lang w:val="en-US"/>
        </w:rPr>
        <w:t xml:space="preserve">were </w:t>
      </w:r>
      <w:r w:rsidR="00B061C4" w:rsidRPr="00E137ED">
        <w:rPr>
          <w:lang w:val="en-US"/>
        </w:rPr>
        <w:t>presented; e</w:t>
      </w:r>
      <w:r w:rsidR="0092380F" w:rsidRPr="00E137ED">
        <w:rPr>
          <w:lang w:val="en-US"/>
        </w:rPr>
        <w:t xml:space="preserve">ach </w:t>
      </w:r>
      <w:r w:rsidR="002F436C" w:rsidRPr="00E137ED">
        <w:rPr>
          <w:lang w:val="en-US"/>
        </w:rPr>
        <w:t>participant</w:t>
      </w:r>
      <w:r w:rsidR="0092380F" w:rsidRPr="00E137ED">
        <w:rPr>
          <w:lang w:val="en-US"/>
        </w:rPr>
        <w:t xml:space="preserve"> c</w:t>
      </w:r>
      <w:r w:rsidR="002F436C" w:rsidRPr="00E137ED">
        <w:rPr>
          <w:lang w:val="en-US"/>
        </w:rPr>
        <w:t>ould</w:t>
      </w:r>
      <w:r w:rsidR="0092380F" w:rsidRPr="00E137ED">
        <w:rPr>
          <w:lang w:val="en-US"/>
        </w:rPr>
        <w:t xml:space="preserve"> only </w:t>
      </w:r>
      <w:r w:rsidR="00C466BA" w:rsidRPr="00E137ED">
        <w:rPr>
          <w:lang w:val="en-US"/>
        </w:rPr>
        <w:t>pick out randomly</w:t>
      </w:r>
      <w:r w:rsidR="0092380F" w:rsidRPr="00E137ED">
        <w:rPr>
          <w:lang w:val="en-US"/>
        </w:rPr>
        <w:t xml:space="preserve"> one </w:t>
      </w:r>
      <w:r w:rsidR="002F436C" w:rsidRPr="00E137ED">
        <w:rPr>
          <w:lang w:val="en-US"/>
        </w:rPr>
        <w:t>to answer t</w:t>
      </w:r>
      <w:r w:rsidR="00B061C4" w:rsidRPr="00E137ED">
        <w:rPr>
          <w:lang w:val="en-US"/>
        </w:rPr>
        <w:t xml:space="preserve">he four </w:t>
      </w:r>
      <w:r w:rsidR="002F436C" w:rsidRPr="00E137ED">
        <w:rPr>
          <w:lang w:val="en-US"/>
        </w:rPr>
        <w:t>questions</w:t>
      </w:r>
      <w:r w:rsidR="00C466BA" w:rsidRPr="00E137ED">
        <w:rPr>
          <w:lang w:val="en-US"/>
        </w:rPr>
        <w:t xml:space="preserve"> mentioned above</w:t>
      </w:r>
      <w:r w:rsidR="002F436C" w:rsidRPr="00E137ED">
        <w:rPr>
          <w:lang w:val="en-US"/>
        </w:rPr>
        <w:t xml:space="preserve">. </w:t>
      </w:r>
      <w:r w:rsidR="006C2B92" w:rsidRPr="00E137ED">
        <w:rPr>
          <w:lang w:val="en-US"/>
        </w:rPr>
        <w:t>Scenario A portrayed</w:t>
      </w:r>
      <w:r w:rsidR="00754811" w:rsidRPr="00E137ED">
        <w:rPr>
          <w:lang w:val="en-US"/>
        </w:rPr>
        <w:t xml:space="preserve"> a</w:t>
      </w:r>
      <w:r w:rsidR="006C2B92" w:rsidRPr="00E137ED">
        <w:rPr>
          <w:lang w:val="en-US"/>
        </w:rPr>
        <w:t xml:space="preserve"> relationship without violence:</w:t>
      </w:r>
    </w:p>
    <w:p w14:paraId="0FB70335" w14:textId="088F8433" w:rsidR="006C2B92" w:rsidRPr="00E137ED" w:rsidRDefault="006C2B92" w:rsidP="00E137ED">
      <w:pPr>
        <w:pStyle w:val="ListParagraph"/>
        <w:numPr>
          <w:ilvl w:val="0"/>
          <w:numId w:val="1"/>
        </w:numPr>
        <w:rPr>
          <w:rFonts w:eastAsia="Times New Roman"/>
          <w:i/>
          <w:lang w:val="en-US"/>
        </w:rPr>
      </w:pPr>
      <w:r w:rsidRPr="00E137ED">
        <w:rPr>
          <w:rFonts w:eastAsia="Times New Roman"/>
          <w:i/>
          <w:lang w:val="en-US"/>
        </w:rPr>
        <w:t>Imagine that you have been married for the past 10 years with your partner,</w:t>
      </w:r>
      <w:r w:rsidR="00C13679" w:rsidRPr="00E137ED">
        <w:rPr>
          <w:rFonts w:eastAsia="Times New Roman"/>
          <w:i/>
          <w:lang w:val="en-US"/>
        </w:rPr>
        <w:t xml:space="preserve"> and in </w:t>
      </w:r>
      <w:r w:rsidRPr="00E137ED">
        <w:rPr>
          <w:rFonts w:eastAsia="Times New Roman"/>
          <w:i/>
          <w:lang w:val="en-US"/>
        </w:rPr>
        <w:t xml:space="preserve">the last few months you have been feeling unhappy with your relationship. For example, little things have become grounds for big </w:t>
      </w:r>
      <w:proofErr w:type="gramStart"/>
      <w:r w:rsidRPr="00E137ED">
        <w:rPr>
          <w:rFonts w:eastAsia="Times New Roman"/>
          <w:i/>
          <w:lang w:val="en-US"/>
        </w:rPr>
        <w:t>discussions</w:t>
      </w:r>
      <w:proofErr w:type="gramEnd"/>
      <w:r w:rsidRPr="00E137ED">
        <w:rPr>
          <w:rFonts w:eastAsia="Times New Roman"/>
          <w:i/>
          <w:lang w:val="en-US"/>
        </w:rPr>
        <w:t xml:space="preserve"> and you can no longer communicate with your partner. Your sex life is almost </w:t>
      </w:r>
      <w:proofErr w:type="gramStart"/>
      <w:r w:rsidRPr="00E137ED">
        <w:rPr>
          <w:rFonts w:eastAsia="Times New Roman"/>
          <w:i/>
          <w:lang w:val="en-US"/>
        </w:rPr>
        <w:t>non-existent</w:t>
      </w:r>
      <w:proofErr w:type="gramEnd"/>
      <w:r w:rsidRPr="00E137ED">
        <w:rPr>
          <w:rFonts w:eastAsia="Times New Roman"/>
          <w:i/>
          <w:lang w:val="en-US"/>
        </w:rPr>
        <w:t xml:space="preserve"> and you stay at work to delay the moment to return home. Due to your current relational situation, you feel exhausted and believe you would be happier if you were no longer in that relationship.</w:t>
      </w:r>
      <w:r w:rsidR="00C13679" w:rsidRPr="00E137ED">
        <w:rPr>
          <w:rFonts w:eastAsia="Times New Roman"/>
          <w:i/>
          <w:lang w:val="en-US"/>
        </w:rPr>
        <w:t xml:space="preserve"> You have made every effort to change the current situation, including talking to your partner, spending more time with him, and even surprise him even possible. During your relationship, you invested all your money on a house you bought </w:t>
      </w:r>
      <w:proofErr w:type="gramStart"/>
      <w:r w:rsidR="00C13679" w:rsidRPr="00E137ED">
        <w:rPr>
          <w:rFonts w:eastAsia="Times New Roman"/>
          <w:i/>
          <w:lang w:val="en-US"/>
        </w:rPr>
        <w:t>together</w:t>
      </w:r>
      <w:proofErr w:type="gramEnd"/>
      <w:r w:rsidR="00C13679" w:rsidRPr="00E137ED">
        <w:rPr>
          <w:rFonts w:eastAsia="Times New Roman"/>
          <w:i/>
          <w:lang w:val="en-US"/>
        </w:rPr>
        <w:t xml:space="preserve"> and you are currently living in a stable economic situation.</w:t>
      </w:r>
    </w:p>
    <w:p w14:paraId="7B02B402" w14:textId="77777777" w:rsidR="006C2B92" w:rsidRPr="00E137ED" w:rsidRDefault="006C2B92" w:rsidP="00E137ED">
      <w:pPr>
        <w:rPr>
          <w:lang w:val="en-US"/>
        </w:rPr>
      </w:pPr>
    </w:p>
    <w:p w14:paraId="466EA3AE" w14:textId="6C0C09FB" w:rsidR="00EF1B76" w:rsidRPr="00E137ED" w:rsidRDefault="006C2B92" w:rsidP="00E137ED">
      <w:pPr>
        <w:ind w:firstLine="360"/>
        <w:rPr>
          <w:lang w:val="en-US"/>
        </w:rPr>
      </w:pPr>
      <w:r w:rsidRPr="00E137ED">
        <w:rPr>
          <w:lang w:val="en-US"/>
        </w:rPr>
        <w:t xml:space="preserve">For Scenarios </w:t>
      </w:r>
      <w:r w:rsidR="00754811" w:rsidRPr="00E137ED">
        <w:rPr>
          <w:lang w:val="en-US"/>
        </w:rPr>
        <w:t>B</w:t>
      </w:r>
      <w:r w:rsidRPr="00E137ED">
        <w:rPr>
          <w:lang w:val="en-US"/>
        </w:rPr>
        <w:t xml:space="preserve">, C and D, </w:t>
      </w:r>
      <w:r w:rsidR="00212520" w:rsidRPr="00E137ED">
        <w:rPr>
          <w:lang w:val="en-US"/>
        </w:rPr>
        <w:t xml:space="preserve">one more </w:t>
      </w:r>
      <w:r w:rsidRPr="00E137ED">
        <w:rPr>
          <w:lang w:val="en-US"/>
        </w:rPr>
        <w:t xml:space="preserve">paragraph was added to the non-violent scenario, converting it in a </w:t>
      </w:r>
      <w:r w:rsidR="00212520" w:rsidRPr="00E137ED">
        <w:rPr>
          <w:lang w:val="en-US"/>
        </w:rPr>
        <w:t xml:space="preserve">scenario of </w:t>
      </w:r>
      <w:r w:rsidR="00754811" w:rsidRPr="00E137ED">
        <w:rPr>
          <w:lang w:val="en-US"/>
        </w:rPr>
        <w:t>physical violence</w:t>
      </w:r>
      <w:r w:rsidRPr="00E137ED">
        <w:rPr>
          <w:lang w:val="en-US"/>
        </w:rPr>
        <w:t xml:space="preserve"> (B), </w:t>
      </w:r>
      <w:r w:rsidR="00754811" w:rsidRPr="00E137ED">
        <w:rPr>
          <w:lang w:val="en-US"/>
        </w:rPr>
        <w:t>psychological violence</w:t>
      </w:r>
      <w:r w:rsidRPr="00E137ED">
        <w:rPr>
          <w:lang w:val="en-US"/>
        </w:rPr>
        <w:t xml:space="preserve"> (C)</w:t>
      </w:r>
      <w:r w:rsidR="00212520" w:rsidRPr="00E137ED">
        <w:rPr>
          <w:lang w:val="en-US"/>
        </w:rPr>
        <w:t xml:space="preserve"> or in a scenario of</w:t>
      </w:r>
      <w:r w:rsidRPr="00E137ED">
        <w:rPr>
          <w:lang w:val="en-US"/>
        </w:rPr>
        <w:t xml:space="preserve"> </w:t>
      </w:r>
      <w:r w:rsidR="00754811" w:rsidRPr="00E137ED">
        <w:rPr>
          <w:lang w:val="en-US"/>
        </w:rPr>
        <w:t>sexual violence</w:t>
      </w:r>
      <w:r w:rsidRPr="00E137ED">
        <w:rPr>
          <w:lang w:val="en-US"/>
        </w:rPr>
        <w:t xml:space="preserve"> </w:t>
      </w:r>
      <w:r w:rsidR="00212520" w:rsidRPr="00E137ED">
        <w:rPr>
          <w:lang w:val="en-US"/>
        </w:rPr>
        <w:t>(</w:t>
      </w:r>
      <w:r w:rsidRPr="00E137ED">
        <w:rPr>
          <w:lang w:val="en-US"/>
        </w:rPr>
        <w:t>D):</w:t>
      </w:r>
    </w:p>
    <w:p w14:paraId="24E7C338" w14:textId="77777777" w:rsidR="00C466BA" w:rsidRPr="00E137ED" w:rsidRDefault="00C466BA" w:rsidP="00E137ED">
      <w:pPr>
        <w:ind w:firstLine="360"/>
        <w:rPr>
          <w:lang w:val="en-US"/>
        </w:rPr>
      </w:pPr>
    </w:p>
    <w:p w14:paraId="571575EB" w14:textId="2F10AA41" w:rsidR="00AF5B3C" w:rsidRPr="00E137ED" w:rsidRDefault="00C13679" w:rsidP="00E137ED">
      <w:pPr>
        <w:pStyle w:val="ListParagraph"/>
        <w:numPr>
          <w:ilvl w:val="0"/>
          <w:numId w:val="1"/>
        </w:numPr>
        <w:rPr>
          <w:rFonts w:eastAsia="Times New Roman"/>
          <w:lang w:val="en-US"/>
        </w:rPr>
      </w:pPr>
      <w:r w:rsidRPr="00E137ED">
        <w:rPr>
          <w:rFonts w:eastAsia="Times New Roman"/>
          <w:i/>
          <w:lang w:val="en-US"/>
        </w:rPr>
        <w:t>There was a day, in the middle of a quarrel, your partner gave you a push and squeezed your arm, leaving you a small mark on it.</w:t>
      </w:r>
      <w:r w:rsidR="0054333C" w:rsidRPr="00E137ED">
        <w:rPr>
          <w:rFonts w:eastAsia="Times New Roman"/>
          <w:i/>
          <w:vertAlign w:val="superscript"/>
          <w:lang w:val="en-US"/>
        </w:rPr>
        <w:t>1</w:t>
      </w:r>
    </w:p>
    <w:p w14:paraId="5D9EB2EC" w14:textId="77777777" w:rsidR="009D2CDA" w:rsidRPr="00E137ED" w:rsidRDefault="009D2CDA" w:rsidP="00E137ED">
      <w:pPr>
        <w:rPr>
          <w:rFonts w:eastAsia="Times New Roman"/>
          <w:lang w:val="en-US"/>
        </w:rPr>
      </w:pPr>
    </w:p>
    <w:p w14:paraId="141C2044" w14:textId="155B8C1E" w:rsidR="00C13679" w:rsidRPr="00E137ED" w:rsidRDefault="0034043A" w:rsidP="00E137ED">
      <w:pPr>
        <w:pStyle w:val="ListParagraph"/>
        <w:numPr>
          <w:ilvl w:val="0"/>
          <w:numId w:val="1"/>
        </w:numPr>
        <w:rPr>
          <w:rFonts w:eastAsia="Times New Roman"/>
          <w:i/>
          <w:lang w:val="en-US"/>
        </w:rPr>
      </w:pPr>
      <w:r w:rsidRPr="00E137ED">
        <w:rPr>
          <w:rFonts w:eastAsia="Times New Roman"/>
          <w:i/>
          <w:lang w:val="en-US"/>
        </w:rPr>
        <w:t>There was a day, in the middle of a quarrel, your partner</w:t>
      </w:r>
      <w:r w:rsidR="00D320B4" w:rsidRPr="00E137ED">
        <w:rPr>
          <w:rFonts w:eastAsia="Times New Roman"/>
          <w:i/>
          <w:lang w:val="en-US"/>
        </w:rPr>
        <w:t xml:space="preserve"> after checking your cell phone without your permission, </w:t>
      </w:r>
      <w:r w:rsidRPr="00E137ED">
        <w:rPr>
          <w:rFonts w:eastAsia="Times New Roman"/>
          <w:i/>
          <w:lang w:val="en-US"/>
        </w:rPr>
        <w:t xml:space="preserve">accused you, even being false, </w:t>
      </w:r>
      <w:r w:rsidR="00D320B4" w:rsidRPr="00E137ED">
        <w:rPr>
          <w:rFonts w:eastAsia="Times New Roman"/>
          <w:i/>
          <w:lang w:val="en-US"/>
        </w:rPr>
        <w:t>to betray him</w:t>
      </w:r>
      <w:r w:rsidRPr="00E137ED">
        <w:rPr>
          <w:rFonts w:eastAsia="Times New Roman"/>
          <w:i/>
          <w:lang w:val="en-US"/>
        </w:rPr>
        <w:t xml:space="preserve"> with a colleague of</w:t>
      </w:r>
      <w:r w:rsidR="00D320B4" w:rsidRPr="00E137ED">
        <w:rPr>
          <w:rFonts w:eastAsia="Times New Roman"/>
          <w:i/>
          <w:lang w:val="en-US"/>
        </w:rPr>
        <w:t xml:space="preserve"> your work. </w:t>
      </w:r>
    </w:p>
    <w:p w14:paraId="4E311CF8" w14:textId="77777777" w:rsidR="00D320B4" w:rsidRPr="00E137ED" w:rsidRDefault="00D320B4" w:rsidP="00E137ED">
      <w:pPr>
        <w:rPr>
          <w:rFonts w:eastAsia="Times New Roman"/>
          <w:lang w:val="en-US"/>
        </w:rPr>
      </w:pPr>
    </w:p>
    <w:p w14:paraId="74D734A3" w14:textId="140B6494" w:rsidR="00EF1B76" w:rsidRPr="00E137ED" w:rsidRDefault="00AC7CA8" w:rsidP="00E137ED">
      <w:pPr>
        <w:pStyle w:val="ListParagraph"/>
        <w:numPr>
          <w:ilvl w:val="0"/>
          <w:numId w:val="1"/>
        </w:numPr>
        <w:rPr>
          <w:rFonts w:eastAsia="Times New Roman"/>
          <w:i/>
          <w:lang w:val="en-US"/>
        </w:rPr>
      </w:pPr>
      <w:r w:rsidRPr="00E137ED">
        <w:rPr>
          <w:rFonts w:eastAsia="Times New Roman"/>
          <w:i/>
          <w:lang w:val="en-US"/>
        </w:rPr>
        <w:t>There was a day your partner forced you to have sex, against your will, to improve your relationship.</w:t>
      </w:r>
    </w:p>
    <w:p w14:paraId="7F0B52EA" w14:textId="77777777" w:rsidR="00EF1B76" w:rsidRPr="00E137ED" w:rsidRDefault="00EF1B76" w:rsidP="00E137ED">
      <w:pPr>
        <w:rPr>
          <w:lang w:val="en-US"/>
        </w:rPr>
      </w:pPr>
    </w:p>
    <w:p w14:paraId="5B4C5536" w14:textId="0301FFF3" w:rsidR="00211A4B" w:rsidRPr="00E137ED" w:rsidRDefault="00754811" w:rsidP="00E137ED">
      <w:pPr>
        <w:ind w:firstLine="360"/>
        <w:rPr>
          <w:lang w:val="en-US"/>
        </w:rPr>
      </w:pPr>
      <w:r w:rsidRPr="00E137ED">
        <w:rPr>
          <w:lang w:val="en-US"/>
        </w:rPr>
        <w:t>In all scenarios, the sunk cost effect variables were valued (great investment of money, effort and time in the relation) to obtain more reliable answers</w:t>
      </w:r>
      <w:r w:rsidR="00212520" w:rsidRPr="00E137ED">
        <w:rPr>
          <w:lang w:val="en-US"/>
        </w:rPr>
        <w:t xml:space="preserve"> (</w:t>
      </w:r>
      <w:proofErr w:type="spellStart"/>
      <w:r w:rsidR="00212520" w:rsidRPr="00E137ED">
        <w:rPr>
          <w:lang w:val="en-US"/>
        </w:rPr>
        <w:t>Rego</w:t>
      </w:r>
      <w:proofErr w:type="spellEnd"/>
      <w:r w:rsidR="00212520" w:rsidRPr="00E137ED">
        <w:rPr>
          <w:lang w:val="en-US"/>
        </w:rPr>
        <w:t xml:space="preserve"> et al., 2016)</w:t>
      </w:r>
      <w:r w:rsidRPr="00E137ED">
        <w:rPr>
          <w:lang w:val="en-US"/>
        </w:rPr>
        <w:t xml:space="preserve">. </w:t>
      </w:r>
      <w:r w:rsidR="00211A4B" w:rsidRPr="00E137ED">
        <w:rPr>
          <w:lang w:val="en-US"/>
        </w:rPr>
        <w:t>In this study, the sunk cost effect is evaluated when participants choose a high value, from 0 to 100, or a high number of days, from 0 to 1000.</w:t>
      </w:r>
    </w:p>
    <w:p w14:paraId="1A6DD5E8" w14:textId="77777777" w:rsidR="00E77E66" w:rsidRPr="00E137ED" w:rsidRDefault="00E77E66" w:rsidP="00E137ED">
      <w:pPr>
        <w:rPr>
          <w:lang w:val="en-US"/>
        </w:rPr>
      </w:pPr>
    </w:p>
    <w:p w14:paraId="0A4A562A" w14:textId="77777777" w:rsidR="008D76E8" w:rsidRPr="00E137ED" w:rsidRDefault="008D76E8" w:rsidP="00E137ED">
      <w:pPr>
        <w:outlineLvl w:val="0"/>
        <w:rPr>
          <w:i/>
          <w:lang w:val="en-US"/>
        </w:rPr>
      </w:pPr>
    </w:p>
    <w:p w14:paraId="02B3DE3B" w14:textId="1523679B" w:rsidR="00E77E66" w:rsidRPr="00E137ED" w:rsidRDefault="00E77E66" w:rsidP="00E137ED">
      <w:pPr>
        <w:outlineLvl w:val="0"/>
        <w:rPr>
          <w:b/>
          <w:i/>
          <w:lang w:val="en-US"/>
        </w:rPr>
      </w:pPr>
      <w:r w:rsidRPr="00E137ED">
        <w:rPr>
          <w:b/>
          <w:i/>
          <w:lang w:val="en-US"/>
        </w:rPr>
        <w:lastRenderedPageBreak/>
        <w:t>Sample</w:t>
      </w:r>
    </w:p>
    <w:p w14:paraId="7B0C1C6E" w14:textId="6B616816" w:rsidR="0068586A" w:rsidRDefault="00EF1B76" w:rsidP="00E137ED">
      <w:pPr>
        <w:rPr>
          <w:rFonts w:eastAsia="Times New Roman"/>
          <w:lang w:val="en-US"/>
        </w:rPr>
      </w:pPr>
      <w:r w:rsidRPr="00E137ED">
        <w:rPr>
          <w:rFonts w:eastAsia="Times New Roman"/>
          <w:lang w:val="en-US"/>
        </w:rPr>
        <w:t>Participants (</w:t>
      </w:r>
      <w:r w:rsidRPr="00E137ED">
        <w:rPr>
          <w:rFonts w:eastAsia="Times New Roman"/>
          <w:i/>
          <w:lang w:val="en-US"/>
        </w:rPr>
        <w:t>N</w:t>
      </w:r>
      <w:r w:rsidRPr="00E137ED">
        <w:rPr>
          <w:rFonts w:eastAsia="Times New Roman"/>
          <w:lang w:val="en-US"/>
        </w:rPr>
        <w:t xml:space="preserve"> = 267) were recruited via social network announcement and were asked to complete a questionnaire on an internet webpage using Google Forms software.</w:t>
      </w:r>
      <w:r w:rsidR="00B64206" w:rsidRPr="00E137ED">
        <w:rPr>
          <w:lang w:val="en-US"/>
        </w:rPr>
        <w:t xml:space="preserve"> </w:t>
      </w:r>
      <w:r w:rsidR="00C27AA4" w:rsidRPr="00E137ED">
        <w:rPr>
          <w:lang w:val="en-US"/>
        </w:rPr>
        <w:t>All participants were informed about all aspects of the research, to make a free decision to voluntarily confirm their willingness to</w:t>
      </w:r>
      <w:r w:rsidR="00955981" w:rsidRPr="00E137ED">
        <w:rPr>
          <w:lang w:val="en-US"/>
        </w:rPr>
        <w:t xml:space="preserve"> p</w:t>
      </w:r>
      <w:r w:rsidR="00C27AA4" w:rsidRPr="00E137ED">
        <w:rPr>
          <w:lang w:val="en-US"/>
        </w:rPr>
        <w:t xml:space="preserve">articipate. </w:t>
      </w:r>
      <w:r w:rsidR="009D2D1C" w:rsidRPr="00E137ED">
        <w:rPr>
          <w:rFonts w:eastAsia="Times New Roman"/>
          <w:lang w:val="en-US"/>
        </w:rPr>
        <w:t xml:space="preserve">To be eligible to participate in the study, participants had to be women and had to have more than 18 years old. </w:t>
      </w:r>
      <w:r w:rsidR="00227D78" w:rsidRPr="00E137ED">
        <w:rPr>
          <w:rFonts w:eastAsia="Times New Roman"/>
          <w:lang w:val="en-US"/>
        </w:rPr>
        <w:t>Most</w:t>
      </w:r>
      <w:r w:rsidR="0068586A" w:rsidRPr="00E137ED">
        <w:rPr>
          <w:rFonts w:eastAsia="Times New Roman"/>
          <w:lang w:val="en-US"/>
        </w:rPr>
        <w:t xml:space="preserve"> women were an average age of 33 (</w:t>
      </w:r>
      <w:r w:rsidR="0068586A" w:rsidRPr="00E137ED">
        <w:rPr>
          <w:rFonts w:eastAsia="Times New Roman"/>
          <w:i/>
          <w:lang w:val="en-US"/>
        </w:rPr>
        <w:t>SD</w:t>
      </w:r>
      <w:r w:rsidR="0068586A" w:rsidRPr="00E137ED">
        <w:rPr>
          <w:rFonts w:eastAsia="Times New Roman"/>
          <w:lang w:val="en-US"/>
        </w:rPr>
        <w:t xml:space="preserve"> = </w:t>
      </w:r>
      <w:r w:rsidR="009D2D1C" w:rsidRPr="00E137ED">
        <w:rPr>
          <w:rFonts w:eastAsia="Times New Roman"/>
          <w:lang w:val="en-US"/>
        </w:rPr>
        <w:t>8.83</w:t>
      </w:r>
      <w:r w:rsidR="0068586A" w:rsidRPr="00E137ED">
        <w:rPr>
          <w:rFonts w:eastAsia="Times New Roman"/>
          <w:lang w:val="en-US"/>
        </w:rPr>
        <w:t xml:space="preserve"> years), </w:t>
      </w:r>
      <w:r w:rsidR="00955981" w:rsidRPr="00E137ED">
        <w:rPr>
          <w:rFonts w:eastAsia="Times New Roman"/>
          <w:lang w:val="en-US"/>
        </w:rPr>
        <w:t xml:space="preserve">were </w:t>
      </w:r>
      <w:r w:rsidR="0068586A" w:rsidRPr="00E137ED">
        <w:rPr>
          <w:rFonts w:eastAsia="Times New Roman"/>
          <w:lang w:val="en-US"/>
        </w:rPr>
        <w:t xml:space="preserve">mothers </w:t>
      </w:r>
      <w:r w:rsidR="00955981" w:rsidRPr="00E137ED">
        <w:rPr>
          <w:rFonts w:eastAsia="Times New Roman"/>
          <w:lang w:val="en-US"/>
        </w:rPr>
        <w:t xml:space="preserve">of 1 or 2 children, </w:t>
      </w:r>
      <w:r w:rsidR="0068586A" w:rsidRPr="00E137ED">
        <w:rPr>
          <w:rFonts w:eastAsia="Times New Roman"/>
          <w:lang w:val="en-US"/>
        </w:rPr>
        <w:t xml:space="preserve">with </w:t>
      </w:r>
      <w:r w:rsidR="00E13C51" w:rsidRPr="00E137ED">
        <w:rPr>
          <w:rFonts w:eastAsia="Times New Roman"/>
          <w:lang w:val="en-US"/>
        </w:rPr>
        <w:t>college</w:t>
      </w:r>
      <w:r w:rsidR="0068586A" w:rsidRPr="00E137ED">
        <w:rPr>
          <w:rFonts w:eastAsia="Times New Roman"/>
          <w:lang w:val="en-US"/>
        </w:rPr>
        <w:t xml:space="preserve"> diplomas, and </w:t>
      </w:r>
      <w:r w:rsidR="009D2D1C" w:rsidRPr="00E137ED">
        <w:rPr>
          <w:rFonts w:eastAsia="Times New Roman"/>
          <w:lang w:val="en-US"/>
        </w:rPr>
        <w:t xml:space="preserve">were </w:t>
      </w:r>
      <w:r w:rsidR="00955981" w:rsidRPr="00E137ED">
        <w:rPr>
          <w:rFonts w:eastAsia="Times New Roman"/>
          <w:lang w:val="en-US"/>
        </w:rPr>
        <w:t>in a relationship</w:t>
      </w:r>
      <w:r w:rsidR="0068586A" w:rsidRPr="00E137ED">
        <w:rPr>
          <w:rFonts w:eastAsia="Times New Roman"/>
          <w:lang w:val="en-US"/>
        </w:rPr>
        <w:t>.</w:t>
      </w:r>
      <w:r w:rsidR="002C1620" w:rsidRPr="00E137ED">
        <w:rPr>
          <w:rFonts w:eastAsia="Times New Roman"/>
          <w:lang w:val="en-US"/>
        </w:rPr>
        <w:t xml:space="preserve"> </w:t>
      </w:r>
      <w:r w:rsidR="003B2792" w:rsidRPr="00E137ED">
        <w:rPr>
          <w:rFonts w:eastAsia="Times New Roman"/>
          <w:lang w:val="en-US"/>
        </w:rPr>
        <w:t xml:space="preserve">Participants were randomly assigned to four scenarios. </w:t>
      </w:r>
      <w:r w:rsidR="006968B4" w:rsidRPr="00E137ED">
        <w:rPr>
          <w:rFonts w:eastAsia="Times New Roman"/>
          <w:lang w:val="en-US"/>
        </w:rPr>
        <w:t xml:space="preserve">There were significant differences between mean age of the participants in the non-violent scenario and all the other scenarios (for all </w:t>
      </w:r>
      <w:r w:rsidR="006968B4" w:rsidRPr="00E137ED">
        <w:rPr>
          <w:rFonts w:eastAsia="Times New Roman"/>
          <w:i/>
          <w:lang w:val="en-US"/>
        </w:rPr>
        <w:t>F</w:t>
      </w:r>
      <w:r w:rsidR="006968B4" w:rsidRPr="00E137ED">
        <w:rPr>
          <w:rFonts w:eastAsia="Times New Roman"/>
          <w:lang w:val="en-US"/>
        </w:rPr>
        <w:t xml:space="preserve">’s, p &lt; .05). Specifically, participants in the non-violent scenario were younger than participants in the other three scenarios. There were no age differences between participants in the other groups. </w:t>
      </w:r>
      <w:r w:rsidR="003B2792" w:rsidRPr="00E137ED">
        <w:rPr>
          <w:rFonts w:eastAsia="Times New Roman"/>
          <w:lang w:val="en-US"/>
        </w:rPr>
        <w:t>Descriptive demographic information is summarized in Table 1.</w:t>
      </w:r>
    </w:p>
    <w:p w14:paraId="12E2FCD2" w14:textId="2909BC43" w:rsidR="0035069B" w:rsidRDefault="0035069B" w:rsidP="00E137ED">
      <w:pPr>
        <w:rPr>
          <w:rFonts w:eastAsia="Times New Roman"/>
          <w:lang w:val="en-US"/>
        </w:rPr>
      </w:pPr>
    </w:p>
    <w:p w14:paraId="1B850C28" w14:textId="77777777" w:rsidR="0035069B" w:rsidRDefault="0035069B" w:rsidP="0035069B">
      <w:pPr>
        <w:outlineLvl w:val="0"/>
        <w:rPr>
          <w:rFonts w:eastAsia="Times New Roman"/>
          <w:i/>
        </w:rPr>
      </w:pPr>
      <w:r w:rsidRPr="009D2D1C">
        <w:rPr>
          <w:rFonts w:eastAsia="Times New Roman"/>
          <w:i/>
        </w:rPr>
        <w:t>Table 1</w:t>
      </w:r>
    </w:p>
    <w:p w14:paraId="5A3017AC" w14:textId="77777777" w:rsidR="0035069B" w:rsidRPr="009D2D1C" w:rsidRDefault="0035069B" w:rsidP="0035069B">
      <w:pPr>
        <w:rPr>
          <w:rFonts w:eastAsia="Times New Roman"/>
        </w:rPr>
      </w:pPr>
      <w:r w:rsidRPr="009D2D1C">
        <w:rPr>
          <w:rFonts w:eastAsia="Times New Roman"/>
        </w:rPr>
        <w:t>Demographic Information</w:t>
      </w:r>
    </w:p>
    <w:p w14:paraId="020903B8" w14:textId="77777777" w:rsidR="0035069B" w:rsidRPr="009D2D1C" w:rsidRDefault="0035069B" w:rsidP="0035069B">
      <w:pPr>
        <w:rPr>
          <w:rFonts w:eastAsia="Times New Roman"/>
        </w:rPr>
      </w:pPr>
    </w:p>
    <w:tbl>
      <w:tblPr>
        <w:tblStyle w:val="TableGrid"/>
        <w:tblW w:w="9781" w:type="dxa"/>
        <w:tblInd w:w="-5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1559"/>
        <w:gridCol w:w="1418"/>
        <w:gridCol w:w="1276"/>
        <w:gridCol w:w="1275"/>
        <w:gridCol w:w="1276"/>
      </w:tblGrid>
      <w:tr w:rsidR="0035069B" w:rsidRPr="00430F35" w14:paraId="5FF47A1B" w14:textId="77777777" w:rsidTr="00A21E1D">
        <w:trPr>
          <w:trHeight w:val="563"/>
        </w:trPr>
        <w:tc>
          <w:tcPr>
            <w:tcW w:w="2977" w:type="dxa"/>
            <w:tcBorders>
              <w:top w:val="single" w:sz="4" w:space="0" w:color="auto"/>
              <w:bottom w:val="single" w:sz="4" w:space="0" w:color="auto"/>
            </w:tcBorders>
          </w:tcPr>
          <w:p w14:paraId="2EE06257" w14:textId="77777777" w:rsidR="0035069B" w:rsidRPr="00430F35" w:rsidRDefault="0035069B" w:rsidP="00A21E1D">
            <w:pPr>
              <w:rPr>
                <w:sz w:val="21"/>
                <w:lang w:val="en-US"/>
              </w:rPr>
            </w:pPr>
            <w:r w:rsidRPr="00430F35">
              <w:rPr>
                <w:sz w:val="21"/>
                <w:lang w:val="en-US"/>
              </w:rPr>
              <w:t xml:space="preserve">Demographic with </w:t>
            </w:r>
            <w:r w:rsidRPr="00430F35">
              <w:rPr>
                <w:i/>
                <w:sz w:val="21"/>
                <w:lang w:val="en-US"/>
              </w:rPr>
              <w:t>M</w:t>
            </w:r>
            <w:r w:rsidRPr="00430F35">
              <w:rPr>
                <w:sz w:val="21"/>
                <w:lang w:val="en-US"/>
              </w:rPr>
              <w:t xml:space="preserve"> (SD)</w:t>
            </w:r>
          </w:p>
        </w:tc>
        <w:tc>
          <w:tcPr>
            <w:tcW w:w="1559" w:type="dxa"/>
            <w:tcBorders>
              <w:top w:val="single" w:sz="4" w:space="0" w:color="auto"/>
              <w:bottom w:val="single" w:sz="4" w:space="0" w:color="auto"/>
            </w:tcBorders>
          </w:tcPr>
          <w:p w14:paraId="71297BCC" w14:textId="77777777" w:rsidR="0035069B" w:rsidRPr="00430F35" w:rsidRDefault="0035069B" w:rsidP="00A21E1D">
            <w:pPr>
              <w:jc w:val="center"/>
              <w:rPr>
                <w:i/>
                <w:sz w:val="21"/>
                <w:lang w:val="en-US"/>
              </w:rPr>
            </w:pPr>
            <w:r w:rsidRPr="00430F35">
              <w:rPr>
                <w:i/>
                <w:sz w:val="21"/>
                <w:lang w:val="en-US"/>
              </w:rPr>
              <w:t>Total</w:t>
            </w:r>
          </w:p>
          <w:p w14:paraId="5F7F29EF" w14:textId="77777777" w:rsidR="0035069B" w:rsidRPr="00430F35" w:rsidRDefault="0035069B" w:rsidP="00A21E1D">
            <w:pPr>
              <w:jc w:val="center"/>
              <w:rPr>
                <w:i/>
                <w:sz w:val="21"/>
                <w:lang w:val="en-US"/>
              </w:rPr>
            </w:pPr>
            <w:r w:rsidRPr="00430F35">
              <w:rPr>
                <w:i/>
                <w:sz w:val="21"/>
                <w:lang w:val="en-US"/>
              </w:rPr>
              <w:t>N = 267</w:t>
            </w:r>
          </w:p>
          <w:p w14:paraId="2C789429" w14:textId="77777777" w:rsidR="0035069B" w:rsidRPr="00430F35" w:rsidRDefault="0035069B" w:rsidP="00A21E1D">
            <w:pPr>
              <w:jc w:val="center"/>
              <w:rPr>
                <w:sz w:val="21"/>
                <w:lang w:val="en-US"/>
              </w:rPr>
            </w:pPr>
            <w:r w:rsidRPr="00430F35">
              <w:rPr>
                <w:i/>
                <w:sz w:val="21"/>
                <w:lang w:val="en-US"/>
              </w:rPr>
              <w:t>n</w:t>
            </w:r>
            <w:r w:rsidRPr="00430F35">
              <w:rPr>
                <w:sz w:val="21"/>
                <w:lang w:val="en-US"/>
              </w:rPr>
              <w:t xml:space="preserve"> (%)</w:t>
            </w:r>
          </w:p>
        </w:tc>
        <w:tc>
          <w:tcPr>
            <w:tcW w:w="1418" w:type="dxa"/>
            <w:tcBorders>
              <w:top w:val="single" w:sz="4" w:space="0" w:color="auto"/>
              <w:bottom w:val="single" w:sz="4" w:space="0" w:color="auto"/>
            </w:tcBorders>
          </w:tcPr>
          <w:p w14:paraId="28D8B6AC" w14:textId="77777777" w:rsidR="0035069B" w:rsidRPr="00430F35" w:rsidRDefault="0035069B" w:rsidP="00A21E1D">
            <w:pPr>
              <w:jc w:val="center"/>
              <w:rPr>
                <w:i/>
                <w:sz w:val="21"/>
                <w:lang w:val="en-US"/>
              </w:rPr>
            </w:pPr>
            <w:r w:rsidRPr="00430F35">
              <w:rPr>
                <w:i/>
                <w:sz w:val="21"/>
                <w:lang w:val="en-US"/>
              </w:rPr>
              <w:t>Scenario A</w:t>
            </w:r>
          </w:p>
          <w:p w14:paraId="1CE4ACCB" w14:textId="77777777" w:rsidR="0035069B" w:rsidRPr="00430F35" w:rsidRDefault="0035069B" w:rsidP="00A21E1D">
            <w:pPr>
              <w:jc w:val="center"/>
              <w:rPr>
                <w:i/>
                <w:sz w:val="21"/>
                <w:lang w:val="en-US"/>
              </w:rPr>
            </w:pPr>
            <w:r w:rsidRPr="00430F35">
              <w:rPr>
                <w:i/>
                <w:sz w:val="21"/>
                <w:lang w:val="en-US"/>
              </w:rPr>
              <w:t>N = 46</w:t>
            </w:r>
          </w:p>
          <w:p w14:paraId="0BC5A617" w14:textId="77777777" w:rsidR="0035069B" w:rsidRPr="00430F35" w:rsidRDefault="0035069B" w:rsidP="00A21E1D">
            <w:pPr>
              <w:jc w:val="center"/>
              <w:rPr>
                <w:i/>
                <w:sz w:val="21"/>
                <w:lang w:val="en-US"/>
              </w:rPr>
            </w:pPr>
            <w:r w:rsidRPr="00430F35">
              <w:rPr>
                <w:i/>
                <w:sz w:val="21"/>
                <w:lang w:val="en-US"/>
              </w:rPr>
              <w:t>n</w:t>
            </w:r>
            <w:r w:rsidRPr="00430F35">
              <w:rPr>
                <w:sz w:val="21"/>
                <w:lang w:val="en-US"/>
              </w:rPr>
              <w:t xml:space="preserve"> (%)</w:t>
            </w:r>
          </w:p>
        </w:tc>
        <w:tc>
          <w:tcPr>
            <w:tcW w:w="1276" w:type="dxa"/>
            <w:tcBorders>
              <w:top w:val="single" w:sz="4" w:space="0" w:color="auto"/>
              <w:bottom w:val="single" w:sz="4" w:space="0" w:color="auto"/>
            </w:tcBorders>
          </w:tcPr>
          <w:p w14:paraId="388178A1" w14:textId="77777777" w:rsidR="0035069B" w:rsidRPr="00430F35" w:rsidRDefault="0035069B" w:rsidP="00A21E1D">
            <w:pPr>
              <w:jc w:val="center"/>
              <w:rPr>
                <w:i/>
                <w:sz w:val="21"/>
                <w:lang w:val="en-US"/>
              </w:rPr>
            </w:pPr>
            <w:r w:rsidRPr="00430F35">
              <w:rPr>
                <w:i/>
                <w:sz w:val="21"/>
                <w:lang w:val="en-US"/>
              </w:rPr>
              <w:t>Scenario B</w:t>
            </w:r>
          </w:p>
          <w:p w14:paraId="59FD7BC6" w14:textId="77777777" w:rsidR="0035069B" w:rsidRPr="00430F35" w:rsidRDefault="0035069B" w:rsidP="00A21E1D">
            <w:pPr>
              <w:jc w:val="center"/>
              <w:rPr>
                <w:i/>
                <w:sz w:val="21"/>
                <w:lang w:val="en-US"/>
              </w:rPr>
            </w:pPr>
            <w:r w:rsidRPr="00430F35">
              <w:rPr>
                <w:i/>
                <w:sz w:val="21"/>
                <w:lang w:val="en-US"/>
              </w:rPr>
              <w:t>N = 87</w:t>
            </w:r>
          </w:p>
          <w:p w14:paraId="6C82391D" w14:textId="77777777" w:rsidR="0035069B" w:rsidRPr="00430F35" w:rsidRDefault="0035069B" w:rsidP="00A21E1D">
            <w:pPr>
              <w:jc w:val="center"/>
              <w:rPr>
                <w:sz w:val="21"/>
                <w:lang w:val="en-US"/>
              </w:rPr>
            </w:pPr>
            <w:r w:rsidRPr="00430F35">
              <w:rPr>
                <w:i/>
                <w:sz w:val="21"/>
                <w:lang w:val="en-US"/>
              </w:rPr>
              <w:t>n</w:t>
            </w:r>
            <w:r w:rsidRPr="00430F35">
              <w:rPr>
                <w:sz w:val="21"/>
                <w:lang w:val="en-US"/>
              </w:rPr>
              <w:t xml:space="preserve"> (%)</w:t>
            </w:r>
          </w:p>
        </w:tc>
        <w:tc>
          <w:tcPr>
            <w:tcW w:w="1275" w:type="dxa"/>
            <w:tcBorders>
              <w:top w:val="single" w:sz="4" w:space="0" w:color="auto"/>
              <w:bottom w:val="single" w:sz="4" w:space="0" w:color="auto"/>
            </w:tcBorders>
          </w:tcPr>
          <w:p w14:paraId="5AD5F3BC" w14:textId="77777777" w:rsidR="0035069B" w:rsidRPr="00430F35" w:rsidRDefault="0035069B" w:rsidP="00A21E1D">
            <w:pPr>
              <w:jc w:val="center"/>
              <w:rPr>
                <w:i/>
                <w:sz w:val="21"/>
                <w:lang w:val="en-US"/>
              </w:rPr>
            </w:pPr>
            <w:r w:rsidRPr="00430F35">
              <w:rPr>
                <w:i/>
                <w:sz w:val="21"/>
                <w:lang w:val="en-US"/>
              </w:rPr>
              <w:t>Scenario C</w:t>
            </w:r>
          </w:p>
          <w:p w14:paraId="5CF46A35" w14:textId="77777777" w:rsidR="0035069B" w:rsidRPr="00430F35" w:rsidRDefault="0035069B" w:rsidP="00A21E1D">
            <w:pPr>
              <w:jc w:val="center"/>
              <w:rPr>
                <w:i/>
                <w:sz w:val="21"/>
                <w:lang w:val="en-US"/>
              </w:rPr>
            </w:pPr>
            <w:r w:rsidRPr="00430F35">
              <w:rPr>
                <w:i/>
                <w:sz w:val="21"/>
                <w:lang w:val="en-US"/>
              </w:rPr>
              <w:t>N = 77</w:t>
            </w:r>
          </w:p>
          <w:p w14:paraId="279B5736" w14:textId="77777777" w:rsidR="0035069B" w:rsidRPr="00430F35" w:rsidRDefault="0035069B" w:rsidP="00A21E1D">
            <w:pPr>
              <w:jc w:val="center"/>
              <w:rPr>
                <w:i/>
                <w:sz w:val="21"/>
                <w:lang w:val="en-US"/>
              </w:rPr>
            </w:pPr>
            <w:r w:rsidRPr="00430F35">
              <w:rPr>
                <w:i/>
                <w:sz w:val="21"/>
                <w:lang w:val="en-US"/>
              </w:rPr>
              <w:t>n</w:t>
            </w:r>
            <w:r w:rsidRPr="00430F35">
              <w:rPr>
                <w:sz w:val="21"/>
                <w:lang w:val="en-US"/>
              </w:rPr>
              <w:t xml:space="preserve"> (%)</w:t>
            </w:r>
          </w:p>
        </w:tc>
        <w:tc>
          <w:tcPr>
            <w:tcW w:w="1276" w:type="dxa"/>
            <w:tcBorders>
              <w:top w:val="single" w:sz="4" w:space="0" w:color="auto"/>
              <w:bottom w:val="single" w:sz="4" w:space="0" w:color="auto"/>
            </w:tcBorders>
          </w:tcPr>
          <w:p w14:paraId="0D6D71EF" w14:textId="77777777" w:rsidR="0035069B" w:rsidRPr="00430F35" w:rsidRDefault="0035069B" w:rsidP="00A21E1D">
            <w:pPr>
              <w:jc w:val="center"/>
              <w:rPr>
                <w:i/>
                <w:sz w:val="21"/>
                <w:lang w:val="en-US"/>
              </w:rPr>
            </w:pPr>
            <w:r w:rsidRPr="00430F35">
              <w:rPr>
                <w:i/>
                <w:sz w:val="21"/>
                <w:lang w:val="en-US"/>
              </w:rPr>
              <w:t>Scenario D</w:t>
            </w:r>
          </w:p>
          <w:p w14:paraId="3AB8A3F5" w14:textId="77777777" w:rsidR="0035069B" w:rsidRPr="00430F35" w:rsidRDefault="0035069B" w:rsidP="00A21E1D">
            <w:pPr>
              <w:jc w:val="center"/>
              <w:rPr>
                <w:i/>
                <w:sz w:val="21"/>
                <w:lang w:val="en-US"/>
              </w:rPr>
            </w:pPr>
            <w:r w:rsidRPr="00430F35">
              <w:rPr>
                <w:i/>
                <w:sz w:val="21"/>
                <w:lang w:val="en-US"/>
              </w:rPr>
              <w:t>N = 57</w:t>
            </w:r>
          </w:p>
          <w:p w14:paraId="5876C871" w14:textId="77777777" w:rsidR="0035069B" w:rsidRPr="00430F35" w:rsidRDefault="0035069B" w:rsidP="00A21E1D">
            <w:pPr>
              <w:jc w:val="center"/>
              <w:rPr>
                <w:i/>
                <w:sz w:val="21"/>
                <w:lang w:val="en-US"/>
              </w:rPr>
            </w:pPr>
            <w:r w:rsidRPr="00430F35">
              <w:rPr>
                <w:i/>
                <w:sz w:val="21"/>
                <w:lang w:val="en-US"/>
              </w:rPr>
              <w:t>n</w:t>
            </w:r>
            <w:r w:rsidRPr="00430F35">
              <w:rPr>
                <w:sz w:val="21"/>
                <w:lang w:val="en-US"/>
              </w:rPr>
              <w:t xml:space="preserve"> (%)</w:t>
            </w:r>
          </w:p>
        </w:tc>
      </w:tr>
      <w:tr w:rsidR="0035069B" w:rsidRPr="00430F35" w14:paraId="0AEB954E" w14:textId="77777777" w:rsidTr="00A21E1D">
        <w:trPr>
          <w:trHeight w:val="517"/>
        </w:trPr>
        <w:tc>
          <w:tcPr>
            <w:tcW w:w="2977" w:type="dxa"/>
            <w:tcBorders>
              <w:top w:val="single" w:sz="4" w:space="0" w:color="auto"/>
            </w:tcBorders>
          </w:tcPr>
          <w:p w14:paraId="40FD3C98" w14:textId="77777777" w:rsidR="0035069B" w:rsidRPr="00430F35" w:rsidRDefault="0035069B" w:rsidP="00A21E1D">
            <w:pPr>
              <w:rPr>
                <w:sz w:val="21"/>
                <w:lang w:val="en-US"/>
              </w:rPr>
            </w:pPr>
            <w:r w:rsidRPr="00430F35">
              <w:rPr>
                <w:sz w:val="21"/>
                <w:lang w:val="en-US"/>
              </w:rPr>
              <w:t xml:space="preserve">Age </w:t>
            </w:r>
          </w:p>
        </w:tc>
        <w:tc>
          <w:tcPr>
            <w:tcW w:w="1559" w:type="dxa"/>
            <w:tcBorders>
              <w:top w:val="single" w:sz="4" w:space="0" w:color="auto"/>
            </w:tcBorders>
          </w:tcPr>
          <w:p w14:paraId="4E0A6471" w14:textId="77777777" w:rsidR="0035069B" w:rsidRPr="00430F35" w:rsidRDefault="0035069B" w:rsidP="00A21E1D">
            <w:pPr>
              <w:jc w:val="center"/>
              <w:rPr>
                <w:sz w:val="21"/>
                <w:lang w:val="en-US"/>
              </w:rPr>
            </w:pPr>
            <w:r w:rsidRPr="00430F35">
              <w:rPr>
                <w:sz w:val="21"/>
                <w:lang w:val="en-US"/>
              </w:rPr>
              <w:t>33.60 (8.83)</w:t>
            </w:r>
          </w:p>
        </w:tc>
        <w:tc>
          <w:tcPr>
            <w:tcW w:w="1418" w:type="dxa"/>
            <w:tcBorders>
              <w:top w:val="single" w:sz="4" w:space="0" w:color="auto"/>
            </w:tcBorders>
          </w:tcPr>
          <w:p w14:paraId="7FBC18FD" w14:textId="77777777" w:rsidR="0035069B" w:rsidRPr="00430F35" w:rsidRDefault="0035069B" w:rsidP="00A21E1D">
            <w:pPr>
              <w:jc w:val="center"/>
              <w:rPr>
                <w:sz w:val="21"/>
                <w:lang w:val="en-US"/>
              </w:rPr>
            </w:pPr>
            <w:r w:rsidRPr="00430F35">
              <w:rPr>
                <w:sz w:val="21"/>
                <w:lang w:val="en-US"/>
              </w:rPr>
              <w:t>29.54 (11.21)</w:t>
            </w:r>
          </w:p>
        </w:tc>
        <w:tc>
          <w:tcPr>
            <w:tcW w:w="1276" w:type="dxa"/>
            <w:tcBorders>
              <w:top w:val="single" w:sz="4" w:space="0" w:color="auto"/>
            </w:tcBorders>
          </w:tcPr>
          <w:p w14:paraId="6E17AF39" w14:textId="77777777" w:rsidR="0035069B" w:rsidRPr="00430F35" w:rsidRDefault="0035069B" w:rsidP="00A21E1D">
            <w:pPr>
              <w:jc w:val="center"/>
              <w:rPr>
                <w:sz w:val="21"/>
                <w:lang w:val="en-US"/>
              </w:rPr>
            </w:pPr>
            <w:r w:rsidRPr="00430F35">
              <w:rPr>
                <w:sz w:val="21"/>
                <w:lang w:val="en-US"/>
              </w:rPr>
              <w:t>35.00 (7.96)</w:t>
            </w:r>
          </w:p>
        </w:tc>
        <w:tc>
          <w:tcPr>
            <w:tcW w:w="1275" w:type="dxa"/>
            <w:tcBorders>
              <w:top w:val="single" w:sz="4" w:space="0" w:color="auto"/>
            </w:tcBorders>
          </w:tcPr>
          <w:p w14:paraId="1DAA0DBA" w14:textId="77777777" w:rsidR="0035069B" w:rsidRPr="00430F35" w:rsidRDefault="0035069B" w:rsidP="00A21E1D">
            <w:pPr>
              <w:jc w:val="center"/>
              <w:rPr>
                <w:sz w:val="21"/>
                <w:lang w:val="en-US"/>
              </w:rPr>
            </w:pPr>
            <w:r w:rsidRPr="00430F35">
              <w:rPr>
                <w:sz w:val="21"/>
                <w:lang w:val="en-US"/>
              </w:rPr>
              <w:t>34.10 (8.59)</w:t>
            </w:r>
          </w:p>
        </w:tc>
        <w:tc>
          <w:tcPr>
            <w:tcW w:w="1276" w:type="dxa"/>
            <w:tcBorders>
              <w:top w:val="single" w:sz="4" w:space="0" w:color="auto"/>
            </w:tcBorders>
          </w:tcPr>
          <w:p w14:paraId="1FDD6154" w14:textId="77777777" w:rsidR="0035069B" w:rsidRPr="00430F35" w:rsidRDefault="0035069B" w:rsidP="00A21E1D">
            <w:pPr>
              <w:jc w:val="center"/>
              <w:rPr>
                <w:sz w:val="21"/>
                <w:lang w:val="en-US"/>
              </w:rPr>
            </w:pPr>
            <w:r w:rsidRPr="00430F35">
              <w:rPr>
                <w:sz w:val="21"/>
                <w:lang w:val="en-US"/>
              </w:rPr>
              <w:t>34.04 (7.42)</w:t>
            </w:r>
          </w:p>
        </w:tc>
      </w:tr>
      <w:tr w:rsidR="0035069B" w:rsidRPr="00430F35" w14:paraId="1B9F866D" w14:textId="77777777" w:rsidTr="00A21E1D">
        <w:tc>
          <w:tcPr>
            <w:tcW w:w="2977" w:type="dxa"/>
          </w:tcPr>
          <w:p w14:paraId="0ACB973F" w14:textId="77777777" w:rsidR="0035069B" w:rsidRPr="00430F35" w:rsidRDefault="0035069B" w:rsidP="00A21E1D">
            <w:pPr>
              <w:ind w:firstLine="319"/>
              <w:rPr>
                <w:sz w:val="21"/>
                <w:lang w:val="en-US"/>
              </w:rPr>
            </w:pPr>
            <w:r w:rsidRPr="00430F35">
              <w:rPr>
                <w:sz w:val="21"/>
                <w:lang w:val="en-US"/>
              </w:rPr>
              <w:t>18-20</w:t>
            </w:r>
          </w:p>
        </w:tc>
        <w:tc>
          <w:tcPr>
            <w:tcW w:w="1559" w:type="dxa"/>
          </w:tcPr>
          <w:p w14:paraId="3F76116C" w14:textId="77777777" w:rsidR="0035069B" w:rsidRPr="00430F35" w:rsidRDefault="0035069B" w:rsidP="00A21E1D">
            <w:pPr>
              <w:jc w:val="center"/>
              <w:rPr>
                <w:sz w:val="21"/>
                <w:lang w:val="en-US"/>
              </w:rPr>
            </w:pPr>
            <w:r w:rsidRPr="00430F35">
              <w:rPr>
                <w:i/>
                <w:sz w:val="21"/>
                <w:lang w:val="en-US"/>
              </w:rPr>
              <w:t xml:space="preserve">21 </w:t>
            </w:r>
            <w:r w:rsidRPr="00430F35">
              <w:rPr>
                <w:sz w:val="21"/>
                <w:lang w:val="en-US"/>
              </w:rPr>
              <w:t>(7.7)</w:t>
            </w:r>
          </w:p>
        </w:tc>
        <w:tc>
          <w:tcPr>
            <w:tcW w:w="1418" w:type="dxa"/>
          </w:tcPr>
          <w:p w14:paraId="2F87254A" w14:textId="77777777" w:rsidR="0035069B" w:rsidRPr="00430F35" w:rsidRDefault="0035069B" w:rsidP="00A21E1D">
            <w:pPr>
              <w:jc w:val="center"/>
              <w:rPr>
                <w:i/>
                <w:sz w:val="21"/>
                <w:lang w:val="en-US"/>
              </w:rPr>
            </w:pPr>
            <w:r w:rsidRPr="00430F35">
              <w:rPr>
                <w:i/>
                <w:sz w:val="21"/>
                <w:lang w:val="en-US"/>
              </w:rPr>
              <w:t>9 (19.6)</w:t>
            </w:r>
          </w:p>
        </w:tc>
        <w:tc>
          <w:tcPr>
            <w:tcW w:w="1276" w:type="dxa"/>
          </w:tcPr>
          <w:p w14:paraId="6EAE658A" w14:textId="77777777" w:rsidR="0035069B" w:rsidRPr="00430F35" w:rsidRDefault="0035069B" w:rsidP="00A21E1D">
            <w:pPr>
              <w:jc w:val="center"/>
              <w:rPr>
                <w:i/>
                <w:sz w:val="21"/>
                <w:lang w:val="en-US"/>
              </w:rPr>
            </w:pPr>
            <w:r w:rsidRPr="00430F35">
              <w:rPr>
                <w:i/>
                <w:sz w:val="21"/>
                <w:lang w:val="en-US"/>
              </w:rPr>
              <w:t>2 (2.3)</w:t>
            </w:r>
          </w:p>
        </w:tc>
        <w:tc>
          <w:tcPr>
            <w:tcW w:w="1275" w:type="dxa"/>
          </w:tcPr>
          <w:p w14:paraId="337A6149" w14:textId="77777777" w:rsidR="0035069B" w:rsidRPr="00430F35" w:rsidRDefault="0035069B" w:rsidP="00A21E1D">
            <w:pPr>
              <w:jc w:val="center"/>
              <w:rPr>
                <w:i/>
                <w:sz w:val="21"/>
                <w:lang w:val="en-US"/>
              </w:rPr>
            </w:pPr>
            <w:r w:rsidRPr="00430F35">
              <w:rPr>
                <w:i/>
                <w:sz w:val="21"/>
                <w:lang w:val="en-US"/>
              </w:rPr>
              <w:t>5 (6.5)</w:t>
            </w:r>
          </w:p>
        </w:tc>
        <w:tc>
          <w:tcPr>
            <w:tcW w:w="1276" w:type="dxa"/>
          </w:tcPr>
          <w:p w14:paraId="78F2F4A0" w14:textId="77777777" w:rsidR="0035069B" w:rsidRPr="00430F35" w:rsidRDefault="0035069B" w:rsidP="00A21E1D">
            <w:pPr>
              <w:jc w:val="center"/>
              <w:rPr>
                <w:i/>
                <w:sz w:val="21"/>
                <w:lang w:val="en-US"/>
              </w:rPr>
            </w:pPr>
            <w:r w:rsidRPr="00430F35">
              <w:rPr>
                <w:i/>
                <w:sz w:val="21"/>
                <w:lang w:val="en-US"/>
              </w:rPr>
              <w:t>3 (5.3)</w:t>
            </w:r>
          </w:p>
        </w:tc>
      </w:tr>
      <w:tr w:rsidR="0035069B" w:rsidRPr="00430F35" w14:paraId="755E7BB2" w14:textId="77777777" w:rsidTr="00A21E1D">
        <w:trPr>
          <w:trHeight w:val="302"/>
        </w:trPr>
        <w:tc>
          <w:tcPr>
            <w:tcW w:w="2977" w:type="dxa"/>
          </w:tcPr>
          <w:p w14:paraId="51F4D771" w14:textId="77777777" w:rsidR="0035069B" w:rsidRPr="00430F35" w:rsidRDefault="0035069B" w:rsidP="00A21E1D">
            <w:pPr>
              <w:ind w:firstLine="319"/>
              <w:rPr>
                <w:sz w:val="21"/>
                <w:lang w:val="en-US"/>
              </w:rPr>
            </w:pPr>
            <w:r w:rsidRPr="00430F35">
              <w:rPr>
                <w:sz w:val="21"/>
                <w:lang w:val="en-US"/>
              </w:rPr>
              <w:t>21-30</w:t>
            </w:r>
          </w:p>
        </w:tc>
        <w:tc>
          <w:tcPr>
            <w:tcW w:w="1559" w:type="dxa"/>
          </w:tcPr>
          <w:p w14:paraId="38F9EDB5" w14:textId="77777777" w:rsidR="0035069B" w:rsidRPr="00430F35" w:rsidRDefault="0035069B" w:rsidP="00A21E1D">
            <w:pPr>
              <w:jc w:val="center"/>
              <w:rPr>
                <w:sz w:val="21"/>
                <w:lang w:val="en-US"/>
              </w:rPr>
            </w:pPr>
            <w:r w:rsidRPr="00430F35">
              <w:rPr>
                <w:i/>
                <w:sz w:val="21"/>
                <w:lang w:val="en-US"/>
              </w:rPr>
              <w:t xml:space="preserve">70 </w:t>
            </w:r>
            <w:r w:rsidRPr="00430F35">
              <w:rPr>
                <w:sz w:val="21"/>
                <w:lang w:val="en-US"/>
              </w:rPr>
              <w:t>(25.6)</w:t>
            </w:r>
          </w:p>
        </w:tc>
        <w:tc>
          <w:tcPr>
            <w:tcW w:w="1418" w:type="dxa"/>
          </w:tcPr>
          <w:p w14:paraId="6721028E" w14:textId="77777777" w:rsidR="0035069B" w:rsidRPr="00430F35" w:rsidRDefault="0035069B" w:rsidP="00A21E1D">
            <w:pPr>
              <w:jc w:val="center"/>
              <w:rPr>
                <w:i/>
                <w:sz w:val="21"/>
                <w:lang w:val="en-US"/>
              </w:rPr>
            </w:pPr>
            <w:r w:rsidRPr="00430F35">
              <w:rPr>
                <w:i/>
                <w:sz w:val="21"/>
                <w:lang w:val="en-US"/>
              </w:rPr>
              <w:t>25 (54.3)</w:t>
            </w:r>
          </w:p>
        </w:tc>
        <w:tc>
          <w:tcPr>
            <w:tcW w:w="1276" w:type="dxa"/>
          </w:tcPr>
          <w:p w14:paraId="786BFE90" w14:textId="77777777" w:rsidR="0035069B" w:rsidRPr="00430F35" w:rsidRDefault="0035069B" w:rsidP="00A21E1D">
            <w:pPr>
              <w:jc w:val="center"/>
              <w:rPr>
                <w:i/>
                <w:sz w:val="21"/>
                <w:lang w:val="en-US"/>
              </w:rPr>
            </w:pPr>
            <w:r w:rsidRPr="00430F35">
              <w:rPr>
                <w:i/>
                <w:sz w:val="21"/>
                <w:lang w:val="en-US"/>
              </w:rPr>
              <w:t>20 (23.0)</w:t>
            </w:r>
          </w:p>
        </w:tc>
        <w:tc>
          <w:tcPr>
            <w:tcW w:w="1275" w:type="dxa"/>
          </w:tcPr>
          <w:p w14:paraId="6211D99D" w14:textId="77777777" w:rsidR="0035069B" w:rsidRPr="00430F35" w:rsidRDefault="0035069B" w:rsidP="00A21E1D">
            <w:pPr>
              <w:jc w:val="center"/>
              <w:rPr>
                <w:i/>
                <w:sz w:val="21"/>
                <w:lang w:val="en-US"/>
              </w:rPr>
            </w:pPr>
            <w:r w:rsidRPr="00430F35">
              <w:rPr>
                <w:i/>
                <w:sz w:val="21"/>
                <w:lang w:val="en-US"/>
              </w:rPr>
              <w:t>18 (23.4)</w:t>
            </w:r>
          </w:p>
        </w:tc>
        <w:tc>
          <w:tcPr>
            <w:tcW w:w="1276" w:type="dxa"/>
          </w:tcPr>
          <w:p w14:paraId="61D64D40" w14:textId="77777777" w:rsidR="0035069B" w:rsidRPr="00430F35" w:rsidRDefault="0035069B" w:rsidP="00A21E1D">
            <w:pPr>
              <w:jc w:val="center"/>
              <w:rPr>
                <w:i/>
                <w:sz w:val="21"/>
                <w:lang w:val="en-US"/>
              </w:rPr>
            </w:pPr>
            <w:r w:rsidRPr="00430F35">
              <w:rPr>
                <w:i/>
                <w:sz w:val="21"/>
                <w:lang w:val="en-US"/>
              </w:rPr>
              <w:t>11 (19.3)</w:t>
            </w:r>
          </w:p>
        </w:tc>
      </w:tr>
      <w:tr w:rsidR="0035069B" w:rsidRPr="00430F35" w14:paraId="75FC6404" w14:textId="77777777" w:rsidTr="00A21E1D">
        <w:trPr>
          <w:trHeight w:val="526"/>
        </w:trPr>
        <w:tc>
          <w:tcPr>
            <w:tcW w:w="2977" w:type="dxa"/>
          </w:tcPr>
          <w:p w14:paraId="44BC47A3" w14:textId="77777777" w:rsidR="0035069B" w:rsidRPr="00430F35" w:rsidRDefault="0035069B" w:rsidP="00A21E1D">
            <w:pPr>
              <w:ind w:firstLine="319"/>
              <w:rPr>
                <w:sz w:val="21"/>
                <w:lang w:val="en-US"/>
              </w:rPr>
            </w:pPr>
            <w:r w:rsidRPr="00430F35">
              <w:rPr>
                <w:sz w:val="21"/>
                <w:lang w:val="en-US"/>
              </w:rPr>
              <w:t>31-40</w:t>
            </w:r>
          </w:p>
        </w:tc>
        <w:tc>
          <w:tcPr>
            <w:tcW w:w="1559" w:type="dxa"/>
          </w:tcPr>
          <w:p w14:paraId="06150851" w14:textId="77777777" w:rsidR="0035069B" w:rsidRPr="00430F35" w:rsidRDefault="0035069B" w:rsidP="00A21E1D">
            <w:pPr>
              <w:jc w:val="center"/>
              <w:rPr>
                <w:sz w:val="21"/>
                <w:lang w:val="en-US"/>
              </w:rPr>
            </w:pPr>
            <w:r w:rsidRPr="00430F35">
              <w:rPr>
                <w:i/>
                <w:sz w:val="21"/>
                <w:lang w:val="en-US"/>
              </w:rPr>
              <w:t>125</w:t>
            </w:r>
            <w:r w:rsidRPr="00430F35">
              <w:rPr>
                <w:sz w:val="21"/>
                <w:lang w:val="en-US"/>
              </w:rPr>
              <w:t xml:space="preserve"> (45.8)</w:t>
            </w:r>
          </w:p>
        </w:tc>
        <w:tc>
          <w:tcPr>
            <w:tcW w:w="1418" w:type="dxa"/>
          </w:tcPr>
          <w:p w14:paraId="6FECC591" w14:textId="77777777" w:rsidR="0035069B" w:rsidRPr="00430F35" w:rsidRDefault="0035069B" w:rsidP="00A21E1D">
            <w:pPr>
              <w:jc w:val="center"/>
              <w:rPr>
                <w:i/>
                <w:sz w:val="21"/>
                <w:lang w:val="en-US"/>
              </w:rPr>
            </w:pPr>
            <w:r w:rsidRPr="00430F35">
              <w:rPr>
                <w:i/>
                <w:sz w:val="21"/>
                <w:lang w:val="en-US"/>
              </w:rPr>
              <w:t>9 (19.6)</w:t>
            </w:r>
          </w:p>
        </w:tc>
        <w:tc>
          <w:tcPr>
            <w:tcW w:w="1276" w:type="dxa"/>
          </w:tcPr>
          <w:p w14:paraId="69644A14" w14:textId="77777777" w:rsidR="0035069B" w:rsidRPr="00430F35" w:rsidRDefault="0035069B" w:rsidP="00A21E1D">
            <w:pPr>
              <w:jc w:val="center"/>
              <w:rPr>
                <w:i/>
                <w:sz w:val="21"/>
                <w:lang w:val="en-US"/>
              </w:rPr>
            </w:pPr>
            <w:r w:rsidRPr="00430F35">
              <w:rPr>
                <w:i/>
                <w:sz w:val="21"/>
                <w:lang w:val="en-US"/>
              </w:rPr>
              <w:t>46 (52.9)</w:t>
            </w:r>
          </w:p>
        </w:tc>
        <w:tc>
          <w:tcPr>
            <w:tcW w:w="1275" w:type="dxa"/>
          </w:tcPr>
          <w:p w14:paraId="477ACB97" w14:textId="77777777" w:rsidR="0035069B" w:rsidRPr="00430F35" w:rsidRDefault="0035069B" w:rsidP="00A21E1D">
            <w:pPr>
              <w:jc w:val="center"/>
              <w:rPr>
                <w:i/>
                <w:sz w:val="21"/>
                <w:lang w:val="en-US"/>
              </w:rPr>
            </w:pPr>
            <w:r w:rsidRPr="00430F35">
              <w:rPr>
                <w:i/>
                <w:sz w:val="21"/>
                <w:lang w:val="en-US"/>
              </w:rPr>
              <w:t>35 (45.5))</w:t>
            </w:r>
          </w:p>
        </w:tc>
        <w:tc>
          <w:tcPr>
            <w:tcW w:w="1276" w:type="dxa"/>
          </w:tcPr>
          <w:p w14:paraId="4CE13007" w14:textId="77777777" w:rsidR="0035069B" w:rsidRPr="00430F35" w:rsidRDefault="0035069B" w:rsidP="00A21E1D">
            <w:pPr>
              <w:jc w:val="center"/>
              <w:rPr>
                <w:i/>
                <w:sz w:val="21"/>
                <w:lang w:val="en-US"/>
              </w:rPr>
            </w:pPr>
            <w:r w:rsidRPr="00430F35">
              <w:rPr>
                <w:i/>
                <w:sz w:val="21"/>
                <w:lang w:val="en-US"/>
              </w:rPr>
              <w:t>33 (57.9)</w:t>
            </w:r>
          </w:p>
        </w:tc>
      </w:tr>
      <w:tr w:rsidR="0035069B" w:rsidRPr="00430F35" w14:paraId="2D1148D2" w14:textId="77777777" w:rsidTr="00A21E1D">
        <w:trPr>
          <w:trHeight w:val="526"/>
        </w:trPr>
        <w:tc>
          <w:tcPr>
            <w:tcW w:w="2977" w:type="dxa"/>
          </w:tcPr>
          <w:p w14:paraId="6E95E7BC" w14:textId="77777777" w:rsidR="0035069B" w:rsidRPr="00430F35" w:rsidRDefault="0035069B" w:rsidP="00A21E1D">
            <w:pPr>
              <w:ind w:firstLine="319"/>
              <w:rPr>
                <w:sz w:val="21"/>
                <w:lang w:val="en-US"/>
              </w:rPr>
            </w:pPr>
            <w:r w:rsidRPr="00430F35">
              <w:rPr>
                <w:sz w:val="21"/>
                <w:lang w:val="en-US"/>
              </w:rPr>
              <w:t>41-50</w:t>
            </w:r>
          </w:p>
        </w:tc>
        <w:tc>
          <w:tcPr>
            <w:tcW w:w="1559" w:type="dxa"/>
          </w:tcPr>
          <w:p w14:paraId="07E801EC" w14:textId="77777777" w:rsidR="0035069B" w:rsidRPr="00430F35" w:rsidRDefault="0035069B" w:rsidP="00A21E1D">
            <w:pPr>
              <w:jc w:val="center"/>
              <w:rPr>
                <w:sz w:val="21"/>
                <w:lang w:val="en-US"/>
              </w:rPr>
            </w:pPr>
            <w:r w:rsidRPr="00430F35">
              <w:rPr>
                <w:i/>
                <w:sz w:val="21"/>
                <w:lang w:val="en-US"/>
              </w:rPr>
              <w:t>47</w:t>
            </w:r>
            <w:r w:rsidRPr="00430F35">
              <w:rPr>
                <w:sz w:val="21"/>
                <w:lang w:val="en-US"/>
              </w:rPr>
              <w:t xml:space="preserve"> (17.2)</w:t>
            </w:r>
          </w:p>
        </w:tc>
        <w:tc>
          <w:tcPr>
            <w:tcW w:w="1418" w:type="dxa"/>
          </w:tcPr>
          <w:p w14:paraId="6A9E807E" w14:textId="77777777" w:rsidR="0035069B" w:rsidRPr="00430F35" w:rsidRDefault="0035069B" w:rsidP="00A21E1D">
            <w:pPr>
              <w:jc w:val="center"/>
              <w:rPr>
                <w:i/>
                <w:sz w:val="21"/>
                <w:lang w:val="en-US"/>
              </w:rPr>
            </w:pPr>
            <w:r w:rsidRPr="00430F35">
              <w:rPr>
                <w:i/>
                <w:sz w:val="21"/>
                <w:lang w:val="en-US"/>
              </w:rPr>
              <w:t>7 (15.2)</w:t>
            </w:r>
          </w:p>
        </w:tc>
        <w:tc>
          <w:tcPr>
            <w:tcW w:w="1276" w:type="dxa"/>
          </w:tcPr>
          <w:p w14:paraId="5DB43FBB" w14:textId="77777777" w:rsidR="0035069B" w:rsidRPr="00430F35" w:rsidRDefault="0035069B" w:rsidP="00A21E1D">
            <w:pPr>
              <w:jc w:val="center"/>
              <w:rPr>
                <w:i/>
                <w:sz w:val="21"/>
                <w:lang w:val="en-US"/>
              </w:rPr>
            </w:pPr>
            <w:r w:rsidRPr="00430F35">
              <w:rPr>
                <w:i/>
                <w:sz w:val="21"/>
                <w:lang w:val="en-US"/>
              </w:rPr>
              <w:t>15 (17,.2)</w:t>
            </w:r>
          </w:p>
        </w:tc>
        <w:tc>
          <w:tcPr>
            <w:tcW w:w="1275" w:type="dxa"/>
          </w:tcPr>
          <w:p w14:paraId="66FDE098" w14:textId="77777777" w:rsidR="0035069B" w:rsidRPr="00430F35" w:rsidRDefault="0035069B" w:rsidP="00A21E1D">
            <w:pPr>
              <w:jc w:val="center"/>
              <w:rPr>
                <w:i/>
                <w:sz w:val="21"/>
                <w:lang w:val="en-US"/>
              </w:rPr>
            </w:pPr>
            <w:r w:rsidRPr="00430F35">
              <w:rPr>
                <w:i/>
                <w:sz w:val="21"/>
                <w:lang w:val="en-US"/>
              </w:rPr>
              <w:t>16 (20.8)</w:t>
            </w:r>
          </w:p>
        </w:tc>
        <w:tc>
          <w:tcPr>
            <w:tcW w:w="1276" w:type="dxa"/>
          </w:tcPr>
          <w:p w14:paraId="349E0421" w14:textId="77777777" w:rsidR="0035069B" w:rsidRPr="00430F35" w:rsidRDefault="0035069B" w:rsidP="00A21E1D">
            <w:pPr>
              <w:jc w:val="center"/>
              <w:rPr>
                <w:i/>
                <w:sz w:val="21"/>
                <w:lang w:val="en-US"/>
              </w:rPr>
            </w:pPr>
            <w:r w:rsidRPr="00430F35">
              <w:rPr>
                <w:i/>
                <w:sz w:val="21"/>
                <w:lang w:val="en-US"/>
              </w:rPr>
              <w:t>9 (15.8)</w:t>
            </w:r>
          </w:p>
        </w:tc>
      </w:tr>
      <w:tr w:rsidR="0035069B" w:rsidRPr="00430F35" w14:paraId="6C65E491" w14:textId="77777777" w:rsidTr="00A21E1D">
        <w:trPr>
          <w:trHeight w:val="386"/>
        </w:trPr>
        <w:tc>
          <w:tcPr>
            <w:tcW w:w="2977" w:type="dxa"/>
          </w:tcPr>
          <w:p w14:paraId="0B236A2C" w14:textId="77777777" w:rsidR="0035069B" w:rsidRPr="00430F35" w:rsidRDefault="0035069B" w:rsidP="00A21E1D">
            <w:pPr>
              <w:ind w:firstLine="319"/>
              <w:rPr>
                <w:sz w:val="21"/>
                <w:lang w:val="en-US"/>
              </w:rPr>
            </w:pPr>
            <w:r w:rsidRPr="00430F35">
              <w:rPr>
                <w:sz w:val="21"/>
                <w:lang w:val="en-US"/>
              </w:rPr>
              <w:t>51-60</w:t>
            </w:r>
          </w:p>
        </w:tc>
        <w:tc>
          <w:tcPr>
            <w:tcW w:w="1559" w:type="dxa"/>
          </w:tcPr>
          <w:p w14:paraId="68ACD134" w14:textId="77777777" w:rsidR="0035069B" w:rsidRPr="00430F35" w:rsidRDefault="0035069B" w:rsidP="00A21E1D">
            <w:pPr>
              <w:jc w:val="center"/>
              <w:rPr>
                <w:sz w:val="21"/>
                <w:lang w:val="en-US"/>
              </w:rPr>
            </w:pPr>
            <w:r w:rsidRPr="00430F35">
              <w:rPr>
                <w:i/>
                <w:sz w:val="21"/>
                <w:lang w:val="en-US"/>
              </w:rPr>
              <w:t>10</w:t>
            </w:r>
            <w:r w:rsidRPr="00430F35">
              <w:rPr>
                <w:sz w:val="21"/>
                <w:lang w:val="en-US"/>
              </w:rPr>
              <w:t xml:space="preserve"> (3.7)</w:t>
            </w:r>
          </w:p>
        </w:tc>
        <w:tc>
          <w:tcPr>
            <w:tcW w:w="1418" w:type="dxa"/>
          </w:tcPr>
          <w:p w14:paraId="48E2B313" w14:textId="77777777" w:rsidR="0035069B" w:rsidRPr="00430F35" w:rsidRDefault="0035069B" w:rsidP="00A21E1D">
            <w:pPr>
              <w:jc w:val="center"/>
              <w:rPr>
                <w:i/>
                <w:sz w:val="21"/>
                <w:lang w:val="en-US"/>
              </w:rPr>
            </w:pPr>
            <w:r w:rsidRPr="00430F35">
              <w:rPr>
                <w:i/>
                <w:sz w:val="21"/>
                <w:lang w:val="en-US"/>
              </w:rPr>
              <w:t>2 (4.3)</w:t>
            </w:r>
          </w:p>
        </w:tc>
        <w:tc>
          <w:tcPr>
            <w:tcW w:w="1276" w:type="dxa"/>
          </w:tcPr>
          <w:p w14:paraId="3BFCAB0E" w14:textId="77777777" w:rsidR="0035069B" w:rsidRPr="00430F35" w:rsidRDefault="0035069B" w:rsidP="00A21E1D">
            <w:pPr>
              <w:jc w:val="center"/>
              <w:rPr>
                <w:i/>
                <w:sz w:val="21"/>
                <w:lang w:val="en-US"/>
              </w:rPr>
            </w:pPr>
            <w:r w:rsidRPr="00430F35">
              <w:rPr>
                <w:i/>
                <w:sz w:val="21"/>
                <w:lang w:val="en-US"/>
              </w:rPr>
              <w:t>4 (4.6)</w:t>
            </w:r>
          </w:p>
        </w:tc>
        <w:tc>
          <w:tcPr>
            <w:tcW w:w="1275" w:type="dxa"/>
          </w:tcPr>
          <w:p w14:paraId="673B190B" w14:textId="77777777" w:rsidR="0035069B" w:rsidRPr="00430F35" w:rsidRDefault="0035069B" w:rsidP="00A21E1D">
            <w:pPr>
              <w:jc w:val="center"/>
              <w:rPr>
                <w:i/>
                <w:sz w:val="21"/>
                <w:lang w:val="en-US"/>
              </w:rPr>
            </w:pPr>
            <w:r w:rsidRPr="00430F35">
              <w:rPr>
                <w:i/>
                <w:sz w:val="21"/>
                <w:lang w:val="en-US"/>
              </w:rPr>
              <w:t>1 (1.3)</w:t>
            </w:r>
          </w:p>
        </w:tc>
        <w:tc>
          <w:tcPr>
            <w:tcW w:w="1276" w:type="dxa"/>
          </w:tcPr>
          <w:p w14:paraId="613C967B" w14:textId="77777777" w:rsidR="0035069B" w:rsidRPr="00430F35" w:rsidRDefault="0035069B" w:rsidP="00A21E1D">
            <w:pPr>
              <w:jc w:val="center"/>
              <w:rPr>
                <w:i/>
                <w:sz w:val="21"/>
                <w:lang w:val="en-US"/>
              </w:rPr>
            </w:pPr>
            <w:r w:rsidRPr="00430F35">
              <w:rPr>
                <w:i/>
                <w:sz w:val="21"/>
                <w:lang w:val="en-US"/>
              </w:rPr>
              <w:t>1 (1.8)</w:t>
            </w:r>
          </w:p>
        </w:tc>
      </w:tr>
      <w:tr w:rsidR="0035069B" w:rsidRPr="00430F35" w14:paraId="3B80F178" w14:textId="77777777" w:rsidTr="00A21E1D">
        <w:trPr>
          <w:trHeight w:val="553"/>
        </w:trPr>
        <w:tc>
          <w:tcPr>
            <w:tcW w:w="2977" w:type="dxa"/>
          </w:tcPr>
          <w:p w14:paraId="1BFE807F" w14:textId="77777777" w:rsidR="0035069B" w:rsidRPr="00430F35" w:rsidRDefault="0035069B" w:rsidP="00A21E1D">
            <w:pPr>
              <w:rPr>
                <w:sz w:val="21"/>
                <w:lang w:val="en-US"/>
              </w:rPr>
            </w:pPr>
            <w:r w:rsidRPr="00430F35">
              <w:rPr>
                <w:sz w:val="21"/>
                <w:lang w:val="en-US"/>
              </w:rPr>
              <w:t>Marital status</w:t>
            </w:r>
          </w:p>
        </w:tc>
        <w:tc>
          <w:tcPr>
            <w:tcW w:w="1559" w:type="dxa"/>
          </w:tcPr>
          <w:p w14:paraId="0D943852" w14:textId="77777777" w:rsidR="0035069B" w:rsidRPr="00430F35" w:rsidRDefault="0035069B" w:rsidP="00A21E1D">
            <w:pPr>
              <w:jc w:val="center"/>
              <w:rPr>
                <w:sz w:val="21"/>
                <w:lang w:val="en-US"/>
              </w:rPr>
            </w:pPr>
          </w:p>
        </w:tc>
        <w:tc>
          <w:tcPr>
            <w:tcW w:w="1418" w:type="dxa"/>
          </w:tcPr>
          <w:p w14:paraId="0A414D67" w14:textId="77777777" w:rsidR="0035069B" w:rsidRPr="00430F35" w:rsidRDefault="0035069B" w:rsidP="00A21E1D">
            <w:pPr>
              <w:jc w:val="center"/>
              <w:rPr>
                <w:sz w:val="21"/>
                <w:lang w:val="en-US"/>
              </w:rPr>
            </w:pPr>
          </w:p>
        </w:tc>
        <w:tc>
          <w:tcPr>
            <w:tcW w:w="1276" w:type="dxa"/>
          </w:tcPr>
          <w:p w14:paraId="064310F5" w14:textId="77777777" w:rsidR="0035069B" w:rsidRPr="00430F35" w:rsidRDefault="0035069B" w:rsidP="00A21E1D">
            <w:pPr>
              <w:jc w:val="center"/>
              <w:rPr>
                <w:sz w:val="21"/>
                <w:lang w:val="en-US"/>
              </w:rPr>
            </w:pPr>
          </w:p>
        </w:tc>
        <w:tc>
          <w:tcPr>
            <w:tcW w:w="1275" w:type="dxa"/>
          </w:tcPr>
          <w:p w14:paraId="55EE44BE" w14:textId="77777777" w:rsidR="0035069B" w:rsidRPr="00430F35" w:rsidRDefault="0035069B" w:rsidP="00A21E1D">
            <w:pPr>
              <w:jc w:val="center"/>
              <w:rPr>
                <w:sz w:val="21"/>
                <w:lang w:val="en-US"/>
              </w:rPr>
            </w:pPr>
          </w:p>
        </w:tc>
        <w:tc>
          <w:tcPr>
            <w:tcW w:w="1276" w:type="dxa"/>
          </w:tcPr>
          <w:p w14:paraId="30D020A4" w14:textId="77777777" w:rsidR="0035069B" w:rsidRPr="00430F35" w:rsidRDefault="0035069B" w:rsidP="00A21E1D">
            <w:pPr>
              <w:jc w:val="center"/>
              <w:rPr>
                <w:sz w:val="21"/>
                <w:lang w:val="en-US"/>
              </w:rPr>
            </w:pPr>
          </w:p>
        </w:tc>
      </w:tr>
      <w:tr w:rsidR="0035069B" w:rsidRPr="00430F35" w14:paraId="095357DF" w14:textId="77777777" w:rsidTr="00A21E1D">
        <w:tc>
          <w:tcPr>
            <w:tcW w:w="2977" w:type="dxa"/>
          </w:tcPr>
          <w:p w14:paraId="5CBC63C8" w14:textId="77777777" w:rsidR="0035069B" w:rsidRPr="00430F35" w:rsidRDefault="0035069B" w:rsidP="00A21E1D">
            <w:pPr>
              <w:ind w:firstLine="319"/>
              <w:rPr>
                <w:sz w:val="21"/>
                <w:lang w:val="en-US"/>
              </w:rPr>
            </w:pPr>
            <w:r w:rsidRPr="00430F35">
              <w:rPr>
                <w:sz w:val="21"/>
                <w:lang w:val="en-US"/>
              </w:rPr>
              <w:t xml:space="preserve">Single </w:t>
            </w:r>
          </w:p>
        </w:tc>
        <w:tc>
          <w:tcPr>
            <w:tcW w:w="1559" w:type="dxa"/>
          </w:tcPr>
          <w:p w14:paraId="424CCBAB" w14:textId="77777777" w:rsidR="0035069B" w:rsidRPr="00430F35" w:rsidRDefault="0035069B" w:rsidP="00A21E1D">
            <w:pPr>
              <w:jc w:val="center"/>
              <w:rPr>
                <w:sz w:val="21"/>
                <w:lang w:val="en-US"/>
              </w:rPr>
            </w:pPr>
            <w:r w:rsidRPr="00430F35">
              <w:rPr>
                <w:i/>
                <w:sz w:val="21"/>
                <w:lang w:val="en-US"/>
              </w:rPr>
              <w:t>77</w:t>
            </w:r>
            <w:r w:rsidRPr="00430F35">
              <w:rPr>
                <w:sz w:val="21"/>
                <w:lang w:val="en-US"/>
              </w:rPr>
              <w:t xml:space="preserve"> (28.8)</w:t>
            </w:r>
          </w:p>
        </w:tc>
        <w:tc>
          <w:tcPr>
            <w:tcW w:w="1418" w:type="dxa"/>
          </w:tcPr>
          <w:p w14:paraId="172E3B10" w14:textId="77777777" w:rsidR="0035069B" w:rsidRPr="00430F35" w:rsidRDefault="0035069B" w:rsidP="00A21E1D">
            <w:pPr>
              <w:jc w:val="center"/>
              <w:rPr>
                <w:i/>
                <w:sz w:val="21"/>
                <w:lang w:val="en-US"/>
              </w:rPr>
            </w:pPr>
            <w:r w:rsidRPr="00430F35">
              <w:rPr>
                <w:i/>
                <w:sz w:val="21"/>
                <w:lang w:val="en-US"/>
              </w:rPr>
              <w:t>29 (63.0)</w:t>
            </w:r>
          </w:p>
        </w:tc>
        <w:tc>
          <w:tcPr>
            <w:tcW w:w="1276" w:type="dxa"/>
          </w:tcPr>
          <w:p w14:paraId="639C836B" w14:textId="77777777" w:rsidR="0035069B" w:rsidRPr="00430F35" w:rsidRDefault="0035069B" w:rsidP="00A21E1D">
            <w:pPr>
              <w:jc w:val="center"/>
              <w:rPr>
                <w:i/>
                <w:sz w:val="21"/>
                <w:lang w:val="en-US"/>
              </w:rPr>
            </w:pPr>
            <w:r w:rsidRPr="00430F35">
              <w:rPr>
                <w:i/>
                <w:sz w:val="21"/>
                <w:lang w:val="en-US"/>
              </w:rPr>
              <w:t>13(14.9)</w:t>
            </w:r>
          </w:p>
        </w:tc>
        <w:tc>
          <w:tcPr>
            <w:tcW w:w="1275" w:type="dxa"/>
          </w:tcPr>
          <w:p w14:paraId="066A78F7" w14:textId="77777777" w:rsidR="0035069B" w:rsidRPr="00430F35" w:rsidRDefault="0035069B" w:rsidP="00A21E1D">
            <w:pPr>
              <w:jc w:val="center"/>
              <w:rPr>
                <w:i/>
                <w:sz w:val="21"/>
                <w:lang w:val="en-US"/>
              </w:rPr>
            </w:pPr>
            <w:r w:rsidRPr="00430F35">
              <w:rPr>
                <w:i/>
                <w:sz w:val="21"/>
                <w:lang w:val="en-US"/>
              </w:rPr>
              <w:t>20 (26.0)</w:t>
            </w:r>
          </w:p>
        </w:tc>
        <w:tc>
          <w:tcPr>
            <w:tcW w:w="1276" w:type="dxa"/>
          </w:tcPr>
          <w:p w14:paraId="3DAF4E15" w14:textId="77777777" w:rsidR="0035069B" w:rsidRPr="00430F35" w:rsidRDefault="0035069B" w:rsidP="00A21E1D">
            <w:pPr>
              <w:jc w:val="center"/>
              <w:rPr>
                <w:i/>
                <w:sz w:val="21"/>
                <w:lang w:val="en-US"/>
              </w:rPr>
            </w:pPr>
            <w:r w:rsidRPr="00430F35">
              <w:rPr>
                <w:i/>
                <w:sz w:val="21"/>
                <w:lang w:val="en-US"/>
              </w:rPr>
              <w:t>15 (26.3)</w:t>
            </w:r>
          </w:p>
        </w:tc>
      </w:tr>
      <w:tr w:rsidR="0035069B" w:rsidRPr="00430F35" w14:paraId="2B1BD5CA" w14:textId="77777777" w:rsidTr="00A21E1D">
        <w:tc>
          <w:tcPr>
            <w:tcW w:w="2977" w:type="dxa"/>
          </w:tcPr>
          <w:p w14:paraId="5D5EAA20" w14:textId="77777777" w:rsidR="0035069B" w:rsidRPr="00430F35" w:rsidRDefault="0035069B" w:rsidP="00A21E1D">
            <w:pPr>
              <w:ind w:firstLine="319"/>
              <w:rPr>
                <w:sz w:val="21"/>
                <w:lang w:val="en-US"/>
              </w:rPr>
            </w:pPr>
            <w:r w:rsidRPr="00430F35">
              <w:rPr>
                <w:sz w:val="21"/>
                <w:lang w:val="en-US"/>
              </w:rPr>
              <w:t>Married</w:t>
            </w:r>
          </w:p>
        </w:tc>
        <w:tc>
          <w:tcPr>
            <w:tcW w:w="1559" w:type="dxa"/>
          </w:tcPr>
          <w:p w14:paraId="13B17C99" w14:textId="77777777" w:rsidR="0035069B" w:rsidRPr="00430F35" w:rsidRDefault="0035069B" w:rsidP="00A21E1D">
            <w:pPr>
              <w:jc w:val="center"/>
              <w:rPr>
                <w:sz w:val="21"/>
                <w:lang w:val="en-US"/>
              </w:rPr>
            </w:pPr>
            <w:r w:rsidRPr="00430F35">
              <w:rPr>
                <w:i/>
                <w:sz w:val="21"/>
                <w:lang w:val="en-US"/>
              </w:rPr>
              <w:t>122</w:t>
            </w:r>
            <w:r w:rsidRPr="00430F35">
              <w:rPr>
                <w:sz w:val="21"/>
                <w:lang w:val="en-US"/>
              </w:rPr>
              <w:t xml:space="preserve"> (45.7)</w:t>
            </w:r>
          </w:p>
        </w:tc>
        <w:tc>
          <w:tcPr>
            <w:tcW w:w="1418" w:type="dxa"/>
          </w:tcPr>
          <w:p w14:paraId="1B05AD6F" w14:textId="77777777" w:rsidR="0035069B" w:rsidRPr="00430F35" w:rsidRDefault="0035069B" w:rsidP="00A21E1D">
            <w:pPr>
              <w:jc w:val="center"/>
              <w:rPr>
                <w:i/>
                <w:sz w:val="21"/>
                <w:lang w:val="en-US"/>
              </w:rPr>
            </w:pPr>
            <w:r w:rsidRPr="00430F35">
              <w:rPr>
                <w:i/>
                <w:sz w:val="21"/>
                <w:lang w:val="en-US"/>
              </w:rPr>
              <w:t>9 (19.6)</w:t>
            </w:r>
          </w:p>
        </w:tc>
        <w:tc>
          <w:tcPr>
            <w:tcW w:w="1276" w:type="dxa"/>
          </w:tcPr>
          <w:p w14:paraId="43DB4979" w14:textId="77777777" w:rsidR="0035069B" w:rsidRPr="00430F35" w:rsidRDefault="0035069B" w:rsidP="00A21E1D">
            <w:pPr>
              <w:jc w:val="center"/>
              <w:rPr>
                <w:i/>
                <w:sz w:val="21"/>
                <w:lang w:val="en-US"/>
              </w:rPr>
            </w:pPr>
            <w:r w:rsidRPr="00430F35">
              <w:rPr>
                <w:i/>
                <w:sz w:val="21"/>
                <w:lang w:val="en-US"/>
              </w:rPr>
              <w:t>45 (51.7)</w:t>
            </w:r>
          </w:p>
        </w:tc>
        <w:tc>
          <w:tcPr>
            <w:tcW w:w="1275" w:type="dxa"/>
          </w:tcPr>
          <w:p w14:paraId="4E9E921B" w14:textId="77777777" w:rsidR="0035069B" w:rsidRPr="00430F35" w:rsidRDefault="0035069B" w:rsidP="00A21E1D">
            <w:pPr>
              <w:jc w:val="center"/>
              <w:rPr>
                <w:i/>
                <w:sz w:val="21"/>
                <w:lang w:val="en-US"/>
              </w:rPr>
            </w:pPr>
            <w:r w:rsidRPr="00430F35">
              <w:rPr>
                <w:i/>
                <w:sz w:val="21"/>
                <w:lang w:val="en-US"/>
              </w:rPr>
              <w:t>40 (51.9)</w:t>
            </w:r>
          </w:p>
        </w:tc>
        <w:tc>
          <w:tcPr>
            <w:tcW w:w="1276" w:type="dxa"/>
          </w:tcPr>
          <w:p w14:paraId="3457E5E8" w14:textId="77777777" w:rsidR="0035069B" w:rsidRPr="00430F35" w:rsidRDefault="0035069B" w:rsidP="00A21E1D">
            <w:pPr>
              <w:jc w:val="center"/>
              <w:rPr>
                <w:i/>
                <w:sz w:val="21"/>
                <w:lang w:val="en-US"/>
              </w:rPr>
            </w:pPr>
            <w:r w:rsidRPr="00430F35">
              <w:rPr>
                <w:i/>
                <w:sz w:val="21"/>
                <w:lang w:val="en-US"/>
              </w:rPr>
              <w:t>28 (49.1)</w:t>
            </w:r>
          </w:p>
        </w:tc>
      </w:tr>
      <w:tr w:rsidR="0035069B" w:rsidRPr="00430F35" w14:paraId="1715DA1C" w14:textId="77777777" w:rsidTr="00A21E1D">
        <w:tc>
          <w:tcPr>
            <w:tcW w:w="2977" w:type="dxa"/>
          </w:tcPr>
          <w:p w14:paraId="65E57E6C" w14:textId="77777777" w:rsidR="0035069B" w:rsidRPr="00430F35" w:rsidRDefault="0035069B" w:rsidP="00A21E1D">
            <w:pPr>
              <w:ind w:firstLine="319"/>
              <w:rPr>
                <w:sz w:val="21"/>
                <w:lang w:val="en-US"/>
              </w:rPr>
            </w:pPr>
            <w:r w:rsidRPr="00430F35">
              <w:rPr>
                <w:sz w:val="21"/>
                <w:lang w:val="en-US"/>
              </w:rPr>
              <w:t>Divorced</w:t>
            </w:r>
          </w:p>
        </w:tc>
        <w:tc>
          <w:tcPr>
            <w:tcW w:w="1559" w:type="dxa"/>
          </w:tcPr>
          <w:p w14:paraId="302FDF7C" w14:textId="77777777" w:rsidR="0035069B" w:rsidRPr="00430F35" w:rsidRDefault="0035069B" w:rsidP="00A21E1D">
            <w:pPr>
              <w:jc w:val="center"/>
              <w:rPr>
                <w:sz w:val="21"/>
                <w:lang w:val="en-US"/>
              </w:rPr>
            </w:pPr>
            <w:r w:rsidRPr="00430F35">
              <w:rPr>
                <w:i/>
                <w:sz w:val="21"/>
                <w:lang w:val="en-US"/>
              </w:rPr>
              <w:t>10</w:t>
            </w:r>
            <w:r w:rsidRPr="00430F35">
              <w:rPr>
                <w:sz w:val="21"/>
                <w:lang w:val="en-US"/>
              </w:rPr>
              <w:t xml:space="preserve"> (3.7)</w:t>
            </w:r>
          </w:p>
        </w:tc>
        <w:tc>
          <w:tcPr>
            <w:tcW w:w="1418" w:type="dxa"/>
          </w:tcPr>
          <w:p w14:paraId="379D6141" w14:textId="77777777" w:rsidR="0035069B" w:rsidRPr="00430F35" w:rsidRDefault="0035069B" w:rsidP="00A21E1D">
            <w:pPr>
              <w:jc w:val="center"/>
              <w:rPr>
                <w:i/>
                <w:sz w:val="21"/>
                <w:lang w:val="en-US"/>
              </w:rPr>
            </w:pPr>
            <w:r w:rsidRPr="00430F35">
              <w:rPr>
                <w:i/>
                <w:sz w:val="21"/>
                <w:lang w:val="en-US"/>
              </w:rPr>
              <w:t>2 (4.3)</w:t>
            </w:r>
          </w:p>
        </w:tc>
        <w:tc>
          <w:tcPr>
            <w:tcW w:w="1276" w:type="dxa"/>
          </w:tcPr>
          <w:p w14:paraId="2BA8BFD9" w14:textId="77777777" w:rsidR="0035069B" w:rsidRPr="00430F35" w:rsidRDefault="0035069B" w:rsidP="00A21E1D">
            <w:pPr>
              <w:jc w:val="center"/>
              <w:rPr>
                <w:i/>
                <w:sz w:val="21"/>
                <w:lang w:val="en-US"/>
              </w:rPr>
            </w:pPr>
            <w:r w:rsidRPr="00430F35">
              <w:rPr>
                <w:i/>
                <w:sz w:val="21"/>
                <w:lang w:val="en-US"/>
              </w:rPr>
              <w:t>6 (6.9)</w:t>
            </w:r>
          </w:p>
        </w:tc>
        <w:tc>
          <w:tcPr>
            <w:tcW w:w="1275" w:type="dxa"/>
          </w:tcPr>
          <w:p w14:paraId="03D4BB62" w14:textId="77777777" w:rsidR="0035069B" w:rsidRPr="00430F35" w:rsidRDefault="0035069B" w:rsidP="00A21E1D">
            <w:pPr>
              <w:jc w:val="center"/>
              <w:rPr>
                <w:i/>
                <w:sz w:val="21"/>
                <w:lang w:val="en-US"/>
              </w:rPr>
            </w:pPr>
            <w:r w:rsidRPr="00430F35">
              <w:rPr>
                <w:i/>
                <w:sz w:val="21"/>
                <w:lang w:val="en-US"/>
              </w:rPr>
              <w:t>1 (1.3)</w:t>
            </w:r>
          </w:p>
        </w:tc>
        <w:tc>
          <w:tcPr>
            <w:tcW w:w="1276" w:type="dxa"/>
          </w:tcPr>
          <w:p w14:paraId="13254006" w14:textId="77777777" w:rsidR="0035069B" w:rsidRPr="00430F35" w:rsidRDefault="0035069B" w:rsidP="00A21E1D">
            <w:pPr>
              <w:jc w:val="center"/>
              <w:rPr>
                <w:i/>
                <w:sz w:val="21"/>
                <w:lang w:val="en-US"/>
              </w:rPr>
            </w:pPr>
            <w:r w:rsidRPr="00430F35">
              <w:rPr>
                <w:i/>
                <w:sz w:val="21"/>
                <w:lang w:val="en-US"/>
              </w:rPr>
              <w:t>1 (1.8)</w:t>
            </w:r>
          </w:p>
        </w:tc>
      </w:tr>
      <w:tr w:rsidR="0035069B" w:rsidRPr="00430F35" w14:paraId="7B43EDB9" w14:textId="77777777" w:rsidTr="00A21E1D">
        <w:tc>
          <w:tcPr>
            <w:tcW w:w="2977" w:type="dxa"/>
          </w:tcPr>
          <w:p w14:paraId="3C5D12ED" w14:textId="77777777" w:rsidR="0035069B" w:rsidRPr="00430F35" w:rsidRDefault="0035069B" w:rsidP="00A21E1D">
            <w:pPr>
              <w:ind w:firstLine="319"/>
              <w:rPr>
                <w:sz w:val="21"/>
                <w:lang w:val="en-US"/>
              </w:rPr>
            </w:pPr>
            <w:r w:rsidRPr="00430F35">
              <w:rPr>
                <w:sz w:val="21"/>
                <w:lang w:val="en-US"/>
              </w:rPr>
              <w:t xml:space="preserve">Non-marital partnership </w:t>
            </w:r>
          </w:p>
        </w:tc>
        <w:tc>
          <w:tcPr>
            <w:tcW w:w="1559" w:type="dxa"/>
          </w:tcPr>
          <w:p w14:paraId="59ABF51F" w14:textId="77777777" w:rsidR="0035069B" w:rsidRPr="00430F35" w:rsidRDefault="0035069B" w:rsidP="00A21E1D">
            <w:pPr>
              <w:jc w:val="center"/>
              <w:rPr>
                <w:sz w:val="21"/>
                <w:lang w:val="en-US"/>
              </w:rPr>
            </w:pPr>
            <w:r w:rsidRPr="00430F35">
              <w:rPr>
                <w:i/>
                <w:sz w:val="21"/>
                <w:lang w:val="en-US"/>
              </w:rPr>
              <w:t>57</w:t>
            </w:r>
            <w:r w:rsidRPr="00430F35">
              <w:rPr>
                <w:sz w:val="21"/>
                <w:lang w:val="en-US"/>
              </w:rPr>
              <w:t xml:space="preserve"> (21.3)</w:t>
            </w:r>
          </w:p>
        </w:tc>
        <w:tc>
          <w:tcPr>
            <w:tcW w:w="1418" w:type="dxa"/>
          </w:tcPr>
          <w:p w14:paraId="34E79D19" w14:textId="77777777" w:rsidR="0035069B" w:rsidRPr="00430F35" w:rsidRDefault="0035069B" w:rsidP="00A21E1D">
            <w:pPr>
              <w:jc w:val="center"/>
              <w:rPr>
                <w:i/>
                <w:sz w:val="21"/>
                <w:lang w:val="en-US"/>
              </w:rPr>
            </w:pPr>
            <w:r w:rsidRPr="00430F35">
              <w:rPr>
                <w:i/>
                <w:sz w:val="21"/>
                <w:lang w:val="en-US"/>
              </w:rPr>
              <w:t>6 (13.0)</w:t>
            </w:r>
          </w:p>
        </w:tc>
        <w:tc>
          <w:tcPr>
            <w:tcW w:w="1276" w:type="dxa"/>
          </w:tcPr>
          <w:p w14:paraId="3482A512" w14:textId="77777777" w:rsidR="0035069B" w:rsidRPr="00430F35" w:rsidRDefault="0035069B" w:rsidP="00A21E1D">
            <w:pPr>
              <w:jc w:val="center"/>
              <w:rPr>
                <w:i/>
                <w:sz w:val="21"/>
                <w:lang w:val="en-US"/>
              </w:rPr>
            </w:pPr>
            <w:r w:rsidRPr="00430F35">
              <w:rPr>
                <w:i/>
                <w:sz w:val="21"/>
                <w:lang w:val="en-US"/>
              </w:rPr>
              <w:t>22 (25.3)</w:t>
            </w:r>
          </w:p>
        </w:tc>
        <w:tc>
          <w:tcPr>
            <w:tcW w:w="1275" w:type="dxa"/>
          </w:tcPr>
          <w:p w14:paraId="130366FA" w14:textId="77777777" w:rsidR="0035069B" w:rsidRPr="00430F35" w:rsidRDefault="0035069B" w:rsidP="00A21E1D">
            <w:pPr>
              <w:jc w:val="center"/>
              <w:rPr>
                <w:i/>
                <w:sz w:val="21"/>
                <w:lang w:val="en-US"/>
              </w:rPr>
            </w:pPr>
            <w:r w:rsidRPr="00430F35">
              <w:rPr>
                <w:i/>
                <w:sz w:val="21"/>
                <w:lang w:val="en-US"/>
              </w:rPr>
              <w:t>16 (20.8)</w:t>
            </w:r>
          </w:p>
        </w:tc>
        <w:tc>
          <w:tcPr>
            <w:tcW w:w="1276" w:type="dxa"/>
          </w:tcPr>
          <w:p w14:paraId="04924A95" w14:textId="77777777" w:rsidR="0035069B" w:rsidRPr="00430F35" w:rsidRDefault="0035069B" w:rsidP="00A21E1D">
            <w:pPr>
              <w:jc w:val="center"/>
              <w:rPr>
                <w:i/>
                <w:sz w:val="21"/>
                <w:lang w:val="en-US"/>
              </w:rPr>
            </w:pPr>
            <w:r w:rsidRPr="00430F35">
              <w:rPr>
                <w:i/>
                <w:sz w:val="21"/>
                <w:lang w:val="en-US"/>
              </w:rPr>
              <w:t>13 (22.8)</w:t>
            </w:r>
          </w:p>
        </w:tc>
      </w:tr>
      <w:tr w:rsidR="0035069B" w:rsidRPr="00430F35" w14:paraId="7B814D1C" w14:textId="77777777" w:rsidTr="00A21E1D">
        <w:tc>
          <w:tcPr>
            <w:tcW w:w="2977" w:type="dxa"/>
          </w:tcPr>
          <w:p w14:paraId="7803C9DD" w14:textId="77777777" w:rsidR="0035069B" w:rsidRPr="00430F35" w:rsidRDefault="0035069B" w:rsidP="00A21E1D">
            <w:pPr>
              <w:ind w:firstLine="319"/>
              <w:rPr>
                <w:sz w:val="21"/>
                <w:lang w:val="en-US"/>
              </w:rPr>
            </w:pPr>
            <w:r w:rsidRPr="00430F35">
              <w:rPr>
                <w:sz w:val="21"/>
                <w:lang w:val="en-US"/>
              </w:rPr>
              <w:t>Widowed</w:t>
            </w:r>
          </w:p>
        </w:tc>
        <w:tc>
          <w:tcPr>
            <w:tcW w:w="1559" w:type="dxa"/>
          </w:tcPr>
          <w:p w14:paraId="446426A2" w14:textId="77777777" w:rsidR="0035069B" w:rsidRPr="00430F35" w:rsidRDefault="0035069B" w:rsidP="00A21E1D">
            <w:pPr>
              <w:jc w:val="center"/>
              <w:rPr>
                <w:sz w:val="21"/>
                <w:lang w:val="en-US"/>
              </w:rPr>
            </w:pPr>
            <w:r w:rsidRPr="00430F35">
              <w:rPr>
                <w:i/>
                <w:sz w:val="21"/>
                <w:lang w:val="en-US"/>
              </w:rPr>
              <w:t>1</w:t>
            </w:r>
            <w:r w:rsidRPr="00430F35">
              <w:rPr>
                <w:sz w:val="21"/>
                <w:lang w:val="en-US"/>
              </w:rPr>
              <w:t xml:space="preserve"> (.4)</w:t>
            </w:r>
          </w:p>
        </w:tc>
        <w:tc>
          <w:tcPr>
            <w:tcW w:w="1418" w:type="dxa"/>
          </w:tcPr>
          <w:p w14:paraId="512AFEB9" w14:textId="77777777" w:rsidR="0035069B" w:rsidRPr="00430F35" w:rsidRDefault="0035069B" w:rsidP="00A21E1D">
            <w:pPr>
              <w:jc w:val="center"/>
              <w:rPr>
                <w:i/>
                <w:sz w:val="21"/>
                <w:lang w:val="en-US"/>
              </w:rPr>
            </w:pPr>
            <w:r w:rsidRPr="00430F35">
              <w:rPr>
                <w:i/>
                <w:sz w:val="21"/>
                <w:lang w:val="en-US"/>
              </w:rPr>
              <w:t>-</w:t>
            </w:r>
          </w:p>
        </w:tc>
        <w:tc>
          <w:tcPr>
            <w:tcW w:w="1276" w:type="dxa"/>
          </w:tcPr>
          <w:p w14:paraId="797AF24B" w14:textId="77777777" w:rsidR="0035069B" w:rsidRPr="00430F35" w:rsidRDefault="0035069B" w:rsidP="00A21E1D">
            <w:pPr>
              <w:jc w:val="center"/>
              <w:rPr>
                <w:i/>
                <w:sz w:val="21"/>
                <w:lang w:val="en-US"/>
              </w:rPr>
            </w:pPr>
            <w:r w:rsidRPr="00430F35">
              <w:rPr>
                <w:i/>
                <w:sz w:val="21"/>
                <w:lang w:val="en-US"/>
              </w:rPr>
              <w:t>1 (1.1)</w:t>
            </w:r>
          </w:p>
        </w:tc>
        <w:tc>
          <w:tcPr>
            <w:tcW w:w="1275" w:type="dxa"/>
          </w:tcPr>
          <w:p w14:paraId="7CAE2772" w14:textId="77777777" w:rsidR="0035069B" w:rsidRPr="00430F35" w:rsidRDefault="0035069B" w:rsidP="00A21E1D">
            <w:pPr>
              <w:jc w:val="center"/>
              <w:rPr>
                <w:i/>
                <w:sz w:val="21"/>
                <w:lang w:val="en-US"/>
              </w:rPr>
            </w:pPr>
            <w:r w:rsidRPr="00430F35">
              <w:rPr>
                <w:i/>
                <w:sz w:val="21"/>
                <w:lang w:val="en-US"/>
              </w:rPr>
              <w:t>-</w:t>
            </w:r>
          </w:p>
        </w:tc>
        <w:tc>
          <w:tcPr>
            <w:tcW w:w="1276" w:type="dxa"/>
          </w:tcPr>
          <w:p w14:paraId="402C3886" w14:textId="77777777" w:rsidR="0035069B" w:rsidRPr="00430F35" w:rsidRDefault="0035069B" w:rsidP="00A21E1D">
            <w:pPr>
              <w:jc w:val="center"/>
              <w:rPr>
                <w:i/>
                <w:sz w:val="21"/>
                <w:lang w:val="en-US"/>
              </w:rPr>
            </w:pPr>
            <w:r w:rsidRPr="00430F35">
              <w:rPr>
                <w:i/>
                <w:sz w:val="21"/>
                <w:lang w:val="en-US"/>
              </w:rPr>
              <w:t>-</w:t>
            </w:r>
          </w:p>
        </w:tc>
      </w:tr>
      <w:tr w:rsidR="0035069B" w:rsidRPr="00430F35" w14:paraId="4DFDF85D" w14:textId="77777777" w:rsidTr="00A21E1D">
        <w:trPr>
          <w:trHeight w:val="246"/>
        </w:trPr>
        <w:tc>
          <w:tcPr>
            <w:tcW w:w="2977" w:type="dxa"/>
          </w:tcPr>
          <w:p w14:paraId="2A78229C" w14:textId="77777777" w:rsidR="0035069B" w:rsidRPr="00430F35" w:rsidRDefault="0035069B" w:rsidP="00A21E1D">
            <w:pPr>
              <w:rPr>
                <w:rFonts w:eastAsia="Times New Roman"/>
                <w:sz w:val="21"/>
              </w:rPr>
            </w:pPr>
            <w:r w:rsidRPr="00430F35">
              <w:rPr>
                <w:rFonts w:eastAsia="Times New Roman"/>
                <w:sz w:val="21"/>
              </w:rPr>
              <w:t>In a current relationship?</w:t>
            </w:r>
          </w:p>
        </w:tc>
        <w:tc>
          <w:tcPr>
            <w:tcW w:w="1559" w:type="dxa"/>
          </w:tcPr>
          <w:p w14:paraId="5DD482D4" w14:textId="77777777" w:rsidR="0035069B" w:rsidRPr="00430F35" w:rsidRDefault="0035069B" w:rsidP="00A21E1D">
            <w:pPr>
              <w:jc w:val="center"/>
              <w:rPr>
                <w:sz w:val="21"/>
                <w:lang w:val="en-US"/>
              </w:rPr>
            </w:pPr>
          </w:p>
        </w:tc>
        <w:tc>
          <w:tcPr>
            <w:tcW w:w="1418" w:type="dxa"/>
          </w:tcPr>
          <w:p w14:paraId="3CABD5C8" w14:textId="77777777" w:rsidR="0035069B" w:rsidRPr="00430F35" w:rsidRDefault="0035069B" w:rsidP="00A21E1D">
            <w:pPr>
              <w:jc w:val="center"/>
              <w:rPr>
                <w:sz w:val="21"/>
                <w:lang w:val="en-US"/>
              </w:rPr>
            </w:pPr>
          </w:p>
        </w:tc>
        <w:tc>
          <w:tcPr>
            <w:tcW w:w="1276" w:type="dxa"/>
          </w:tcPr>
          <w:p w14:paraId="27354089" w14:textId="77777777" w:rsidR="0035069B" w:rsidRPr="00430F35" w:rsidRDefault="0035069B" w:rsidP="00A21E1D">
            <w:pPr>
              <w:jc w:val="center"/>
              <w:rPr>
                <w:sz w:val="21"/>
                <w:lang w:val="en-US"/>
              </w:rPr>
            </w:pPr>
          </w:p>
        </w:tc>
        <w:tc>
          <w:tcPr>
            <w:tcW w:w="1275" w:type="dxa"/>
          </w:tcPr>
          <w:p w14:paraId="40F98A4E" w14:textId="77777777" w:rsidR="0035069B" w:rsidRPr="00430F35" w:rsidRDefault="0035069B" w:rsidP="00A21E1D">
            <w:pPr>
              <w:jc w:val="center"/>
              <w:rPr>
                <w:sz w:val="21"/>
                <w:lang w:val="en-US"/>
              </w:rPr>
            </w:pPr>
          </w:p>
        </w:tc>
        <w:tc>
          <w:tcPr>
            <w:tcW w:w="1276" w:type="dxa"/>
          </w:tcPr>
          <w:p w14:paraId="403BB790" w14:textId="77777777" w:rsidR="0035069B" w:rsidRPr="00430F35" w:rsidRDefault="0035069B" w:rsidP="00A21E1D">
            <w:pPr>
              <w:jc w:val="center"/>
              <w:rPr>
                <w:sz w:val="21"/>
                <w:lang w:val="en-US"/>
              </w:rPr>
            </w:pPr>
          </w:p>
        </w:tc>
      </w:tr>
      <w:tr w:rsidR="0035069B" w:rsidRPr="00430F35" w14:paraId="72A575FE" w14:textId="77777777" w:rsidTr="00A21E1D">
        <w:trPr>
          <w:trHeight w:val="540"/>
        </w:trPr>
        <w:tc>
          <w:tcPr>
            <w:tcW w:w="2977" w:type="dxa"/>
          </w:tcPr>
          <w:p w14:paraId="232DD497" w14:textId="77777777" w:rsidR="0035069B" w:rsidRPr="00430F35" w:rsidRDefault="0035069B" w:rsidP="00A21E1D">
            <w:pPr>
              <w:ind w:firstLine="319"/>
              <w:rPr>
                <w:rFonts w:eastAsia="Times New Roman"/>
                <w:sz w:val="21"/>
              </w:rPr>
            </w:pPr>
            <w:r w:rsidRPr="00430F35">
              <w:rPr>
                <w:rFonts w:eastAsia="Times New Roman"/>
                <w:sz w:val="21"/>
              </w:rPr>
              <w:t>Yes</w:t>
            </w:r>
          </w:p>
        </w:tc>
        <w:tc>
          <w:tcPr>
            <w:tcW w:w="1559" w:type="dxa"/>
          </w:tcPr>
          <w:p w14:paraId="30415F4D" w14:textId="77777777" w:rsidR="0035069B" w:rsidRPr="00430F35" w:rsidRDefault="0035069B" w:rsidP="00A21E1D">
            <w:pPr>
              <w:jc w:val="center"/>
              <w:rPr>
                <w:sz w:val="21"/>
                <w:lang w:val="en-US"/>
              </w:rPr>
            </w:pPr>
            <w:r w:rsidRPr="00430F35">
              <w:rPr>
                <w:i/>
                <w:sz w:val="21"/>
                <w:lang w:val="en-US"/>
              </w:rPr>
              <w:t xml:space="preserve">233 </w:t>
            </w:r>
            <w:r w:rsidRPr="00430F35">
              <w:rPr>
                <w:sz w:val="21"/>
                <w:lang w:val="en-US"/>
              </w:rPr>
              <w:t>(87.3)</w:t>
            </w:r>
          </w:p>
        </w:tc>
        <w:tc>
          <w:tcPr>
            <w:tcW w:w="1418" w:type="dxa"/>
          </w:tcPr>
          <w:p w14:paraId="56F1DA86" w14:textId="77777777" w:rsidR="0035069B" w:rsidRPr="00430F35" w:rsidRDefault="0035069B" w:rsidP="00A21E1D">
            <w:pPr>
              <w:jc w:val="center"/>
              <w:rPr>
                <w:i/>
                <w:sz w:val="21"/>
                <w:lang w:val="en-US"/>
              </w:rPr>
            </w:pPr>
            <w:r w:rsidRPr="00430F35">
              <w:rPr>
                <w:i/>
                <w:sz w:val="21"/>
                <w:lang w:val="en-US"/>
              </w:rPr>
              <w:t>35 (76.1)</w:t>
            </w:r>
          </w:p>
        </w:tc>
        <w:tc>
          <w:tcPr>
            <w:tcW w:w="1276" w:type="dxa"/>
          </w:tcPr>
          <w:p w14:paraId="17592072" w14:textId="77777777" w:rsidR="0035069B" w:rsidRPr="00430F35" w:rsidRDefault="0035069B" w:rsidP="00A21E1D">
            <w:pPr>
              <w:jc w:val="center"/>
              <w:rPr>
                <w:i/>
                <w:sz w:val="21"/>
                <w:lang w:val="en-US"/>
              </w:rPr>
            </w:pPr>
            <w:r w:rsidRPr="00430F35">
              <w:rPr>
                <w:i/>
                <w:sz w:val="21"/>
                <w:lang w:val="en-US"/>
              </w:rPr>
              <w:t>79 (90.8)</w:t>
            </w:r>
          </w:p>
        </w:tc>
        <w:tc>
          <w:tcPr>
            <w:tcW w:w="1275" w:type="dxa"/>
          </w:tcPr>
          <w:p w14:paraId="513E801E" w14:textId="77777777" w:rsidR="0035069B" w:rsidRPr="00430F35" w:rsidRDefault="0035069B" w:rsidP="00A21E1D">
            <w:pPr>
              <w:jc w:val="center"/>
              <w:rPr>
                <w:i/>
                <w:sz w:val="21"/>
                <w:lang w:val="en-US"/>
              </w:rPr>
            </w:pPr>
            <w:r w:rsidRPr="00430F35">
              <w:rPr>
                <w:i/>
                <w:sz w:val="21"/>
                <w:lang w:val="en-US"/>
              </w:rPr>
              <w:t>69 (89.6)</w:t>
            </w:r>
          </w:p>
        </w:tc>
        <w:tc>
          <w:tcPr>
            <w:tcW w:w="1276" w:type="dxa"/>
          </w:tcPr>
          <w:p w14:paraId="65C5DC68" w14:textId="77777777" w:rsidR="0035069B" w:rsidRPr="00430F35" w:rsidRDefault="0035069B" w:rsidP="00A21E1D">
            <w:pPr>
              <w:jc w:val="center"/>
              <w:rPr>
                <w:i/>
                <w:sz w:val="21"/>
                <w:lang w:val="en-US"/>
              </w:rPr>
            </w:pPr>
            <w:r w:rsidRPr="00430F35">
              <w:rPr>
                <w:i/>
                <w:sz w:val="21"/>
                <w:lang w:val="en-US"/>
              </w:rPr>
              <w:t>50 (87.7)</w:t>
            </w:r>
          </w:p>
        </w:tc>
      </w:tr>
      <w:tr w:rsidR="0035069B" w:rsidRPr="00430F35" w14:paraId="55A10D31" w14:textId="77777777" w:rsidTr="00A21E1D">
        <w:tc>
          <w:tcPr>
            <w:tcW w:w="2977" w:type="dxa"/>
          </w:tcPr>
          <w:p w14:paraId="50AC86E9" w14:textId="77777777" w:rsidR="0035069B" w:rsidRPr="00430F35" w:rsidRDefault="0035069B" w:rsidP="00A21E1D">
            <w:pPr>
              <w:ind w:firstLine="319"/>
              <w:rPr>
                <w:rFonts w:eastAsia="Times New Roman"/>
                <w:sz w:val="21"/>
              </w:rPr>
            </w:pPr>
            <w:r w:rsidRPr="00430F35">
              <w:rPr>
                <w:rFonts w:eastAsia="Times New Roman"/>
                <w:sz w:val="21"/>
              </w:rPr>
              <w:t>No</w:t>
            </w:r>
          </w:p>
        </w:tc>
        <w:tc>
          <w:tcPr>
            <w:tcW w:w="1559" w:type="dxa"/>
          </w:tcPr>
          <w:p w14:paraId="05C07961" w14:textId="77777777" w:rsidR="0035069B" w:rsidRPr="00430F35" w:rsidRDefault="0035069B" w:rsidP="00A21E1D">
            <w:pPr>
              <w:jc w:val="center"/>
              <w:rPr>
                <w:sz w:val="21"/>
                <w:lang w:val="en-US"/>
              </w:rPr>
            </w:pPr>
            <w:r w:rsidRPr="00430F35">
              <w:rPr>
                <w:i/>
                <w:sz w:val="21"/>
                <w:lang w:val="en-US"/>
              </w:rPr>
              <w:t xml:space="preserve">34 </w:t>
            </w:r>
            <w:r w:rsidRPr="00430F35">
              <w:rPr>
                <w:sz w:val="21"/>
                <w:lang w:val="en-US"/>
              </w:rPr>
              <w:t>(12.7)</w:t>
            </w:r>
          </w:p>
        </w:tc>
        <w:tc>
          <w:tcPr>
            <w:tcW w:w="1418" w:type="dxa"/>
          </w:tcPr>
          <w:p w14:paraId="43FD44D2" w14:textId="77777777" w:rsidR="0035069B" w:rsidRPr="00430F35" w:rsidRDefault="0035069B" w:rsidP="00A21E1D">
            <w:pPr>
              <w:jc w:val="center"/>
              <w:rPr>
                <w:i/>
                <w:sz w:val="21"/>
                <w:lang w:val="en-US"/>
              </w:rPr>
            </w:pPr>
            <w:r w:rsidRPr="00430F35">
              <w:rPr>
                <w:i/>
                <w:sz w:val="21"/>
                <w:lang w:val="en-US"/>
              </w:rPr>
              <w:t>11 (23.9)</w:t>
            </w:r>
          </w:p>
        </w:tc>
        <w:tc>
          <w:tcPr>
            <w:tcW w:w="1276" w:type="dxa"/>
          </w:tcPr>
          <w:p w14:paraId="66460A2C" w14:textId="77777777" w:rsidR="0035069B" w:rsidRPr="00430F35" w:rsidRDefault="0035069B" w:rsidP="00A21E1D">
            <w:pPr>
              <w:jc w:val="center"/>
              <w:rPr>
                <w:i/>
                <w:sz w:val="21"/>
                <w:lang w:val="en-US"/>
              </w:rPr>
            </w:pPr>
            <w:r w:rsidRPr="00430F35">
              <w:rPr>
                <w:i/>
                <w:sz w:val="21"/>
                <w:lang w:val="en-US"/>
              </w:rPr>
              <w:t>8 (9.2)</w:t>
            </w:r>
          </w:p>
        </w:tc>
        <w:tc>
          <w:tcPr>
            <w:tcW w:w="1275" w:type="dxa"/>
          </w:tcPr>
          <w:p w14:paraId="28012AAE" w14:textId="77777777" w:rsidR="0035069B" w:rsidRPr="00430F35" w:rsidRDefault="0035069B" w:rsidP="00A21E1D">
            <w:pPr>
              <w:jc w:val="center"/>
              <w:rPr>
                <w:i/>
                <w:sz w:val="21"/>
                <w:lang w:val="en-US"/>
              </w:rPr>
            </w:pPr>
            <w:r w:rsidRPr="00430F35">
              <w:rPr>
                <w:i/>
                <w:sz w:val="21"/>
                <w:lang w:val="en-US"/>
              </w:rPr>
              <w:t>8 (10.4)</w:t>
            </w:r>
          </w:p>
        </w:tc>
        <w:tc>
          <w:tcPr>
            <w:tcW w:w="1276" w:type="dxa"/>
          </w:tcPr>
          <w:p w14:paraId="4FCF0FE1" w14:textId="77777777" w:rsidR="0035069B" w:rsidRPr="00430F35" w:rsidRDefault="0035069B" w:rsidP="00A21E1D">
            <w:pPr>
              <w:jc w:val="center"/>
              <w:rPr>
                <w:i/>
                <w:sz w:val="21"/>
                <w:lang w:val="en-US"/>
              </w:rPr>
            </w:pPr>
            <w:r w:rsidRPr="00430F35">
              <w:rPr>
                <w:i/>
                <w:sz w:val="21"/>
                <w:lang w:val="en-US"/>
              </w:rPr>
              <w:t>7 (12.3)</w:t>
            </w:r>
          </w:p>
        </w:tc>
      </w:tr>
      <w:tr w:rsidR="0035069B" w:rsidRPr="00430F35" w14:paraId="2326BB7D" w14:textId="77777777" w:rsidTr="00A21E1D">
        <w:tc>
          <w:tcPr>
            <w:tcW w:w="2977" w:type="dxa"/>
          </w:tcPr>
          <w:p w14:paraId="1E840491" w14:textId="77777777" w:rsidR="0035069B" w:rsidRPr="00430F35" w:rsidRDefault="0035069B" w:rsidP="00A21E1D">
            <w:pPr>
              <w:rPr>
                <w:rFonts w:eastAsia="Times New Roman"/>
                <w:sz w:val="21"/>
              </w:rPr>
            </w:pPr>
            <w:r w:rsidRPr="00430F35">
              <w:rPr>
                <w:rFonts w:eastAsia="Times New Roman"/>
                <w:sz w:val="21"/>
              </w:rPr>
              <w:t>With children?</w:t>
            </w:r>
          </w:p>
        </w:tc>
        <w:tc>
          <w:tcPr>
            <w:tcW w:w="1559" w:type="dxa"/>
          </w:tcPr>
          <w:p w14:paraId="49AFFA81" w14:textId="77777777" w:rsidR="0035069B" w:rsidRPr="00430F35" w:rsidRDefault="0035069B" w:rsidP="00A21E1D">
            <w:pPr>
              <w:jc w:val="center"/>
              <w:rPr>
                <w:sz w:val="21"/>
                <w:lang w:val="en-US"/>
              </w:rPr>
            </w:pPr>
          </w:p>
        </w:tc>
        <w:tc>
          <w:tcPr>
            <w:tcW w:w="1418" w:type="dxa"/>
          </w:tcPr>
          <w:p w14:paraId="7F29F9CE" w14:textId="77777777" w:rsidR="0035069B" w:rsidRPr="00430F35" w:rsidRDefault="0035069B" w:rsidP="00A21E1D">
            <w:pPr>
              <w:jc w:val="center"/>
              <w:rPr>
                <w:sz w:val="21"/>
                <w:lang w:val="en-US"/>
              </w:rPr>
            </w:pPr>
          </w:p>
        </w:tc>
        <w:tc>
          <w:tcPr>
            <w:tcW w:w="1276" w:type="dxa"/>
          </w:tcPr>
          <w:p w14:paraId="086156F7" w14:textId="77777777" w:rsidR="0035069B" w:rsidRPr="00430F35" w:rsidRDefault="0035069B" w:rsidP="00A21E1D">
            <w:pPr>
              <w:jc w:val="center"/>
              <w:rPr>
                <w:sz w:val="21"/>
                <w:lang w:val="en-US"/>
              </w:rPr>
            </w:pPr>
          </w:p>
        </w:tc>
        <w:tc>
          <w:tcPr>
            <w:tcW w:w="1275" w:type="dxa"/>
          </w:tcPr>
          <w:p w14:paraId="1951F06A" w14:textId="77777777" w:rsidR="0035069B" w:rsidRPr="00430F35" w:rsidRDefault="0035069B" w:rsidP="00A21E1D">
            <w:pPr>
              <w:jc w:val="center"/>
              <w:rPr>
                <w:sz w:val="21"/>
                <w:lang w:val="en-US"/>
              </w:rPr>
            </w:pPr>
          </w:p>
        </w:tc>
        <w:tc>
          <w:tcPr>
            <w:tcW w:w="1276" w:type="dxa"/>
          </w:tcPr>
          <w:p w14:paraId="7780CC33" w14:textId="77777777" w:rsidR="0035069B" w:rsidRPr="00430F35" w:rsidRDefault="0035069B" w:rsidP="00A21E1D">
            <w:pPr>
              <w:jc w:val="center"/>
              <w:rPr>
                <w:sz w:val="21"/>
                <w:lang w:val="en-US"/>
              </w:rPr>
            </w:pPr>
          </w:p>
        </w:tc>
      </w:tr>
      <w:tr w:rsidR="0035069B" w:rsidRPr="00430F35" w14:paraId="536FFD10" w14:textId="77777777" w:rsidTr="00A21E1D">
        <w:trPr>
          <w:trHeight w:val="525"/>
        </w:trPr>
        <w:tc>
          <w:tcPr>
            <w:tcW w:w="2977" w:type="dxa"/>
          </w:tcPr>
          <w:p w14:paraId="1FF360BC" w14:textId="77777777" w:rsidR="0035069B" w:rsidRPr="00430F35" w:rsidRDefault="0035069B" w:rsidP="00A21E1D">
            <w:pPr>
              <w:ind w:firstLine="319"/>
              <w:rPr>
                <w:rFonts w:eastAsia="Times New Roman"/>
                <w:sz w:val="21"/>
              </w:rPr>
            </w:pPr>
            <w:r w:rsidRPr="00430F35">
              <w:rPr>
                <w:rFonts w:eastAsia="Times New Roman"/>
                <w:sz w:val="21"/>
              </w:rPr>
              <w:t>Yes</w:t>
            </w:r>
          </w:p>
        </w:tc>
        <w:tc>
          <w:tcPr>
            <w:tcW w:w="1559" w:type="dxa"/>
          </w:tcPr>
          <w:p w14:paraId="56D2DA39" w14:textId="77777777" w:rsidR="0035069B" w:rsidRPr="00430F35" w:rsidRDefault="0035069B" w:rsidP="00A21E1D">
            <w:pPr>
              <w:jc w:val="center"/>
              <w:rPr>
                <w:sz w:val="21"/>
                <w:lang w:val="en-US"/>
              </w:rPr>
            </w:pPr>
            <w:r w:rsidRPr="00430F35">
              <w:rPr>
                <w:i/>
                <w:sz w:val="21"/>
                <w:lang w:val="en-US"/>
              </w:rPr>
              <w:t xml:space="preserve">190 </w:t>
            </w:r>
            <w:r w:rsidRPr="00430F35">
              <w:rPr>
                <w:sz w:val="21"/>
                <w:lang w:val="en-US"/>
              </w:rPr>
              <w:t>(71.2)</w:t>
            </w:r>
          </w:p>
        </w:tc>
        <w:tc>
          <w:tcPr>
            <w:tcW w:w="1418" w:type="dxa"/>
          </w:tcPr>
          <w:p w14:paraId="720A92F2" w14:textId="77777777" w:rsidR="0035069B" w:rsidRPr="00430F35" w:rsidRDefault="0035069B" w:rsidP="00A21E1D">
            <w:pPr>
              <w:jc w:val="center"/>
              <w:rPr>
                <w:i/>
                <w:sz w:val="21"/>
                <w:lang w:val="en-US"/>
              </w:rPr>
            </w:pPr>
            <w:r w:rsidRPr="00430F35">
              <w:rPr>
                <w:i/>
                <w:sz w:val="21"/>
                <w:lang w:val="en-US"/>
              </w:rPr>
              <w:t>19 (41.3)</w:t>
            </w:r>
          </w:p>
        </w:tc>
        <w:tc>
          <w:tcPr>
            <w:tcW w:w="1276" w:type="dxa"/>
          </w:tcPr>
          <w:p w14:paraId="1AB450BE" w14:textId="77777777" w:rsidR="0035069B" w:rsidRPr="00430F35" w:rsidRDefault="0035069B" w:rsidP="00A21E1D">
            <w:pPr>
              <w:jc w:val="center"/>
              <w:rPr>
                <w:i/>
                <w:sz w:val="21"/>
                <w:lang w:val="en-US"/>
              </w:rPr>
            </w:pPr>
            <w:r w:rsidRPr="00430F35">
              <w:rPr>
                <w:i/>
                <w:sz w:val="21"/>
                <w:lang w:val="en-US"/>
              </w:rPr>
              <w:t>73 (83.9)</w:t>
            </w:r>
          </w:p>
        </w:tc>
        <w:tc>
          <w:tcPr>
            <w:tcW w:w="1275" w:type="dxa"/>
          </w:tcPr>
          <w:p w14:paraId="128A4232" w14:textId="77777777" w:rsidR="0035069B" w:rsidRPr="00430F35" w:rsidRDefault="0035069B" w:rsidP="00A21E1D">
            <w:pPr>
              <w:jc w:val="center"/>
              <w:rPr>
                <w:i/>
                <w:sz w:val="21"/>
                <w:lang w:val="en-US"/>
              </w:rPr>
            </w:pPr>
            <w:r w:rsidRPr="00430F35">
              <w:rPr>
                <w:i/>
                <w:sz w:val="21"/>
                <w:lang w:val="en-US"/>
              </w:rPr>
              <w:t>57 (74.0)</w:t>
            </w:r>
          </w:p>
        </w:tc>
        <w:tc>
          <w:tcPr>
            <w:tcW w:w="1276" w:type="dxa"/>
          </w:tcPr>
          <w:p w14:paraId="5D1A4257" w14:textId="77777777" w:rsidR="0035069B" w:rsidRPr="00430F35" w:rsidRDefault="0035069B" w:rsidP="00A21E1D">
            <w:pPr>
              <w:jc w:val="center"/>
              <w:rPr>
                <w:i/>
                <w:sz w:val="21"/>
                <w:lang w:val="en-US"/>
              </w:rPr>
            </w:pPr>
            <w:r w:rsidRPr="00430F35">
              <w:rPr>
                <w:i/>
                <w:sz w:val="21"/>
                <w:lang w:val="en-US"/>
              </w:rPr>
              <w:t>41 (71.9)</w:t>
            </w:r>
          </w:p>
        </w:tc>
      </w:tr>
      <w:tr w:rsidR="0035069B" w:rsidRPr="00430F35" w14:paraId="6E4A934E" w14:textId="77777777" w:rsidTr="00A21E1D">
        <w:tc>
          <w:tcPr>
            <w:tcW w:w="2977" w:type="dxa"/>
          </w:tcPr>
          <w:p w14:paraId="0A4C3984" w14:textId="77777777" w:rsidR="0035069B" w:rsidRPr="00430F35" w:rsidRDefault="0035069B" w:rsidP="00A21E1D">
            <w:pPr>
              <w:ind w:firstLine="319"/>
              <w:rPr>
                <w:rFonts w:eastAsia="Times New Roman"/>
                <w:sz w:val="21"/>
              </w:rPr>
            </w:pPr>
            <w:r w:rsidRPr="00430F35">
              <w:rPr>
                <w:rFonts w:eastAsia="Times New Roman"/>
                <w:sz w:val="21"/>
              </w:rPr>
              <w:t>No</w:t>
            </w:r>
          </w:p>
        </w:tc>
        <w:tc>
          <w:tcPr>
            <w:tcW w:w="1559" w:type="dxa"/>
          </w:tcPr>
          <w:p w14:paraId="2947233E" w14:textId="77777777" w:rsidR="0035069B" w:rsidRPr="00430F35" w:rsidRDefault="0035069B" w:rsidP="00A21E1D">
            <w:pPr>
              <w:jc w:val="center"/>
              <w:rPr>
                <w:sz w:val="21"/>
                <w:lang w:val="en-US"/>
              </w:rPr>
            </w:pPr>
            <w:r w:rsidRPr="00430F35">
              <w:rPr>
                <w:i/>
                <w:sz w:val="21"/>
                <w:lang w:val="en-US"/>
              </w:rPr>
              <w:t>77</w:t>
            </w:r>
            <w:r w:rsidRPr="00430F35">
              <w:rPr>
                <w:sz w:val="21"/>
                <w:lang w:val="en-US"/>
              </w:rPr>
              <w:t xml:space="preserve"> (28.8)</w:t>
            </w:r>
          </w:p>
        </w:tc>
        <w:tc>
          <w:tcPr>
            <w:tcW w:w="1418" w:type="dxa"/>
          </w:tcPr>
          <w:p w14:paraId="291FD465" w14:textId="77777777" w:rsidR="0035069B" w:rsidRPr="00430F35" w:rsidRDefault="0035069B" w:rsidP="00A21E1D">
            <w:pPr>
              <w:jc w:val="center"/>
              <w:rPr>
                <w:i/>
                <w:sz w:val="21"/>
                <w:lang w:val="en-US"/>
              </w:rPr>
            </w:pPr>
            <w:r w:rsidRPr="00430F35">
              <w:rPr>
                <w:i/>
                <w:sz w:val="21"/>
                <w:lang w:val="en-US"/>
              </w:rPr>
              <w:t>27 (58.7)</w:t>
            </w:r>
          </w:p>
        </w:tc>
        <w:tc>
          <w:tcPr>
            <w:tcW w:w="1276" w:type="dxa"/>
          </w:tcPr>
          <w:p w14:paraId="4523FC7C" w14:textId="77777777" w:rsidR="0035069B" w:rsidRPr="00430F35" w:rsidRDefault="0035069B" w:rsidP="00A21E1D">
            <w:pPr>
              <w:jc w:val="center"/>
              <w:rPr>
                <w:i/>
                <w:sz w:val="21"/>
                <w:lang w:val="en-US"/>
              </w:rPr>
            </w:pPr>
            <w:r w:rsidRPr="00430F35">
              <w:rPr>
                <w:i/>
                <w:sz w:val="21"/>
                <w:lang w:val="en-US"/>
              </w:rPr>
              <w:t>14 (16.1)</w:t>
            </w:r>
          </w:p>
        </w:tc>
        <w:tc>
          <w:tcPr>
            <w:tcW w:w="1275" w:type="dxa"/>
          </w:tcPr>
          <w:p w14:paraId="1099FA11" w14:textId="77777777" w:rsidR="0035069B" w:rsidRPr="00430F35" w:rsidRDefault="0035069B" w:rsidP="00A21E1D">
            <w:pPr>
              <w:jc w:val="center"/>
              <w:rPr>
                <w:i/>
                <w:sz w:val="21"/>
                <w:lang w:val="en-US"/>
              </w:rPr>
            </w:pPr>
            <w:r w:rsidRPr="00430F35">
              <w:rPr>
                <w:i/>
                <w:sz w:val="21"/>
                <w:lang w:val="en-US"/>
              </w:rPr>
              <w:t>20 (26.0)</w:t>
            </w:r>
          </w:p>
        </w:tc>
        <w:tc>
          <w:tcPr>
            <w:tcW w:w="1276" w:type="dxa"/>
          </w:tcPr>
          <w:p w14:paraId="7E1B098E" w14:textId="77777777" w:rsidR="0035069B" w:rsidRPr="00430F35" w:rsidRDefault="0035069B" w:rsidP="00A21E1D">
            <w:pPr>
              <w:jc w:val="center"/>
              <w:rPr>
                <w:i/>
                <w:sz w:val="21"/>
                <w:lang w:val="en-US"/>
              </w:rPr>
            </w:pPr>
            <w:r w:rsidRPr="00430F35">
              <w:rPr>
                <w:i/>
                <w:sz w:val="21"/>
                <w:lang w:val="en-US"/>
              </w:rPr>
              <w:t>16 (28.1)</w:t>
            </w:r>
          </w:p>
        </w:tc>
      </w:tr>
      <w:tr w:rsidR="0035069B" w:rsidRPr="00430F35" w14:paraId="6DFC37E8" w14:textId="77777777" w:rsidTr="00A21E1D">
        <w:tc>
          <w:tcPr>
            <w:tcW w:w="2977" w:type="dxa"/>
          </w:tcPr>
          <w:p w14:paraId="3E0207F4" w14:textId="77777777" w:rsidR="0035069B" w:rsidRPr="00430F35" w:rsidRDefault="0035069B" w:rsidP="00A21E1D">
            <w:pPr>
              <w:rPr>
                <w:rFonts w:eastAsia="Times New Roman"/>
                <w:sz w:val="21"/>
              </w:rPr>
            </w:pPr>
            <w:r w:rsidRPr="000E0A22">
              <w:rPr>
                <w:rFonts w:eastAsia="Times New Roman"/>
                <w:sz w:val="21"/>
              </w:rPr>
              <w:t>Highest completed education</w:t>
            </w:r>
          </w:p>
        </w:tc>
        <w:tc>
          <w:tcPr>
            <w:tcW w:w="1559" w:type="dxa"/>
          </w:tcPr>
          <w:p w14:paraId="6EF7F5C7" w14:textId="77777777" w:rsidR="0035069B" w:rsidRPr="00430F35" w:rsidRDefault="0035069B" w:rsidP="00A21E1D">
            <w:pPr>
              <w:jc w:val="center"/>
              <w:rPr>
                <w:sz w:val="21"/>
                <w:lang w:val="en-US"/>
              </w:rPr>
            </w:pPr>
          </w:p>
        </w:tc>
        <w:tc>
          <w:tcPr>
            <w:tcW w:w="1418" w:type="dxa"/>
          </w:tcPr>
          <w:p w14:paraId="399CC0D7" w14:textId="77777777" w:rsidR="0035069B" w:rsidRPr="00430F35" w:rsidRDefault="0035069B" w:rsidP="00A21E1D">
            <w:pPr>
              <w:jc w:val="center"/>
              <w:rPr>
                <w:sz w:val="21"/>
                <w:lang w:val="en-US"/>
              </w:rPr>
            </w:pPr>
          </w:p>
        </w:tc>
        <w:tc>
          <w:tcPr>
            <w:tcW w:w="1276" w:type="dxa"/>
          </w:tcPr>
          <w:p w14:paraId="4D9EC129" w14:textId="77777777" w:rsidR="0035069B" w:rsidRPr="00430F35" w:rsidRDefault="0035069B" w:rsidP="00A21E1D">
            <w:pPr>
              <w:jc w:val="center"/>
              <w:rPr>
                <w:sz w:val="21"/>
                <w:lang w:val="en-US"/>
              </w:rPr>
            </w:pPr>
          </w:p>
        </w:tc>
        <w:tc>
          <w:tcPr>
            <w:tcW w:w="1275" w:type="dxa"/>
          </w:tcPr>
          <w:p w14:paraId="5E651F8E" w14:textId="77777777" w:rsidR="0035069B" w:rsidRPr="00430F35" w:rsidRDefault="0035069B" w:rsidP="00A21E1D">
            <w:pPr>
              <w:jc w:val="center"/>
              <w:rPr>
                <w:sz w:val="21"/>
                <w:lang w:val="en-US"/>
              </w:rPr>
            </w:pPr>
          </w:p>
        </w:tc>
        <w:tc>
          <w:tcPr>
            <w:tcW w:w="1276" w:type="dxa"/>
          </w:tcPr>
          <w:p w14:paraId="6878665F" w14:textId="77777777" w:rsidR="0035069B" w:rsidRPr="00430F35" w:rsidRDefault="0035069B" w:rsidP="00A21E1D">
            <w:pPr>
              <w:jc w:val="center"/>
              <w:rPr>
                <w:sz w:val="21"/>
                <w:lang w:val="en-US"/>
              </w:rPr>
            </w:pPr>
          </w:p>
        </w:tc>
      </w:tr>
      <w:tr w:rsidR="0035069B" w:rsidRPr="00430F35" w14:paraId="1BD955FF" w14:textId="77777777" w:rsidTr="00A21E1D">
        <w:tc>
          <w:tcPr>
            <w:tcW w:w="2977" w:type="dxa"/>
          </w:tcPr>
          <w:p w14:paraId="7FF9A09C" w14:textId="77777777" w:rsidR="0035069B" w:rsidRPr="00430F35" w:rsidRDefault="0035069B" w:rsidP="00A21E1D">
            <w:pPr>
              <w:ind w:firstLine="319"/>
              <w:rPr>
                <w:rFonts w:eastAsia="Times New Roman"/>
                <w:sz w:val="21"/>
              </w:rPr>
            </w:pPr>
            <w:r w:rsidRPr="00C14403">
              <w:rPr>
                <w:rFonts w:eastAsia="Times New Roman"/>
                <w:sz w:val="21"/>
              </w:rPr>
              <w:t>Junior high</w:t>
            </w:r>
          </w:p>
        </w:tc>
        <w:tc>
          <w:tcPr>
            <w:tcW w:w="1559" w:type="dxa"/>
          </w:tcPr>
          <w:p w14:paraId="26937F14" w14:textId="77777777" w:rsidR="0035069B" w:rsidRPr="00430F35" w:rsidRDefault="0035069B" w:rsidP="00A21E1D">
            <w:pPr>
              <w:jc w:val="center"/>
              <w:rPr>
                <w:sz w:val="21"/>
                <w:lang w:val="en-US"/>
              </w:rPr>
            </w:pPr>
            <w:r w:rsidRPr="00430F35">
              <w:rPr>
                <w:i/>
                <w:sz w:val="21"/>
                <w:lang w:val="en-US"/>
              </w:rPr>
              <w:t>11</w:t>
            </w:r>
            <w:r w:rsidRPr="00430F35">
              <w:rPr>
                <w:sz w:val="21"/>
                <w:lang w:val="en-US"/>
              </w:rPr>
              <w:t xml:space="preserve"> (3.9)</w:t>
            </w:r>
          </w:p>
        </w:tc>
        <w:tc>
          <w:tcPr>
            <w:tcW w:w="1418" w:type="dxa"/>
          </w:tcPr>
          <w:p w14:paraId="037EE63B" w14:textId="77777777" w:rsidR="0035069B" w:rsidRPr="00430F35" w:rsidRDefault="0035069B" w:rsidP="00A21E1D">
            <w:pPr>
              <w:jc w:val="center"/>
              <w:rPr>
                <w:i/>
                <w:sz w:val="21"/>
                <w:lang w:val="en-US"/>
              </w:rPr>
            </w:pPr>
            <w:r w:rsidRPr="00430F35">
              <w:rPr>
                <w:i/>
                <w:sz w:val="21"/>
                <w:lang w:val="en-US"/>
              </w:rPr>
              <w:t xml:space="preserve">8 </w:t>
            </w:r>
            <w:r w:rsidRPr="00430F35">
              <w:rPr>
                <w:sz w:val="21"/>
                <w:lang w:val="en-US"/>
              </w:rPr>
              <w:t>(17.4)</w:t>
            </w:r>
          </w:p>
        </w:tc>
        <w:tc>
          <w:tcPr>
            <w:tcW w:w="1276" w:type="dxa"/>
          </w:tcPr>
          <w:p w14:paraId="36530F3F" w14:textId="77777777" w:rsidR="0035069B" w:rsidRPr="00430F35" w:rsidRDefault="0035069B" w:rsidP="00A21E1D">
            <w:pPr>
              <w:jc w:val="center"/>
              <w:rPr>
                <w:i/>
                <w:sz w:val="21"/>
                <w:lang w:val="en-US"/>
              </w:rPr>
            </w:pPr>
            <w:r w:rsidRPr="00430F35">
              <w:rPr>
                <w:i/>
                <w:sz w:val="21"/>
                <w:lang w:val="en-US"/>
              </w:rPr>
              <w:t>2 (2.3)</w:t>
            </w:r>
          </w:p>
        </w:tc>
        <w:tc>
          <w:tcPr>
            <w:tcW w:w="1275" w:type="dxa"/>
          </w:tcPr>
          <w:p w14:paraId="2B7CA500" w14:textId="77777777" w:rsidR="0035069B" w:rsidRPr="00430F35" w:rsidRDefault="0035069B" w:rsidP="00A21E1D">
            <w:pPr>
              <w:jc w:val="center"/>
              <w:rPr>
                <w:i/>
                <w:sz w:val="21"/>
                <w:lang w:val="en-US"/>
              </w:rPr>
            </w:pPr>
            <w:r w:rsidRPr="00430F35">
              <w:rPr>
                <w:i/>
                <w:sz w:val="21"/>
                <w:lang w:val="en-US"/>
              </w:rPr>
              <w:t>1 (1.3)</w:t>
            </w:r>
          </w:p>
        </w:tc>
        <w:tc>
          <w:tcPr>
            <w:tcW w:w="1276" w:type="dxa"/>
          </w:tcPr>
          <w:p w14:paraId="67D2C4EB" w14:textId="77777777" w:rsidR="0035069B" w:rsidRPr="00430F35" w:rsidRDefault="0035069B" w:rsidP="00A21E1D">
            <w:pPr>
              <w:jc w:val="center"/>
              <w:rPr>
                <w:i/>
                <w:sz w:val="21"/>
                <w:lang w:val="en-US"/>
              </w:rPr>
            </w:pPr>
            <w:r w:rsidRPr="00430F35">
              <w:rPr>
                <w:i/>
                <w:sz w:val="21"/>
                <w:lang w:val="en-US"/>
              </w:rPr>
              <w:t>-</w:t>
            </w:r>
          </w:p>
        </w:tc>
      </w:tr>
      <w:tr w:rsidR="0035069B" w:rsidRPr="00430F35" w14:paraId="2476AAFB" w14:textId="77777777" w:rsidTr="00A21E1D">
        <w:tc>
          <w:tcPr>
            <w:tcW w:w="2977" w:type="dxa"/>
          </w:tcPr>
          <w:p w14:paraId="7BC4DD51" w14:textId="77777777" w:rsidR="0035069B" w:rsidRPr="00430F35" w:rsidRDefault="0035069B" w:rsidP="00A21E1D">
            <w:pPr>
              <w:ind w:firstLine="319"/>
              <w:rPr>
                <w:sz w:val="21"/>
                <w:lang w:val="en-US"/>
              </w:rPr>
            </w:pPr>
            <w:r w:rsidRPr="00430F35">
              <w:rPr>
                <w:sz w:val="21"/>
                <w:lang w:val="en-US"/>
              </w:rPr>
              <w:t>High school</w:t>
            </w:r>
          </w:p>
        </w:tc>
        <w:tc>
          <w:tcPr>
            <w:tcW w:w="1559" w:type="dxa"/>
          </w:tcPr>
          <w:p w14:paraId="4A6B69C8" w14:textId="77777777" w:rsidR="0035069B" w:rsidRPr="00430F35" w:rsidRDefault="0035069B" w:rsidP="00A21E1D">
            <w:pPr>
              <w:jc w:val="center"/>
              <w:rPr>
                <w:sz w:val="21"/>
                <w:lang w:val="en-US"/>
              </w:rPr>
            </w:pPr>
            <w:r w:rsidRPr="00430F35">
              <w:rPr>
                <w:i/>
                <w:sz w:val="21"/>
                <w:lang w:val="en-US"/>
              </w:rPr>
              <w:t>52</w:t>
            </w:r>
            <w:r w:rsidRPr="00430F35">
              <w:rPr>
                <w:sz w:val="21"/>
                <w:lang w:val="en-US"/>
              </w:rPr>
              <w:t xml:space="preserve"> (19.5)</w:t>
            </w:r>
          </w:p>
        </w:tc>
        <w:tc>
          <w:tcPr>
            <w:tcW w:w="1418" w:type="dxa"/>
          </w:tcPr>
          <w:p w14:paraId="15C5F327" w14:textId="77777777" w:rsidR="0035069B" w:rsidRPr="00430F35" w:rsidRDefault="0035069B" w:rsidP="00A21E1D">
            <w:pPr>
              <w:jc w:val="center"/>
              <w:rPr>
                <w:i/>
                <w:sz w:val="21"/>
                <w:lang w:val="en-US"/>
              </w:rPr>
            </w:pPr>
            <w:r w:rsidRPr="00430F35">
              <w:rPr>
                <w:i/>
                <w:sz w:val="21"/>
                <w:lang w:val="en-US"/>
              </w:rPr>
              <w:t xml:space="preserve">16 </w:t>
            </w:r>
            <w:r w:rsidRPr="00430F35">
              <w:rPr>
                <w:sz w:val="21"/>
                <w:lang w:val="en-US"/>
              </w:rPr>
              <w:t>(34.8)</w:t>
            </w:r>
          </w:p>
        </w:tc>
        <w:tc>
          <w:tcPr>
            <w:tcW w:w="1276" w:type="dxa"/>
          </w:tcPr>
          <w:p w14:paraId="660DDC4F" w14:textId="77777777" w:rsidR="0035069B" w:rsidRPr="00430F35" w:rsidRDefault="0035069B" w:rsidP="00A21E1D">
            <w:pPr>
              <w:jc w:val="center"/>
              <w:rPr>
                <w:i/>
                <w:sz w:val="21"/>
                <w:lang w:val="en-US"/>
              </w:rPr>
            </w:pPr>
            <w:r w:rsidRPr="00430F35">
              <w:rPr>
                <w:i/>
                <w:sz w:val="21"/>
                <w:lang w:val="en-US"/>
              </w:rPr>
              <w:t>8 (9.2)</w:t>
            </w:r>
          </w:p>
        </w:tc>
        <w:tc>
          <w:tcPr>
            <w:tcW w:w="1275" w:type="dxa"/>
          </w:tcPr>
          <w:p w14:paraId="3CC9A4EE" w14:textId="77777777" w:rsidR="0035069B" w:rsidRPr="00430F35" w:rsidRDefault="0035069B" w:rsidP="00A21E1D">
            <w:pPr>
              <w:jc w:val="center"/>
              <w:rPr>
                <w:i/>
                <w:sz w:val="21"/>
                <w:lang w:val="en-US"/>
              </w:rPr>
            </w:pPr>
            <w:r w:rsidRPr="00430F35">
              <w:rPr>
                <w:i/>
                <w:sz w:val="21"/>
                <w:lang w:val="en-US"/>
              </w:rPr>
              <w:t>19 (24.7)</w:t>
            </w:r>
          </w:p>
        </w:tc>
        <w:tc>
          <w:tcPr>
            <w:tcW w:w="1276" w:type="dxa"/>
          </w:tcPr>
          <w:p w14:paraId="1EC91D53" w14:textId="77777777" w:rsidR="0035069B" w:rsidRPr="00430F35" w:rsidRDefault="0035069B" w:rsidP="00A21E1D">
            <w:pPr>
              <w:jc w:val="center"/>
              <w:rPr>
                <w:i/>
                <w:sz w:val="21"/>
                <w:lang w:val="en-US"/>
              </w:rPr>
            </w:pPr>
            <w:r w:rsidRPr="00430F35">
              <w:rPr>
                <w:i/>
                <w:sz w:val="21"/>
                <w:lang w:val="en-US"/>
              </w:rPr>
              <w:t>9 (15.8)</w:t>
            </w:r>
          </w:p>
        </w:tc>
      </w:tr>
      <w:tr w:rsidR="0035069B" w:rsidRPr="00430F35" w14:paraId="23BA00AD" w14:textId="77777777" w:rsidTr="00A21E1D">
        <w:trPr>
          <w:trHeight w:val="498"/>
        </w:trPr>
        <w:tc>
          <w:tcPr>
            <w:tcW w:w="2977" w:type="dxa"/>
          </w:tcPr>
          <w:p w14:paraId="778A3101" w14:textId="77777777" w:rsidR="0035069B" w:rsidRPr="00430F35" w:rsidRDefault="0035069B" w:rsidP="00A21E1D">
            <w:pPr>
              <w:ind w:firstLine="319"/>
              <w:rPr>
                <w:sz w:val="21"/>
                <w:lang w:val="en-US"/>
              </w:rPr>
            </w:pPr>
            <w:r w:rsidRPr="00430F35">
              <w:rPr>
                <w:sz w:val="21"/>
                <w:lang w:val="en-US"/>
              </w:rPr>
              <w:t>College1-3 years</w:t>
            </w:r>
          </w:p>
        </w:tc>
        <w:tc>
          <w:tcPr>
            <w:tcW w:w="1559" w:type="dxa"/>
          </w:tcPr>
          <w:p w14:paraId="0B86DAB1" w14:textId="77777777" w:rsidR="0035069B" w:rsidRPr="00430F35" w:rsidRDefault="0035069B" w:rsidP="00A21E1D">
            <w:pPr>
              <w:jc w:val="center"/>
              <w:rPr>
                <w:sz w:val="21"/>
                <w:lang w:val="en-US"/>
              </w:rPr>
            </w:pPr>
            <w:r w:rsidRPr="00430F35">
              <w:rPr>
                <w:i/>
                <w:sz w:val="21"/>
                <w:lang w:val="en-US"/>
              </w:rPr>
              <w:t>138</w:t>
            </w:r>
            <w:r w:rsidRPr="00430F35">
              <w:rPr>
                <w:sz w:val="21"/>
                <w:lang w:val="en-US"/>
              </w:rPr>
              <w:t xml:space="preserve"> (51.7)</w:t>
            </w:r>
          </w:p>
        </w:tc>
        <w:tc>
          <w:tcPr>
            <w:tcW w:w="1418" w:type="dxa"/>
          </w:tcPr>
          <w:p w14:paraId="4F807E5C" w14:textId="77777777" w:rsidR="0035069B" w:rsidRPr="00430F35" w:rsidRDefault="0035069B" w:rsidP="00A21E1D">
            <w:pPr>
              <w:jc w:val="center"/>
              <w:rPr>
                <w:i/>
                <w:sz w:val="21"/>
                <w:lang w:val="en-US"/>
              </w:rPr>
            </w:pPr>
            <w:r w:rsidRPr="00430F35">
              <w:rPr>
                <w:i/>
                <w:sz w:val="21"/>
                <w:lang w:val="en-US"/>
              </w:rPr>
              <w:t xml:space="preserve">19 </w:t>
            </w:r>
            <w:r w:rsidRPr="00430F35">
              <w:rPr>
                <w:sz w:val="21"/>
                <w:lang w:val="en-US"/>
              </w:rPr>
              <w:t>(41.3)</w:t>
            </w:r>
          </w:p>
        </w:tc>
        <w:tc>
          <w:tcPr>
            <w:tcW w:w="1276" w:type="dxa"/>
          </w:tcPr>
          <w:p w14:paraId="0F7C62E5" w14:textId="77777777" w:rsidR="0035069B" w:rsidRPr="00430F35" w:rsidRDefault="0035069B" w:rsidP="00A21E1D">
            <w:pPr>
              <w:jc w:val="center"/>
              <w:rPr>
                <w:i/>
                <w:sz w:val="21"/>
                <w:lang w:val="en-US"/>
              </w:rPr>
            </w:pPr>
            <w:r w:rsidRPr="00430F35">
              <w:rPr>
                <w:i/>
                <w:sz w:val="21"/>
                <w:lang w:val="en-US"/>
              </w:rPr>
              <w:t>48 (55.2)</w:t>
            </w:r>
          </w:p>
        </w:tc>
        <w:tc>
          <w:tcPr>
            <w:tcW w:w="1275" w:type="dxa"/>
          </w:tcPr>
          <w:p w14:paraId="31EAAC01" w14:textId="77777777" w:rsidR="0035069B" w:rsidRPr="00430F35" w:rsidRDefault="0035069B" w:rsidP="00A21E1D">
            <w:pPr>
              <w:jc w:val="center"/>
              <w:rPr>
                <w:i/>
                <w:sz w:val="21"/>
                <w:lang w:val="en-US"/>
              </w:rPr>
            </w:pPr>
            <w:r w:rsidRPr="00430F35">
              <w:rPr>
                <w:i/>
                <w:sz w:val="21"/>
                <w:lang w:val="en-US"/>
              </w:rPr>
              <w:t>43 (55.8)</w:t>
            </w:r>
          </w:p>
        </w:tc>
        <w:tc>
          <w:tcPr>
            <w:tcW w:w="1276" w:type="dxa"/>
          </w:tcPr>
          <w:p w14:paraId="12D580C7" w14:textId="77777777" w:rsidR="0035069B" w:rsidRPr="00430F35" w:rsidRDefault="0035069B" w:rsidP="00A21E1D">
            <w:pPr>
              <w:jc w:val="center"/>
              <w:rPr>
                <w:i/>
                <w:sz w:val="21"/>
                <w:lang w:val="en-US"/>
              </w:rPr>
            </w:pPr>
            <w:r w:rsidRPr="00430F35">
              <w:rPr>
                <w:i/>
                <w:sz w:val="21"/>
                <w:lang w:val="en-US"/>
              </w:rPr>
              <w:t>28 (49.1)</w:t>
            </w:r>
          </w:p>
        </w:tc>
      </w:tr>
      <w:tr w:rsidR="0035069B" w:rsidRPr="00430F35" w14:paraId="1D99CC8F" w14:textId="77777777" w:rsidTr="00A21E1D">
        <w:trPr>
          <w:trHeight w:val="526"/>
        </w:trPr>
        <w:tc>
          <w:tcPr>
            <w:tcW w:w="2977" w:type="dxa"/>
          </w:tcPr>
          <w:p w14:paraId="31B8B109" w14:textId="77777777" w:rsidR="0035069B" w:rsidRPr="00430F35" w:rsidRDefault="0035069B" w:rsidP="00A21E1D">
            <w:pPr>
              <w:ind w:firstLine="319"/>
              <w:rPr>
                <w:sz w:val="21"/>
                <w:lang w:val="en-US"/>
              </w:rPr>
            </w:pPr>
            <w:r w:rsidRPr="00430F35">
              <w:rPr>
                <w:sz w:val="21"/>
                <w:lang w:val="en-US"/>
              </w:rPr>
              <w:t xml:space="preserve">College </w:t>
            </w:r>
            <w:proofErr w:type="gramStart"/>
            <w:r w:rsidRPr="00430F35">
              <w:rPr>
                <w:sz w:val="21"/>
                <w:lang w:val="en-US"/>
              </w:rPr>
              <w:t>Master</w:t>
            </w:r>
            <w:proofErr w:type="gramEnd"/>
            <w:r w:rsidRPr="00430F35">
              <w:rPr>
                <w:sz w:val="21"/>
                <w:lang w:val="en-US"/>
              </w:rPr>
              <w:t xml:space="preserve"> degree</w:t>
            </w:r>
          </w:p>
        </w:tc>
        <w:tc>
          <w:tcPr>
            <w:tcW w:w="1559" w:type="dxa"/>
          </w:tcPr>
          <w:p w14:paraId="156C64FD" w14:textId="77777777" w:rsidR="0035069B" w:rsidRPr="00430F35" w:rsidRDefault="0035069B" w:rsidP="00A21E1D">
            <w:pPr>
              <w:jc w:val="center"/>
              <w:rPr>
                <w:sz w:val="21"/>
                <w:lang w:val="en-US"/>
              </w:rPr>
            </w:pPr>
            <w:r w:rsidRPr="00430F35">
              <w:rPr>
                <w:i/>
                <w:sz w:val="21"/>
                <w:lang w:val="en-US"/>
              </w:rPr>
              <w:t>57</w:t>
            </w:r>
            <w:r w:rsidRPr="00430F35">
              <w:rPr>
                <w:sz w:val="21"/>
                <w:lang w:val="en-US"/>
              </w:rPr>
              <w:t xml:space="preserve"> (21.3)</w:t>
            </w:r>
          </w:p>
        </w:tc>
        <w:tc>
          <w:tcPr>
            <w:tcW w:w="1418" w:type="dxa"/>
          </w:tcPr>
          <w:p w14:paraId="7A6AF2A8" w14:textId="77777777" w:rsidR="0035069B" w:rsidRPr="00430F35" w:rsidRDefault="0035069B" w:rsidP="00A21E1D">
            <w:pPr>
              <w:jc w:val="center"/>
              <w:rPr>
                <w:i/>
                <w:sz w:val="21"/>
                <w:lang w:val="en-US"/>
              </w:rPr>
            </w:pPr>
            <w:r w:rsidRPr="00430F35">
              <w:rPr>
                <w:i/>
                <w:sz w:val="21"/>
                <w:lang w:val="en-US"/>
              </w:rPr>
              <w:t xml:space="preserve">2 </w:t>
            </w:r>
            <w:r w:rsidRPr="00430F35">
              <w:rPr>
                <w:sz w:val="21"/>
                <w:lang w:val="en-US"/>
              </w:rPr>
              <w:t>(4.3</w:t>
            </w:r>
            <w:r w:rsidRPr="00430F35">
              <w:rPr>
                <w:i/>
                <w:sz w:val="21"/>
                <w:lang w:val="en-US"/>
              </w:rPr>
              <w:t>)</w:t>
            </w:r>
          </w:p>
        </w:tc>
        <w:tc>
          <w:tcPr>
            <w:tcW w:w="1276" w:type="dxa"/>
          </w:tcPr>
          <w:p w14:paraId="73EC126F" w14:textId="77777777" w:rsidR="0035069B" w:rsidRPr="00430F35" w:rsidRDefault="0035069B" w:rsidP="00A21E1D">
            <w:pPr>
              <w:jc w:val="center"/>
              <w:rPr>
                <w:i/>
                <w:sz w:val="21"/>
                <w:lang w:val="en-US"/>
              </w:rPr>
            </w:pPr>
            <w:r w:rsidRPr="00430F35">
              <w:rPr>
                <w:i/>
                <w:sz w:val="21"/>
                <w:lang w:val="en-US"/>
              </w:rPr>
              <w:t>25 (28.7)</w:t>
            </w:r>
          </w:p>
        </w:tc>
        <w:tc>
          <w:tcPr>
            <w:tcW w:w="1275" w:type="dxa"/>
          </w:tcPr>
          <w:p w14:paraId="428C32D2" w14:textId="77777777" w:rsidR="0035069B" w:rsidRPr="00430F35" w:rsidRDefault="0035069B" w:rsidP="00A21E1D">
            <w:pPr>
              <w:jc w:val="center"/>
              <w:rPr>
                <w:i/>
                <w:sz w:val="21"/>
                <w:lang w:val="en-US"/>
              </w:rPr>
            </w:pPr>
            <w:r w:rsidRPr="00430F35">
              <w:rPr>
                <w:i/>
                <w:sz w:val="21"/>
                <w:lang w:val="en-US"/>
              </w:rPr>
              <w:t>11 (14.3)</w:t>
            </w:r>
          </w:p>
        </w:tc>
        <w:tc>
          <w:tcPr>
            <w:tcW w:w="1276" w:type="dxa"/>
          </w:tcPr>
          <w:p w14:paraId="17867DEE" w14:textId="77777777" w:rsidR="0035069B" w:rsidRPr="00430F35" w:rsidRDefault="0035069B" w:rsidP="00A21E1D">
            <w:pPr>
              <w:jc w:val="center"/>
              <w:rPr>
                <w:i/>
                <w:sz w:val="21"/>
                <w:lang w:val="en-US"/>
              </w:rPr>
            </w:pPr>
            <w:r w:rsidRPr="00430F35">
              <w:rPr>
                <w:i/>
                <w:sz w:val="21"/>
                <w:lang w:val="en-US"/>
              </w:rPr>
              <w:t>19 (33.3)</w:t>
            </w:r>
          </w:p>
        </w:tc>
      </w:tr>
      <w:tr w:rsidR="0035069B" w:rsidRPr="00430F35" w14:paraId="218C1833" w14:textId="77777777" w:rsidTr="00A21E1D">
        <w:trPr>
          <w:trHeight w:val="390"/>
        </w:trPr>
        <w:tc>
          <w:tcPr>
            <w:tcW w:w="2977" w:type="dxa"/>
          </w:tcPr>
          <w:p w14:paraId="30494D29" w14:textId="77777777" w:rsidR="0035069B" w:rsidRPr="00430F35" w:rsidRDefault="0035069B" w:rsidP="00A21E1D">
            <w:pPr>
              <w:ind w:firstLine="319"/>
              <w:rPr>
                <w:sz w:val="21"/>
                <w:lang w:val="en-US"/>
              </w:rPr>
            </w:pPr>
            <w:r w:rsidRPr="00430F35">
              <w:rPr>
                <w:sz w:val="21"/>
                <w:lang w:val="en-US"/>
              </w:rPr>
              <w:t>College PhD degree</w:t>
            </w:r>
          </w:p>
        </w:tc>
        <w:tc>
          <w:tcPr>
            <w:tcW w:w="1559" w:type="dxa"/>
          </w:tcPr>
          <w:p w14:paraId="0721F51D" w14:textId="77777777" w:rsidR="0035069B" w:rsidRPr="00430F35" w:rsidRDefault="0035069B" w:rsidP="00A21E1D">
            <w:pPr>
              <w:jc w:val="center"/>
              <w:rPr>
                <w:sz w:val="21"/>
                <w:lang w:val="en-US"/>
              </w:rPr>
            </w:pPr>
            <w:r w:rsidRPr="00430F35">
              <w:rPr>
                <w:i/>
                <w:sz w:val="21"/>
                <w:lang w:val="en-US"/>
              </w:rPr>
              <w:t>5</w:t>
            </w:r>
            <w:r w:rsidRPr="00430F35">
              <w:rPr>
                <w:sz w:val="21"/>
                <w:lang w:val="en-US"/>
              </w:rPr>
              <w:t xml:space="preserve"> (1.9)</w:t>
            </w:r>
          </w:p>
        </w:tc>
        <w:tc>
          <w:tcPr>
            <w:tcW w:w="1418" w:type="dxa"/>
          </w:tcPr>
          <w:p w14:paraId="3CC51D7F" w14:textId="77777777" w:rsidR="0035069B" w:rsidRPr="00430F35" w:rsidRDefault="0035069B" w:rsidP="00A21E1D">
            <w:pPr>
              <w:jc w:val="center"/>
              <w:rPr>
                <w:i/>
                <w:sz w:val="21"/>
                <w:lang w:val="en-US"/>
              </w:rPr>
            </w:pPr>
            <w:r w:rsidRPr="00430F35">
              <w:rPr>
                <w:i/>
                <w:sz w:val="21"/>
                <w:lang w:val="en-US"/>
              </w:rPr>
              <w:t>-</w:t>
            </w:r>
          </w:p>
        </w:tc>
        <w:tc>
          <w:tcPr>
            <w:tcW w:w="1276" w:type="dxa"/>
          </w:tcPr>
          <w:p w14:paraId="7109614F" w14:textId="77777777" w:rsidR="0035069B" w:rsidRPr="00430F35" w:rsidRDefault="0035069B" w:rsidP="00A21E1D">
            <w:pPr>
              <w:jc w:val="center"/>
              <w:rPr>
                <w:i/>
                <w:sz w:val="21"/>
                <w:lang w:val="en-US"/>
              </w:rPr>
            </w:pPr>
            <w:r w:rsidRPr="00430F35">
              <w:rPr>
                <w:i/>
                <w:sz w:val="21"/>
                <w:lang w:val="en-US"/>
              </w:rPr>
              <w:t>3 (3.4)</w:t>
            </w:r>
          </w:p>
        </w:tc>
        <w:tc>
          <w:tcPr>
            <w:tcW w:w="1275" w:type="dxa"/>
          </w:tcPr>
          <w:p w14:paraId="0FE6FB2E" w14:textId="77777777" w:rsidR="0035069B" w:rsidRPr="00430F35" w:rsidRDefault="0035069B" w:rsidP="00A21E1D">
            <w:pPr>
              <w:jc w:val="center"/>
              <w:rPr>
                <w:i/>
                <w:sz w:val="21"/>
                <w:lang w:val="en-US"/>
              </w:rPr>
            </w:pPr>
            <w:r w:rsidRPr="00430F35">
              <w:rPr>
                <w:i/>
                <w:sz w:val="21"/>
                <w:lang w:val="en-US"/>
              </w:rPr>
              <w:t>1 (1.3)</w:t>
            </w:r>
          </w:p>
        </w:tc>
        <w:tc>
          <w:tcPr>
            <w:tcW w:w="1276" w:type="dxa"/>
          </w:tcPr>
          <w:p w14:paraId="2B3EC158" w14:textId="77777777" w:rsidR="0035069B" w:rsidRPr="00430F35" w:rsidRDefault="0035069B" w:rsidP="00A21E1D">
            <w:pPr>
              <w:jc w:val="center"/>
              <w:rPr>
                <w:i/>
                <w:sz w:val="21"/>
                <w:lang w:val="en-US"/>
              </w:rPr>
            </w:pPr>
            <w:r w:rsidRPr="00430F35">
              <w:rPr>
                <w:i/>
                <w:sz w:val="21"/>
                <w:lang w:val="en-US"/>
              </w:rPr>
              <w:t>1 (1.8)</w:t>
            </w:r>
          </w:p>
        </w:tc>
      </w:tr>
      <w:tr w:rsidR="0035069B" w:rsidRPr="00430F35" w14:paraId="3BF88562" w14:textId="77777777" w:rsidTr="00A21E1D">
        <w:tc>
          <w:tcPr>
            <w:tcW w:w="2977" w:type="dxa"/>
          </w:tcPr>
          <w:p w14:paraId="16891E18" w14:textId="77777777" w:rsidR="0035069B" w:rsidRPr="00430F35" w:rsidRDefault="0035069B" w:rsidP="00A21E1D">
            <w:pPr>
              <w:ind w:firstLine="319"/>
              <w:rPr>
                <w:sz w:val="21"/>
                <w:lang w:val="en-US"/>
              </w:rPr>
            </w:pPr>
            <w:r w:rsidRPr="00430F35">
              <w:rPr>
                <w:sz w:val="21"/>
                <w:lang w:val="en-US"/>
              </w:rPr>
              <w:lastRenderedPageBreak/>
              <w:t>Other</w:t>
            </w:r>
          </w:p>
        </w:tc>
        <w:tc>
          <w:tcPr>
            <w:tcW w:w="1559" w:type="dxa"/>
          </w:tcPr>
          <w:p w14:paraId="25542FB9" w14:textId="77777777" w:rsidR="0035069B" w:rsidRPr="00430F35" w:rsidRDefault="0035069B" w:rsidP="00A21E1D">
            <w:pPr>
              <w:jc w:val="center"/>
              <w:rPr>
                <w:sz w:val="21"/>
                <w:lang w:val="en-US"/>
              </w:rPr>
            </w:pPr>
            <w:r w:rsidRPr="00430F35">
              <w:rPr>
                <w:i/>
                <w:sz w:val="21"/>
                <w:lang w:val="en-US"/>
              </w:rPr>
              <w:t>4</w:t>
            </w:r>
            <w:r w:rsidRPr="00430F35">
              <w:rPr>
                <w:sz w:val="21"/>
                <w:lang w:val="en-US"/>
              </w:rPr>
              <w:t xml:space="preserve"> (1.5)</w:t>
            </w:r>
          </w:p>
        </w:tc>
        <w:tc>
          <w:tcPr>
            <w:tcW w:w="1418" w:type="dxa"/>
          </w:tcPr>
          <w:p w14:paraId="29B79E1B" w14:textId="77777777" w:rsidR="0035069B" w:rsidRPr="00430F35" w:rsidRDefault="0035069B" w:rsidP="00A21E1D">
            <w:pPr>
              <w:jc w:val="center"/>
              <w:rPr>
                <w:sz w:val="21"/>
                <w:lang w:val="en-US"/>
              </w:rPr>
            </w:pPr>
            <w:r w:rsidRPr="00430F35">
              <w:rPr>
                <w:i/>
                <w:sz w:val="21"/>
                <w:lang w:val="en-US"/>
              </w:rPr>
              <w:t>1</w:t>
            </w:r>
            <w:r w:rsidRPr="00430F35">
              <w:rPr>
                <w:sz w:val="21"/>
                <w:lang w:val="en-US"/>
              </w:rPr>
              <w:t xml:space="preserve"> (2.2)</w:t>
            </w:r>
          </w:p>
        </w:tc>
        <w:tc>
          <w:tcPr>
            <w:tcW w:w="1276" w:type="dxa"/>
          </w:tcPr>
          <w:p w14:paraId="043939BE" w14:textId="77777777" w:rsidR="0035069B" w:rsidRPr="00430F35" w:rsidRDefault="0035069B" w:rsidP="00A21E1D">
            <w:pPr>
              <w:jc w:val="center"/>
              <w:rPr>
                <w:i/>
                <w:sz w:val="21"/>
                <w:lang w:val="en-US"/>
              </w:rPr>
            </w:pPr>
            <w:r w:rsidRPr="00430F35">
              <w:rPr>
                <w:i/>
                <w:sz w:val="21"/>
                <w:lang w:val="en-US"/>
              </w:rPr>
              <w:t>1 (1.1)</w:t>
            </w:r>
          </w:p>
        </w:tc>
        <w:tc>
          <w:tcPr>
            <w:tcW w:w="1275" w:type="dxa"/>
          </w:tcPr>
          <w:p w14:paraId="2268EFE3" w14:textId="77777777" w:rsidR="0035069B" w:rsidRPr="00430F35" w:rsidRDefault="0035069B" w:rsidP="00A21E1D">
            <w:pPr>
              <w:jc w:val="center"/>
              <w:rPr>
                <w:i/>
                <w:sz w:val="21"/>
                <w:lang w:val="en-US"/>
              </w:rPr>
            </w:pPr>
            <w:r w:rsidRPr="00430F35">
              <w:rPr>
                <w:i/>
                <w:sz w:val="21"/>
                <w:lang w:val="en-US"/>
              </w:rPr>
              <w:t>2 (2.6)</w:t>
            </w:r>
          </w:p>
        </w:tc>
        <w:tc>
          <w:tcPr>
            <w:tcW w:w="1276" w:type="dxa"/>
          </w:tcPr>
          <w:p w14:paraId="2EC7A458" w14:textId="77777777" w:rsidR="0035069B" w:rsidRPr="00430F35" w:rsidRDefault="0035069B" w:rsidP="00A21E1D">
            <w:pPr>
              <w:jc w:val="center"/>
              <w:rPr>
                <w:i/>
                <w:sz w:val="21"/>
                <w:lang w:val="en-US"/>
              </w:rPr>
            </w:pPr>
            <w:r w:rsidRPr="00430F35">
              <w:rPr>
                <w:i/>
                <w:sz w:val="21"/>
                <w:lang w:val="en-US"/>
              </w:rPr>
              <w:t>-</w:t>
            </w:r>
          </w:p>
        </w:tc>
      </w:tr>
      <w:tr w:rsidR="0035069B" w:rsidRPr="006864CD" w14:paraId="7691CB74" w14:textId="77777777" w:rsidTr="00A21E1D">
        <w:tc>
          <w:tcPr>
            <w:tcW w:w="2977" w:type="dxa"/>
          </w:tcPr>
          <w:p w14:paraId="4821CA08" w14:textId="77777777" w:rsidR="0035069B" w:rsidRPr="00430F35" w:rsidRDefault="0035069B" w:rsidP="00A21E1D">
            <w:pPr>
              <w:rPr>
                <w:sz w:val="21"/>
                <w:lang w:val="en-US"/>
              </w:rPr>
            </w:pPr>
            <w:r w:rsidRPr="00430F35">
              <w:rPr>
                <w:sz w:val="21"/>
                <w:lang w:val="en-US"/>
              </w:rPr>
              <w:t>“Have you ever been betrayed?”</w:t>
            </w:r>
          </w:p>
        </w:tc>
        <w:tc>
          <w:tcPr>
            <w:tcW w:w="1559" w:type="dxa"/>
          </w:tcPr>
          <w:p w14:paraId="53506F0B" w14:textId="77777777" w:rsidR="0035069B" w:rsidRPr="00430F35" w:rsidRDefault="0035069B" w:rsidP="00A21E1D">
            <w:pPr>
              <w:jc w:val="center"/>
              <w:rPr>
                <w:i/>
                <w:sz w:val="21"/>
                <w:lang w:val="en-US"/>
              </w:rPr>
            </w:pPr>
          </w:p>
        </w:tc>
        <w:tc>
          <w:tcPr>
            <w:tcW w:w="1418" w:type="dxa"/>
          </w:tcPr>
          <w:p w14:paraId="4FC0E68A" w14:textId="77777777" w:rsidR="0035069B" w:rsidRPr="00430F35" w:rsidRDefault="0035069B" w:rsidP="00A21E1D">
            <w:pPr>
              <w:jc w:val="center"/>
              <w:rPr>
                <w:i/>
                <w:sz w:val="21"/>
                <w:lang w:val="en-US"/>
              </w:rPr>
            </w:pPr>
          </w:p>
        </w:tc>
        <w:tc>
          <w:tcPr>
            <w:tcW w:w="1276" w:type="dxa"/>
          </w:tcPr>
          <w:p w14:paraId="36592B67" w14:textId="77777777" w:rsidR="0035069B" w:rsidRPr="00430F35" w:rsidRDefault="0035069B" w:rsidP="00A21E1D">
            <w:pPr>
              <w:jc w:val="center"/>
              <w:rPr>
                <w:i/>
                <w:sz w:val="21"/>
                <w:lang w:val="en-US"/>
              </w:rPr>
            </w:pPr>
          </w:p>
        </w:tc>
        <w:tc>
          <w:tcPr>
            <w:tcW w:w="1275" w:type="dxa"/>
          </w:tcPr>
          <w:p w14:paraId="15E2DE25" w14:textId="77777777" w:rsidR="0035069B" w:rsidRPr="00430F35" w:rsidRDefault="0035069B" w:rsidP="00A21E1D">
            <w:pPr>
              <w:jc w:val="center"/>
              <w:rPr>
                <w:i/>
                <w:sz w:val="21"/>
                <w:lang w:val="en-US"/>
              </w:rPr>
            </w:pPr>
          </w:p>
        </w:tc>
        <w:tc>
          <w:tcPr>
            <w:tcW w:w="1276" w:type="dxa"/>
          </w:tcPr>
          <w:p w14:paraId="3B70EF1C" w14:textId="77777777" w:rsidR="0035069B" w:rsidRPr="00430F35" w:rsidRDefault="0035069B" w:rsidP="00A21E1D">
            <w:pPr>
              <w:jc w:val="center"/>
              <w:rPr>
                <w:i/>
                <w:sz w:val="21"/>
                <w:lang w:val="en-US"/>
              </w:rPr>
            </w:pPr>
          </w:p>
        </w:tc>
      </w:tr>
      <w:tr w:rsidR="0035069B" w:rsidRPr="00430F35" w14:paraId="55AA1B5E" w14:textId="77777777" w:rsidTr="00A21E1D">
        <w:trPr>
          <w:trHeight w:val="488"/>
        </w:trPr>
        <w:tc>
          <w:tcPr>
            <w:tcW w:w="2977" w:type="dxa"/>
          </w:tcPr>
          <w:p w14:paraId="52370984" w14:textId="77777777" w:rsidR="0035069B" w:rsidRPr="00430F35" w:rsidRDefault="0035069B" w:rsidP="00A21E1D">
            <w:pPr>
              <w:ind w:firstLine="319"/>
              <w:rPr>
                <w:sz w:val="21"/>
                <w:lang w:val="en-US"/>
              </w:rPr>
            </w:pPr>
            <w:r w:rsidRPr="00430F35">
              <w:rPr>
                <w:sz w:val="21"/>
                <w:lang w:val="en-US"/>
              </w:rPr>
              <w:t>Yes</w:t>
            </w:r>
          </w:p>
        </w:tc>
        <w:tc>
          <w:tcPr>
            <w:tcW w:w="1559" w:type="dxa"/>
          </w:tcPr>
          <w:p w14:paraId="2474E7D8" w14:textId="77777777" w:rsidR="0035069B" w:rsidRPr="00430F35" w:rsidRDefault="0035069B" w:rsidP="00A21E1D">
            <w:pPr>
              <w:jc w:val="center"/>
              <w:rPr>
                <w:i/>
                <w:sz w:val="21"/>
                <w:lang w:val="en-US"/>
              </w:rPr>
            </w:pPr>
            <w:r w:rsidRPr="00430F35">
              <w:rPr>
                <w:i/>
                <w:sz w:val="21"/>
                <w:lang w:val="en-US"/>
              </w:rPr>
              <w:t xml:space="preserve">122 </w:t>
            </w:r>
            <w:r w:rsidRPr="00430F35">
              <w:rPr>
                <w:sz w:val="21"/>
                <w:lang w:val="en-US"/>
              </w:rPr>
              <w:t>(45.7)</w:t>
            </w:r>
          </w:p>
        </w:tc>
        <w:tc>
          <w:tcPr>
            <w:tcW w:w="1418" w:type="dxa"/>
          </w:tcPr>
          <w:p w14:paraId="33EF099C" w14:textId="77777777" w:rsidR="0035069B" w:rsidRPr="00430F35" w:rsidRDefault="0035069B" w:rsidP="00A21E1D">
            <w:pPr>
              <w:jc w:val="center"/>
              <w:rPr>
                <w:i/>
                <w:sz w:val="21"/>
                <w:lang w:val="en-US"/>
              </w:rPr>
            </w:pPr>
            <w:r w:rsidRPr="00430F35">
              <w:rPr>
                <w:i/>
                <w:sz w:val="21"/>
                <w:lang w:val="en-US"/>
              </w:rPr>
              <w:t>22 (47.8)</w:t>
            </w:r>
          </w:p>
        </w:tc>
        <w:tc>
          <w:tcPr>
            <w:tcW w:w="1276" w:type="dxa"/>
          </w:tcPr>
          <w:p w14:paraId="74506BBA" w14:textId="77777777" w:rsidR="0035069B" w:rsidRPr="00430F35" w:rsidRDefault="0035069B" w:rsidP="00A21E1D">
            <w:pPr>
              <w:jc w:val="center"/>
              <w:rPr>
                <w:i/>
                <w:sz w:val="21"/>
                <w:lang w:val="en-US"/>
              </w:rPr>
            </w:pPr>
            <w:r w:rsidRPr="00430F35">
              <w:rPr>
                <w:i/>
                <w:sz w:val="21"/>
                <w:lang w:val="en-US"/>
              </w:rPr>
              <w:t>41 (47.1)</w:t>
            </w:r>
          </w:p>
        </w:tc>
        <w:tc>
          <w:tcPr>
            <w:tcW w:w="1275" w:type="dxa"/>
          </w:tcPr>
          <w:p w14:paraId="4C41B867" w14:textId="77777777" w:rsidR="0035069B" w:rsidRPr="00430F35" w:rsidRDefault="0035069B" w:rsidP="00A21E1D">
            <w:pPr>
              <w:jc w:val="center"/>
              <w:rPr>
                <w:i/>
                <w:sz w:val="21"/>
                <w:lang w:val="en-US"/>
              </w:rPr>
            </w:pPr>
            <w:r w:rsidRPr="00430F35">
              <w:rPr>
                <w:i/>
                <w:sz w:val="21"/>
                <w:lang w:val="en-US"/>
              </w:rPr>
              <w:t>31 (40.3)</w:t>
            </w:r>
          </w:p>
        </w:tc>
        <w:tc>
          <w:tcPr>
            <w:tcW w:w="1276" w:type="dxa"/>
          </w:tcPr>
          <w:p w14:paraId="104C2EBF" w14:textId="77777777" w:rsidR="0035069B" w:rsidRPr="00430F35" w:rsidRDefault="0035069B" w:rsidP="00A21E1D">
            <w:pPr>
              <w:jc w:val="center"/>
              <w:rPr>
                <w:i/>
                <w:sz w:val="21"/>
                <w:lang w:val="en-US"/>
              </w:rPr>
            </w:pPr>
            <w:r w:rsidRPr="00430F35">
              <w:rPr>
                <w:i/>
                <w:sz w:val="21"/>
                <w:lang w:val="en-US"/>
              </w:rPr>
              <w:t>28 (50.9)</w:t>
            </w:r>
          </w:p>
        </w:tc>
      </w:tr>
      <w:tr w:rsidR="0035069B" w:rsidRPr="00430F35" w14:paraId="1C8B42BF" w14:textId="77777777" w:rsidTr="00A21E1D">
        <w:tc>
          <w:tcPr>
            <w:tcW w:w="2977" w:type="dxa"/>
          </w:tcPr>
          <w:p w14:paraId="79E8D803" w14:textId="77777777" w:rsidR="0035069B" w:rsidRPr="00430F35" w:rsidRDefault="0035069B" w:rsidP="00A21E1D">
            <w:pPr>
              <w:ind w:firstLine="319"/>
              <w:rPr>
                <w:sz w:val="21"/>
                <w:lang w:val="en-US"/>
              </w:rPr>
            </w:pPr>
            <w:r w:rsidRPr="00430F35">
              <w:rPr>
                <w:sz w:val="21"/>
                <w:lang w:val="en-US"/>
              </w:rPr>
              <w:t>No</w:t>
            </w:r>
          </w:p>
        </w:tc>
        <w:tc>
          <w:tcPr>
            <w:tcW w:w="1559" w:type="dxa"/>
          </w:tcPr>
          <w:p w14:paraId="74B3D662" w14:textId="77777777" w:rsidR="0035069B" w:rsidRPr="00430F35" w:rsidRDefault="0035069B" w:rsidP="00A21E1D">
            <w:pPr>
              <w:jc w:val="center"/>
              <w:rPr>
                <w:i/>
                <w:sz w:val="21"/>
                <w:lang w:val="en-US"/>
              </w:rPr>
            </w:pPr>
            <w:r w:rsidRPr="00430F35">
              <w:rPr>
                <w:i/>
                <w:sz w:val="21"/>
                <w:lang w:val="en-US"/>
              </w:rPr>
              <w:t xml:space="preserve">145 </w:t>
            </w:r>
            <w:r w:rsidRPr="00430F35">
              <w:rPr>
                <w:sz w:val="21"/>
                <w:lang w:val="en-US"/>
              </w:rPr>
              <w:t>(54.3)</w:t>
            </w:r>
          </w:p>
        </w:tc>
        <w:tc>
          <w:tcPr>
            <w:tcW w:w="1418" w:type="dxa"/>
          </w:tcPr>
          <w:p w14:paraId="32347200" w14:textId="77777777" w:rsidR="0035069B" w:rsidRPr="00430F35" w:rsidRDefault="0035069B" w:rsidP="00A21E1D">
            <w:pPr>
              <w:jc w:val="center"/>
              <w:rPr>
                <w:i/>
                <w:sz w:val="21"/>
                <w:lang w:val="en-US"/>
              </w:rPr>
            </w:pPr>
            <w:r w:rsidRPr="00430F35">
              <w:rPr>
                <w:i/>
                <w:sz w:val="21"/>
                <w:lang w:val="en-US"/>
              </w:rPr>
              <w:t>24 (52.2)</w:t>
            </w:r>
          </w:p>
        </w:tc>
        <w:tc>
          <w:tcPr>
            <w:tcW w:w="1276" w:type="dxa"/>
          </w:tcPr>
          <w:p w14:paraId="21064258" w14:textId="77777777" w:rsidR="0035069B" w:rsidRPr="00430F35" w:rsidRDefault="0035069B" w:rsidP="00A21E1D">
            <w:pPr>
              <w:jc w:val="center"/>
              <w:rPr>
                <w:i/>
                <w:sz w:val="21"/>
                <w:lang w:val="en-US"/>
              </w:rPr>
            </w:pPr>
            <w:r w:rsidRPr="00430F35">
              <w:rPr>
                <w:i/>
                <w:sz w:val="21"/>
                <w:lang w:val="en-US"/>
              </w:rPr>
              <w:t>46 (52.9)</w:t>
            </w:r>
          </w:p>
        </w:tc>
        <w:tc>
          <w:tcPr>
            <w:tcW w:w="1275" w:type="dxa"/>
          </w:tcPr>
          <w:p w14:paraId="082BE35E" w14:textId="77777777" w:rsidR="0035069B" w:rsidRPr="00430F35" w:rsidRDefault="0035069B" w:rsidP="00A21E1D">
            <w:pPr>
              <w:jc w:val="center"/>
              <w:rPr>
                <w:i/>
                <w:sz w:val="21"/>
                <w:lang w:val="en-US"/>
              </w:rPr>
            </w:pPr>
            <w:r w:rsidRPr="00430F35">
              <w:rPr>
                <w:i/>
                <w:sz w:val="21"/>
                <w:lang w:val="en-US"/>
              </w:rPr>
              <w:t>46 (59.7)</w:t>
            </w:r>
          </w:p>
        </w:tc>
        <w:tc>
          <w:tcPr>
            <w:tcW w:w="1276" w:type="dxa"/>
          </w:tcPr>
          <w:p w14:paraId="16BE45DF" w14:textId="77777777" w:rsidR="0035069B" w:rsidRPr="00430F35" w:rsidRDefault="0035069B" w:rsidP="00A21E1D">
            <w:pPr>
              <w:jc w:val="center"/>
              <w:rPr>
                <w:i/>
                <w:sz w:val="21"/>
                <w:lang w:val="en-US"/>
              </w:rPr>
            </w:pPr>
            <w:r w:rsidRPr="00430F35">
              <w:rPr>
                <w:i/>
                <w:sz w:val="21"/>
                <w:lang w:val="en-US"/>
              </w:rPr>
              <w:t>29 (49.1)</w:t>
            </w:r>
          </w:p>
        </w:tc>
      </w:tr>
      <w:tr w:rsidR="0035069B" w:rsidRPr="00430F35" w14:paraId="43421EC5" w14:textId="77777777" w:rsidTr="00A21E1D">
        <w:trPr>
          <w:trHeight w:val="596"/>
        </w:trPr>
        <w:tc>
          <w:tcPr>
            <w:tcW w:w="2977" w:type="dxa"/>
          </w:tcPr>
          <w:p w14:paraId="258C5ED9" w14:textId="77777777" w:rsidR="0035069B" w:rsidRPr="00430F35" w:rsidRDefault="0035069B" w:rsidP="00A21E1D">
            <w:pPr>
              <w:rPr>
                <w:sz w:val="21"/>
                <w:lang w:val="en-US"/>
              </w:rPr>
            </w:pPr>
            <w:r w:rsidRPr="00430F35">
              <w:rPr>
                <w:sz w:val="21"/>
                <w:lang w:val="en-US"/>
              </w:rPr>
              <w:t>“Have you betrayed?”</w:t>
            </w:r>
          </w:p>
        </w:tc>
        <w:tc>
          <w:tcPr>
            <w:tcW w:w="1559" w:type="dxa"/>
          </w:tcPr>
          <w:p w14:paraId="151F6CEC" w14:textId="77777777" w:rsidR="0035069B" w:rsidRPr="00430F35" w:rsidRDefault="0035069B" w:rsidP="00A21E1D">
            <w:pPr>
              <w:jc w:val="center"/>
              <w:rPr>
                <w:i/>
                <w:sz w:val="21"/>
                <w:lang w:val="en-US"/>
              </w:rPr>
            </w:pPr>
          </w:p>
        </w:tc>
        <w:tc>
          <w:tcPr>
            <w:tcW w:w="1418" w:type="dxa"/>
          </w:tcPr>
          <w:p w14:paraId="71A25526" w14:textId="77777777" w:rsidR="0035069B" w:rsidRPr="00430F35" w:rsidRDefault="0035069B" w:rsidP="00A21E1D">
            <w:pPr>
              <w:jc w:val="center"/>
              <w:rPr>
                <w:i/>
                <w:sz w:val="21"/>
                <w:lang w:val="en-US"/>
              </w:rPr>
            </w:pPr>
          </w:p>
        </w:tc>
        <w:tc>
          <w:tcPr>
            <w:tcW w:w="1276" w:type="dxa"/>
          </w:tcPr>
          <w:p w14:paraId="7BA99494" w14:textId="77777777" w:rsidR="0035069B" w:rsidRPr="00430F35" w:rsidRDefault="0035069B" w:rsidP="00A21E1D">
            <w:pPr>
              <w:jc w:val="center"/>
              <w:rPr>
                <w:i/>
                <w:sz w:val="21"/>
                <w:lang w:val="en-US"/>
              </w:rPr>
            </w:pPr>
          </w:p>
        </w:tc>
        <w:tc>
          <w:tcPr>
            <w:tcW w:w="1275" w:type="dxa"/>
          </w:tcPr>
          <w:p w14:paraId="33B5E2AF" w14:textId="77777777" w:rsidR="0035069B" w:rsidRPr="00430F35" w:rsidRDefault="0035069B" w:rsidP="00A21E1D">
            <w:pPr>
              <w:jc w:val="center"/>
              <w:rPr>
                <w:i/>
                <w:sz w:val="21"/>
                <w:lang w:val="en-US"/>
              </w:rPr>
            </w:pPr>
          </w:p>
        </w:tc>
        <w:tc>
          <w:tcPr>
            <w:tcW w:w="1276" w:type="dxa"/>
          </w:tcPr>
          <w:p w14:paraId="63C62339" w14:textId="77777777" w:rsidR="0035069B" w:rsidRPr="00430F35" w:rsidRDefault="0035069B" w:rsidP="00A21E1D">
            <w:pPr>
              <w:jc w:val="center"/>
              <w:rPr>
                <w:i/>
                <w:sz w:val="21"/>
                <w:lang w:val="en-US"/>
              </w:rPr>
            </w:pPr>
          </w:p>
        </w:tc>
      </w:tr>
      <w:tr w:rsidR="0035069B" w:rsidRPr="00430F35" w14:paraId="127EAF96" w14:textId="77777777" w:rsidTr="00A21E1D">
        <w:tc>
          <w:tcPr>
            <w:tcW w:w="2977" w:type="dxa"/>
          </w:tcPr>
          <w:p w14:paraId="5AA335F8" w14:textId="77777777" w:rsidR="0035069B" w:rsidRPr="00430F35" w:rsidRDefault="0035069B" w:rsidP="00A21E1D">
            <w:pPr>
              <w:ind w:firstLine="319"/>
              <w:rPr>
                <w:sz w:val="21"/>
                <w:lang w:val="en-US"/>
              </w:rPr>
            </w:pPr>
            <w:r w:rsidRPr="00430F35">
              <w:rPr>
                <w:sz w:val="21"/>
                <w:lang w:val="en-US"/>
              </w:rPr>
              <w:t>Yes</w:t>
            </w:r>
          </w:p>
        </w:tc>
        <w:tc>
          <w:tcPr>
            <w:tcW w:w="1559" w:type="dxa"/>
          </w:tcPr>
          <w:p w14:paraId="425A5318" w14:textId="77777777" w:rsidR="0035069B" w:rsidRPr="00430F35" w:rsidRDefault="0035069B" w:rsidP="00A21E1D">
            <w:pPr>
              <w:jc w:val="center"/>
              <w:rPr>
                <w:i/>
                <w:sz w:val="21"/>
                <w:lang w:val="en-US"/>
              </w:rPr>
            </w:pPr>
            <w:r w:rsidRPr="00430F35">
              <w:rPr>
                <w:i/>
                <w:sz w:val="21"/>
                <w:lang w:val="en-US"/>
              </w:rPr>
              <w:t xml:space="preserve">102 </w:t>
            </w:r>
            <w:r w:rsidRPr="00430F35">
              <w:rPr>
                <w:sz w:val="21"/>
                <w:lang w:val="en-US"/>
              </w:rPr>
              <w:t>(38.2)</w:t>
            </w:r>
          </w:p>
        </w:tc>
        <w:tc>
          <w:tcPr>
            <w:tcW w:w="1418" w:type="dxa"/>
          </w:tcPr>
          <w:p w14:paraId="1E329E0E" w14:textId="77777777" w:rsidR="0035069B" w:rsidRPr="00430F35" w:rsidRDefault="0035069B" w:rsidP="00A21E1D">
            <w:pPr>
              <w:jc w:val="center"/>
              <w:rPr>
                <w:i/>
                <w:sz w:val="21"/>
                <w:lang w:val="en-US"/>
              </w:rPr>
            </w:pPr>
            <w:r w:rsidRPr="00430F35">
              <w:rPr>
                <w:i/>
                <w:sz w:val="21"/>
                <w:lang w:val="en-US"/>
              </w:rPr>
              <w:t>14 (30.4)</w:t>
            </w:r>
          </w:p>
        </w:tc>
        <w:tc>
          <w:tcPr>
            <w:tcW w:w="1276" w:type="dxa"/>
          </w:tcPr>
          <w:p w14:paraId="16E64CDD" w14:textId="77777777" w:rsidR="0035069B" w:rsidRPr="00430F35" w:rsidRDefault="0035069B" w:rsidP="00A21E1D">
            <w:pPr>
              <w:jc w:val="center"/>
              <w:rPr>
                <w:i/>
                <w:sz w:val="21"/>
                <w:lang w:val="en-US"/>
              </w:rPr>
            </w:pPr>
            <w:r w:rsidRPr="00430F35">
              <w:rPr>
                <w:i/>
                <w:sz w:val="21"/>
                <w:lang w:val="en-US"/>
              </w:rPr>
              <w:t>29 (33.3)</w:t>
            </w:r>
          </w:p>
        </w:tc>
        <w:tc>
          <w:tcPr>
            <w:tcW w:w="1275" w:type="dxa"/>
          </w:tcPr>
          <w:p w14:paraId="1C1F8298" w14:textId="77777777" w:rsidR="0035069B" w:rsidRPr="00430F35" w:rsidRDefault="0035069B" w:rsidP="00A21E1D">
            <w:pPr>
              <w:jc w:val="center"/>
              <w:rPr>
                <w:i/>
                <w:sz w:val="21"/>
                <w:lang w:val="en-US"/>
              </w:rPr>
            </w:pPr>
            <w:r w:rsidRPr="00430F35">
              <w:rPr>
                <w:i/>
                <w:sz w:val="21"/>
                <w:lang w:val="en-US"/>
              </w:rPr>
              <w:t>31 (40.3)</w:t>
            </w:r>
          </w:p>
        </w:tc>
        <w:tc>
          <w:tcPr>
            <w:tcW w:w="1276" w:type="dxa"/>
          </w:tcPr>
          <w:p w14:paraId="7FE1BF8E" w14:textId="77777777" w:rsidR="0035069B" w:rsidRPr="00430F35" w:rsidRDefault="0035069B" w:rsidP="00A21E1D">
            <w:pPr>
              <w:jc w:val="center"/>
              <w:rPr>
                <w:i/>
                <w:sz w:val="21"/>
                <w:lang w:val="en-US"/>
              </w:rPr>
            </w:pPr>
            <w:r w:rsidRPr="00430F35">
              <w:rPr>
                <w:i/>
                <w:sz w:val="21"/>
                <w:lang w:val="en-US"/>
              </w:rPr>
              <w:t>28 (49.1)</w:t>
            </w:r>
          </w:p>
        </w:tc>
      </w:tr>
      <w:tr w:rsidR="0035069B" w:rsidRPr="00430F35" w14:paraId="73088135" w14:textId="77777777" w:rsidTr="00A21E1D">
        <w:tc>
          <w:tcPr>
            <w:tcW w:w="2977" w:type="dxa"/>
            <w:tcBorders>
              <w:bottom w:val="single" w:sz="4" w:space="0" w:color="auto"/>
            </w:tcBorders>
          </w:tcPr>
          <w:p w14:paraId="2122D0DB" w14:textId="77777777" w:rsidR="0035069B" w:rsidRPr="00430F35" w:rsidRDefault="0035069B" w:rsidP="00A21E1D">
            <w:pPr>
              <w:ind w:firstLine="319"/>
              <w:rPr>
                <w:sz w:val="21"/>
                <w:lang w:val="en-US"/>
              </w:rPr>
            </w:pPr>
            <w:r w:rsidRPr="00430F35">
              <w:rPr>
                <w:sz w:val="21"/>
                <w:lang w:val="en-US"/>
              </w:rPr>
              <w:t>No</w:t>
            </w:r>
          </w:p>
        </w:tc>
        <w:tc>
          <w:tcPr>
            <w:tcW w:w="1559" w:type="dxa"/>
            <w:tcBorders>
              <w:bottom w:val="single" w:sz="4" w:space="0" w:color="auto"/>
            </w:tcBorders>
          </w:tcPr>
          <w:p w14:paraId="4FB32059" w14:textId="77777777" w:rsidR="0035069B" w:rsidRPr="00430F35" w:rsidRDefault="0035069B" w:rsidP="00A21E1D">
            <w:pPr>
              <w:jc w:val="center"/>
              <w:rPr>
                <w:i/>
                <w:sz w:val="21"/>
                <w:lang w:val="en-US"/>
              </w:rPr>
            </w:pPr>
            <w:r w:rsidRPr="00430F35">
              <w:rPr>
                <w:i/>
                <w:sz w:val="21"/>
                <w:lang w:val="en-US"/>
              </w:rPr>
              <w:t xml:space="preserve">165 </w:t>
            </w:r>
            <w:r w:rsidRPr="00430F35">
              <w:rPr>
                <w:sz w:val="21"/>
                <w:lang w:val="en-US"/>
              </w:rPr>
              <w:t>(61.8)</w:t>
            </w:r>
          </w:p>
        </w:tc>
        <w:tc>
          <w:tcPr>
            <w:tcW w:w="1418" w:type="dxa"/>
            <w:tcBorders>
              <w:bottom w:val="single" w:sz="4" w:space="0" w:color="auto"/>
            </w:tcBorders>
          </w:tcPr>
          <w:p w14:paraId="25ECD86A" w14:textId="77777777" w:rsidR="0035069B" w:rsidRPr="00430F35" w:rsidRDefault="0035069B" w:rsidP="00A21E1D">
            <w:pPr>
              <w:jc w:val="center"/>
              <w:rPr>
                <w:i/>
                <w:sz w:val="21"/>
                <w:lang w:val="en-US"/>
              </w:rPr>
            </w:pPr>
            <w:r w:rsidRPr="00430F35">
              <w:rPr>
                <w:i/>
                <w:sz w:val="21"/>
                <w:lang w:val="en-US"/>
              </w:rPr>
              <w:t>32 (69.6)</w:t>
            </w:r>
          </w:p>
        </w:tc>
        <w:tc>
          <w:tcPr>
            <w:tcW w:w="1276" w:type="dxa"/>
            <w:tcBorders>
              <w:bottom w:val="single" w:sz="4" w:space="0" w:color="auto"/>
            </w:tcBorders>
          </w:tcPr>
          <w:p w14:paraId="0A372B6F" w14:textId="77777777" w:rsidR="0035069B" w:rsidRPr="00430F35" w:rsidRDefault="0035069B" w:rsidP="00A21E1D">
            <w:pPr>
              <w:jc w:val="center"/>
              <w:rPr>
                <w:i/>
                <w:sz w:val="21"/>
                <w:lang w:val="en-US"/>
              </w:rPr>
            </w:pPr>
            <w:r w:rsidRPr="00430F35">
              <w:rPr>
                <w:i/>
                <w:sz w:val="21"/>
                <w:lang w:val="en-US"/>
              </w:rPr>
              <w:t>58 (66.7)</w:t>
            </w:r>
          </w:p>
        </w:tc>
        <w:tc>
          <w:tcPr>
            <w:tcW w:w="1275" w:type="dxa"/>
            <w:tcBorders>
              <w:bottom w:val="single" w:sz="4" w:space="0" w:color="auto"/>
            </w:tcBorders>
          </w:tcPr>
          <w:p w14:paraId="0189FB66" w14:textId="77777777" w:rsidR="0035069B" w:rsidRPr="00430F35" w:rsidRDefault="0035069B" w:rsidP="00A21E1D">
            <w:pPr>
              <w:jc w:val="center"/>
              <w:rPr>
                <w:i/>
                <w:sz w:val="21"/>
                <w:lang w:val="en-US"/>
              </w:rPr>
            </w:pPr>
            <w:r w:rsidRPr="00430F35">
              <w:rPr>
                <w:i/>
                <w:sz w:val="21"/>
                <w:lang w:val="en-US"/>
              </w:rPr>
              <w:t>46 (59.7)</w:t>
            </w:r>
          </w:p>
        </w:tc>
        <w:tc>
          <w:tcPr>
            <w:tcW w:w="1276" w:type="dxa"/>
            <w:tcBorders>
              <w:bottom w:val="single" w:sz="4" w:space="0" w:color="auto"/>
            </w:tcBorders>
          </w:tcPr>
          <w:p w14:paraId="257E22C4" w14:textId="77777777" w:rsidR="0035069B" w:rsidRPr="00430F35" w:rsidRDefault="0035069B" w:rsidP="00A21E1D">
            <w:pPr>
              <w:jc w:val="center"/>
              <w:rPr>
                <w:i/>
                <w:sz w:val="21"/>
                <w:lang w:val="en-US"/>
              </w:rPr>
            </w:pPr>
            <w:r w:rsidRPr="00430F35">
              <w:rPr>
                <w:i/>
                <w:sz w:val="21"/>
                <w:lang w:val="en-US"/>
              </w:rPr>
              <w:t>29 (50.9)</w:t>
            </w:r>
          </w:p>
        </w:tc>
      </w:tr>
    </w:tbl>
    <w:p w14:paraId="7588241D" w14:textId="02DE5B35" w:rsidR="0035069B" w:rsidRDefault="0035069B" w:rsidP="00E137ED">
      <w:pPr>
        <w:rPr>
          <w:rFonts w:eastAsia="Times New Roman"/>
          <w:lang w:val="en-US"/>
        </w:rPr>
      </w:pPr>
    </w:p>
    <w:p w14:paraId="275DBEAC" w14:textId="77777777" w:rsidR="0035069B" w:rsidRPr="00E137ED" w:rsidRDefault="0035069B" w:rsidP="00E137ED">
      <w:pPr>
        <w:rPr>
          <w:rFonts w:eastAsia="Times New Roman"/>
          <w:lang w:val="en-US"/>
        </w:rPr>
      </w:pPr>
    </w:p>
    <w:p w14:paraId="7946E435" w14:textId="21A5C416" w:rsidR="005A037D" w:rsidRPr="00E137ED" w:rsidRDefault="005A037D" w:rsidP="00E137ED">
      <w:pPr>
        <w:outlineLvl w:val="0"/>
        <w:rPr>
          <w:rFonts w:eastAsia="Times New Roman"/>
          <w:b/>
          <w:i/>
          <w:lang w:val="en-US"/>
        </w:rPr>
      </w:pPr>
      <w:r w:rsidRPr="00E137ED">
        <w:rPr>
          <w:rFonts w:eastAsia="Times New Roman"/>
          <w:b/>
          <w:i/>
          <w:lang w:val="en-US"/>
        </w:rPr>
        <w:t xml:space="preserve">Analytic Strategy </w:t>
      </w:r>
    </w:p>
    <w:p w14:paraId="4BD822D8" w14:textId="36AC3705" w:rsidR="002C1620" w:rsidRPr="00E137ED" w:rsidRDefault="005A037D" w:rsidP="00E137ED">
      <w:pPr>
        <w:rPr>
          <w:rFonts w:eastAsia="Times New Roman"/>
          <w:lang w:val="en-US"/>
        </w:rPr>
      </w:pPr>
      <w:r w:rsidRPr="00E137ED">
        <w:rPr>
          <w:rFonts w:eastAsia="Times New Roman"/>
          <w:lang w:val="en-US"/>
        </w:rPr>
        <w:t xml:space="preserve">The Statistical Package for the Social Sciences (SPSS), </w:t>
      </w:r>
      <w:r w:rsidR="006E7F64" w:rsidRPr="00E137ED">
        <w:rPr>
          <w:rFonts w:eastAsia="Times New Roman"/>
          <w:lang w:val="en-US"/>
        </w:rPr>
        <w:t>v</w:t>
      </w:r>
      <w:r w:rsidRPr="00E137ED">
        <w:rPr>
          <w:rFonts w:eastAsia="Times New Roman"/>
          <w:lang w:val="en-US"/>
        </w:rPr>
        <w:t>ersion 2</w:t>
      </w:r>
      <w:r w:rsidR="006E7F64" w:rsidRPr="00E137ED">
        <w:rPr>
          <w:rFonts w:eastAsia="Times New Roman"/>
          <w:lang w:val="en-US"/>
        </w:rPr>
        <w:t>5</w:t>
      </w:r>
      <w:r w:rsidRPr="00E137ED">
        <w:rPr>
          <w:rFonts w:eastAsia="Times New Roman"/>
          <w:lang w:val="en-US"/>
        </w:rPr>
        <w:t xml:space="preserve"> was </w:t>
      </w:r>
      <w:r w:rsidR="00380E0F" w:rsidRPr="00E137ED">
        <w:rPr>
          <w:rFonts w:eastAsia="Times New Roman"/>
          <w:lang w:val="en-US"/>
        </w:rPr>
        <w:t>used</w:t>
      </w:r>
      <w:r w:rsidRPr="00E137ED">
        <w:rPr>
          <w:rFonts w:eastAsia="Times New Roman"/>
          <w:lang w:val="en-US"/>
        </w:rPr>
        <w:t xml:space="preserve"> to conduct each analysis. To </w:t>
      </w:r>
      <w:r w:rsidR="006E7F64" w:rsidRPr="00E137ED">
        <w:rPr>
          <w:rFonts w:eastAsia="Times New Roman"/>
          <w:lang w:val="en-US"/>
        </w:rPr>
        <w:t xml:space="preserve">understand </w:t>
      </w:r>
      <w:r w:rsidRPr="00E137ED">
        <w:rPr>
          <w:rFonts w:eastAsia="Times New Roman"/>
          <w:lang w:val="en-US"/>
        </w:rPr>
        <w:t>the current sample, frequenc</w:t>
      </w:r>
      <w:r w:rsidR="006E7F64" w:rsidRPr="00E137ED">
        <w:rPr>
          <w:rFonts w:eastAsia="Times New Roman"/>
          <w:lang w:val="en-US"/>
        </w:rPr>
        <w:t xml:space="preserve">ies </w:t>
      </w:r>
      <w:r w:rsidRPr="00E137ED">
        <w:rPr>
          <w:rFonts w:eastAsia="Times New Roman"/>
          <w:lang w:val="en-US"/>
        </w:rPr>
        <w:t>and appropriate measures of central tendency and variabil</w:t>
      </w:r>
      <w:r w:rsidR="001D1DED" w:rsidRPr="00E137ED">
        <w:rPr>
          <w:rFonts w:eastAsia="Times New Roman"/>
          <w:lang w:val="en-US"/>
        </w:rPr>
        <w:t xml:space="preserve">ity were computed for </w:t>
      </w:r>
      <w:proofErr w:type="gramStart"/>
      <w:r w:rsidR="001D1DED" w:rsidRPr="00E137ED">
        <w:rPr>
          <w:rFonts w:eastAsia="Times New Roman"/>
          <w:lang w:val="en-US"/>
        </w:rPr>
        <w:t>all of</w:t>
      </w:r>
      <w:proofErr w:type="gramEnd"/>
      <w:r w:rsidR="001D1DED" w:rsidRPr="00E137ED">
        <w:rPr>
          <w:rFonts w:eastAsia="Times New Roman"/>
          <w:lang w:val="en-US"/>
        </w:rPr>
        <w:t xml:space="preserve"> the</w:t>
      </w:r>
      <w:r w:rsidRPr="00E137ED">
        <w:rPr>
          <w:rFonts w:eastAsia="Times New Roman"/>
          <w:lang w:val="en-US"/>
        </w:rPr>
        <w:t xml:space="preserve"> demographic variables. Preliminary analyses were also conducted prior to testing the hypothesis to confirm analytic assumptions and consistency of the data with theoretical underpinnings. These analyses included Pearson’s and Spearmen’s correlations</w:t>
      </w:r>
      <w:r w:rsidR="002C1620" w:rsidRPr="00E137ED">
        <w:rPr>
          <w:rFonts w:eastAsia="Times New Roman"/>
          <w:lang w:val="en-US"/>
        </w:rPr>
        <w:t xml:space="preserve"> between sociodemographic data and sunk cost effect (ruler and days’-measures)</w:t>
      </w:r>
      <w:r w:rsidRPr="00E137ED">
        <w:rPr>
          <w:rFonts w:eastAsia="Times New Roman"/>
          <w:lang w:val="en-US"/>
        </w:rPr>
        <w:t xml:space="preserve">. </w:t>
      </w:r>
      <w:r w:rsidR="002C1620" w:rsidRPr="00E137ED">
        <w:rPr>
          <w:rFonts w:eastAsia="Times New Roman"/>
          <w:lang w:val="en-US"/>
        </w:rPr>
        <w:t xml:space="preserve">One Way ANOVA was used to test the effect of the type of scenario (non-violent, physical violence, psychological violence, sexual violence) on sunk cost effect (for ruler and day-measures independently) and an Independent Samples t-test to </w:t>
      </w:r>
      <w:r w:rsidR="00380E0F" w:rsidRPr="00E137ED">
        <w:rPr>
          <w:rFonts w:eastAsia="Times New Roman"/>
          <w:lang w:val="en-US"/>
        </w:rPr>
        <w:t>evaluate</w:t>
      </w:r>
      <w:r w:rsidR="002C1620" w:rsidRPr="00E137ED">
        <w:rPr>
          <w:rFonts w:eastAsia="Times New Roman"/>
          <w:lang w:val="en-US"/>
        </w:rPr>
        <w:t xml:space="preserve"> the effect of relationship status on sunk cost effect (ruler and days’-measures independently). On </w:t>
      </w:r>
      <w:r w:rsidR="002C1620" w:rsidRPr="00E137ED">
        <w:rPr>
          <w:rFonts w:eastAsia="Times New Roman"/>
          <w:color w:val="222222"/>
          <w:shd w:val="clear" w:color="auto" w:fill="FFFFFF"/>
          <w:lang w:val="en-US"/>
        </w:rPr>
        <w:t>all group</w:t>
      </w:r>
      <w:r w:rsidR="00380E0F" w:rsidRPr="00E137ED">
        <w:rPr>
          <w:rFonts w:eastAsia="Times New Roman"/>
          <w:color w:val="222222"/>
          <w:shd w:val="clear" w:color="auto" w:fill="FFFFFF"/>
          <w:lang w:val="en-US"/>
        </w:rPr>
        <w:t>,</w:t>
      </w:r>
      <w:r w:rsidR="002C1620" w:rsidRPr="00E137ED">
        <w:rPr>
          <w:rFonts w:eastAsia="Times New Roman"/>
          <w:color w:val="222222"/>
          <w:shd w:val="clear" w:color="auto" w:fill="FFFFFF"/>
          <w:lang w:val="en-US"/>
        </w:rPr>
        <w:t xml:space="preserve"> comparisons that revealed significant differences between</w:t>
      </w:r>
      <w:r w:rsidR="00380E0F" w:rsidRPr="00E137ED">
        <w:rPr>
          <w:rFonts w:eastAsia="Times New Roman"/>
          <w:color w:val="222222"/>
          <w:shd w:val="clear" w:color="auto" w:fill="FFFFFF"/>
          <w:lang w:val="en-US"/>
        </w:rPr>
        <w:t xml:space="preserve"> </w:t>
      </w:r>
      <w:r w:rsidR="002C1620" w:rsidRPr="00E137ED">
        <w:rPr>
          <w:rFonts w:eastAsia="Times New Roman"/>
          <w:color w:val="222222"/>
          <w:shd w:val="clear" w:color="auto" w:fill="FFFFFF"/>
          <w:lang w:val="en-US"/>
        </w:rPr>
        <w:t>scenarios</w:t>
      </w:r>
      <w:r w:rsidR="00380E0F" w:rsidRPr="00E137ED">
        <w:rPr>
          <w:rFonts w:eastAsia="Times New Roman"/>
          <w:color w:val="222222"/>
          <w:shd w:val="clear" w:color="auto" w:fill="FFFFFF"/>
          <w:lang w:val="en-US"/>
        </w:rPr>
        <w:t xml:space="preserve"> (</w:t>
      </w:r>
      <w:r w:rsidR="002C1620" w:rsidRPr="00E137ED">
        <w:rPr>
          <w:rFonts w:eastAsia="Times New Roman"/>
          <w:color w:val="222222"/>
          <w:shd w:val="clear" w:color="auto" w:fill="FFFFFF"/>
          <w:lang w:val="en-US"/>
        </w:rPr>
        <w:t>analysis of covariance</w:t>
      </w:r>
      <w:r w:rsidR="00380E0F" w:rsidRPr="00E137ED">
        <w:rPr>
          <w:rFonts w:eastAsia="Times New Roman"/>
          <w:color w:val="222222"/>
          <w:shd w:val="clear" w:color="auto" w:fill="FFFFFF"/>
          <w:lang w:val="en-US"/>
        </w:rPr>
        <w:t xml:space="preserve">, </w:t>
      </w:r>
      <w:r w:rsidR="002C1620" w:rsidRPr="00E137ED">
        <w:rPr>
          <w:rFonts w:eastAsia="Times New Roman"/>
          <w:bCs/>
          <w:color w:val="000000"/>
          <w:shd w:val="clear" w:color="auto" w:fill="FFFFFF"/>
          <w:lang w:val="en-US"/>
        </w:rPr>
        <w:t>ANCOVA</w:t>
      </w:r>
      <w:r w:rsidR="002C1620" w:rsidRPr="00E137ED">
        <w:rPr>
          <w:rFonts w:eastAsia="Times New Roman"/>
          <w:color w:val="222222"/>
          <w:shd w:val="clear" w:color="auto" w:fill="FFFFFF"/>
          <w:lang w:val="en-US"/>
        </w:rPr>
        <w:t>) w</w:t>
      </w:r>
      <w:r w:rsidR="00380E0F" w:rsidRPr="00E137ED">
        <w:rPr>
          <w:rFonts w:eastAsia="Times New Roman"/>
          <w:color w:val="222222"/>
          <w:shd w:val="clear" w:color="auto" w:fill="FFFFFF"/>
          <w:lang w:val="en-US"/>
        </w:rPr>
        <w:t>ere</w:t>
      </w:r>
      <w:r w:rsidR="002C1620" w:rsidRPr="00E137ED">
        <w:rPr>
          <w:rFonts w:eastAsia="Times New Roman"/>
          <w:color w:val="222222"/>
          <w:shd w:val="clear" w:color="auto" w:fill="FFFFFF"/>
          <w:lang w:val="en-US"/>
        </w:rPr>
        <w:t> </w:t>
      </w:r>
      <w:r w:rsidR="002C1620" w:rsidRPr="00E137ED">
        <w:rPr>
          <w:rFonts w:eastAsia="Times New Roman"/>
          <w:bCs/>
          <w:color w:val="000000"/>
          <w:shd w:val="clear" w:color="auto" w:fill="FFFFFF"/>
          <w:lang w:val="en-US"/>
        </w:rPr>
        <w:t>performed</w:t>
      </w:r>
      <w:r w:rsidR="002C1620" w:rsidRPr="00E137ED">
        <w:rPr>
          <w:rFonts w:eastAsia="Times New Roman"/>
          <w:color w:val="222222"/>
          <w:shd w:val="clear" w:color="auto" w:fill="FFFFFF"/>
          <w:lang w:val="en-US"/>
        </w:rPr>
        <w:t> in </w:t>
      </w:r>
      <w:r w:rsidR="002C1620" w:rsidRPr="00E137ED">
        <w:rPr>
          <w:rFonts w:eastAsia="Times New Roman"/>
          <w:bCs/>
          <w:color w:val="000000"/>
          <w:shd w:val="clear" w:color="auto" w:fill="FFFFFF"/>
          <w:lang w:val="en-US"/>
        </w:rPr>
        <w:t>order</w:t>
      </w:r>
      <w:r w:rsidR="002C1620" w:rsidRPr="00E137ED">
        <w:rPr>
          <w:rFonts w:eastAsia="Times New Roman"/>
          <w:color w:val="222222"/>
          <w:shd w:val="clear" w:color="auto" w:fill="FFFFFF"/>
          <w:lang w:val="en-US"/>
        </w:rPr>
        <w:t> to control the effects</w:t>
      </w:r>
      <w:r w:rsidR="002C1620" w:rsidRPr="00E137ED">
        <w:rPr>
          <w:rFonts w:eastAsia="Times New Roman"/>
          <w:color w:val="222222"/>
          <w:lang w:val="en-US"/>
        </w:rPr>
        <w:t xml:space="preserve"> </w:t>
      </w:r>
      <w:r w:rsidR="002C1620" w:rsidRPr="00E137ED">
        <w:rPr>
          <w:rFonts w:eastAsia="Times New Roman"/>
          <w:color w:val="222222"/>
          <w:shd w:val="clear" w:color="auto" w:fill="FFFFFF"/>
          <w:lang w:val="en-US"/>
        </w:rPr>
        <w:t>of relationship status in sunk cost effect (</w:t>
      </w:r>
      <w:r w:rsidR="002C1620" w:rsidRPr="00E137ED">
        <w:rPr>
          <w:rFonts w:eastAsia="Times New Roman"/>
          <w:lang w:val="en-US"/>
        </w:rPr>
        <w:t>ruler and days’-measures independently)</w:t>
      </w:r>
      <w:r w:rsidR="006E396A" w:rsidRPr="00E137ED">
        <w:rPr>
          <w:rFonts w:eastAsia="Times New Roman"/>
          <w:lang w:val="en-US"/>
        </w:rPr>
        <w:t xml:space="preserve">. </w:t>
      </w:r>
      <w:r w:rsidR="002C1620" w:rsidRPr="00E137ED">
        <w:rPr>
          <w:rFonts w:eastAsia="Times New Roman"/>
          <w:lang w:val="en-US"/>
        </w:rPr>
        <w:t xml:space="preserve">All significance tests were two-sided and values </w:t>
      </w:r>
      <w:proofErr w:type="gramStart"/>
      <w:r w:rsidR="002C1620" w:rsidRPr="00E137ED">
        <w:rPr>
          <w:rFonts w:eastAsia="Times New Roman"/>
          <w:lang w:val="en-US"/>
        </w:rPr>
        <w:t xml:space="preserve">of </w:t>
      </w:r>
      <w:r w:rsidR="00380E0F" w:rsidRPr="00E137ED">
        <w:rPr>
          <w:rFonts w:eastAsia="Times New Roman"/>
          <w:lang w:val="en-US"/>
        </w:rPr>
        <w:t xml:space="preserve"> </w:t>
      </w:r>
      <w:r w:rsidR="00380E0F" w:rsidRPr="00E137ED">
        <w:rPr>
          <w:rFonts w:eastAsia="Times New Roman"/>
          <w:i/>
          <w:lang w:val="en-US"/>
        </w:rPr>
        <w:t>p</w:t>
      </w:r>
      <w:proofErr w:type="gramEnd"/>
      <w:r w:rsidR="00380E0F" w:rsidRPr="00E137ED">
        <w:rPr>
          <w:rFonts w:eastAsia="Times New Roman"/>
          <w:lang w:val="en-US"/>
        </w:rPr>
        <w:t xml:space="preserve"> ≤ </w:t>
      </w:r>
      <w:r w:rsidR="002C1620" w:rsidRPr="00E137ED">
        <w:rPr>
          <w:rFonts w:eastAsia="Times New Roman"/>
          <w:lang w:val="en-US"/>
        </w:rPr>
        <w:t>0.05 represented significant differences.</w:t>
      </w:r>
    </w:p>
    <w:p w14:paraId="71F26264" w14:textId="77777777" w:rsidR="009D2D1C" w:rsidRPr="00E137ED" w:rsidRDefault="009D2D1C" w:rsidP="00E137ED">
      <w:pPr>
        <w:rPr>
          <w:rFonts w:eastAsia="Times New Roman"/>
          <w:lang w:val="en-US"/>
        </w:rPr>
      </w:pPr>
    </w:p>
    <w:p w14:paraId="1D354CB9" w14:textId="167CDAB2" w:rsidR="009D2D1C" w:rsidRPr="00E137ED" w:rsidRDefault="009D2D1C" w:rsidP="00E137ED">
      <w:pPr>
        <w:outlineLvl w:val="0"/>
        <w:rPr>
          <w:b/>
          <w:lang w:val="en-US"/>
        </w:rPr>
      </w:pPr>
      <w:r w:rsidRPr="00E137ED">
        <w:rPr>
          <w:b/>
          <w:lang w:val="en-US"/>
        </w:rPr>
        <w:t>Results</w:t>
      </w:r>
    </w:p>
    <w:p w14:paraId="3FE8F4E3" w14:textId="15B50498" w:rsidR="00421B21" w:rsidRPr="00E137ED" w:rsidRDefault="003A7495" w:rsidP="00E137ED">
      <w:pPr>
        <w:rPr>
          <w:rFonts w:eastAsia="Times New Roman"/>
          <w:lang w:val="en-US"/>
        </w:rPr>
      </w:pPr>
      <w:r w:rsidRPr="00E137ED">
        <w:rPr>
          <w:rFonts w:eastAsia="Times New Roman"/>
          <w:lang w:val="en-US"/>
        </w:rPr>
        <w:t xml:space="preserve">Results showed that </w:t>
      </w:r>
      <w:r w:rsidR="00B61F4B" w:rsidRPr="00E137ED">
        <w:rPr>
          <w:rFonts w:eastAsia="Times New Roman"/>
          <w:lang w:val="en-US"/>
        </w:rPr>
        <w:t xml:space="preserve">there was no </w:t>
      </w:r>
      <w:r w:rsidR="004F46FC" w:rsidRPr="00E137ED">
        <w:rPr>
          <w:rFonts w:eastAsia="Times New Roman"/>
          <w:lang w:val="en-US"/>
        </w:rPr>
        <w:t>significant</w:t>
      </w:r>
      <w:r w:rsidR="00B61F4B" w:rsidRPr="00E137ED">
        <w:rPr>
          <w:rFonts w:eastAsia="Times New Roman"/>
          <w:lang w:val="en-US"/>
        </w:rPr>
        <w:t xml:space="preserve"> </w:t>
      </w:r>
      <w:r w:rsidR="00B606C1" w:rsidRPr="00E137ED">
        <w:rPr>
          <w:rFonts w:eastAsia="Times New Roman"/>
          <w:lang w:val="en-US"/>
        </w:rPr>
        <w:t>correlation</w:t>
      </w:r>
      <w:r w:rsidR="00B61F4B" w:rsidRPr="00E137ED">
        <w:rPr>
          <w:rFonts w:eastAsia="Times New Roman"/>
          <w:lang w:val="en-US"/>
        </w:rPr>
        <w:t xml:space="preserve"> between </w:t>
      </w:r>
      <w:r w:rsidR="00253AC4" w:rsidRPr="00E137ED">
        <w:rPr>
          <w:rFonts w:eastAsia="Times New Roman"/>
          <w:lang w:val="en-US"/>
        </w:rPr>
        <w:t xml:space="preserve">sunk time (in both ruler- and days’-measures) </w:t>
      </w:r>
      <w:r w:rsidR="00421B21" w:rsidRPr="00E137ED">
        <w:rPr>
          <w:rFonts w:eastAsia="Times New Roman"/>
          <w:lang w:val="en-US"/>
        </w:rPr>
        <w:t xml:space="preserve">and age, </w:t>
      </w:r>
      <w:r w:rsidR="00B606C1" w:rsidRPr="00E137ED">
        <w:rPr>
          <w:rFonts w:eastAsia="Times New Roman"/>
          <w:i/>
          <w:lang w:val="en-US"/>
        </w:rPr>
        <w:t>r</w:t>
      </w:r>
      <w:r w:rsidR="00B606C1" w:rsidRPr="00E137ED">
        <w:rPr>
          <w:rFonts w:eastAsia="Times New Roman"/>
          <w:lang w:val="en-US"/>
        </w:rPr>
        <w:t xml:space="preserve"> </w:t>
      </w:r>
      <w:r w:rsidR="00253AC4" w:rsidRPr="00E137ED">
        <w:rPr>
          <w:rFonts w:eastAsia="Times New Roman"/>
          <w:lang w:val="en-US"/>
        </w:rPr>
        <w:t>=</w:t>
      </w:r>
      <w:r w:rsidR="00B606C1" w:rsidRPr="00E137ED">
        <w:rPr>
          <w:rFonts w:eastAsia="Times New Roman"/>
          <w:lang w:val="en-US"/>
        </w:rPr>
        <w:t xml:space="preserve"> </w:t>
      </w:r>
      <w:r w:rsidR="00253AC4" w:rsidRPr="00E137ED">
        <w:rPr>
          <w:rFonts w:eastAsia="Times New Roman"/>
          <w:lang w:val="en-US"/>
        </w:rPr>
        <w:t xml:space="preserve">-.036, </w:t>
      </w:r>
      <w:proofErr w:type="spellStart"/>
      <w:r w:rsidR="00253AC4" w:rsidRPr="00E137ED">
        <w:rPr>
          <w:rFonts w:eastAsia="Times New Roman"/>
          <w:lang w:val="en-US"/>
        </w:rPr>
        <w:t>n.s</w:t>
      </w:r>
      <w:proofErr w:type="spellEnd"/>
      <w:r w:rsidR="00253AC4" w:rsidRPr="00E137ED">
        <w:rPr>
          <w:rFonts w:eastAsia="Times New Roman"/>
          <w:lang w:val="en-US"/>
        </w:rPr>
        <w:t xml:space="preserve">. and </w:t>
      </w:r>
      <w:r w:rsidR="00253AC4" w:rsidRPr="00E137ED">
        <w:rPr>
          <w:rFonts w:eastAsia="Times New Roman"/>
          <w:i/>
          <w:lang w:val="en-US"/>
        </w:rPr>
        <w:t>r</w:t>
      </w:r>
      <w:r w:rsidR="00B606C1" w:rsidRPr="00E137ED">
        <w:rPr>
          <w:rFonts w:eastAsia="Times New Roman"/>
          <w:lang w:val="en-US"/>
        </w:rPr>
        <w:t xml:space="preserve"> </w:t>
      </w:r>
      <w:r w:rsidR="00253AC4" w:rsidRPr="00E137ED">
        <w:rPr>
          <w:rFonts w:eastAsia="Times New Roman"/>
          <w:lang w:val="en-US"/>
        </w:rPr>
        <w:t>=</w:t>
      </w:r>
      <w:r w:rsidR="00B606C1" w:rsidRPr="00E137ED">
        <w:rPr>
          <w:rFonts w:eastAsia="Times New Roman"/>
          <w:lang w:val="en-US"/>
        </w:rPr>
        <w:t xml:space="preserve"> </w:t>
      </w:r>
      <w:r w:rsidR="00421B21" w:rsidRPr="00E137ED">
        <w:rPr>
          <w:rFonts w:eastAsia="Times New Roman"/>
          <w:lang w:val="en-US"/>
        </w:rPr>
        <w:t xml:space="preserve">-.006, </w:t>
      </w:r>
      <w:proofErr w:type="spellStart"/>
      <w:r w:rsidR="00421B21" w:rsidRPr="00E137ED">
        <w:rPr>
          <w:rFonts w:eastAsia="Times New Roman"/>
          <w:lang w:val="en-US"/>
        </w:rPr>
        <w:t>n.s</w:t>
      </w:r>
      <w:proofErr w:type="spellEnd"/>
      <w:r w:rsidR="00421B21" w:rsidRPr="00E137ED">
        <w:rPr>
          <w:rFonts w:eastAsia="Times New Roman"/>
          <w:lang w:val="en-US"/>
        </w:rPr>
        <w:t>.,</w:t>
      </w:r>
      <w:r w:rsidR="001605B5" w:rsidRPr="00E137ED">
        <w:rPr>
          <w:rFonts w:eastAsia="Times New Roman"/>
          <w:lang w:val="en-US"/>
        </w:rPr>
        <w:t xml:space="preserve"> neither </w:t>
      </w:r>
      <w:r w:rsidR="00421B21" w:rsidRPr="00E137ED">
        <w:rPr>
          <w:rFonts w:eastAsia="Times New Roman"/>
          <w:lang w:val="en-US"/>
        </w:rPr>
        <w:t xml:space="preserve">scholarship, </w:t>
      </w:r>
      <w:proofErr w:type="spellStart"/>
      <w:r w:rsidR="00B606C1" w:rsidRPr="00E137ED">
        <w:rPr>
          <w:rFonts w:eastAsia="Times New Roman"/>
          <w:i/>
          <w:lang w:val="en-US"/>
        </w:rPr>
        <w:t>r</w:t>
      </w:r>
      <w:r w:rsidR="00B606C1" w:rsidRPr="00E137ED">
        <w:rPr>
          <w:rFonts w:eastAsia="Times New Roman"/>
          <w:i/>
          <w:vertAlign w:val="subscript"/>
          <w:lang w:val="en-US"/>
        </w:rPr>
        <w:t>s</w:t>
      </w:r>
      <w:proofErr w:type="spellEnd"/>
      <w:r w:rsidR="00B606C1" w:rsidRPr="00E137ED">
        <w:rPr>
          <w:rFonts w:eastAsia="Times New Roman"/>
          <w:vertAlign w:val="subscript"/>
          <w:lang w:val="en-US"/>
        </w:rPr>
        <w:t xml:space="preserve"> </w:t>
      </w:r>
      <w:r w:rsidR="00B606C1" w:rsidRPr="00E137ED">
        <w:rPr>
          <w:rFonts w:eastAsia="Times New Roman"/>
          <w:lang w:val="en-US"/>
        </w:rPr>
        <w:t xml:space="preserve">= -.029 </w:t>
      </w:r>
      <w:proofErr w:type="spellStart"/>
      <w:r w:rsidR="00B606C1" w:rsidRPr="00E137ED">
        <w:rPr>
          <w:rFonts w:eastAsia="Times New Roman"/>
          <w:lang w:val="en-US"/>
        </w:rPr>
        <w:t>n.s</w:t>
      </w:r>
      <w:proofErr w:type="spellEnd"/>
      <w:r w:rsidR="00B606C1" w:rsidRPr="00E137ED">
        <w:rPr>
          <w:rFonts w:eastAsia="Times New Roman"/>
          <w:lang w:val="en-US"/>
        </w:rPr>
        <w:t xml:space="preserve">. and </w:t>
      </w:r>
      <w:proofErr w:type="spellStart"/>
      <w:r w:rsidR="00B606C1" w:rsidRPr="00E137ED">
        <w:rPr>
          <w:rFonts w:eastAsia="Times New Roman"/>
          <w:i/>
          <w:lang w:val="en-US"/>
        </w:rPr>
        <w:t>r</w:t>
      </w:r>
      <w:r w:rsidR="00B606C1" w:rsidRPr="00E137ED">
        <w:rPr>
          <w:rFonts w:eastAsia="Times New Roman"/>
          <w:i/>
          <w:vertAlign w:val="subscript"/>
          <w:lang w:val="en-US"/>
        </w:rPr>
        <w:t>s</w:t>
      </w:r>
      <w:proofErr w:type="spellEnd"/>
      <w:r w:rsidR="00B606C1" w:rsidRPr="00E137ED">
        <w:rPr>
          <w:rFonts w:eastAsia="Times New Roman"/>
          <w:vertAlign w:val="subscript"/>
          <w:lang w:val="en-US"/>
        </w:rPr>
        <w:t xml:space="preserve"> </w:t>
      </w:r>
      <w:r w:rsidR="00B606C1" w:rsidRPr="00E137ED">
        <w:rPr>
          <w:rFonts w:eastAsia="Times New Roman"/>
          <w:lang w:val="en-US"/>
        </w:rPr>
        <w:t xml:space="preserve">= </w:t>
      </w:r>
      <w:r w:rsidR="00421B21" w:rsidRPr="00E137ED">
        <w:rPr>
          <w:rFonts w:eastAsia="Times New Roman"/>
          <w:lang w:val="en-US"/>
        </w:rPr>
        <w:t xml:space="preserve">-.050, </w:t>
      </w:r>
      <w:proofErr w:type="spellStart"/>
      <w:r w:rsidR="00421B21" w:rsidRPr="00E137ED">
        <w:rPr>
          <w:rFonts w:eastAsia="Times New Roman"/>
          <w:lang w:val="en-US"/>
        </w:rPr>
        <w:t>n.s</w:t>
      </w:r>
      <w:proofErr w:type="spellEnd"/>
      <w:r w:rsidR="00253AC4" w:rsidRPr="00E137ED">
        <w:rPr>
          <w:rFonts w:eastAsia="Times New Roman"/>
          <w:lang w:val="en-US"/>
        </w:rPr>
        <w:t xml:space="preserve">. </w:t>
      </w:r>
      <w:r w:rsidR="00B606C1" w:rsidRPr="00E137ED">
        <w:rPr>
          <w:rFonts w:eastAsia="Times New Roman"/>
          <w:lang w:val="en-US"/>
        </w:rPr>
        <w:t xml:space="preserve">However, results showed that there was a significant </w:t>
      </w:r>
      <w:r w:rsidR="004F46FC" w:rsidRPr="00E137ED">
        <w:rPr>
          <w:rFonts w:eastAsia="Times New Roman"/>
          <w:lang w:val="en-US"/>
        </w:rPr>
        <w:t>correlation</w:t>
      </w:r>
      <w:r w:rsidR="00B606C1" w:rsidRPr="00E137ED">
        <w:rPr>
          <w:rFonts w:eastAsia="Times New Roman"/>
          <w:lang w:val="en-US"/>
        </w:rPr>
        <w:t xml:space="preserve"> between relationship status and the sunk time effect for both ruler-measure</w:t>
      </w:r>
      <w:r w:rsidR="00421B21" w:rsidRPr="00E137ED">
        <w:rPr>
          <w:rFonts w:eastAsia="Times New Roman"/>
          <w:lang w:val="en-US"/>
        </w:rPr>
        <w:t xml:space="preserve">, </w:t>
      </w:r>
      <w:r w:rsidR="00B606C1" w:rsidRPr="00E137ED">
        <w:rPr>
          <w:rFonts w:eastAsia="Times New Roman"/>
          <w:i/>
          <w:lang w:val="en-US"/>
        </w:rPr>
        <w:t>r</w:t>
      </w:r>
      <w:r w:rsidR="00B606C1" w:rsidRPr="00E137ED">
        <w:rPr>
          <w:rFonts w:eastAsia="Times New Roman"/>
          <w:lang w:val="en-US"/>
        </w:rPr>
        <w:t xml:space="preserve"> = .216, </w:t>
      </w:r>
      <w:r w:rsidR="00B606C1" w:rsidRPr="00E137ED">
        <w:rPr>
          <w:rFonts w:eastAsia="Times New Roman"/>
          <w:i/>
          <w:lang w:val="en-US"/>
        </w:rPr>
        <w:t>p</w:t>
      </w:r>
      <w:r w:rsidR="00B606C1" w:rsidRPr="00E137ED">
        <w:rPr>
          <w:rFonts w:eastAsia="Times New Roman"/>
          <w:lang w:val="en-US"/>
        </w:rPr>
        <w:t xml:space="preserve"> &lt; .001</w:t>
      </w:r>
      <w:r w:rsidR="00421B21" w:rsidRPr="00E137ED">
        <w:rPr>
          <w:rFonts w:eastAsia="Times New Roman"/>
          <w:lang w:val="en-US"/>
        </w:rPr>
        <w:t>,</w:t>
      </w:r>
      <w:r w:rsidR="00B606C1" w:rsidRPr="00E137ED">
        <w:rPr>
          <w:rFonts w:eastAsia="Times New Roman"/>
          <w:lang w:val="en-US"/>
        </w:rPr>
        <w:t xml:space="preserve"> and </w:t>
      </w:r>
      <w:r w:rsidR="00421B21" w:rsidRPr="00E137ED">
        <w:rPr>
          <w:rFonts w:eastAsia="Times New Roman"/>
          <w:lang w:val="en-US"/>
        </w:rPr>
        <w:t xml:space="preserve">days-measure, </w:t>
      </w:r>
      <w:r w:rsidR="00B606C1" w:rsidRPr="00E137ED">
        <w:rPr>
          <w:rFonts w:eastAsia="Times New Roman"/>
          <w:i/>
          <w:lang w:val="en-US"/>
        </w:rPr>
        <w:t>r</w:t>
      </w:r>
      <w:r w:rsidR="00B606C1" w:rsidRPr="00E137ED">
        <w:rPr>
          <w:rFonts w:eastAsia="Times New Roman"/>
          <w:lang w:val="en-US"/>
        </w:rPr>
        <w:t xml:space="preserve"> = .236, </w:t>
      </w:r>
      <w:r w:rsidR="00B606C1" w:rsidRPr="00E137ED">
        <w:rPr>
          <w:rFonts w:eastAsia="Times New Roman"/>
          <w:i/>
          <w:lang w:val="en-US"/>
        </w:rPr>
        <w:t xml:space="preserve">p </w:t>
      </w:r>
      <w:r w:rsidR="00B606C1" w:rsidRPr="00E137ED">
        <w:rPr>
          <w:rFonts w:eastAsia="Times New Roman"/>
          <w:lang w:val="en-US"/>
        </w:rPr>
        <w:t xml:space="preserve">&lt; .001. </w:t>
      </w:r>
      <w:r w:rsidR="00CF6E6C" w:rsidRPr="00E137ED">
        <w:rPr>
          <w:rFonts w:eastAsia="Times New Roman"/>
          <w:lang w:val="en-US"/>
        </w:rPr>
        <w:t>This me</w:t>
      </w:r>
      <w:r w:rsidR="00421B21" w:rsidRPr="00E137ED">
        <w:rPr>
          <w:rFonts w:eastAsia="Times New Roman"/>
          <w:lang w:val="en-US"/>
        </w:rPr>
        <w:t>ans that if the participants were</w:t>
      </w:r>
      <w:r w:rsidR="00CF6E6C" w:rsidRPr="00E137ED">
        <w:rPr>
          <w:rFonts w:eastAsia="Times New Roman"/>
          <w:lang w:val="en-US"/>
        </w:rPr>
        <w:t xml:space="preserve"> in a relationship, the more time/days they were willing to invest in that relationship.</w:t>
      </w:r>
    </w:p>
    <w:p w14:paraId="2DC295F0" w14:textId="5E4470BF" w:rsidR="006E0760" w:rsidRPr="00E137ED" w:rsidRDefault="006E0760" w:rsidP="00E137ED">
      <w:pPr>
        <w:ind w:firstLine="708"/>
        <w:rPr>
          <w:rFonts w:eastAsia="Times New Roman"/>
          <w:lang w:val="en-US"/>
        </w:rPr>
      </w:pPr>
      <w:r w:rsidRPr="00E137ED">
        <w:rPr>
          <w:rFonts w:eastAsia="Times New Roman"/>
          <w:lang w:val="en-US"/>
        </w:rPr>
        <w:t xml:space="preserve">ANOVA results showed a significant effect of scenario on </w:t>
      </w:r>
      <w:r w:rsidR="00AA6811" w:rsidRPr="00E137ED">
        <w:rPr>
          <w:rFonts w:eastAsia="Times New Roman"/>
          <w:lang w:val="en-US"/>
        </w:rPr>
        <w:t>sunk time effect, in both ruler-</w:t>
      </w:r>
      <w:r w:rsidRPr="00E137ED">
        <w:rPr>
          <w:rFonts w:eastAsia="Times New Roman"/>
          <w:lang w:val="en-US"/>
        </w:rPr>
        <w:t xml:space="preserve">measure, </w:t>
      </w:r>
      <w:proofErr w:type="gramStart"/>
      <w:r w:rsidRPr="00E137ED">
        <w:rPr>
          <w:rFonts w:eastAsia="Times New Roman"/>
          <w:i/>
          <w:lang w:val="en-US"/>
        </w:rPr>
        <w:t>F</w:t>
      </w:r>
      <w:r w:rsidRPr="00E137ED">
        <w:rPr>
          <w:rFonts w:eastAsia="Times New Roman"/>
          <w:lang w:val="en-US"/>
        </w:rPr>
        <w:t>(</w:t>
      </w:r>
      <w:proofErr w:type="gramEnd"/>
      <w:r w:rsidRPr="00E137ED">
        <w:rPr>
          <w:rFonts w:eastAsia="Times New Roman"/>
          <w:lang w:val="en-US"/>
        </w:rPr>
        <w:t xml:space="preserve">3, 263) = 3.98, </w:t>
      </w:r>
      <w:r w:rsidRPr="00E137ED">
        <w:rPr>
          <w:rFonts w:eastAsia="Times New Roman"/>
          <w:i/>
          <w:lang w:val="en-US"/>
        </w:rPr>
        <w:t>p</w:t>
      </w:r>
      <w:r w:rsidRPr="00E137ED">
        <w:rPr>
          <w:rFonts w:eastAsia="Times New Roman"/>
          <w:lang w:val="en-US"/>
        </w:rPr>
        <w:t xml:space="preserve"> =.008,  </w:t>
      </w:r>
      <w:r w:rsidRPr="00E137ED">
        <w:rPr>
          <w:rFonts w:eastAsia="Times New Roman"/>
        </w:rPr>
        <w:t>η</w:t>
      </w:r>
      <w:r w:rsidRPr="00E137ED">
        <w:rPr>
          <w:rFonts w:eastAsia="Times New Roman"/>
          <w:vertAlign w:val="subscript"/>
          <w:lang w:val="en-US"/>
        </w:rPr>
        <w:t>p</w:t>
      </w:r>
      <w:r w:rsidRPr="00E137ED">
        <w:rPr>
          <w:rFonts w:eastAsia="Times New Roman"/>
          <w:vertAlign w:val="superscript"/>
          <w:lang w:val="en-US"/>
        </w:rPr>
        <w:t xml:space="preserve">2 </w:t>
      </w:r>
      <w:r w:rsidR="00AA6811" w:rsidRPr="00E137ED">
        <w:rPr>
          <w:rFonts w:eastAsia="Times New Roman"/>
          <w:lang w:val="en-US"/>
        </w:rPr>
        <w:t>= .043, and days-</w:t>
      </w:r>
      <w:r w:rsidRPr="00E137ED">
        <w:rPr>
          <w:rFonts w:eastAsia="Times New Roman"/>
          <w:lang w:val="en-US"/>
        </w:rPr>
        <w:t xml:space="preserve">measure, </w:t>
      </w:r>
      <w:r w:rsidRPr="00E137ED">
        <w:rPr>
          <w:rFonts w:eastAsia="Times New Roman"/>
          <w:i/>
          <w:lang w:val="en-US"/>
        </w:rPr>
        <w:t>F</w:t>
      </w:r>
      <w:r w:rsidRPr="00E137ED">
        <w:rPr>
          <w:rFonts w:eastAsia="Times New Roman"/>
          <w:lang w:val="en-US"/>
        </w:rPr>
        <w:t xml:space="preserve">(3, 263) = 3.82, </w:t>
      </w:r>
      <w:r w:rsidRPr="00E137ED">
        <w:rPr>
          <w:rFonts w:eastAsia="Times New Roman"/>
          <w:i/>
          <w:lang w:val="en-US"/>
        </w:rPr>
        <w:t>p</w:t>
      </w:r>
      <w:r w:rsidRPr="00E137ED">
        <w:rPr>
          <w:rFonts w:eastAsia="Times New Roman"/>
          <w:lang w:val="en-US"/>
        </w:rPr>
        <w:t xml:space="preserve"> =.010,  </w:t>
      </w:r>
      <w:r w:rsidRPr="00E137ED">
        <w:rPr>
          <w:rFonts w:eastAsia="Times New Roman"/>
        </w:rPr>
        <w:t>η</w:t>
      </w:r>
      <w:r w:rsidRPr="00E137ED">
        <w:rPr>
          <w:rFonts w:eastAsia="Times New Roman"/>
          <w:vertAlign w:val="subscript"/>
          <w:lang w:val="en-US"/>
        </w:rPr>
        <w:t>p</w:t>
      </w:r>
      <w:r w:rsidRPr="00E137ED">
        <w:rPr>
          <w:rFonts w:eastAsia="Times New Roman"/>
          <w:vertAlign w:val="superscript"/>
          <w:lang w:val="en-US"/>
        </w:rPr>
        <w:t xml:space="preserve">2 </w:t>
      </w:r>
      <w:r w:rsidRPr="00E137ED">
        <w:rPr>
          <w:rFonts w:eastAsia="Times New Roman"/>
          <w:lang w:val="en-US"/>
        </w:rPr>
        <w:t>= .042. At the same time, there was found a significa</w:t>
      </w:r>
      <w:r w:rsidR="005A037D" w:rsidRPr="00E137ED">
        <w:rPr>
          <w:rFonts w:eastAsia="Times New Roman"/>
          <w:lang w:val="en-US"/>
        </w:rPr>
        <w:t xml:space="preserve">nt </w:t>
      </w:r>
      <w:r w:rsidRPr="00E137ED">
        <w:rPr>
          <w:rFonts w:eastAsia="Times New Roman"/>
          <w:lang w:val="en-US"/>
        </w:rPr>
        <w:t xml:space="preserve">effect of relationship status (being vs. not being in a relationship) on sunk time effect, </w:t>
      </w:r>
      <w:r w:rsidR="00AA6811" w:rsidRPr="00E137ED">
        <w:rPr>
          <w:rFonts w:eastAsia="Times New Roman"/>
          <w:lang w:val="en-US"/>
        </w:rPr>
        <w:t>in both ruler-</w:t>
      </w:r>
      <w:r w:rsidRPr="00E137ED">
        <w:rPr>
          <w:rFonts w:eastAsia="Times New Roman"/>
          <w:lang w:val="en-US"/>
        </w:rPr>
        <w:t xml:space="preserve">measure, </w:t>
      </w:r>
      <w:r w:rsidR="00981882" w:rsidRPr="00E137ED">
        <w:rPr>
          <w:rFonts w:eastAsia="Times New Roman"/>
          <w:i/>
          <w:lang w:val="en-US"/>
        </w:rPr>
        <w:t>t</w:t>
      </w:r>
      <w:r w:rsidR="00981882" w:rsidRPr="00E137ED">
        <w:rPr>
          <w:rFonts w:eastAsia="Times New Roman"/>
          <w:lang w:val="en-US"/>
        </w:rPr>
        <w:t>(265</w:t>
      </w:r>
      <w:r w:rsidR="004877F9" w:rsidRPr="00E137ED">
        <w:rPr>
          <w:rFonts w:eastAsia="Times New Roman"/>
          <w:lang w:val="en-US"/>
        </w:rPr>
        <w:t>) = 3.44</w:t>
      </w:r>
      <w:r w:rsidR="00981882" w:rsidRPr="00E137ED">
        <w:rPr>
          <w:rFonts w:eastAsia="Times New Roman"/>
          <w:lang w:val="en-US"/>
        </w:rPr>
        <w:t xml:space="preserve">, </w:t>
      </w:r>
      <w:r w:rsidR="00981882" w:rsidRPr="00E137ED">
        <w:rPr>
          <w:rFonts w:eastAsia="Times New Roman"/>
          <w:i/>
          <w:lang w:val="en-US"/>
        </w:rPr>
        <w:t>p</w:t>
      </w:r>
      <w:r w:rsidR="00981882" w:rsidRPr="00E137ED">
        <w:rPr>
          <w:rFonts w:eastAsia="Times New Roman"/>
          <w:lang w:val="en-US"/>
        </w:rPr>
        <w:t xml:space="preserve"> =</w:t>
      </w:r>
      <w:r w:rsidRPr="00E137ED">
        <w:rPr>
          <w:rFonts w:eastAsia="Times New Roman"/>
          <w:lang w:val="en-US"/>
        </w:rPr>
        <w:t xml:space="preserve"> .001, </w:t>
      </w:r>
      <w:r w:rsidRPr="00E137ED">
        <w:rPr>
          <w:rFonts w:eastAsia="Times New Roman"/>
          <w:i/>
          <w:lang w:val="en-US"/>
        </w:rPr>
        <w:t>d</w:t>
      </w:r>
      <w:r w:rsidRPr="00E137ED">
        <w:rPr>
          <w:rFonts w:eastAsia="Times New Roman"/>
          <w:lang w:val="en-US"/>
        </w:rPr>
        <w:t xml:space="preserve"> = </w:t>
      </w:r>
      <w:r w:rsidR="00DE7A1D" w:rsidRPr="00E137ED">
        <w:rPr>
          <w:rFonts w:eastAsia="Times New Roman"/>
          <w:lang w:val="en-US"/>
        </w:rPr>
        <w:t>0.67</w:t>
      </w:r>
      <w:r w:rsidR="00AA6811" w:rsidRPr="00E137ED">
        <w:rPr>
          <w:rFonts w:eastAsia="Times New Roman"/>
          <w:lang w:val="en-US"/>
        </w:rPr>
        <w:t>, and days-</w:t>
      </w:r>
      <w:r w:rsidRPr="00E137ED">
        <w:rPr>
          <w:rFonts w:eastAsia="Times New Roman"/>
          <w:lang w:val="en-US"/>
        </w:rPr>
        <w:t xml:space="preserve">measure, </w:t>
      </w:r>
      <w:r w:rsidRPr="00E137ED">
        <w:rPr>
          <w:rFonts w:eastAsia="Times New Roman"/>
          <w:i/>
          <w:lang w:val="en-US"/>
        </w:rPr>
        <w:t>t</w:t>
      </w:r>
      <w:r w:rsidRPr="00E137ED">
        <w:rPr>
          <w:rFonts w:eastAsia="Times New Roman"/>
          <w:lang w:val="en-US"/>
        </w:rPr>
        <w:t>(</w:t>
      </w:r>
      <w:r w:rsidR="00612A35" w:rsidRPr="00E137ED">
        <w:rPr>
          <w:rFonts w:eastAsia="Times New Roman"/>
          <w:lang w:val="en-US"/>
        </w:rPr>
        <w:t>56) = 3.77</w:t>
      </w:r>
      <w:r w:rsidRPr="00E137ED">
        <w:rPr>
          <w:rFonts w:eastAsia="Times New Roman"/>
          <w:lang w:val="en-US"/>
        </w:rPr>
        <w:t xml:space="preserve">, </w:t>
      </w:r>
      <w:r w:rsidRPr="00E137ED">
        <w:rPr>
          <w:rFonts w:eastAsia="Times New Roman"/>
          <w:i/>
          <w:lang w:val="en-US"/>
        </w:rPr>
        <w:t>p</w:t>
      </w:r>
      <w:r w:rsidRPr="00E137ED">
        <w:rPr>
          <w:rFonts w:eastAsia="Times New Roman"/>
          <w:lang w:val="en-US"/>
        </w:rPr>
        <w:t xml:space="preserve"> &lt; .001, </w:t>
      </w:r>
      <w:r w:rsidRPr="00E137ED">
        <w:rPr>
          <w:rFonts w:eastAsia="Times New Roman"/>
          <w:i/>
          <w:lang w:val="en-US"/>
        </w:rPr>
        <w:t>d</w:t>
      </w:r>
      <w:r w:rsidRPr="00E137ED">
        <w:rPr>
          <w:rFonts w:eastAsia="Times New Roman"/>
          <w:lang w:val="en-US"/>
        </w:rPr>
        <w:t xml:space="preserve"> = </w:t>
      </w:r>
      <w:r w:rsidR="00CB5FE7" w:rsidRPr="00E137ED">
        <w:rPr>
          <w:rFonts w:eastAsia="Times New Roman"/>
          <w:lang w:val="en-US"/>
        </w:rPr>
        <w:t>0.78</w:t>
      </w:r>
      <w:r w:rsidR="00612A35" w:rsidRPr="00E137ED">
        <w:rPr>
          <w:rFonts w:eastAsia="Times New Roman"/>
          <w:lang w:val="en-US"/>
        </w:rPr>
        <w:t xml:space="preserve">. </w:t>
      </w:r>
      <w:proofErr w:type="spellStart"/>
      <w:r w:rsidR="00612A35" w:rsidRPr="00E137ED">
        <w:rPr>
          <w:rFonts w:eastAsia="Times New Roman"/>
          <w:lang w:val="en-US"/>
        </w:rPr>
        <w:t>Levene’s</w:t>
      </w:r>
      <w:proofErr w:type="spellEnd"/>
      <w:r w:rsidR="00612A35" w:rsidRPr="00E137ED">
        <w:rPr>
          <w:rFonts w:eastAsia="Times New Roman"/>
          <w:lang w:val="en-US"/>
        </w:rPr>
        <w:t xml:space="preserve"> test </w:t>
      </w:r>
      <w:r w:rsidR="00AA6811" w:rsidRPr="00E137ED">
        <w:rPr>
          <w:rFonts w:eastAsia="Times New Roman"/>
          <w:lang w:val="en-US"/>
        </w:rPr>
        <w:t>for days-</w:t>
      </w:r>
      <w:r w:rsidR="00612A35" w:rsidRPr="00E137ED">
        <w:rPr>
          <w:rFonts w:eastAsia="Times New Roman"/>
          <w:lang w:val="en-US"/>
        </w:rPr>
        <w:t>measure indicated unequal variances (</w:t>
      </w:r>
      <w:r w:rsidR="00612A35" w:rsidRPr="00E137ED">
        <w:rPr>
          <w:rFonts w:eastAsia="Times New Roman"/>
          <w:i/>
          <w:lang w:val="en-US"/>
        </w:rPr>
        <w:t>F</w:t>
      </w:r>
      <w:r w:rsidR="00612A35" w:rsidRPr="00E137ED">
        <w:rPr>
          <w:rFonts w:eastAsia="Times New Roman"/>
          <w:lang w:val="en-US"/>
        </w:rPr>
        <w:t xml:space="preserve"> = 16.99, </w:t>
      </w:r>
      <w:r w:rsidR="00612A35" w:rsidRPr="00E137ED">
        <w:rPr>
          <w:rFonts w:eastAsia="Times New Roman"/>
          <w:i/>
          <w:lang w:val="en-US"/>
        </w:rPr>
        <w:t>p</w:t>
      </w:r>
      <w:r w:rsidR="00612A35" w:rsidRPr="00E137ED">
        <w:rPr>
          <w:rFonts w:eastAsia="Times New Roman"/>
          <w:lang w:val="en-US"/>
        </w:rPr>
        <w:t xml:space="preserve"> &lt; .001), so degrees of freedom were adjusted from 265 to 55. Women in a relationship were willing to invest more time (</w:t>
      </w:r>
      <w:r w:rsidR="00612A35" w:rsidRPr="00E137ED">
        <w:rPr>
          <w:rFonts w:eastAsia="Times New Roman"/>
          <w:i/>
          <w:lang w:val="en-US"/>
        </w:rPr>
        <w:t>M</w:t>
      </w:r>
      <w:r w:rsidR="00612A35" w:rsidRPr="00E137ED">
        <w:rPr>
          <w:rFonts w:eastAsia="Times New Roman"/>
          <w:lang w:val="en-US"/>
        </w:rPr>
        <w:t xml:space="preserve"> = 51.7, </w:t>
      </w:r>
      <w:r w:rsidR="00612A35" w:rsidRPr="00E137ED">
        <w:rPr>
          <w:rFonts w:eastAsia="Times New Roman"/>
          <w:i/>
          <w:lang w:val="en-US"/>
        </w:rPr>
        <w:t>SD</w:t>
      </w:r>
      <w:r w:rsidR="00612A35" w:rsidRPr="00E137ED">
        <w:rPr>
          <w:rFonts w:eastAsia="Times New Roman"/>
          <w:lang w:val="en-US"/>
        </w:rPr>
        <w:t xml:space="preserve"> = 34.7) and days (</w:t>
      </w:r>
      <w:r w:rsidR="00612A35" w:rsidRPr="00E137ED">
        <w:rPr>
          <w:rFonts w:eastAsia="Times New Roman"/>
          <w:i/>
          <w:lang w:val="en-US"/>
        </w:rPr>
        <w:t>M</w:t>
      </w:r>
      <w:r w:rsidR="00612A35" w:rsidRPr="00E137ED">
        <w:rPr>
          <w:rFonts w:eastAsia="Times New Roman"/>
          <w:lang w:val="en-US"/>
        </w:rPr>
        <w:t xml:space="preserve"> = 434.7, </w:t>
      </w:r>
      <w:r w:rsidR="00612A35" w:rsidRPr="00E137ED">
        <w:rPr>
          <w:rFonts w:eastAsia="Times New Roman"/>
          <w:i/>
          <w:lang w:val="en-US"/>
        </w:rPr>
        <w:t>SD</w:t>
      </w:r>
      <w:r w:rsidR="00612A35" w:rsidRPr="00E137ED">
        <w:rPr>
          <w:rFonts w:eastAsia="Times New Roman"/>
          <w:lang w:val="en-US"/>
        </w:rPr>
        <w:t xml:space="preserve"> = 381.6) in that relationship, compared to single women (ruler-measure </w:t>
      </w:r>
      <w:r w:rsidR="00612A35" w:rsidRPr="00E137ED">
        <w:rPr>
          <w:rFonts w:eastAsia="Times New Roman"/>
          <w:i/>
          <w:lang w:val="en-US"/>
        </w:rPr>
        <w:t>M</w:t>
      </w:r>
      <w:r w:rsidR="00612A35" w:rsidRPr="00E137ED">
        <w:rPr>
          <w:rFonts w:eastAsia="Times New Roman"/>
          <w:lang w:val="en-US"/>
        </w:rPr>
        <w:t xml:space="preserve"> = </w:t>
      </w:r>
      <w:r w:rsidR="00AA6811" w:rsidRPr="00E137ED">
        <w:rPr>
          <w:rFonts w:eastAsia="Times New Roman"/>
          <w:lang w:val="en-US"/>
        </w:rPr>
        <w:t xml:space="preserve">30.18, </w:t>
      </w:r>
      <w:r w:rsidR="00AA6811" w:rsidRPr="00E137ED">
        <w:rPr>
          <w:rFonts w:eastAsia="Times New Roman"/>
          <w:i/>
          <w:lang w:val="en-US"/>
        </w:rPr>
        <w:t>SD</w:t>
      </w:r>
      <w:r w:rsidR="00AA6811" w:rsidRPr="00E137ED">
        <w:rPr>
          <w:rFonts w:eastAsia="Times New Roman"/>
          <w:lang w:val="en-US"/>
        </w:rPr>
        <w:t xml:space="preserve"> = 28.8; days-measure </w:t>
      </w:r>
      <w:r w:rsidR="00AA6811" w:rsidRPr="00E137ED">
        <w:rPr>
          <w:rFonts w:eastAsia="Times New Roman"/>
          <w:i/>
          <w:lang w:val="en-US"/>
        </w:rPr>
        <w:t>M</w:t>
      </w:r>
      <w:r w:rsidR="00AA6811" w:rsidRPr="00E137ED">
        <w:rPr>
          <w:rFonts w:eastAsia="Times New Roman"/>
          <w:lang w:val="en-US"/>
        </w:rPr>
        <w:t xml:space="preserve"> = 179.3, </w:t>
      </w:r>
      <w:r w:rsidR="00AA6811" w:rsidRPr="00E137ED">
        <w:rPr>
          <w:rFonts w:eastAsia="Times New Roman"/>
          <w:i/>
          <w:lang w:val="en-US"/>
        </w:rPr>
        <w:t>SD</w:t>
      </w:r>
      <w:r w:rsidR="00AA6811" w:rsidRPr="00E137ED">
        <w:rPr>
          <w:rFonts w:eastAsia="Times New Roman"/>
          <w:lang w:val="en-US"/>
        </w:rPr>
        <w:t xml:space="preserve"> = 263.4</w:t>
      </w:r>
      <w:r w:rsidR="00612A35" w:rsidRPr="00E137ED">
        <w:rPr>
          <w:rFonts w:eastAsia="Times New Roman"/>
          <w:lang w:val="en-US"/>
        </w:rPr>
        <w:t>)</w:t>
      </w:r>
      <w:r w:rsidR="00CB5FE7" w:rsidRPr="00E137ED">
        <w:rPr>
          <w:rFonts w:eastAsia="Times New Roman"/>
          <w:lang w:val="en-US"/>
        </w:rPr>
        <w:t>, regardless of the assigned scenario.</w:t>
      </w:r>
    </w:p>
    <w:p w14:paraId="67078A18" w14:textId="147CB64F" w:rsidR="00421B21" w:rsidRPr="00E137ED" w:rsidRDefault="00421B21" w:rsidP="00E137ED">
      <w:pPr>
        <w:ind w:firstLine="708"/>
        <w:rPr>
          <w:rFonts w:eastAsia="Times New Roman"/>
          <w:lang w:val="en-US"/>
        </w:rPr>
      </w:pPr>
      <w:r w:rsidRPr="00E137ED">
        <w:rPr>
          <w:rFonts w:eastAsia="Times New Roman"/>
          <w:lang w:val="en-US"/>
        </w:rPr>
        <w:t>After controlling the effect of relationship status, there was</w:t>
      </w:r>
      <w:r w:rsidR="006E0760" w:rsidRPr="00E137ED">
        <w:rPr>
          <w:rFonts w:eastAsia="Times New Roman"/>
          <w:lang w:val="en-US"/>
        </w:rPr>
        <w:t xml:space="preserve"> still</w:t>
      </w:r>
      <w:r w:rsidRPr="00E137ED">
        <w:rPr>
          <w:rFonts w:eastAsia="Times New Roman"/>
          <w:lang w:val="en-US"/>
        </w:rPr>
        <w:t xml:space="preserve"> a significant effect of type of scenario on sunk time effect in </w:t>
      </w:r>
      <w:r w:rsidR="002B7675" w:rsidRPr="00E137ED">
        <w:rPr>
          <w:rFonts w:eastAsia="Times New Roman"/>
          <w:lang w:val="en-US"/>
        </w:rPr>
        <w:t xml:space="preserve">both </w:t>
      </w:r>
      <w:r w:rsidR="004F46FC" w:rsidRPr="00E137ED">
        <w:rPr>
          <w:rFonts w:eastAsia="Times New Roman"/>
          <w:lang w:val="en-US"/>
        </w:rPr>
        <w:t>ruler-</w:t>
      </w:r>
      <w:r w:rsidRPr="00E137ED">
        <w:rPr>
          <w:rFonts w:eastAsia="Times New Roman"/>
          <w:lang w:val="en-US"/>
        </w:rPr>
        <w:t xml:space="preserve">measure, </w:t>
      </w:r>
      <w:r w:rsidRPr="00E137ED">
        <w:rPr>
          <w:rFonts w:eastAsia="Times New Roman"/>
          <w:i/>
          <w:lang w:val="en-US"/>
        </w:rPr>
        <w:t>F</w:t>
      </w:r>
      <w:r w:rsidRPr="00E137ED">
        <w:rPr>
          <w:rFonts w:eastAsia="Times New Roman"/>
          <w:lang w:val="en-US"/>
        </w:rPr>
        <w:t>(</w:t>
      </w:r>
      <w:r w:rsidR="00F64B20" w:rsidRPr="00E137ED">
        <w:rPr>
          <w:rFonts w:eastAsia="Times New Roman"/>
          <w:lang w:val="en-US"/>
        </w:rPr>
        <w:t>3, 262</w:t>
      </w:r>
      <w:r w:rsidRPr="00E137ED">
        <w:rPr>
          <w:rFonts w:eastAsia="Times New Roman"/>
          <w:lang w:val="en-US"/>
        </w:rPr>
        <w:t>)</w:t>
      </w:r>
      <w:r w:rsidR="0044253B" w:rsidRPr="00E137ED">
        <w:rPr>
          <w:rFonts w:eastAsia="Times New Roman"/>
          <w:lang w:val="en-US"/>
        </w:rPr>
        <w:t xml:space="preserve"> = 4.64</w:t>
      </w:r>
      <w:r w:rsidR="00F64B20" w:rsidRPr="00E137ED">
        <w:rPr>
          <w:rFonts w:eastAsia="Times New Roman"/>
          <w:lang w:val="en-US"/>
        </w:rPr>
        <w:t xml:space="preserve">, </w:t>
      </w:r>
      <w:r w:rsidR="00F64B20" w:rsidRPr="00E137ED">
        <w:rPr>
          <w:rFonts w:eastAsia="Times New Roman"/>
          <w:i/>
          <w:lang w:val="en-US"/>
        </w:rPr>
        <w:t>p</w:t>
      </w:r>
      <w:r w:rsidR="0044253B" w:rsidRPr="00E137ED">
        <w:rPr>
          <w:rFonts w:eastAsia="Times New Roman"/>
          <w:lang w:val="en-US"/>
        </w:rPr>
        <w:t xml:space="preserve"> =.004</w:t>
      </w:r>
      <w:r w:rsidR="00F64B20" w:rsidRPr="00E137ED">
        <w:rPr>
          <w:rFonts w:eastAsia="Times New Roman"/>
          <w:lang w:val="en-US"/>
        </w:rPr>
        <w:t xml:space="preserve">,  </w:t>
      </w:r>
      <w:r w:rsidR="00416EFA" w:rsidRPr="00E137ED">
        <w:rPr>
          <w:rFonts w:eastAsia="Times New Roman"/>
        </w:rPr>
        <w:t>η</w:t>
      </w:r>
      <w:r w:rsidR="00416EFA" w:rsidRPr="00E137ED">
        <w:rPr>
          <w:rFonts w:eastAsia="Times New Roman"/>
          <w:vertAlign w:val="subscript"/>
          <w:lang w:val="en-US"/>
        </w:rPr>
        <w:t>p</w:t>
      </w:r>
      <w:r w:rsidR="00416EFA" w:rsidRPr="00E137ED">
        <w:rPr>
          <w:rFonts w:eastAsia="Times New Roman"/>
          <w:vertAlign w:val="superscript"/>
          <w:lang w:val="en-US"/>
        </w:rPr>
        <w:t xml:space="preserve">2 </w:t>
      </w:r>
      <w:r w:rsidR="00416EFA" w:rsidRPr="00E137ED">
        <w:rPr>
          <w:rFonts w:eastAsia="Times New Roman"/>
          <w:lang w:val="en-US"/>
        </w:rPr>
        <w:t xml:space="preserve">= </w:t>
      </w:r>
      <w:r w:rsidR="0044253B" w:rsidRPr="00E137ED">
        <w:rPr>
          <w:rFonts w:eastAsia="Times New Roman"/>
          <w:lang w:val="en-US"/>
        </w:rPr>
        <w:t>.040</w:t>
      </w:r>
      <w:r w:rsidR="004F46FC" w:rsidRPr="00E137ED">
        <w:rPr>
          <w:rFonts w:eastAsia="Times New Roman"/>
          <w:lang w:val="en-US"/>
        </w:rPr>
        <w:t>, and days-</w:t>
      </w:r>
      <w:r w:rsidR="002B7675" w:rsidRPr="00E137ED">
        <w:rPr>
          <w:rFonts w:eastAsia="Times New Roman"/>
          <w:lang w:val="en-US"/>
        </w:rPr>
        <w:t xml:space="preserve">measure, </w:t>
      </w:r>
      <w:r w:rsidR="002B7675" w:rsidRPr="00E137ED">
        <w:rPr>
          <w:rFonts w:eastAsia="Times New Roman"/>
          <w:i/>
          <w:lang w:val="en-US"/>
        </w:rPr>
        <w:t>F</w:t>
      </w:r>
      <w:r w:rsidR="002B7675" w:rsidRPr="00E137ED">
        <w:rPr>
          <w:rFonts w:eastAsia="Times New Roman"/>
          <w:lang w:val="en-US"/>
        </w:rPr>
        <w:t>(3, 262)</w:t>
      </w:r>
      <w:r w:rsidR="0044253B" w:rsidRPr="00E137ED">
        <w:rPr>
          <w:rFonts w:eastAsia="Times New Roman"/>
          <w:lang w:val="en-US"/>
        </w:rPr>
        <w:t xml:space="preserve"> = 4.83</w:t>
      </w:r>
      <w:r w:rsidR="002B7675" w:rsidRPr="00E137ED">
        <w:rPr>
          <w:rFonts w:eastAsia="Times New Roman"/>
          <w:lang w:val="en-US"/>
        </w:rPr>
        <w:t xml:space="preserve">, </w:t>
      </w:r>
      <w:r w:rsidR="002B7675" w:rsidRPr="00E137ED">
        <w:rPr>
          <w:rFonts w:eastAsia="Times New Roman"/>
          <w:i/>
          <w:lang w:val="en-US"/>
        </w:rPr>
        <w:t>p</w:t>
      </w:r>
      <w:r w:rsidR="0044253B" w:rsidRPr="00E137ED">
        <w:rPr>
          <w:rFonts w:eastAsia="Times New Roman"/>
          <w:lang w:val="en-US"/>
        </w:rPr>
        <w:t xml:space="preserve"> =.003</w:t>
      </w:r>
      <w:r w:rsidR="002B7675" w:rsidRPr="00E137ED">
        <w:rPr>
          <w:rFonts w:eastAsia="Times New Roman"/>
          <w:lang w:val="en-US"/>
        </w:rPr>
        <w:t xml:space="preserve">,  </w:t>
      </w:r>
      <w:r w:rsidR="002B7675" w:rsidRPr="00E137ED">
        <w:rPr>
          <w:rFonts w:eastAsia="Times New Roman"/>
        </w:rPr>
        <w:t>η</w:t>
      </w:r>
      <w:r w:rsidR="002B7675" w:rsidRPr="00E137ED">
        <w:rPr>
          <w:rFonts w:eastAsia="Times New Roman"/>
          <w:vertAlign w:val="subscript"/>
          <w:lang w:val="en-US"/>
        </w:rPr>
        <w:t>p</w:t>
      </w:r>
      <w:r w:rsidR="002B7675" w:rsidRPr="00E137ED">
        <w:rPr>
          <w:rFonts w:eastAsia="Times New Roman"/>
          <w:vertAlign w:val="superscript"/>
          <w:lang w:val="en-US"/>
        </w:rPr>
        <w:t xml:space="preserve">2 </w:t>
      </w:r>
      <w:r w:rsidR="002B7675" w:rsidRPr="00E137ED">
        <w:rPr>
          <w:rFonts w:eastAsia="Times New Roman"/>
          <w:lang w:val="en-US"/>
        </w:rPr>
        <w:t>=</w:t>
      </w:r>
      <w:r w:rsidR="0044253B" w:rsidRPr="00E137ED">
        <w:rPr>
          <w:rFonts w:eastAsia="Times New Roman"/>
          <w:lang w:val="en-US"/>
        </w:rPr>
        <w:t xml:space="preserve"> .052</w:t>
      </w:r>
      <w:r w:rsidR="002B7675" w:rsidRPr="00E137ED">
        <w:rPr>
          <w:rFonts w:eastAsia="Times New Roman"/>
          <w:lang w:val="en-US"/>
        </w:rPr>
        <w:t>.</w:t>
      </w:r>
    </w:p>
    <w:p w14:paraId="27CBD4E0" w14:textId="2851C8F3" w:rsidR="00C62B82" w:rsidRDefault="00B90EF2" w:rsidP="00E137ED">
      <w:pPr>
        <w:pStyle w:val="textbox"/>
        <w:shd w:val="clear" w:color="auto" w:fill="FFFFFF"/>
        <w:spacing w:before="0" w:beforeAutospacing="0" w:after="0" w:afterAutospacing="0"/>
        <w:ind w:firstLine="708"/>
        <w:rPr>
          <w:rFonts w:eastAsia="Times New Roman"/>
          <w:lang w:val="en-US"/>
        </w:rPr>
      </w:pPr>
      <w:r w:rsidRPr="00E137ED">
        <w:rPr>
          <w:rFonts w:eastAsia="Times New Roman"/>
          <w:lang w:val="en-US"/>
        </w:rPr>
        <w:t>For ruler-measure</w:t>
      </w:r>
      <w:r w:rsidR="00D97079" w:rsidRPr="00E137ED">
        <w:rPr>
          <w:rFonts w:eastAsia="Times New Roman"/>
          <w:lang w:val="en-US"/>
        </w:rPr>
        <w:t xml:space="preserve"> (see Figure 1)</w:t>
      </w:r>
      <w:r w:rsidRPr="00E137ED">
        <w:rPr>
          <w:rFonts w:eastAsia="Times New Roman"/>
          <w:lang w:val="en-US"/>
        </w:rPr>
        <w:t xml:space="preserve">, </w:t>
      </w:r>
      <w:r w:rsidR="00936A84" w:rsidRPr="00E137ED">
        <w:rPr>
          <w:rFonts w:eastAsia="Times New Roman"/>
          <w:lang w:val="en-US"/>
        </w:rPr>
        <w:t>Bonferroni corrected post</w:t>
      </w:r>
      <w:r w:rsidR="003B3610" w:rsidRPr="00E137ED">
        <w:rPr>
          <w:rFonts w:eastAsia="Times New Roman"/>
          <w:lang w:val="en-US"/>
        </w:rPr>
        <w:t xml:space="preserve"> </w:t>
      </w:r>
      <w:r w:rsidR="00936A84" w:rsidRPr="00E137ED">
        <w:rPr>
          <w:rFonts w:eastAsia="Times New Roman"/>
          <w:lang w:val="en-US"/>
        </w:rPr>
        <w:t xml:space="preserve">hoc analysis found </w:t>
      </w:r>
      <w:r w:rsidR="003B3610" w:rsidRPr="00E137ED">
        <w:rPr>
          <w:rFonts w:eastAsia="Times New Roman"/>
          <w:lang w:val="en-US"/>
        </w:rPr>
        <w:t xml:space="preserve">that </w:t>
      </w:r>
      <w:r w:rsidRPr="00E137ED">
        <w:rPr>
          <w:rFonts w:eastAsia="Times New Roman"/>
          <w:lang w:val="en-US"/>
        </w:rPr>
        <w:t xml:space="preserve">women </w:t>
      </w:r>
      <w:r w:rsidR="004F46FC" w:rsidRPr="00E137ED">
        <w:rPr>
          <w:rFonts w:eastAsia="Times New Roman"/>
          <w:lang w:val="en-US"/>
        </w:rPr>
        <w:t>would spend</w:t>
      </w:r>
      <w:r w:rsidRPr="00E137ED">
        <w:rPr>
          <w:rFonts w:eastAsia="Times New Roman"/>
          <w:lang w:val="en-US"/>
        </w:rPr>
        <w:t xml:space="preserve"> more time in a scenario of psychological violence t</w:t>
      </w:r>
      <w:r w:rsidR="003B3610" w:rsidRPr="00E137ED">
        <w:rPr>
          <w:rFonts w:eastAsia="Times New Roman"/>
          <w:lang w:val="en-US"/>
        </w:rPr>
        <w:t>han in a</w:t>
      </w:r>
      <w:r w:rsidRPr="00E137ED">
        <w:rPr>
          <w:rFonts w:eastAsia="Times New Roman"/>
          <w:lang w:val="en-US"/>
        </w:rPr>
        <w:t xml:space="preserve"> </w:t>
      </w:r>
      <w:r w:rsidRPr="00E137ED">
        <w:rPr>
          <w:rFonts w:eastAsia="Times New Roman"/>
          <w:lang w:val="en-US"/>
        </w:rPr>
        <w:lastRenderedPageBreak/>
        <w:t>scenario of sexual violence (</w:t>
      </w:r>
      <w:r w:rsidRPr="00E137ED">
        <w:rPr>
          <w:rFonts w:eastAsia="Times New Roman"/>
          <w:i/>
          <w:lang w:val="en-US"/>
        </w:rPr>
        <w:t>p</w:t>
      </w:r>
      <w:r w:rsidRPr="00E137ED">
        <w:rPr>
          <w:rFonts w:eastAsia="Times New Roman"/>
          <w:lang w:val="en-US"/>
        </w:rPr>
        <w:t xml:space="preserve"> = .015)</w:t>
      </w:r>
      <w:r w:rsidR="003B3610" w:rsidRPr="00E137ED">
        <w:rPr>
          <w:rFonts w:eastAsia="Times New Roman"/>
          <w:lang w:val="en-US"/>
        </w:rPr>
        <w:t xml:space="preserve"> and</w:t>
      </w:r>
      <w:r w:rsidR="004F46FC" w:rsidRPr="00E137ED">
        <w:rPr>
          <w:rFonts w:eastAsia="Times New Roman"/>
          <w:lang w:val="en-US"/>
        </w:rPr>
        <w:t xml:space="preserve"> in </w:t>
      </w:r>
      <w:r w:rsidR="003B3610" w:rsidRPr="00E137ED">
        <w:rPr>
          <w:rFonts w:eastAsia="Times New Roman"/>
          <w:lang w:val="en-US"/>
        </w:rPr>
        <w:t xml:space="preserve">a scenario of </w:t>
      </w:r>
      <w:r w:rsidRPr="00E137ED">
        <w:rPr>
          <w:rFonts w:eastAsia="Times New Roman"/>
          <w:lang w:val="en-US"/>
        </w:rPr>
        <w:t xml:space="preserve">physical violence </w:t>
      </w:r>
      <w:r w:rsidR="003B3610" w:rsidRPr="00E137ED">
        <w:rPr>
          <w:rFonts w:eastAsia="Times New Roman"/>
          <w:lang w:val="en-US"/>
        </w:rPr>
        <w:t>(</w:t>
      </w:r>
      <w:r w:rsidR="003B3610" w:rsidRPr="00E137ED">
        <w:rPr>
          <w:rFonts w:eastAsia="Times New Roman"/>
          <w:i/>
          <w:lang w:val="en-US"/>
        </w:rPr>
        <w:t xml:space="preserve">p </w:t>
      </w:r>
      <w:r w:rsidR="003B3610" w:rsidRPr="00E137ED">
        <w:rPr>
          <w:rFonts w:eastAsia="Times New Roman"/>
          <w:lang w:val="en-US"/>
        </w:rPr>
        <w:t xml:space="preserve">= .065). On the other hand, women in a non-violent scenario </w:t>
      </w:r>
      <w:r w:rsidR="004F46FC" w:rsidRPr="00E137ED">
        <w:rPr>
          <w:rFonts w:eastAsia="Times New Roman"/>
          <w:lang w:val="en-US"/>
        </w:rPr>
        <w:t xml:space="preserve">would </w:t>
      </w:r>
      <w:r w:rsidR="003B3610" w:rsidRPr="00E137ED">
        <w:rPr>
          <w:rFonts w:eastAsia="Times New Roman"/>
          <w:lang w:val="en-US"/>
        </w:rPr>
        <w:t>tend to spend more time in the relationship than those exposed to a scenario of sexual violence (</w:t>
      </w:r>
      <w:r w:rsidR="003B3610" w:rsidRPr="00E137ED">
        <w:rPr>
          <w:rFonts w:eastAsia="Times New Roman"/>
          <w:i/>
          <w:lang w:val="en-US"/>
        </w:rPr>
        <w:t>p</w:t>
      </w:r>
      <w:r w:rsidR="003B3610" w:rsidRPr="00E137ED">
        <w:rPr>
          <w:rFonts w:eastAsia="Times New Roman"/>
          <w:lang w:val="en-US"/>
        </w:rPr>
        <w:t xml:space="preserve"> =.058). </w:t>
      </w:r>
    </w:p>
    <w:p w14:paraId="6496E9B7" w14:textId="0C9110B6" w:rsidR="0035069B" w:rsidRDefault="0035069B" w:rsidP="00E137ED">
      <w:pPr>
        <w:pStyle w:val="textbox"/>
        <w:shd w:val="clear" w:color="auto" w:fill="FFFFFF"/>
        <w:spacing w:before="0" w:beforeAutospacing="0" w:after="0" w:afterAutospacing="0"/>
        <w:ind w:firstLine="708"/>
        <w:rPr>
          <w:rFonts w:eastAsia="Times New Roman"/>
          <w:lang w:val="en-US"/>
        </w:rPr>
      </w:pPr>
    </w:p>
    <w:p w14:paraId="53DFB646" w14:textId="77777777" w:rsidR="0035069B" w:rsidRPr="00BA0466" w:rsidRDefault="0035069B" w:rsidP="0035069B">
      <w:pPr>
        <w:outlineLvl w:val="0"/>
        <w:rPr>
          <w:rFonts w:eastAsia="Times New Roman"/>
          <w:i/>
          <w:lang w:val="en-US"/>
        </w:rPr>
      </w:pPr>
      <w:r w:rsidRPr="00BA0466">
        <w:rPr>
          <w:rFonts w:eastAsia="Times New Roman"/>
          <w:i/>
          <w:lang w:val="en-US"/>
        </w:rPr>
        <w:t>Figure 1</w:t>
      </w:r>
    </w:p>
    <w:p w14:paraId="486090EB" w14:textId="77777777" w:rsidR="0035069B" w:rsidRPr="00BA0466" w:rsidRDefault="0035069B" w:rsidP="0035069B">
      <w:pPr>
        <w:rPr>
          <w:rFonts w:eastAsia="Times New Roman"/>
          <w:lang w:val="en-US"/>
        </w:rPr>
      </w:pPr>
      <w:r w:rsidRPr="00D97079">
        <w:rPr>
          <w:rFonts w:eastAsia="Times New Roman"/>
          <w:lang w:val="en-US"/>
        </w:rPr>
        <w:t>Sunk Time</w:t>
      </w:r>
      <w:r>
        <w:rPr>
          <w:rFonts w:eastAsia="Times New Roman"/>
          <w:lang w:val="en-US"/>
        </w:rPr>
        <w:t xml:space="preserve"> Effect for ruler-measure</w:t>
      </w:r>
      <w:r w:rsidRPr="00D97079">
        <w:rPr>
          <w:rFonts w:eastAsia="Times New Roman"/>
          <w:lang w:val="en-US"/>
        </w:rPr>
        <w:t xml:space="preserve"> </w:t>
      </w:r>
      <w:r>
        <w:rPr>
          <w:rFonts w:eastAsia="Times New Roman"/>
          <w:lang w:val="en-US"/>
        </w:rPr>
        <w:t>(</w:t>
      </w:r>
      <w:r>
        <w:rPr>
          <w:lang w:val="en-US"/>
        </w:rPr>
        <w:t>b</w:t>
      </w:r>
      <w:r w:rsidRPr="002F436C">
        <w:rPr>
          <w:lang w:val="en-US"/>
        </w:rPr>
        <w:t xml:space="preserve">eing </w:t>
      </w:r>
      <w:r>
        <w:rPr>
          <w:lang w:val="en-US"/>
        </w:rPr>
        <w:t xml:space="preserve">0 </w:t>
      </w:r>
      <w:r w:rsidRPr="002F436C">
        <w:rPr>
          <w:lang w:val="en-US"/>
        </w:rPr>
        <w:t>-</w:t>
      </w:r>
      <w:r>
        <w:rPr>
          <w:lang w:val="en-US"/>
        </w:rPr>
        <w:t xml:space="preserve"> n</w:t>
      </w:r>
      <w:r w:rsidRPr="002F436C">
        <w:rPr>
          <w:lang w:val="en-US"/>
        </w:rPr>
        <w:t>o time, 100</w:t>
      </w:r>
      <w:r>
        <w:rPr>
          <w:lang w:val="en-US"/>
        </w:rPr>
        <w:t xml:space="preserve"> </w:t>
      </w:r>
      <w:r w:rsidRPr="002F436C">
        <w:rPr>
          <w:lang w:val="en-US"/>
        </w:rPr>
        <w:t>-</w:t>
      </w:r>
      <w:r>
        <w:rPr>
          <w:lang w:val="en-US"/>
        </w:rPr>
        <w:t xml:space="preserve"> v</w:t>
      </w:r>
      <w:r w:rsidRPr="002F436C">
        <w:rPr>
          <w:lang w:val="en-US"/>
        </w:rPr>
        <w:t>ery long</w:t>
      </w:r>
      <w:r>
        <w:rPr>
          <w:rFonts w:eastAsia="Times New Roman"/>
          <w:lang w:val="en-US"/>
        </w:rPr>
        <w:t xml:space="preserve">) </w:t>
      </w:r>
      <w:r w:rsidRPr="00D97079">
        <w:rPr>
          <w:rFonts w:eastAsia="Times New Roman"/>
          <w:lang w:val="en-US"/>
        </w:rPr>
        <w:t xml:space="preserve">in the </w:t>
      </w:r>
      <w:r>
        <w:rPr>
          <w:rFonts w:eastAsia="Times New Roman"/>
          <w:lang w:val="en-US"/>
        </w:rPr>
        <w:t>four</w:t>
      </w:r>
      <w:r w:rsidRPr="00D97079">
        <w:rPr>
          <w:rFonts w:eastAsia="Times New Roman"/>
          <w:lang w:val="en-US"/>
        </w:rPr>
        <w:t xml:space="preserve"> conditions</w:t>
      </w:r>
      <w:r>
        <w:rPr>
          <w:rFonts w:eastAsia="Times New Roman"/>
          <w:lang w:val="en-US"/>
        </w:rPr>
        <w:t xml:space="preserve"> (non-violent scenario, scenario of physical violence, scenario of psychological violence, scenario of sexual violence)</w:t>
      </w:r>
      <w:r w:rsidRPr="00D97079">
        <w:rPr>
          <w:rFonts w:eastAsia="Times New Roman"/>
          <w:lang w:val="en-US"/>
        </w:rPr>
        <w:t xml:space="preserve">. </w:t>
      </w:r>
      <w:r w:rsidRPr="00BA0466">
        <w:rPr>
          <w:rFonts w:eastAsia="Times New Roman"/>
          <w:lang w:val="en-US"/>
        </w:rPr>
        <w:t>Error bars represent standard errors of the mean</w:t>
      </w:r>
      <w:r>
        <w:rPr>
          <w:rFonts w:eastAsia="Times New Roman"/>
          <w:lang w:val="en-US"/>
        </w:rPr>
        <w:t xml:space="preserve">. * </w:t>
      </w:r>
      <w:r w:rsidRPr="00BA0466">
        <w:rPr>
          <w:rFonts w:eastAsia="Times New Roman"/>
          <w:i/>
          <w:lang w:val="en-US"/>
        </w:rPr>
        <w:t>p</w:t>
      </w:r>
      <w:r>
        <w:rPr>
          <w:rFonts w:eastAsia="Times New Roman"/>
          <w:lang w:val="en-US"/>
        </w:rPr>
        <w:t xml:space="preserve"> &lt; .05; </w:t>
      </w:r>
      <w:r w:rsidRPr="00BA0466">
        <w:rPr>
          <w:rFonts w:ascii="MS Mincho" w:eastAsia="MS Mincho" w:hAnsi="MS Mincho" w:cs="MS Mincho"/>
          <w:b/>
          <w:bCs/>
          <w:sz w:val="20"/>
          <w:lang w:val="en-US"/>
        </w:rPr>
        <w:t>⏉</w:t>
      </w:r>
      <w:r w:rsidRPr="00BA0466">
        <w:rPr>
          <w:rFonts w:eastAsia="Times New Roman"/>
          <w:i/>
          <w:lang w:val="en-US"/>
        </w:rPr>
        <w:t xml:space="preserve"> p</w:t>
      </w:r>
      <w:r>
        <w:rPr>
          <w:rFonts w:eastAsia="Times New Roman"/>
          <w:lang w:val="en-US"/>
        </w:rPr>
        <w:t xml:space="preserve"> &lt; .10</w:t>
      </w:r>
    </w:p>
    <w:p w14:paraId="3BA45A05" w14:textId="77777777" w:rsidR="0035069B" w:rsidRPr="00BA0466" w:rsidRDefault="0035069B" w:rsidP="0035069B">
      <w:pPr>
        <w:rPr>
          <w:rFonts w:eastAsia="Times New Roman"/>
          <w:lang w:val="en-US"/>
        </w:rPr>
      </w:pPr>
    </w:p>
    <w:p w14:paraId="2B1E32B5" w14:textId="77777777" w:rsidR="0035069B" w:rsidRDefault="0035069B" w:rsidP="0035069B">
      <w:pPr>
        <w:tabs>
          <w:tab w:val="left" w:pos="1013"/>
        </w:tabs>
        <w:rPr>
          <w:lang w:val="en-US"/>
        </w:rPr>
      </w:pPr>
    </w:p>
    <w:p w14:paraId="408C08C5" w14:textId="77777777" w:rsidR="0035069B" w:rsidRDefault="0035069B" w:rsidP="0035069B">
      <w:pPr>
        <w:tabs>
          <w:tab w:val="left" w:pos="1013"/>
        </w:tabs>
        <w:rPr>
          <w:lang w:val="en-US"/>
        </w:rPr>
      </w:pPr>
      <w:r>
        <w:rPr>
          <w:noProof/>
        </w:rPr>
        <w:drawing>
          <wp:inline distT="0" distB="0" distL="0" distR="0" wp14:anchorId="6F2257B0" wp14:editId="138AF84C">
            <wp:extent cx="5400040" cy="2993390"/>
            <wp:effectExtent l="0" t="0" r="10160" b="381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aptura de ecrã 2018-02-13, às 00.14.13.png"/>
                    <pic:cNvPicPr/>
                  </pic:nvPicPr>
                  <pic:blipFill>
                    <a:blip r:embed="rId8">
                      <a:extLst>
                        <a:ext uri="{28A0092B-C50C-407E-A947-70E740481C1C}">
                          <a14:useLocalDpi xmlns:a14="http://schemas.microsoft.com/office/drawing/2010/main" val="0"/>
                        </a:ext>
                      </a:extLst>
                    </a:blip>
                    <a:stretch>
                      <a:fillRect/>
                    </a:stretch>
                  </pic:blipFill>
                  <pic:spPr>
                    <a:xfrm>
                      <a:off x="0" y="0"/>
                      <a:ext cx="5400040" cy="2993390"/>
                    </a:xfrm>
                    <a:prstGeom prst="rect">
                      <a:avLst/>
                    </a:prstGeom>
                  </pic:spPr>
                </pic:pic>
              </a:graphicData>
            </a:graphic>
          </wp:inline>
        </w:drawing>
      </w:r>
    </w:p>
    <w:p w14:paraId="57393E30" w14:textId="77777777" w:rsidR="0035069B" w:rsidRDefault="0035069B" w:rsidP="0035069B">
      <w:pPr>
        <w:tabs>
          <w:tab w:val="left" w:pos="1013"/>
        </w:tabs>
        <w:rPr>
          <w:lang w:val="en-US"/>
        </w:rPr>
      </w:pPr>
    </w:p>
    <w:p w14:paraId="4A13A25C" w14:textId="77777777" w:rsidR="0035069B" w:rsidRDefault="0035069B" w:rsidP="0035069B">
      <w:pPr>
        <w:tabs>
          <w:tab w:val="left" w:pos="1013"/>
        </w:tabs>
        <w:rPr>
          <w:lang w:val="en-US"/>
        </w:rPr>
      </w:pPr>
    </w:p>
    <w:p w14:paraId="6E4884FA" w14:textId="77777777" w:rsidR="0035069B" w:rsidRDefault="0035069B" w:rsidP="0035069B">
      <w:pPr>
        <w:tabs>
          <w:tab w:val="left" w:pos="1013"/>
        </w:tabs>
        <w:rPr>
          <w:lang w:val="en-US"/>
        </w:rPr>
      </w:pPr>
    </w:p>
    <w:p w14:paraId="33ECDD3A" w14:textId="55642ABD" w:rsidR="003B3610" w:rsidRDefault="003B3610" w:rsidP="00E137ED">
      <w:pPr>
        <w:pStyle w:val="textbox"/>
        <w:shd w:val="clear" w:color="auto" w:fill="FFFFFF"/>
        <w:spacing w:before="0" w:beforeAutospacing="0" w:after="0" w:afterAutospacing="0"/>
        <w:ind w:firstLine="708"/>
        <w:rPr>
          <w:rFonts w:eastAsia="Times New Roman"/>
          <w:lang w:val="en-US"/>
        </w:rPr>
      </w:pPr>
      <w:r w:rsidRPr="00E137ED">
        <w:rPr>
          <w:rFonts w:eastAsia="Times New Roman"/>
          <w:lang w:val="en-US"/>
        </w:rPr>
        <w:t>For days-measure</w:t>
      </w:r>
      <w:r w:rsidR="00D97079" w:rsidRPr="00E137ED">
        <w:rPr>
          <w:rFonts w:eastAsia="Times New Roman"/>
          <w:lang w:val="en-US"/>
        </w:rPr>
        <w:t xml:space="preserve"> (see Figure 2)</w:t>
      </w:r>
      <w:r w:rsidRPr="00E137ED">
        <w:rPr>
          <w:rFonts w:eastAsia="Times New Roman"/>
          <w:lang w:val="en-US"/>
        </w:rPr>
        <w:t xml:space="preserve">, Bonferroni corrected post hoc analysis found women </w:t>
      </w:r>
      <w:r w:rsidR="004F46FC" w:rsidRPr="00E137ED">
        <w:rPr>
          <w:rFonts w:eastAsia="Times New Roman"/>
          <w:lang w:val="en-US"/>
        </w:rPr>
        <w:t>would spend</w:t>
      </w:r>
      <w:r w:rsidRPr="00E137ED">
        <w:rPr>
          <w:rFonts w:eastAsia="Times New Roman"/>
          <w:lang w:val="en-US"/>
        </w:rPr>
        <w:t xml:space="preserve"> more days in a scenario of psychological violence than in a scenario of sexual violence (</w:t>
      </w:r>
      <w:r w:rsidRPr="00E137ED">
        <w:rPr>
          <w:rFonts w:eastAsia="Times New Roman"/>
          <w:i/>
          <w:lang w:val="en-US"/>
        </w:rPr>
        <w:t>p</w:t>
      </w:r>
      <w:r w:rsidRPr="00E137ED">
        <w:rPr>
          <w:rFonts w:eastAsia="Times New Roman"/>
          <w:lang w:val="en-US"/>
        </w:rPr>
        <w:t xml:space="preserve"> = .049) and </w:t>
      </w:r>
      <w:r w:rsidR="004F46FC" w:rsidRPr="00E137ED">
        <w:rPr>
          <w:rFonts w:eastAsia="Times New Roman"/>
          <w:lang w:val="en-US"/>
        </w:rPr>
        <w:t xml:space="preserve">in </w:t>
      </w:r>
      <w:r w:rsidRPr="00E137ED">
        <w:rPr>
          <w:rFonts w:eastAsia="Times New Roman"/>
          <w:lang w:val="en-US"/>
        </w:rPr>
        <w:t>a scenario of physical violence (</w:t>
      </w:r>
      <w:r w:rsidRPr="00E137ED">
        <w:rPr>
          <w:rFonts w:eastAsia="Times New Roman"/>
          <w:i/>
          <w:lang w:val="en-US"/>
        </w:rPr>
        <w:t>p</w:t>
      </w:r>
      <w:r w:rsidRPr="00E137ED">
        <w:rPr>
          <w:rFonts w:eastAsia="Times New Roman"/>
          <w:lang w:val="en-US"/>
        </w:rPr>
        <w:t xml:space="preserve"> = .070). On the other hand, women in a non-violent scenario spent significantly more days in the relationship than those exposed to a scenario of sexual violence (</w:t>
      </w:r>
      <w:r w:rsidRPr="00E137ED">
        <w:rPr>
          <w:rFonts w:eastAsia="Times New Roman"/>
          <w:i/>
          <w:lang w:val="en-US"/>
        </w:rPr>
        <w:t>p</w:t>
      </w:r>
      <w:r w:rsidRPr="00E137ED">
        <w:rPr>
          <w:rFonts w:eastAsia="Times New Roman"/>
          <w:lang w:val="en-US"/>
        </w:rPr>
        <w:t xml:space="preserve"> = .029) or physical violence (</w:t>
      </w:r>
      <w:r w:rsidRPr="00E137ED">
        <w:rPr>
          <w:rFonts w:eastAsia="Times New Roman"/>
          <w:i/>
          <w:lang w:val="en-US"/>
        </w:rPr>
        <w:t>p</w:t>
      </w:r>
      <w:r w:rsidRPr="00E137ED">
        <w:rPr>
          <w:rFonts w:eastAsia="Times New Roman"/>
          <w:lang w:val="en-US"/>
        </w:rPr>
        <w:t xml:space="preserve"> = .045).</w:t>
      </w:r>
    </w:p>
    <w:p w14:paraId="7EC87829" w14:textId="6BB6C57D" w:rsidR="0035069B" w:rsidRDefault="0035069B" w:rsidP="00E137ED">
      <w:pPr>
        <w:pStyle w:val="textbox"/>
        <w:shd w:val="clear" w:color="auto" w:fill="FFFFFF"/>
        <w:spacing w:before="0" w:beforeAutospacing="0" w:after="0" w:afterAutospacing="0"/>
        <w:ind w:firstLine="708"/>
        <w:rPr>
          <w:rFonts w:eastAsia="Times New Roman"/>
          <w:lang w:val="en-US"/>
        </w:rPr>
      </w:pPr>
    </w:p>
    <w:p w14:paraId="5ADE2E9E" w14:textId="77777777" w:rsidR="0035069B" w:rsidRPr="00BA0466" w:rsidRDefault="0035069B" w:rsidP="0035069B">
      <w:pPr>
        <w:outlineLvl w:val="0"/>
        <w:rPr>
          <w:rFonts w:eastAsia="Times New Roman"/>
          <w:i/>
          <w:lang w:val="en-US"/>
        </w:rPr>
      </w:pPr>
      <w:r w:rsidRPr="00BA0466">
        <w:rPr>
          <w:rFonts w:eastAsia="Times New Roman"/>
          <w:i/>
          <w:lang w:val="en-US"/>
        </w:rPr>
        <w:t>Fig</w:t>
      </w:r>
      <w:r>
        <w:rPr>
          <w:rFonts w:eastAsia="Times New Roman"/>
          <w:i/>
          <w:lang w:val="en-US"/>
        </w:rPr>
        <w:t>ure 2</w:t>
      </w:r>
    </w:p>
    <w:p w14:paraId="18AF43AF" w14:textId="77777777" w:rsidR="0035069B" w:rsidRPr="00BA0466" w:rsidRDefault="0035069B" w:rsidP="0035069B">
      <w:pPr>
        <w:rPr>
          <w:rFonts w:eastAsia="Times New Roman"/>
          <w:lang w:val="en-US"/>
        </w:rPr>
      </w:pPr>
      <w:r w:rsidRPr="00D97079">
        <w:rPr>
          <w:rFonts w:eastAsia="Times New Roman"/>
          <w:lang w:val="en-US"/>
        </w:rPr>
        <w:t>Sunk Time</w:t>
      </w:r>
      <w:r>
        <w:rPr>
          <w:rFonts w:eastAsia="Times New Roman"/>
          <w:lang w:val="en-US"/>
        </w:rPr>
        <w:t xml:space="preserve"> Effect for days-measure</w:t>
      </w:r>
      <w:r w:rsidRPr="00D97079">
        <w:rPr>
          <w:rFonts w:eastAsia="Times New Roman"/>
          <w:lang w:val="en-US"/>
        </w:rPr>
        <w:t xml:space="preserve"> </w:t>
      </w:r>
      <w:r>
        <w:rPr>
          <w:rFonts w:eastAsia="Times New Roman"/>
          <w:lang w:val="en-US"/>
        </w:rPr>
        <w:t>(</w:t>
      </w:r>
      <w:r>
        <w:rPr>
          <w:lang w:val="en-US"/>
        </w:rPr>
        <w:t>b</w:t>
      </w:r>
      <w:r w:rsidRPr="002F436C">
        <w:rPr>
          <w:lang w:val="en-US"/>
        </w:rPr>
        <w:t xml:space="preserve">eing </w:t>
      </w:r>
      <w:r>
        <w:rPr>
          <w:lang w:val="en-US"/>
        </w:rPr>
        <w:t>0 – 0 days</w:t>
      </w:r>
      <w:r w:rsidRPr="002F436C">
        <w:rPr>
          <w:lang w:val="en-US"/>
        </w:rPr>
        <w:t>, 100</w:t>
      </w:r>
      <w:r>
        <w:rPr>
          <w:lang w:val="en-US"/>
        </w:rPr>
        <w:t>0 – 1000 days</w:t>
      </w:r>
      <w:r>
        <w:rPr>
          <w:rFonts w:eastAsia="Times New Roman"/>
          <w:lang w:val="en-US"/>
        </w:rPr>
        <w:t xml:space="preserve">) </w:t>
      </w:r>
      <w:r w:rsidRPr="00D97079">
        <w:rPr>
          <w:rFonts w:eastAsia="Times New Roman"/>
          <w:lang w:val="en-US"/>
        </w:rPr>
        <w:t xml:space="preserve">in the </w:t>
      </w:r>
      <w:r>
        <w:rPr>
          <w:rFonts w:eastAsia="Times New Roman"/>
          <w:lang w:val="en-US"/>
        </w:rPr>
        <w:t>four</w:t>
      </w:r>
      <w:r w:rsidRPr="00D97079">
        <w:rPr>
          <w:rFonts w:eastAsia="Times New Roman"/>
          <w:lang w:val="en-US"/>
        </w:rPr>
        <w:t xml:space="preserve"> conditions</w:t>
      </w:r>
      <w:r>
        <w:rPr>
          <w:rFonts w:eastAsia="Times New Roman"/>
          <w:lang w:val="en-US"/>
        </w:rPr>
        <w:t xml:space="preserve"> (non-violent scenario, scenario of physical violence, scenario of psychological violence, scenario of sexual violence)</w:t>
      </w:r>
      <w:r w:rsidRPr="00D97079">
        <w:rPr>
          <w:rFonts w:eastAsia="Times New Roman"/>
          <w:lang w:val="en-US"/>
        </w:rPr>
        <w:t xml:space="preserve">. </w:t>
      </w:r>
      <w:r w:rsidRPr="00BA0466">
        <w:rPr>
          <w:rFonts w:eastAsia="Times New Roman"/>
          <w:lang w:val="en-US"/>
        </w:rPr>
        <w:t>Error bars represent standard errors of the mean</w:t>
      </w:r>
      <w:r>
        <w:rPr>
          <w:rFonts w:eastAsia="Times New Roman"/>
          <w:lang w:val="en-US"/>
        </w:rPr>
        <w:t xml:space="preserve">. * </w:t>
      </w:r>
      <w:r w:rsidRPr="00BA0466">
        <w:rPr>
          <w:rFonts w:eastAsia="Times New Roman"/>
          <w:i/>
          <w:lang w:val="en-US"/>
        </w:rPr>
        <w:t>p</w:t>
      </w:r>
      <w:r>
        <w:rPr>
          <w:rFonts w:eastAsia="Times New Roman"/>
          <w:lang w:val="en-US"/>
        </w:rPr>
        <w:t xml:space="preserve"> &lt; .05; </w:t>
      </w:r>
      <w:r w:rsidRPr="00BA0466">
        <w:rPr>
          <w:rFonts w:ascii="MS Mincho" w:eastAsia="MS Mincho" w:hAnsi="MS Mincho" w:cs="MS Mincho"/>
          <w:b/>
          <w:bCs/>
          <w:sz w:val="20"/>
          <w:lang w:val="en-US"/>
        </w:rPr>
        <w:t>⏉</w:t>
      </w:r>
      <w:r w:rsidRPr="00BA0466">
        <w:rPr>
          <w:rFonts w:eastAsia="Times New Roman"/>
          <w:i/>
          <w:lang w:val="en-US"/>
        </w:rPr>
        <w:t xml:space="preserve"> p</w:t>
      </w:r>
      <w:r>
        <w:rPr>
          <w:rFonts w:eastAsia="Times New Roman"/>
          <w:lang w:val="en-US"/>
        </w:rPr>
        <w:t xml:space="preserve"> &lt; .10</w:t>
      </w:r>
    </w:p>
    <w:p w14:paraId="16C453B6" w14:textId="77777777" w:rsidR="0035069B" w:rsidRDefault="0035069B" w:rsidP="0035069B">
      <w:pPr>
        <w:tabs>
          <w:tab w:val="left" w:pos="1013"/>
        </w:tabs>
        <w:rPr>
          <w:lang w:val="en-US"/>
        </w:rPr>
      </w:pPr>
    </w:p>
    <w:p w14:paraId="04CC3D5F" w14:textId="77777777" w:rsidR="0035069B" w:rsidRDefault="0035069B" w:rsidP="0035069B">
      <w:pPr>
        <w:tabs>
          <w:tab w:val="left" w:pos="1013"/>
        </w:tabs>
        <w:rPr>
          <w:lang w:val="en-US"/>
        </w:rPr>
      </w:pPr>
      <w:r>
        <w:rPr>
          <w:noProof/>
        </w:rPr>
        <w:lastRenderedPageBreak/>
        <w:drawing>
          <wp:inline distT="0" distB="0" distL="0" distR="0" wp14:anchorId="297FECE9" wp14:editId="2BB0704D">
            <wp:extent cx="5400040" cy="3128645"/>
            <wp:effectExtent l="0" t="0" r="1016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a de ecrã 2018-02-20, às 15.17.07.png"/>
                    <pic:cNvPicPr/>
                  </pic:nvPicPr>
                  <pic:blipFill>
                    <a:blip r:embed="rId9">
                      <a:extLst>
                        <a:ext uri="{28A0092B-C50C-407E-A947-70E740481C1C}">
                          <a14:useLocalDpi xmlns:a14="http://schemas.microsoft.com/office/drawing/2010/main" val="0"/>
                        </a:ext>
                      </a:extLst>
                    </a:blip>
                    <a:stretch>
                      <a:fillRect/>
                    </a:stretch>
                  </pic:blipFill>
                  <pic:spPr>
                    <a:xfrm>
                      <a:off x="0" y="0"/>
                      <a:ext cx="5400040" cy="3128645"/>
                    </a:xfrm>
                    <a:prstGeom prst="rect">
                      <a:avLst/>
                    </a:prstGeom>
                  </pic:spPr>
                </pic:pic>
              </a:graphicData>
            </a:graphic>
          </wp:inline>
        </w:drawing>
      </w:r>
    </w:p>
    <w:p w14:paraId="2A5B073B" w14:textId="77777777" w:rsidR="0035069B" w:rsidRDefault="0035069B" w:rsidP="0035069B">
      <w:pPr>
        <w:tabs>
          <w:tab w:val="left" w:pos="1013"/>
        </w:tabs>
        <w:rPr>
          <w:lang w:val="en-US"/>
        </w:rPr>
      </w:pPr>
    </w:p>
    <w:p w14:paraId="0131323D" w14:textId="77777777" w:rsidR="0035069B" w:rsidRDefault="0035069B" w:rsidP="0035069B">
      <w:pPr>
        <w:tabs>
          <w:tab w:val="left" w:pos="1013"/>
        </w:tabs>
        <w:rPr>
          <w:lang w:val="en-US"/>
        </w:rPr>
      </w:pPr>
    </w:p>
    <w:p w14:paraId="576ADF2F" w14:textId="7FDE1B75" w:rsidR="001D1DED" w:rsidRPr="00E137ED" w:rsidRDefault="001D1DED" w:rsidP="00E137ED">
      <w:pPr>
        <w:outlineLvl w:val="0"/>
        <w:rPr>
          <w:b/>
          <w:lang w:val="en-US"/>
        </w:rPr>
      </w:pPr>
      <w:r w:rsidRPr="00E137ED">
        <w:rPr>
          <w:b/>
          <w:lang w:val="en-US"/>
        </w:rPr>
        <w:t>Discussion</w:t>
      </w:r>
    </w:p>
    <w:p w14:paraId="27C2017A" w14:textId="4CBF3C94" w:rsidR="00433AA5" w:rsidRPr="00E137ED" w:rsidRDefault="00E15F1A" w:rsidP="00E137ED">
      <w:pPr>
        <w:rPr>
          <w:rFonts w:eastAsia="Times New Roman"/>
          <w:lang w:val="en-US"/>
        </w:rPr>
      </w:pPr>
      <w:r w:rsidRPr="00E137ED">
        <w:rPr>
          <w:lang w:val="en-US"/>
        </w:rPr>
        <w:t>The likelihood to stay, as well as the time one will continue to invest in an unhappy relationship</w:t>
      </w:r>
      <w:r w:rsidR="0030267F" w:rsidRPr="00E137ED">
        <w:rPr>
          <w:lang w:val="en-US"/>
        </w:rPr>
        <w:t>,</w:t>
      </w:r>
      <w:r w:rsidRPr="00E137ED">
        <w:rPr>
          <w:lang w:val="en-US"/>
        </w:rPr>
        <w:t xml:space="preserve"> is higher when money, effort and time had been previously invested in that relationship</w:t>
      </w:r>
      <w:r w:rsidR="00C33B2E" w:rsidRPr="00E137ED">
        <w:rPr>
          <w:lang w:val="en-US"/>
        </w:rPr>
        <w:t xml:space="preserve"> (</w:t>
      </w:r>
      <w:proofErr w:type="spellStart"/>
      <w:r w:rsidR="00C33B2E" w:rsidRPr="00E137ED">
        <w:rPr>
          <w:lang w:val="en-US"/>
        </w:rPr>
        <w:t>Rego</w:t>
      </w:r>
      <w:proofErr w:type="spellEnd"/>
      <w:r w:rsidR="00C33B2E" w:rsidRPr="00E137ED">
        <w:rPr>
          <w:lang w:val="en-US"/>
        </w:rPr>
        <w:t xml:space="preserve"> et al., 2016)</w:t>
      </w:r>
      <w:r w:rsidRPr="00E137ED">
        <w:rPr>
          <w:lang w:val="en-US"/>
        </w:rPr>
        <w:t>. This t</w:t>
      </w:r>
      <w:r w:rsidR="00C85354" w:rsidRPr="00E137ED">
        <w:rPr>
          <w:lang w:val="en-US"/>
        </w:rPr>
        <w:t>endency</w:t>
      </w:r>
      <w:r w:rsidRPr="00E137ED">
        <w:rPr>
          <w:lang w:val="en-US"/>
        </w:rPr>
        <w:t xml:space="preserve"> to considerer prior investments of money, effort or time </w:t>
      </w:r>
      <w:r w:rsidR="009E3F92" w:rsidRPr="00E137ED">
        <w:rPr>
          <w:lang w:val="en-US"/>
        </w:rPr>
        <w:t>as a motivation</w:t>
      </w:r>
      <w:r w:rsidRPr="00E137ED">
        <w:rPr>
          <w:lang w:val="en-US"/>
        </w:rPr>
        <w:t xml:space="preserve"> to a continuous investment in a failed direction</w:t>
      </w:r>
      <w:r w:rsidR="0030267F" w:rsidRPr="00E137ED">
        <w:rPr>
          <w:lang w:val="en-US"/>
        </w:rPr>
        <w:t>,</w:t>
      </w:r>
      <w:r w:rsidRPr="00E137ED">
        <w:rPr>
          <w:lang w:val="en-US"/>
        </w:rPr>
        <w:t xml:space="preserve"> when the logical action would be to stop investing</w:t>
      </w:r>
      <w:r w:rsidR="0030267F" w:rsidRPr="00E137ED">
        <w:rPr>
          <w:lang w:val="en-US"/>
        </w:rPr>
        <w:t>,</w:t>
      </w:r>
      <w:r w:rsidRPr="00E137ED">
        <w:rPr>
          <w:lang w:val="en-US"/>
        </w:rPr>
        <w:t xml:space="preserve"> is known as sunk (cost/time) effect. </w:t>
      </w:r>
      <w:r w:rsidR="009E3F92" w:rsidRPr="00E137ED">
        <w:rPr>
          <w:lang w:val="en-US"/>
        </w:rPr>
        <w:t xml:space="preserve">The main purpose of the present study was to understand if whether the resistance to change </w:t>
      </w:r>
      <w:proofErr w:type="spellStart"/>
      <w:r w:rsidR="009E3F92" w:rsidRPr="00E137ED">
        <w:rPr>
          <w:lang w:val="en-US"/>
        </w:rPr>
        <w:t>diminuishes</w:t>
      </w:r>
      <w:proofErr w:type="spellEnd"/>
      <w:r w:rsidR="009E3F92" w:rsidRPr="00E137ED">
        <w:rPr>
          <w:lang w:val="en-US"/>
        </w:rPr>
        <w:t xml:space="preserve">, in a context of a relationship with previous investment of time, effort and </w:t>
      </w:r>
      <w:proofErr w:type="gramStart"/>
      <w:r w:rsidR="009E3F92" w:rsidRPr="00E137ED">
        <w:rPr>
          <w:lang w:val="en-US"/>
        </w:rPr>
        <w:t>money,  when</w:t>
      </w:r>
      <w:proofErr w:type="gramEnd"/>
      <w:r w:rsidR="009E3F92" w:rsidRPr="00E137ED">
        <w:rPr>
          <w:lang w:val="en-US"/>
        </w:rPr>
        <w:t xml:space="preserve"> abusive behaviors </w:t>
      </w:r>
      <w:r w:rsidR="0030267F" w:rsidRPr="00E137ED">
        <w:rPr>
          <w:lang w:val="en-US"/>
        </w:rPr>
        <w:t>are</w:t>
      </w:r>
      <w:r w:rsidR="009E3F92" w:rsidRPr="00E137ED">
        <w:rPr>
          <w:lang w:val="en-US"/>
        </w:rPr>
        <w:t xml:space="preserve"> involved. To accomplish this aim, women participants read one of four hypothetical scenarios representing an unhappy relationship (one without violence, </w:t>
      </w:r>
      <w:r w:rsidR="00787A49" w:rsidRPr="00E137ED">
        <w:rPr>
          <w:lang w:val="en-US"/>
        </w:rPr>
        <w:t xml:space="preserve">or </w:t>
      </w:r>
      <w:r w:rsidR="009E3F92" w:rsidRPr="00E137ED">
        <w:rPr>
          <w:lang w:val="en-US"/>
        </w:rPr>
        <w:t xml:space="preserve">one with one episode of physical violence, </w:t>
      </w:r>
      <w:r w:rsidR="00787A49" w:rsidRPr="00E137ED">
        <w:rPr>
          <w:lang w:val="en-US"/>
        </w:rPr>
        <w:t xml:space="preserve">or </w:t>
      </w:r>
      <w:r w:rsidR="009E3F92" w:rsidRPr="00E137ED">
        <w:rPr>
          <w:lang w:val="en-US"/>
        </w:rPr>
        <w:t xml:space="preserve">one with one episode of psychological violence or one with one episode of sexual violence) and had to decide how much time they would be willing to stay in that relationship, in which they had made prior investments (either in terms of effort, money and time). </w:t>
      </w:r>
      <w:r w:rsidR="00433AA5" w:rsidRPr="00E137ED">
        <w:rPr>
          <w:rFonts w:eastAsia="Times New Roman"/>
          <w:lang w:val="en-US"/>
        </w:rPr>
        <w:t xml:space="preserve">Evidence for a sunk cost effect would be participants allocating more time in a relationship. </w:t>
      </w:r>
    </w:p>
    <w:p w14:paraId="512AB81F" w14:textId="26F9305A" w:rsidR="00B0158D" w:rsidRPr="00E137ED" w:rsidRDefault="009E663A" w:rsidP="00E137ED">
      <w:pPr>
        <w:ind w:firstLine="709"/>
        <w:rPr>
          <w:rFonts w:eastAsia="Times New Roman"/>
          <w:lang w:val="en-US"/>
        </w:rPr>
      </w:pPr>
      <w:r w:rsidRPr="00E137ED">
        <w:rPr>
          <w:lang w:val="en-US"/>
        </w:rPr>
        <w:t>Results showed a</w:t>
      </w:r>
      <w:r w:rsidR="00B0158D" w:rsidRPr="00E137ED">
        <w:rPr>
          <w:lang w:val="en-US"/>
        </w:rPr>
        <w:t xml:space="preserve"> significant effect of relationship scenario (without violence, with physical violence, with psychological violence or with sexual violence) on sunk time effect, in both ruler-measure and days-measure. In a non-violent scenario, women tend to spend more time in the relationship than those exposed to a scenario of sexual violence or to a scenar</w:t>
      </w:r>
      <w:r w:rsidR="00877168" w:rsidRPr="00E137ED">
        <w:rPr>
          <w:lang w:val="en-US"/>
        </w:rPr>
        <w:t>io</w:t>
      </w:r>
      <w:r w:rsidR="00B0158D" w:rsidRPr="00E137ED">
        <w:rPr>
          <w:lang w:val="en-US"/>
        </w:rPr>
        <w:t xml:space="preserve"> of physical violence. </w:t>
      </w:r>
      <w:r w:rsidR="00A50FAD" w:rsidRPr="00E137ED">
        <w:rPr>
          <w:lang w:val="en-US"/>
        </w:rPr>
        <w:t xml:space="preserve">In other words, prior (monetary, time and effort) investments in a relationship will not produce sunk cost effect when there is physical or sexual violence. </w:t>
      </w:r>
      <w:r w:rsidR="00D32E11" w:rsidRPr="00E137ED">
        <w:rPr>
          <w:lang w:val="en-US"/>
        </w:rPr>
        <w:t xml:space="preserve">According to the </w:t>
      </w:r>
      <w:r w:rsidR="00A50FAD" w:rsidRPr="00E137ED">
        <w:rPr>
          <w:rFonts w:eastAsia="Times New Roman"/>
          <w:lang w:val="en-US"/>
        </w:rPr>
        <w:t>i</w:t>
      </w:r>
      <w:r w:rsidR="00D32E11" w:rsidRPr="00E137ED">
        <w:rPr>
          <w:rFonts w:eastAsia="Times New Roman"/>
          <w:lang w:val="en-US"/>
        </w:rPr>
        <w:t>nterdependence theory (</w:t>
      </w:r>
      <w:r w:rsidR="00C14F67" w:rsidRPr="00E137ED">
        <w:rPr>
          <w:rFonts w:eastAsia="Times New Roman"/>
          <w:lang w:val="en-US"/>
        </w:rPr>
        <w:t>Kelley &amp; Thibaut, 1978</w:t>
      </w:r>
      <w:r w:rsidR="00D32E11" w:rsidRPr="00E137ED">
        <w:rPr>
          <w:rFonts w:eastAsia="Times New Roman"/>
          <w:lang w:val="en-US"/>
        </w:rPr>
        <w:t>), the motivation to maintain a relationship is a result of the benefits that come from the relationship outweighing its costs combined with poor alternatives in the environment (</w:t>
      </w:r>
      <w:proofErr w:type="spellStart"/>
      <w:r w:rsidR="00D32E11" w:rsidRPr="00E137ED">
        <w:rPr>
          <w:rFonts w:eastAsia="Times New Roman"/>
          <w:lang w:val="en-US"/>
        </w:rPr>
        <w:t>Rusbult</w:t>
      </w:r>
      <w:proofErr w:type="spellEnd"/>
      <w:r w:rsidR="00D32E11" w:rsidRPr="00E137ED">
        <w:rPr>
          <w:rFonts w:eastAsia="Times New Roman"/>
          <w:lang w:val="en-US"/>
        </w:rPr>
        <w:t xml:space="preserve"> &amp; </w:t>
      </w:r>
      <w:proofErr w:type="spellStart"/>
      <w:r w:rsidR="00D32E11" w:rsidRPr="00E137ED">
        <w:rPr>
          <w:rFonts w:eastAsia="Times New Roman"/>
          <w:lang w:val="en-US"/>
        </w:rPr>
        <w:t>Buunk</w:t>
      </w:r>
      <w:proofErr w:type="spellEnd"/>
      <w:r w:rsidR="00D32E11" w:rsidRPr="00E137ED">
        <w:rPr>
          <w:rFonts w:eastAsia="Times New Roman"/>
          <w:lang w:val="en-US"/>
        </w:rPr>
        <w:t xml:space="preserve">, 1993). In this sense, to leave a relationship, there should be a lack of alternatives to it and </w:t>
      </w:r>
      <w:r w:rsidR="00D32E11" w:rsidRPr="00E137ED">
        <w:rPr>
          <w:lang w:val="en-US" w:eastAsia="en-US"/>
        </w:rPr>
        <w:t xml:space="preserve">costs might need to outweigh the </w:t>
      </w:r>
      <w:r w:rsidR="00132039" w:rsidRPr="00E137ED">
        <w:rPr>
          <w:lang w:val="en-US" w:eastAsia="en-US"/>
        </w:rPr>
        <w:t>sum</w:t>
      </w:r>
      <w:r w:rsidR="00D32E11" w:rsidRPr="00E137ED">
        <w:rPr>
          <w:lang w:val="en-US" w:eastAsia="en-US"/>
        </w:rPr>
        <w:t xml:space="preserve"> of all benefits the relationship could offer. </w:t>
      </w:r>
      <w:r w:rsidR="00D32E11" w:rsidRPr="00E137ED">
        <w:rPr>
          <w:lang w:val="en-US"/>
        </w:rPr>
        <w:t xml:space="preserve">According to </w:t>
      </w:r>
      <w:proofErr w:type="spellStart"/>
      <w:r w:rsidR="00D32E11" w:rsidRPr="00E137ED">
        <w:rPr>
          <w:lang w:val="en-US"/>
        </w:rPr>
        <w:t>Choua</w:t>
      </w:r>
      <w:proofErr w:type="spellEnd"/>
      <w:r w:rsidR="00D32E11" w:rsidRPr="00E137ED">
        <w:rPr>
          <w:lang w:val="en-US"/>
        </w:rPr>
        <w:t xml:space="preserve"> and </w:t>
      </w:r>
      <w:proofErr w:type="spellStart"/>
      <w:r w:rsidR="00D32E11" w:rsidRPr="00E137ED">
        <w:rPr>
          <w:lang w:val="en-US"/>
        </w:rPr>
        <w:t>Hsub</w:t>
      </w:r>
      <w:proofErr w:type="spellEnd"/>
      <w:r w:rsidR="00D32E11" w:rsidRPr="00E137ED">
        <w:rPr>
          <w:lang w:val="en-US"/>
        </w:rPr>
        <w:t xml:space="preserve"> (2018) people perceived that beneﬁts occur when they outweigh costs and perceived investment when investment (sunk) costs outweigh beneﬁts.</w:t>
      </w:r>
      <w:r w:rsidR="00BF1C18" w:rsidRPr="00E137ED">
        <w:rPr>
          <w:lang w:val="en-US"/>
        </w:rPr>
        <w:t xml:space="preserve"> </w:t>
      </w:r>
      <w:r w:rsidR="00E70997" w:rsidRPr="00E137ED">
        <w:rPr>
          <w:lang w:val="en-US"/>
        </w:rPr>
        <w:t xml:space="preserve">In this perspective, it is possible </w:t>
      </w:r>
      <w:r w:rsidR="0054316A" w:rsidRPr="00E137ED">
        <w:rPr>
          <w:lang w:val="en-US"/>
        </w:rPr>
        <w:t xml:space="preserve">that </w:t>
      </w:r>
      <w:r w:rsidR="00E70997" w:rsidRPr="00E137ED">
        <w:rPr>
          <w:lang w:val="en-US"/>
        </w:rPr>
        <w:t xml:space="preserve">present </w:t>
      </w:r>
      <w:r w:rsidR="00E70997" w:rsidRPr="00E137ED">
        <w:rPr>
          <w:lang w:val="en-US"/>
        </w:rPr>
        <w:lastRenderedPageBreak/>
        <w:t xml:space="preserve">findings mean physical and sexual violence were assumed by women as not tolerable behaviors (‘costs’) and outweigh prior investments to the relationship. </w:t>
      </w:r>
      <w:r w:rsidR="00064C99" w:rsidRPr="00E137ED">
        <w:rPr>
          <w:lang w:val="en-US"/>
        </w:rPr>
        <w:t xml:space="preserve">Research has shown generalized disapproval of physical and sexual violence in intimate relationships </w:t>
      </w:r>
      <w:r w:rsidR="00193033" w:rsidRPr="00E137ED">
        <w:rPr>
          <w:lang w:val="en-US"/>
        </w:rPr>
        <w:t>(</w:t>
      </w:r>
      <w:r w:rsidR="00A52E5D" w:rsidRPr="00E137ED">
        <w:rPr>
          <w:lang w:val="en-US"/>
        </w:rPr>
        <w:t xml:space="preserve">e.g. </w:t>
      </w:r>
      <w:proofErr w:type="spellStart"/>
      <w:r w:rsidR="004C1D5F" w:rsidRPr="00E137ED">
        <w:rPr>
          <w:lang w:val="en-US"/>
        </w:rPr>
        <w:t>Copp</w:t>
      </w:r>
      <w:proofErr w:type="spellEnd"/>
      <w:r w:rsidR="004C1D5F" w:rsidRPr="00E137ED">
        <w:rPr>
          <w:lang w:val="en-US"/>
        </w:rPr>
        <w:t xml:space="preserve">, Giordano, Longmore, &amp; Manning, 2016; </w:t>
      </w:r>
      <w:r w:rsidR="00193033" w:rsidRPr="00E137ED">
        <w:rPr>
          <w:lang w:val="en-US"/>
        </w:rPr>
        <w:t>Mach</w:t>
      </w:r>
      <w:r w:rsidR="00A52E5D" w:rsidRPr="00E137ED">
        <w:rPr>
          <w:lang w:val="en-US"/>
        </w:rPr>
        <w:t xml:space="preserve">ado, </w:t>
      </w:r>
      <w:proofErr w:type="spellStart"/>
      <w:r w:rsidR="00A52E5D" w:rsidRPr="00E137ED">
        <w:rPr>
          <w:lang w:val="en-US"/>
        </w:rPr>
        <w:t>Caridade</w:t>
      </w:r>
      <w:proofErr w:type="spellEnd"/>
      <w:r w:rsidR="00A52E5D" w:rsidRPr="00E137ED">
        <w:rPr>
          <w:lang w:val="en-US"/>
        </w:rPr>
        <w:t>, &amp; Martins, 2010</w:t>
      </w:r>
      <w:r w:rsidR="007C0BE0" w:rsidRPr="00E137ED">
        <w:rPr>
          <w:lang w:val="en-US"/>
        </w:rPr>
        <w:t xml:space="preserve">; Machado, Martins &amp; </w:t>
      </w:r>
      <w:proofErr w:type="spellStart"/>
      <w:r w:rsidR="007C0BE0" w:rsidRPr="00E137ED">
        <w:rPr>
          <w:lang w:val="en-US"/>
        </w:rPr>
        <w:t>Caridade</w:t>
      </w:r>
      <w:proofErr w:type="spellEnd"/>
      <w:r w:rsidR="007C0BE0" w:rsidRPr="00E137ED">
        <w:rPr>
          <w:lang w:val="en-US"/>
        </w:rPr>
        <w:t>, 2014</w:t>
      </w:r>
      <w:r w:rsidR="00A52E5D" w:rsidRPr="00E137ED">
        <w:rPr>
          <w:lang w:val="en-US"/>
        </w:rPr>
        <w:t>)</w:t>
      </w:r>
      <w:r w:rsidR="000654F4" w:rsidRPr="00E137ED">
        <w:rPr>
          <w:lang w:val="en-US"/>
        </w:rPr>
        <w:t xml:space="preserve"> what could explain, </w:t>
      </w:r>
      <w:r w:rsidR="00840A9B" w:rsidRPr="00E137ED">
        <w:rPr>
          <w:lang w:val="en-US"/>
        </w:rPr>
        <w:t>partially</w:t>
      </w:r>
      <w:r w:rsidR="000654F4" w:rsidRPr="00E137ED">
        <w:rPr>
          <w:lang w:val="en-US"/>
        </w:rPr>
        <w:t xml:space="preserve">, the non-denial of the abusive nature and impact of such acts. </w:t>
      </w:r>
      <w:r w:rsidR="009D55DA" w:rsidRPr="00E137ED">
        <w:rPr>
          <w:lang w:val="en-US"/>
        </w:rPr>
        <w:t xml:space="preserve">In fact, </w:t>
      </w:r>
      <w:proofErr w:type="spellStart"/>
      <w:r w:rsidR="000E6B00" w:rsidRPr="00E137ED">
        <w:rPr>
          <w:lang w:val="en-US"/>
        </w:rPr>
        <w:t>Copp</w:t>
      </w:r>
      <w:proofErr w:type="spellEnd"/>
      <w:r w:rsidR="000E6B00" w:rsidRPr="00E137ED">
        <w:rPr>
          <w:lang w:val="en-US"/>
        </w:rPr>
        <w:t xml:space="preserve"> and colleagues (2016) </w:t>
      </w:r>
      <w:r w:rsidR="00F50927" w:rsidRPr="00E137ED">
        <w:rPr>
          <w:lang w:val="en-US"/>
        </w:rPr>
        <w:t>showed</w:t>
      </w:r>
      <w:r w:rsidR="000E6B00" w:rsidRPr="00E137ED">
        <w:rPr>
          <w:lang w:val="en-US"/>
        </w:rPr>
        <w:t xml:space="preserve"> that expressions of disapproval from friends and parents are related to breaking up with a partner.</w:t>
      </w:r>
      <w:r w:rsidR="00F50927" w:rsidRPr="00E137ED">
        <w:rPr>
          <w:lang w:val="en-US"/>
        </w:rPr>
        <w:t xml:space="preserve"> Also, Labella and </w:t>
      </w:r>
      <w:proofErr w:type="spellStart"/>
      <w:r w:rsidR="00F50927" w:rsidRPr="00E137ED">
        <w:rPr>
          <w:lang w:val="en-US"/>
        </w:rPr>
        <w:t>Masten</w:t>
      </w:r>
      <w:proofErr w:type="spellEnd"/>
      <w:r w:rsidR="00F50927" w:rsidRPr="00E137ED">
        <w:rPr>
          <w:lang w:val="en-US"/>
        </w:rPr>
        <w:t xml:space="preserve"> (2018) stated that disapproval of violence predicted less self-reported violence. </w:t>
      </w:r>
      <w:r w:rsidR="000E6B00" w:rsidRPr="00E137ED">
        <w:rPr>
          <w:lang w:val="en-US"/>
        </w:rPr>
        <w:t xml:space="preserve"> </w:t>
      </w:r>
      <w:r w:rsidR="00F50927" w:rsidRPr="00E137ED">
        <w:rPr>
          <w:rFonts w:eastAsia="Times New Roman"/>
          <w:lang w:val="en-US"/>
        </w:rPr>
        <w:t xml:space="preserve">Our </w:t>
      </w:r>
      <w:r w:rsidR="00BB5DD5" w:rsidRPr="00E137ED">
        <w:rPr>
          <w:rFonts w:eastAsia="Times New Roman"/>
          <w:lang w:val="en-US"/>
        </w:rPr>
        <w:t xml:space="preserve">results </w:t>
      </w:r>
      <w:r w:rsidR="00050997" w:rsidRPr="00E137ED">
        <w:rPr>
          <w:rFonts w:eastAsia="Times New Roman"/>
          <w:lang w:val="en-US"/>
        </w:rPr>
        <w:t xml:space="preserve">must, however, be interpreted carefully. </w:t>
      </w:r>
      <w:r w:rsidR="00BB5DD5" w:rsidRPr="00E137ED">
        <w:rPr>
          <w:rFonts w:eastAsia="Times New Roman"/>
          <w:lang w:val="en-US"/>
        </w:rPr>
        <w:t xml:space="preserve">According to expectancy-value models such as the theory of reasoned action (Fishbein &amp; </w:t>
      </w:r>
      <w:proofErr w:type="spellStart"/>
      <w:r w:rsidR="00BB5DD5" w:rsidRPr="00E137ED">
        <w:rPr>
          <w:rFonts w:eastAsia="Times New Roman"/>
          <w:lang w:val="en-US"/>
        </w:rPr>
        <w:t>Ajzen</w:t>
      </w:r>
      <w:proofErr w:type="spellEnd"/>
      <w:r w:rsidR="00BB5DD5" w:rsidRPr="00E137ED">
        <w:rPr>
          <w:rFonts w:eastAsia="Times New Roman"/>
          <w:lang w:val="en-US"/>
        </w:rPr>
        <w:t xml:space="preserve">, 1975), attitudes toward the behavior would influence behavior through their influence on intention to engage in a behavior. Although </w:t>
      </w:r>
      <w:r w:rsidR="00C34620" w:rsidRPr="00E137ED">
        <w:rPr>
          <w:rFonts w:eastAsia="Times New Roman"/>
          <w:lang w:val="en-US"/>
        </w:rPr>
        <w:t xml:space="preserve">physical and sexual violent acts </w:t>
      </w:r>
      <w:r w:rsidR="008D3039" w:rsidRPr="00E137ED">
        <w:rPr>
          <w:rFonts w:eastAsia="Times New Roman"/>
          <w:lang w:val="en-US"/>
        </w:rPr>
        <w:t xml:space="preserve">were not </w:t>
      </w:r>
      <w:r w:rsidR="00C34620" w:rsidRPr="00E137ED">
        <w:rPr>
          <w:rFonts w:eastAsia="Times New Roman"/>
          <w:lang w:val="en-US"/>
        </w:rPr>
        <w:t>able to produce sunk effect</w:t>
      </w:r>
      <w:r w:rsidR="00840A9B" w:rsidRPr="00E137ED">
        <w:rPr>
          <w:rFonts w:eastAsia="Times New Roman"/>
          <w:lang w:val="en-US"/>
        </w:rPr>
        <w:t>,</w:t>
      </w:r>
      <w:r w:rsidR="00C34620" w:rsidRPr="00E137ED">
        <w:rPr>
          <w:rFonts w:eastAsia="Times New Roman"/>
          <w:lang w:val="en-US"/>
        </w:rPr>
        <w:t xml:space="preserve"> and therefore, reduce time invested in a relationship with previous investments </w:t>
      </w:r>
      <w:r w:rsidR="00BB5DD5" w:rsidRPr="00E137ED">
        <w:rPr>
          <w:rFonts w:eastAsia="Times New Roman"/>
          <w:lang w:val="en-US"/>
        </w:rPr>
        <w:t>(</w:t>
      </w:r>
      <w:r w:rsidR="00C34620" w:rsidRPr="00E137ED">
        <w:rPr>
          <w:rFonts w:eastAsia="Times New Roman"/>
          <w:lang w:val="en-US"/>
        </w:rPr>
        <w:t>being</w:t>
      </w:r>
      <w:r w:rsidR="00BB5DD5" w:rsidRPr="00E137ED">
        <w:rPr>
          <w:rFonts w:eastAsia="Times New Roman"/>
          <w:lang w:val="en-US"/>
        </w:rPr>
        <w:t xml:space="preserve"> hypothetically </w:t>
      </w:r>
      <w:r w:rsidR="00C34620" w:rsidRPr="00E137ED">
        <w:rPr>
          <w:rFonts w:eastAsia="Times New Roman"/>
          <w:lang w:val="en-US"/>
        </w:rPr>
        <w:t>associated</w:t>
      </w:r>
      <w:r w:rsidR="00BB5DD5" w:rsidRPr="00E137ED">
        <w:rPr>
          <w:rFonts w:eastAsia="Times New Roman"/>
          <w:lang w:val="en-US"/>
        </w:rPr>
        <w:t xml:space="preserve"> to negative attitudes toward physical and sexual </w:t>
      </w:r>
      <w:r w:rsidR="00C34620" w:rsidRPr="00E137ED">
        <w:rPr>
          <w:rFonts w:eastAsia="Times New Roman"/>
          <w:lang w:val="en-US"/>
        </w:rPr>
        <w:t>violence</w:t>
      </w:r>
      <w:r w:rsidR="00BB5DD5" w:rsidRPr="00E137ED">
        <w:rPr>
          <w:rFonts w:eastAsia="Times New Roman"/>
          <w:lang w:val="en-US"/>
        </w:rPr>
        <w:t>), it do</w:t>
      </w:r>
      <w:r w:rsidR="00C34620" w:rsidRPr="00E137ED">
        <w:rPr>
          <w:rFonts w:eastAsia="Times New Roman"/>
          <w:lang w:val="en-US"/>
        </w:rPr>
        <w:t xml:space="preserve">es </w:t>
      </w:r>
      <w:r w:rsidR="00BB5DD5" w:rsidRPr="00E137ED">
        <w:rPr>
          <w:rFonts w:eastAsia="Times New Roman"/>
          <w:lang w:val="en-US"/>
        </w:rPr>
        <w:t>n</w:t>
      </w:r>
      <w:r w:rsidR="00C34620" w:rsidRPr="00E137ED">
        <w:rPr>
          <w:rFonts w:eastAsia="Times New Roman"/>
          <w:lang w:val="en-US"/>
        </w:rPr>
        <w:t>o</w:t>
      </w:r>
      <w:r w:rsidR="00BB5DD5" w:rsidRPr="00E137ED">
        <w:rPr>
          <w:rFonts w:eastAsia="Times New Roman"/>
          <w:lang w:val="en-US"/>
        </w:rPr>
        <w:t xml:space="preserve">t mean </w:t>
      </w:r>
      <w:r w:rsidR="00C34620" w:rsidRPr="00E137ED">
        <w:rPr>
          <w:rFonts w:eastAsia="Times New Roman"/>
          <w:lang w:val="en-US"/>
        </w:rPr>
        <w:t xml:space="preserve">those women were able to no willing in a physical or sexual abusive relationship </w:t>
      </w:r>
      <w:r w:rsidR="00BB5DD5" w:rsidRPr="00E137ED">
        <w:rPr>
          <w:rFonts w:eastAsia="Times New Roman"/>
          <w:lang w:val="en-US"/>
        </w:rPr>
        <w:t xml:space="preserve">in a real context. </w:t>
      </w:r>
      <w:r w:rsidR="00C34620" w:rsidRPr="00E137ED">
        <w:rPr>
          <w:rFonts w:eastAsia="Times New Roman"/>
          <w:lang w:val="en-US"/>
        </w:rPr>
        <w:t xml:space="preserve">The </w:t>
      </w:r>
      <w:r w:rsidR="004B5C4D" w:rsidRPr="00E137ED">
        <w:rPr>
          <w:rFonts w:eastAsia="Times New Roman"/>
          <w:lang w:val="en-US"/>
        </w:rPr>
        <w:t>decision-making</w:t>
      </w:r>
      <w:r w:rsidR="00C34620" w:rsidRPr="00E137ED">
        <w:rPr>
          <w:rFonts w:eastAsia="Times New Roman"/>
          <w:lang w:val="en-US"/>
        </w:rPr>
        <w:t xml:space="preserve"> scenario of willing or leave an abusive relationship could be more complex once </w:t>
      </w:r>
      <w:r w:rsidR="00BB5DD5" w:rsidRPr="00E137ED">
        <w:rPr>
          <w:rFonts w:eastAsia="Times New Roman"/>
          <w:lang w:val="en-US"/>
        </w:rPr>
        <w:t xml:space="preserve">the perceived consequences of the behavior and the subjective probabilities one </w:t>
      </w:r>
      <w:r w:rsidR="00C34620" w:rsidRPr="00E137ED">
        <w:rPr>
          <w:rFonts w:eastAsia="Times New Roman"/>
          <w:lang w:val="en-US"/>
        </w:rPr>
        <w:t xml:space="preserve">attaches to these consequences </w:t>
      </w:r>
      <w:r w:rsidR="006D79A9" w:rsidRPr="00E137ED">
        <w:rPr>
          <w:rFonts w:eastAsia="Times New Roman"/>
          <w:lang w:val="en-US"/>
        </w:rPr>
        <w:t>might</w:t>
      </w:r>
      <w:r w:rsidR="00C34620" w:rsidRPr="00E137ED">
        <w:rPr>
          <w:rFonts w:eastAsia="Times New Roman"/>
          <w:lang w:val="en-US"/>
        </w:rPr>
        <w:t xml:space="preserve"> also</w:t>
      </w:r>
      <w:r w:rsidR="006D79A9" w:rsidRPr="00E137ED">
        <w:rPr>
          <w:rFonts w:eastAsia="Times New Roman"/>
          <w:lang w:val="en-US"/>
        </w:rPr>
        <w:t xml:space="preserve"> be</w:t>
      </w:r>
      <w:r w:rsidR="00C34620" w:rsidRPr="00E137ED">
        <w:rPr>
          <w:rFonts w:eastAsia="Times New Roman"/>
          <w:lang w:val="en-US"/>
        </w:rPr>
        <w:t xml:space="preserve"> </w:t>
      </w:r>
      <w:r w:rsidR="000A7507" w:rsidRPr="00E137ED">
        <w:rPr>
          <w:rFonts w:eastAsia="Times New Roman"/>
          <w:lang w:val="en-US"/>
        </w:rPr>
        <w:t>consider</w:t>
      </w:r>
      <w:r w:rsidR="00C34620" w:rsidRPr="00E137ED">
        <w:rPr>
          <w:rFonts w:eastAsia="Times New Roman"/>
          <w:lang w:val="en-US"/>
        </w:rPr>
        <w:t xml:space="preserve"> during this process </w:t>
      </w:r>
      <w:r w:rsidR="00BB5DD5" w:rsidRPr="00E137ED">
        <w:rPr>
          <w:rFonts w:eastAsia="Times New Roman"/>
          <w:lang w:val="en-US"/>
        </w:rPr>
        <w:t>(</w:t>
      </w:r>
      <w:proofErr w:type="spellStart"/>
      <w:r w:rsidR="00C34620" w:rsidRPr="00E137ED">
        <w:rPr>
          <w:rFonts w:eastAsia="Times New Roman"/>
          <w:lang w:val="en-US"/>
        </w:rPr>
        <w:t>Eagly</w:t>
      </w:r>
      <w:proofErr w:type="spellEnd"/>
      <w:r w:rsidR="00C34620" w:rsidRPr="00E137ED">
        <w:rPr>
          <w:rFonts w:eastAsia="Times New Roman"/>
          <w:lang w:val="en-US"/>
        </w:rPr>
        <w:t xml:space="preserve"> &amp; </w:t>
      </w:r>
      <w:proofErr w:type="spellStart"/>
      <w:r w:rsidR="00C34620" w:rsidRPr="00E137ED">
        <w:rPr>
          <w:rFonts w:eastAsia="Times New Roman"/>
          <w:lang w:val="en-US"/>
        </w:rPr>
        <w:t>Chaiken</w:t>
      </w:r>
      <w:proofErr w:type="spellEnd"/>
      <w:r w:rsidR="00C34620" w:rsidRPr="00E137ED">
        <w:rPr>
          <w:rFonts w:eastAsia="Times New Roman"/>
          <w:lang w:val="en-US"/>
        </w:rPr>
        <w:t xml:space="preserve">, 1998). There are several empirical studies </w:t>
      </w:r>
      <w:r w:rsidR="00632E6C" w:rsidRPr="00E137ED">
        <w:rPr>
          <w:rFonts w:eastAsia="Times New Roman"/>
          <w:lang w:val="en-US"/>
        </w:rPr>
        <w:t xml:space="preserve">stressing </w:t>
      </w:r>
      <w:r w:rsidR="00240791" w:rsidRPr="00E137ED">
        <w:rPr>
          <w:rFonts w:eastAsia="Times New Roman"/>
          <w:lang w:val="en-US"/>
        </w:rPr>
        <w:t xml:space="preserve">the incongruence between </w:t>
      </w:r>
      <w:r w:rsidR="00D71903" w:rsidRPr="00E137ED">
        <w:rPr>
          <w:rFonts w:eastAsia="Times New Roman"/>
          <w:lang w:val="en-US"/>
        </w:rPr>
        <w:t>the high levels of abusive relationships and the expressed low levels of support for the use of violence in intimate relationships (</w:t>
      </w:r>
      <w:proofErr w:type="spellStart"/>
      <w:r w:rsidR="00D71903" w:rsidRPr="00E137ED">
        <w:rPr>
          <w:rFonts w:eastAsia="Times New Roman"/>
          <w:lang w:val="en-US"/>
        </w:rPr>
        <w:t>eg.</w:t>
      </w:r>
      <w:proofErr w:type="spellEnd"/>
      <w:r w:rsidR="00D71903" w:rsidRPr="00E137ED">
        <w:rPr>
          <w:rFonts w:eastAsia="Times New Roman"/>
          <w:lang w:val="en-US"/>
        </w:rPr>
        <w:t xml:space="preserve"> Machado et al., 2010; Sears et al. 2006; Straus 2004). </w:t>
      </w:r>
    </w:p>
    <w:p w14:paraId="2C4E4D6F" w14:textId="77BA9003" w:rsidR="005D5F64" w:rsidRPr="00E137ED" w:rsidRDefault="00840A9B" w:rsidP="00E137ED">
      <w:pPr>
        <w:ind w:firstLine="709"/>
        <w:rPr>
          <w:rFonts w:eastAsia="Times New Roman"/>
          <w:lang w:val="en-US"/>
        </w:rPr>
      </w:pPr>
      <w:r w:rsidRPr="00E137ED">
        <w:rPr>
          <w:lang w:val="en-US"/>
        </w:rPr>
        <w:t>On the other hand, there were found no significant differences for both ruler and day-measures between non-violent and psychologically violent scenarios. Women were willing to invest the same time in a relationship without violence and in a relationship with psychological violence. In other words, the tendency participants showed to remain in a relationship with psychological violence is statistically the same to remain in a relationship without violence, when prior investments of time, effort and money were made. Furthermore, women spend more time in a scenario of psychological violence than in a scenario of sexual violence or of physical violence. Relationship factors, such as the duration and intensity of the relationship, have been pointed to increase the risk of returning to an abusive relationship (</w:t>
      </w:r>
      <w:proofErr w:type="spellStart"/>
      <w:r w:rsidRPr="00E137ED">
        <w:rPr>
          <w:lang w:val="en-US"/>
        </w:rPr>
        <w:t>Rusbult</w:t>
      </w:r>
      <w:proofErr w:type="spellEnd"/>
      <w:r w:rsidRPr="00E137ED">
        <w:rPr>
          <w:lang w:val="en-US"/>
        </w:rPr>
        <w:t xml:space="preserve"> &amp; Martz, 1995), as well as having limited resources for economic independence (Jacobson and Gottman, 1998; </w:t>
      </w:r>
      <w:proofErr w:type="spellStart"/>
      <w:r w:rsidRPr="00E137ED">
        <w:rPr>
          <w:lang w:val="en-US"/>
        </w:rPr>
        <w:t>Rusbult</w:t>
      </w:r>
      <w:proofErr w:type="spellEnd"/>
      <w:r w:rsidRPr="00E137ED">
        <w:rPr>
          <w:lang w:val="en-US"/>
        </w:rPr>
        <w:t xml:space="preserve"> and Martz, 1995). According to present findings, contrary to physical and sexual violence, it is possible psychological violence was not assumed as </w:t>
      </w:r>
      <w:proofErr w:type="gramStart"/>
      <w:r w:rsidRPr="00E137ED">
        <w:rPr>
          <w:lang w:val="en-US"/>
        </w:rPr>
        <w:t>sufficient</w:t>
      </w:r>
      <w:proofErr w:type="gramEnd"/>
      <w:r w:rsidRPr="00E137ED">
        <w:rPr>
          <w:lang w:val="en-US"/>
        </w:rPr>
        <w:t xml:space="preserve"> ‘cost’ to outweigh previous investments and therefore, leave a relationship (</w:t>
      </w:r>
      <w:proofErr w:type="spellStart"/>
      <w:r w:rsidRPr="00E137ED">
        <w:rPr>
          <w:lang w:val="en-US"/>
        </w:rPr>
        <w:t>Rusbult</w:t>
      </w:r>
      <w:proofErr w:type="spellEnd"/>
      <w:r w:rsidRPr="00E137ED">
        <w:rPr>
          <w:lang w:val="en-US"/>
        </w:rPr>
        <w:t xml:space="preserve"> &amp; </w:t>
      </w:r>
      <w:proofErr w:type="spellStart"/>
      <w:r w:rsidRPr="00E137ED">
        <w:rPr>
          <w:lang w:val="en-US"/>
        </w:rPr>
        <w:t>Buunk</w:t>
      </w:r>
      <w:proofErr w:type="spellEnd"/>
      <w:r w:rsidRPr="00E137ED">
        <w:rPr>
          <w:lang w:val="en-US"/>
        </w:rPr>
        <w:t>, 1993). While the</w:t>
      </w:r>
      <w:r w:rsidR="00787A49" w:rsidRPr="00E137ED">
        <w:rPr>
          <w:lang w:val="en-US"/>
        </w:rPr>
        <w:t>re is a</w:t>
      </w:r>
      <w:r w:rsidRPr="00E137ED">
        <w:rPr>
          <w:lang w:val="en-US"/>
        </w:rPr>
        <w:t xml:space="preserve"> generalized disapproval of violence in the context of relationships (e.g. Machado, Gonçalves, Matos, &amp; Dias, 2007),</w:t>
      </w:r>
      <w:r w:rsidR="00787A49" w:rsidRPr="00E137ED">
        <w:rPr>
          <w:lang w:val="en-US"/>
        </w:rPr>
        <w:t xml:space="preserve"> the presence of</w:t>
      </w:r>
      <w:r w:rsidRPr="00E137ED">
        <w:rPr>
          <w:lang w:val="en-US"/>
        </w:rPr>
        <w:t xml:space="preserve"> </w:t>
      </w:r>
      <w:r w:rsidR="00787A49" w:rsidRPr="00E137ED">
        <w:rPr>
          <w:lang w:val="en-US"/>
        </w:rPr>
        <w:t xml:space="preserve">some forms of violent behaviors in some </w:t>
      </w:r>
      <w:proofErr w:type="spellStart"/>
      <w:r w:rsidR="00787A49" w:rsidRPr="00E137ED">
        <w:rPr>
          <w:lang w:val="en-US"/>
        </w:rPr>
        <w:t>circunstances</w:t>
      </w:r>
      <w:proofErr w:type="spellEnd"/>
      <w:r w:rsidR="00787A49" w:rsidRPr="00E137ED">
        <w:rPr>
          <w:lang w:val="en-US"/>
        </w:rPr>
        <w:t xml:space="preserve"> seems also to be </w:t>
      </w:r>
      <w:r w:rsidRPr="00E137ED">
        <w:rPr>
          <w:lang w:val="en-US"/>
        </w:rPr>
        <w:t xml:space="preserve">accepted (Sears et al. 2006; Straus 2004). In fact, psychological abuse was significantly reported more than physical abuse (Mills, Hill, &amp; Johnson, 2017).  </w:t>
      </w:r>
      <w:r w:rsidR="00EB79BA" w:rsidRPr="00E137ED">
        <w:rPr>
          <w:rFonts w:eastAsia="Times New Roman"/>
          <w:lang w:val="en-US"/>
        </w:rPr>
        <w:t xml:space="preserve">Acts of “lesser” violence (e.g., throwing objects, insulting or humiliating, yelling or threatening </w:t>
      </w:r>
      <w:r w:rsidR="008D3039" w:rsidRPr="00E137ED">
        <w:rPr>
          <w:rFonts w:eastAsia="Times New Roman"/>
          <w:lang w:val="en-US"/>
        </w:rPr>
        <w:t>to</w:t>
      </w:r>
      <w:r w:rsidR="00EB79BA" w:rsidRPr="00E137ED">
        <w:rPr>
          <w:rFonts w:eastAsia="Times New Roman"/>
          <w:lang w:val="en-US"/>
        </w:rPr>
        <w:t xml:space="preserve"> cause fear) are usually more reported in several studies (Machado</w:t>
      </w:r>
      <w:r w:rsidR="00630F46" w:rsidRPr="00E137ED">
        <w:rPr>
          <w:rFonts w:eastAsia="Times New Roman"/>
          <w:lang w:val="en-US"/>
        </w:rPr>
        <w:t>, Matos, &amp; Moreira,</w:t>
      </w:r>
      <w:r w:rsidR="00EB79BA" w:rsidRPr="00E137ED">
        <w:rPr>
          <w:rFonts w:eastAsia="Times New Roman"/>
          <w:lang w:val="en-US"/>
        </w:rPr>
        <w:t xml:space="preserve"> 2003; Machado</w:t>
      </w:r>
      <w:r w:rsidR="00193033" w:rsidRPr="00E137ED">
        <w:rPr>
          <w:rFonts w:eastAsia="Times New Roman"/>
          <w:lang w:val="en-US"/>
        </w:rPr>
        <w:t xml:space="preserve"> et al.</w:t>
      </w:r>
      <w:r w:rsidR="00EB79BA" w:rsidRPr="00E137ED">
        <w:rPr>
          <w:rFonts w:eastAsia="Times New Roman"/>
          <w:lang w:val="en-US"/>
        </w:rPr>
        <w:t xml:space="preserve">, 2010; Straus 2004). </w:t>
      </w:r>
      <w:r w:rsidR="009E6693" w:rsidRPr="00E137ED">
        <w:rPr>
          <w:rFonts w:eastAsia="Times New Roman"/>
          <w:lang w:val="en-US"/>
        </w:rPr>
        <w:t>Empirica</w:t>
      </w:r>
      <w:r w:rsidR="00AD0D34" w:rsidRPr="00E137ED">
        <w:rPr>
          <w:rFonts w:eastAsia="Times New Roman"/>
          <w:lang w:val="en-US"/>
        </w:rPr>
        <w:t xml:space="preserve">l studies also found out that 25-35% of the adolescents </w:t>
      </w:r>
      <w:r w:rsidR="009E6693" w:rsidRPr="00E137ED">
        <w:rPr>
          <w:rFonts w:eastAsia="Times New Roman"/>
          <w:lang w:val="en-US"/>
        </w:rPr>
        <w:t xml:space="preserve">interpret violence in some situations as a manifestation of love (Glass et al. 2003; </w:t>
      </w:r>
      <w:proofErr w:type="spellStart"/>
      <w:r w:rsidR="009E6693" w:rsidRPr="00E137ED">
        <w:rPr>
          <w:rFonts w:eastAsia="Times New Roman"/>
          <w:lang w:val="en-US"/>
        </w:rPr>
        <w:t>Henton</w:t>
      </w:r>
      <w:proofErr w:type="spellEnd"/>
      <w:r w:rsidR="009E6693" w:rsidRPr="00E137ED">
        <w:rPr>
          <w:rFonts w:eastAsia="Times New Roman"/>
          <w:lang w:val="en-US"/>
        </w:rPr>
        <w:t xml:space="preserve"> et al. 1983). </w:t>
      </w:r>
      <w:r w:rsidR="005D5F64" w:rsidRPr="00E137ED">
        <w:rPr>
          <w:rFonts w:eastAsia="Times New Roman"/>
          <w:lang w:val="en-US"/>
        </w:rPr>
        <w:t xml:space="preserve">Machado, </w:t>
      </w:r>
      <w:proofErr w:type="spellStart"/>
      <w:r w:rsidR="005D5F64" w:rsidRPr="00E137ED">
        <w:rPr>
          <w:rFonts w:eastAsia="Times New Roman"/>
          <w:lang w:val="en-US"/>
        </w:rPr>
        <w:t>Caridade</w:t>
      </w:r>
      <w:proofErr w:type="spellEnd"/>
      <w:r w:rsidR="005D5F64" w:rsidRPr="00E137ED">
        <w:rPr>
          <w:rFonts w:eastAsia="Times New Roman"/>
          <w:lang w:val="en-US"/>
        </w:rPr>
        <w:t xml:space="preserve">, and Martins (2010), in a study carried out with a sample of 4,667 participants aged 13 to 29 years, observed victims expressed higher support for violence than non-victims both in the case of general violence and physical violence, </w:t>
      </w:r>
      <w:r w:rsidR="005D5F64" w:rsidRPr="00E137ED">
        <w:rPr>
          <w:rFonts w:eastAsia="Times New Roman"/>
          <w:lang w:val="en-US"/>
        </w:rPr>
        <w:lastRenderedPageBreak/>
        <w:t xml:space="preserve">but no differences between victims and non-victims of emotional violence were found in terms of abusive beliefs. </w:t>
      </w:r>
    </w:p>
    <w:p w14:paraId="4387C620" w14:textId="13AB43A2" w:rsidR="00DD5B86" w:rsidRPr="00E137ED" w:rsidRDefault="008D3039" w:rsidP="00E137ED">
      <w:pPr>
        <w:ind w:firstLine="709"/>
        <w:rPr>
          <w:lang w:val="en-US"/>
        </w:rPr>
      </w:pPr>
      <w:r w:rsidRPr="00E137ED">
        <w:rPr>
          <w:lang w:val="en-US"/>
        </w:rPr>
        <w:t>Regarding the effect of relationship status and sunk effect, the results showed that if the participants were in a relationship, the more time/days they were willing to invest in that relationship</w:t>
      </w:r>
      <w:r w:rsidR="00AA6FD5" w:rsidRPr="00E137ED">
        <w:rPr>
          <w:lang w:val="en-US"/>
        </w:rPr>
        <w:t>, independently of the scenario</w:t>
      </w:r>
      <w:r w:rsidRPr="00E137ED">
        <w:rPr>
          <w:lang w:val="en-US"/>
        </w:rPr>
        <w:t xml:space="preserve">. </w:t>
      </w:r>
      <w:r w:rsidR="00C14F67" w:rsidRPr="00E137ED">
        <w:rPr>
          <w:rFonts w:eastAsia="Times New Roman"/>
          <w:lang w:val="en-US"/>
        </w:rPr>
        <w:t xml:space="preserve">These results suggest that </w:t>
      </w:r>
      <w:bookmarkStart w:id="3" w:name="_Hlk507058533"/>
      <w:r w:rsidR="00C14F67" w:rsidRPr="00E137ED">
        <w:rPr>
          <w:rFonts w:eastAsia="Times New Roman"/>
          <w:lang w:val="en-US"/>
        </w:rPr>
        <w:t>being in a relationship could enhance the likelihood of committing the sunk cost effect in the context of intimate relationships</w:t>
      </w:r>
      <w:bookmarkEnd w:id="3"/>
      <w:r w:rsidR="00C14F67" w:rsidRPr="00E137ED">
        <w:rPr>
          <w:rFonts w:eastAsia="Times New Roman"/>
          <w:lang w:val="en-US"/>
        </w:rPr>
        <w:t xml:space="preserve">; prior investments in a relationship might acquire more value for those individuals in a current relationship where those efforts exist naturally. However, </w:t>
      </w:r>
      <w:r w:rsidR="00C14F67" w:rsidRPr="00E137ED">
        <w:rPr>
          <w:lang w:val="en-US"/>
        </w:rPr>
        <w:t>t</w:t>
      </w:r>
      <w:r w:rsidR="00C0345B" w:rsidRPr="00E137ED">
        <w:rPr>
          <w:lang w:val="en-US"/>
        </w:rPr>
        <w:t>here is only one study (</w:t>
      </w:r>
      <w:proofErr w:type="spellStart"/>
      <w:r w:rsidR="00C0345B" w:rsidRPr="00E137ED">
        <w:rPr>
          <w:lang w:val="en-US"/>
        </w:rPr>
        <w:t>Rego</w:t>
      </w:r>
      <w:proofErr w:type="spellEnd"/>
      <w:r w:rsidR="00C0345B" w:rsidRPr="00E137ED">
        <w:rPr>
          <w:lang w:val="en-US"/>
        </w:rPr>
        <w:t xml:space="preserve"> et al., 2016) where sunk cost and relationship status where related and no association between those variables was found. </w:t>
      </w:r>
      <w:r w:rsidR="00C14F67" w:rsidRPr="00E137ED">
        <w:rPr>
          <w:lang w:val="en-US"/>
        </w:rPr>
        <w:t xml:space="preserve">On the other hand, it is important to note that in present study the number of single participants were lower compared to those in a relationship. Therefore, there is a call for broader and more robust studies covering the relationship between sunk cost/time effect and relationship status. </w:t>
      </w:r>
    </w:p>
    <w:p w14:paraId="56EA8645" w14:textId="1998EE3E" w:rsidR="003E34FF" w:rsidRPr="00E137ED" w:rsidRDefault="003E34FF" w:rsidP="00E137ED">
      <w:pPr>
        <w:outlineLvl w:val="0"/>
        <w:rPr>
          <w:b/>
          <w:i/>
          <w:lang w:val="en-US"/>
        </w:rPr>
      </w:pPr>
      <w:r w:rsidRPr="00E137ED">
        <w:rPr>
          <w:b/>
          <w:i/>
          <w:lang w:val="en-US"/>
        </w:rPr>
        <w:t>Implications for Future Research</w:t>
      </w:r>
    </w:p>
    <w:p w14:paraId="445C72F5" w14:textId="77777777" w:rsidR="003E34FF" w:rsidRPr="00E137ED" w:rsidRDefault="003E34FF" w:rsidP="00E137ED">
      <w:pPr>
        <w:rPr>
          <w:lang w:val="en-US"/>
        </w:rPr>
      </w:pPr>
    </w:p>
    <w:p w14:paraId="6CEDAB96" w14:textId="6C62A289" w:rsidR="00D97079" w:rsidRPr="00E137ED" w:rsidRDefault="000F538A" w:rsidP="00E137ED">
      <w:pPr>
        <w:rPr>
          <w:lang w:val="en-US"/>
        </w:rPr>
      </w:pPr>
      <w:r w:rsidRPr="00E137ED">
        <w:rPr>
          <w:rFonts w:eastAsia="Times New Roman"/>
          <w:lang w:val="en-US"/>
        </w:rPr>
        <w:t xml:space="preserve">Although this study shows that women spend more time in a scenario of psychological violence than in a scenario of sexual violence or of physical violence, </w:t>
      </w:r>
      <w:r w:rsidR="00813DD0" w:rsidRPr="00E137ED">
        <w:rPr>
          <w:rFonts w:eastAsia="Times New Roman"/>
          <w:lang w:val="en-US"/>
        </w:rPr>
        <w:t xml:space="preserve">it also shows that </w:t>
      </w:r>
      <w:r w:rsidRPr="00E137ED">
        <w:rPr>
          <w:rFonts w:eastAsia="Times New Roman"/>
          <w:lang w:val="en-US"/>
        </w:rPr>
        <w:t>being in a relationship could enhance the likelihood of committing the sunk cost effect in the context of intimate relationships</w:t>
      </w:r>
      <w:r w:rsidR="00813DD0" w:rsidRPr="00E137ED">
        <w:rPr>
          <w:rFonts w:eastAsia="Times New Roman"/>
          <w:lang w:val="en-US"/>
        </w:rPr>
        <w:t>; that is, violent relationships can perpetuate themselves due to this effect. Attitudes towards men’s violence against women determines the perpetration of violence against women and its responses by the victim and others around her (Flood &amp; Pease, 2009). Therefore, attitudes are the target of violence prevention campaigns.</w:t>
      </w:r>
      <w:r w:rsidR="008C40ED" w:rsidRPr="00E137ED">
        <w:rPr>
          <w:rFonts w:eastAsia="Times New Roman"/>
          <w:lang w:val="en-US"/>
        </w:rPr>
        <w:t xml:space="preserve"> Awareness raising for the identification and refusal of violence against women implies recognizing less explicit forms of violence (including psychological violence) and their consequences. </w:t>
      </w:r>
      <w:r w:rsidR="005D5F64" w:rsidRPr="00E137ED">
        <w:rPr>
          <w:rFonts w:eastAsia="Times New Roman"/>
          <w:lang w:val="en-US"/>
        </w:rPr>
        <w:t xml:space="preserve">If one considers that psychological violence is less serious than physical or sexual violence (although highly correlated) we are </w:t>
      </w:r>
      <w:proofErr w:type="spellStart"/>
      <w:r w:rsidR="005D5F64" w:rsidRPr="00E137ED">
        <w:rPr>
          <w:rFonts w:eastAsia="Times New Roman"/>
          <w:lang w:val="en-US"/>
        </w:rPr>
        <w:t>aceppting</w:t>
      </w:r>
      <w:proofErr w:type="spellEnd"/>
      <w:r w:rsidR="005D5F64" w:rsidRPr="00E137ED">
        <w:rPr>
          <w:rFonts w:eastAsia="Times New Roman"/>
          <w:lang w:val="en-US"/>
        </w:rPr>
        <w:t xml:space="preserve"> that there is a type of violence tolerated socially and individually. Therefore, future research should focus on developing violence prevention programs knowledge-based on the factors that lead to </w:t>
      </w:r>
      <w:r w:rsidR="00787A49" w:rsidRPr="00E137ED">
        <w:rPr>
          <w:rFonts w:eastAsia="Times New Roman"/>
          <w:lang w:val="en-US"/>
        </w:rPr>
        <w:t>remaining violent relationships.</w:t>
      </w:r>
    </w:p>
    <w:p w14:paraId="74DC8D41" w14:textId="77777777" w:rsidR="00D97079" w:rsidRPr="00E137ED" w:rsidRDefault="00D97079" w:rsidP="00E137ED">
      <w:pPr>
        <w:rPr>
          <w:lang w:val="en-US"/>
        </w:rPr>
      </w:pPr>
    </w:p>
    <w:p w14:paraId="4C23E8E1" w14:textId="77777777" w:rsidR="00D97079" w:rsidRPr="00E137ED" w:rsidRDefault="00D97079" w:rsidP="00E137ED">
      <w:pPr>
        <w:rPr>
          <w:lang w:val="en-US"/>
        </w:rPr>
      </w:pPr>
    </w:p>
    <w:p w14:paraId="57C6DE3C" w14:textId="7BE1D71D" w:rsidR="00922632" w:rsidRPr="00E137ED" w:rsidRDefault="00F74A76" w:rsidP="00E137ED">
      <w:pPr>
        <w:outlineLvl w:val="0"/>
        <w:rPr>
          <w:lang w:val="en-US"/>
        </w:rPr>
      </w:pPr>
      <w:r w:rsidRPr="00E137ED">
        <w:rPr>
          <w:lang w:val="en-US"/>
        </w:rPr>
        <w:br w:type="page"/>
      </w:r>
    </w:p>
    <w:p w14:paraId="6687D388" w14:textId="2FC6F11C" w:rsidR="001D1DED" w:rsidRPr="00E137ED" w:rsidRDefault="001D1DED" w:rsidP="00E137ED">
      <w:pPr>
        <w:outlineLvl w:val="0"/>
        <w:rPr>
          <w:b/>
          <w:lang w:val="en-US"/>
        </w:rPr>
      </w:pPr>
      <w:r w:rsidRPr="00E137ED">
        <w:rPr>
          <w:b/>
          <w:lang w:val="en-US"/>
        </w:rPr>
        <w:lastRenderedPageBreak/>
        <w:t>References</w:t>
      </w:r>
    </w:p>
    <w:p w14:paraId="78EE2FE8" w14:textId="3FBC6652" w:rsidR="008845B1" w:rsidRPr="00E137ED" w:rsidRDefault="008845B1" w:rsidP="00E137ED">
      <w:pPr>
        <w:ind w:left="567" w:hanging="567"/>
        <w:rPr>
          <w:lang w:val="en-US"/>
        </w:rPr>
      </w:pPr>
      <w:proofErr w:type="spellStart"/>
      <w:r w:rsidRPr="00E137ED">
        <w:rPr>
          <w:lang w:val="en-US"/>
        </w:rPr>
        <w:t>Ajzen</w:t>
      </w:r>
      <w:proofErr w:type="spellEnd"/>
      <w:r w:rsidRPr="00E137ED">
        <w:rPr>
          <w:lang w:val="en-US"/>
        </w:rPr>
        <w:t xml:space="preserve">, I., &amp; Fishbein, M. (1980). </w:t>
      </w:r>
      <w:r w:rsidRPr="00E137ED">
        <w:rPr>
          <w:i/>
          <w:lang w:val="en-US"/>
        </w:rPr>
        <w:t xml:space="preserve">Understanding attitudes and predicting social behavior. </w:t>
      </w:r>
      <w:r w:rsidRPr="00E137ED">
        <w:rPr>
          <w:lang w:val="en-US"/>
        </w:rPr>
        <w:t>Englewood Cliffs, NJ: Prentice-Hall.</w:t>
      </w:r>
    </w:p>
    <w:p w14:paraId="39AE28CA" w14:textId="2384B50E" w:rsidR="000244E8" w:rsidRPr="00E137ED" w:rsidRDefault="000244E8" w:rsidP="00E137ED">
      <w:pPr>
        <w:ind w:left="567" w:hanging="567"/>
        <w:rPr>
          <w:lang w:val="en-US"/>
        </w:rPr>
      </w:pPr>
      <w:r w:rsidRPr="00E137ED">
        <w:rPr>
          <w:lang w:val="en-US"/>
        </w:rPr>
        <w:t xml:space="preserve">Ali, M., Zhou, L., Miller, L., &amp; </w:t>
      </w:r>
      <w:proofErr w:type="spellStart"/>
      <w:r w:rsidRPr="00E137ED">
        <w:rPr>
          <w:lang w:val="en-US"/>
        </w:rPr>
        <w:t>Ieromonachou</w:t>
      </w:r>
      <w:proofErr w:type="spellEnd"/>
      <w:r w:rsidRPr="00E137ED">
        <w:rPr>
          <w:lang w:val="en-US"/>
        </w:rPr>
        <w:t xml:space="preserve">, P. (2016). User resistance in IT: A literature review. </w:t>
      </w:r>
      <w:r w:rsidRPr="00E137ED">
        <w:rPr>
          <w:i/>
          <w:lang w:val="en-US"/>
        </w:rPr>
        <w:t>International Journal of Information Management, 36</w:t>
      </w:r>
      <w:r w:rsidRPr="00E137ED">
        <w:rPr>
          <w:lang w:val="en-US"/>
        </w:rPr>
        <w:t>(1), 35-43.</w:t>
      </w:r>
    </w:p>
    <w:p w14:paraId="64B0D250" w14:textId="6E750725" w:rsidR="008845B1" w:rsidRPr="00E137ED" w:rsidRDefault="008845B1" w:rsidP="00E137ED">
      <w:pPr>
        <w:ind w:left="567" w:hanging="567"/>
        <w:rPr>
          <w:lang w:val="en-US"/>
        </w:rPr>
      </w:pPr>
      <w:proofErr w:type="spellStart"/>
      <w:r w:rsidRPr="00E137ED">
        <w:rPr>
          <w:lang w:val="en-US"/>
        </w:rPr>
        <w:t>Arkes</w:t>
      </w:r>
      <w:proofErr w:type="spellEnd"/>
      <w:r w:rsidRPr="00E137ED">
        <w:rPr>
          <w:lang w:val="en-US"/>
        </w:rPr>
        <w:t xml:space="preserve">, H. R., &amp; Ayton, P. (1999). The sunk cost and Concorde effects: are humans less rational than lower animals? </w:t>
      </w:r>
      <w:r w:rsidRPr="00E137ED">
        <w:rPr>
          <w:i/>
          <w:lang w:val="en-US"/>
        </w:rPr>
        <w:t>Psychological Bulletin, 125</w:t>
      </w:r>
      <w:r w:rsidRPr="00E137ED">
        <w:rPr>
          <w:lang w:val="en-US"/>
        </w:rPr>
        <w:t xml:space="preserve">, 591 –600. </w:t>
      </w:r>
      <w:r w:rsidR="00F94B6B" w:rsidRPr="00E137ED">
        <w:rPr>
          <w:lang w:val="en-US"/>
        </w:rPr>
        <w:t>https://doi.org/</w:t>
      </w:r>
      <w:r w:rsidRPr="00E137ED">
        <w:rPr>
          <w:lang w:val="en-US"/>
        </w:rPr>
        <w:t xml:space="preserve">10.1037/0033-2909.125.5.591 </w:t>
      </w:r>
    </w:p>
    <w:p w14:paraId="6E812ACA" w14:textId="070DD23F" w:rsidR="008845B1" w:rsidRPr="00E137ED" w:rsidRDefault="008845B1" w:rsidP="00E137ED">
      <w:pPr>
        <w:ind w:left="567" w:hanging="567"/>
        <w:rPr>
          <w:lang w:val="en-US"/>
        </w:rPr>
      </w:pPr>
      <w:proofErr w:type="spellStart"/>
      <w:r w:rsidRPr="00E137ED">
        <w:rPr>
          <w:lang w:val="en-US"/>
        </w:rPr>
        <w:t>Arkes</w:t>
      </w:r>
      <w:proofErr w:type="spellEnd"/>
      <w:r w:rsidRPr="00E137ED">
        <w:rPr>
          <w:lang w:val="en-US"/>
        </w:rPr>
        <w:t xml:space="preserve">, H. R., &amp; Blumer, C. (1985). The psychology of sunk cost. </w:t>
      </w:r>
      <w:r w:rsidRPr="00E137ED">
        <w:rPr>
          <w:i/>
          <w:lang w:val="en-US"/>
        </w:rPr>
        <w:t>Organizational Behavior and Human Decision Processes, 35</w:t>
      </w:r>
      <w:r w:rsidRPr="00E137ED">
        <w:rPr>
          <w:lang w:val="en-US"/>
        </w:rPr>
        <w:t xml:space="preserve">, 124–140. </w:t>
      </w:r>
      <w:r w:rsidR="00F94B6B" w:rsidRPr="00E137ED">
        <w:rPr>
          <w:lang w:val="en-US"/>
        </w:rPr>
        <w:t>https://doi.org/</w:t>
      </w:r>
      <w:r w:rsidRPr="00E137ED">
        <w:rPr>
          <w:lang w:val="en-US"/>
        </w:rPr>
        <w:t>10.1016/0749-5978(85)90049-4</w:t>
      </w:r>
    </w:p>
    <w:p w14:paraId="6C537E84" w14:textId="77777777" w:rsidR="008845B1" w:rsidRPr="00E137ED" w:rsidRDefault="008845B1" w:rsidP="00E137ED">
      <w:pPr>
        <w:ind w:left="567" w:hanging="567"/>
        <w:rPr>
          <w:lang w:val="en-US"/>
        </w:rPr>
      </w:pPr>
      <w:r w:rsidRPr="00E137ED">
        <w:rPr>
          <w:lang w:val="en-US"/>
        </w:rPr>
        <w:t xml:space="preserve">Benson, B. (2017). </w:t>
      </w:r>
      <w:r w:rsidRPr="00E137ED">
        <w:rPr>
          <w:i/>
          <w:lang w:val="en-US"/>
        </w:rPr>
        <w:t xml:space="preserve">Cognitive bias cheat sheet, simpliﬁed. </w:t>
      </w:r>
      <w:hyperlink r:id="rId10" w:history="1">
        <w:r w:rsidRPr="00E137ED">
          <w:rPr>
            <w:rStyle w:val="Hyperlink"/>
            <w:lang w:val="en-US"/>
          </w:rPr>
          <w:t>https://betterhumans.coach.me/cognitive-bias-cheat-sheet55a472476b18</w:t>
        </w:r>
      </w:hyperlink>
      <w:r w:rsidRPr="00E137ED">
        <w:rPr>
          <w:lang w:val="en-US"/>
        </w:rPr>
        <w:t>.</w:t>
      </w:r>
    </w:p>
    <w:p w14:paraId="5A2986F6" w14:textId="273C5924" w:rsidR="008845B1" w:rsidRPr="00E137ED" w:rsidRDefault="008845B1" w:rsidP="00E137ED">
      <w:pPr>
        <w:ind w:left="567" w:hanging="567"/>
        <w:rPr>
          <w:lang w:val="en-US"/>
        </w:rPr>
      </w:pPr>
      <w:proofErr w:type="spellStart"/>
      <w:r w:rsidRPr="00E137ED">
        <w:rPr>
          <w:lang w:val="en-US"/>
        </w:rPr>
        <w:t>Bermea</w:t>
      </w:r>
      <w:proofErr w:type="spellEnd"/>
      <w:r w:rsidRPr="00E137ED">
        <w:rPr>
          <w:lang w:val="en-US"/>
        </w:rPr>
        <w:t xml:space="preserve">, A. M., </w:t>
      </w:r>
      <w:proofErr w:type="spellStart"/>
      <w:r w:rsidRPr="00E137ED">
        <w:rPr>
          <w:lang w:val="en-US"/>
        </w:rPr>
        <w:t>Khaw</w:t>
      </w:r>
      <w:proofErr w:type="spellEnd"/>
      <w:r w:rsidRPr="00E137ED">
        <w:rPr>
          <w:lang w:val="en-US"/>
        </w:rPr>
        <w:t xml:space="preserve">, L., Hardesty, J. L., Rosenbloom, L., &amp; Salerno, C. (2017). Mental and Active Preparation: Examining Variations in Women’s Processes of Preparing to Leave Abusive Relationships. </w:t>
      </w:r>
      <w:r w:rsidRPr="00E137ED">
        <w:rPr>
          <w:i/>
          <w:lang w:val="en-US"/>
        </w:rPr>
        <w:t>Journal of interpersonal violence</w:t>
      </w:r>
      <w:r w:rsidRPr="00E137ED">
        <w:rPr>
          <w:lang w:val="en-US"/>
        </w:rPr>
        <w:t xml:space="preserve">. </w:t>
      </w:r>
      <w:r w:rsidR="00F94B6B" w:rsidRPr="00E137ED">
        <w:rPr>
          <w:lang w:val="en-US"/>
        </w:rPr>
        <w:t>https://doi.org/</w:t>
      </w:r>
      <w:r w:rsidRPr="00E137ED">
        <w:rPr>
          <w:lang w:val="en-US"/>
        </w:rPr>
        <w:t xml:space="preserve"> 10.1177/0886260517692332</w:t>
      </w:r>
    </w:p>
    <w:p w14:paraId="062B72B2" w14:textId="6591F8C7" w:rsidR="008845B1" w:rsidRPr="00E137ED" w:rsidRDefault="008845B1" w:rsidP="00E137ED">
      <w:pPr>
        <w:ind w:left="567" w:hanging="567"/>
        <w:rPr>
          <w:lang w:val="en-US"/>
        </w:rPr>
      </w:pPr>
      <w:r w:rsidRPr="00E137ED">
        <w:rPr>
          <w:lang w:val="en-US"/>
        </w:rPr>
        <w:t xml:space="preserve">Bornstein, B. H., &amp; Chapman, G. B. (1995). Learning lessons from sunk costs. </w:t>
      </w:r>
      <w:r w:rsidRPr="00E137ED">
        <w:rPr>
          <w:i/>
          <w:lang w:val="en-US"/>
        </w:rPr>
        <w:t>Journal of Experimental Psychology: Applied, 1</w:t>
      </w:r>
      <w:r w:rsidRPr="00E137ED">
        <w:rPr>
          <w:lang w:val="en-US"/>
        </w:rPr>
        <w:t xml:space="preserve">, 251 –269. </w:t>
      </w:r>
      <w:r w:rsidR="00F94B6B" w:rsidRPr="00E137ED">
        <w:rPr>
          <w:lang w:val="en-US"/>
        </w:rPr>
        <w:t>https://doi.org/</w:t>
      </w:r>
      <w:r w:rsidRPr="00E137ED">
        <w:rPr>
          <w:lang w:val="en-US"/>
        </w:rPr>
        <w:t>10.1037/1076-898X.1.4.251</w:t>
      </w:r>
    </w:p>
    <w:p w14:paraId="4BDBDCA6" w14:textId="5AE2EC35" w:rsidR="008845B1" w:rsidRPr="00E137ED" w:rsidRDefault="008845B1" w:rsidP="00E137ED">
      <w:pPr>
        <w:ind w:left="567" w:hanging="567"/>
        <w:rPr>
          <w:lang w:val="en-US"/>
        </w:rPr>
      </w:pPr>
      <w:proofErr w:type="spellStart"/>
      <w:r w:rsidRPr="00E137ED">
        <w:rPr>
          <w:lang w:val="en-US"/>
        </w:rPr>
        <w:t>Brockner</w:t>
      </w:r>
      <w:proofErr w:type="spellEnd"/>
      <w:r w:rsidRPr="00E137ED">
        <w:rPr>
          <w:lang w:val="en-US"/>
        </w:rPr>
        <w:t xml:space="preserve">, J., &amp; Rubin, J. Z. (1985). </w:t>
      </w:r>
      <w:r w:rsidRPr="00E137ED">
        <w:rPr>
          <w:i/>
          <w:lang w:val="en-US"/>
        </w:rPr>
        <w:t>Entrapment in escalating conflicts: A social psychological analysis.</w:t>
      </w:r>
      <w:r w:rsidRPr="00E137ED">
        <w:rPr>
          <w:lang w:val="en-US"/>
        </w:rPr>
        <w:t xml:space="preserve"> New York: Springer-Verlag.</w:t>
      </w:r>
    </w:p>
    <w:p w14:paraId="4E8CA61D" w14:textId="5F8E0751" w:rsidR="00595506" w:rsidRPr="00E137ED" w:rsidRDefault="00595506" w:rsidP="00E137ED">
      <w:pPr>
        <w:ind w:left="567" w:hanging="567"/>
        <w:rPr>
          <w:lang w:val="en-US"/>
        </w:rPr>
      </w:pPr>
      <w:proofErr w:type="spellStart"/>
      <w:r w:rsidRPr="00E137ED">
        <w:rPr>
          <w:lang w:val="en-US"/>
        </w:rPr>
        <w:t>Buchko</w:t>
      </w:r>
      <w:proofErr w:type="spellEnd"/>
      <w:r w:rsidRPr="00E137ED">
        <w:rPr>
          <w:lang w:val="en-US"/>
        </w:rPr>
        <w:t xml:space="preserve">, A. A., </w:t>
      </w:r>
      <w:proofErr w:type="spellStart"/>
      <w:r w:rsidRPr="00E137ED">
        <w:rPr>
          <w:lang w:val="en-US"/>
        </w:rPr>
        <w:t>Buscher</w:t>
      </w:r>
      <w:proofErr w:type="spellEnd"/>
      <w:r w:rsidRPr="00E137ED">
        <w:rPr>
          <w:lang w:val="en-US"/>
        </w:rPr>
        <w:t xml:space="preserve">, C., &amp; </w:t>
      </w:r>
      <w:proofErr w:type="spellStart"/>
      <w:r w:rsidRPr="00E137ED">
        <w:rPr>
          <w:lang w:val="en-US"/>
        </w:rPr>
        <w:t>Buchko</w:t>
      </w:r>
      <w:proofErr w:type="spellEnd"/>
      <w:r w:rsidRPr="00E137ED">
        <w:rPr>
          <w:lang w:val="en-US"/>
        </w:rPr>
        <w:t xml:space="preserve">, K. J. (2017). Why do good employees stay in bad </w:t>
      </w:r>
      <w:proofErr w:type="gramStart"/>
      <w:r w:rsidRPr="00E137ED">
        <w:rPr>
          <w:lang w:val="en-US"/>
        </w:rPr>
        <w:t>organizations?.</w:t>
      </w:r>
      <w:proofErr w:type="gramEnd"/>
      <w:r w:rsidRPr="00E137ED">
        <w:rPr>
          <w:lang w:val="en-US"/>
        </w:rPr>
        <w:t xml:space="preserve"> </w:t>
      </w:r>
      <w:r w:rsidRPr="00E137ED">
        <w:rPr>
          <w:i/>
          <w:lang w:val="en-US"/>
        </w:rPr>
        <w:t>Business Horizons, 60</w:t>
      </w:r>
      <w:r w:rsidRPr="00E137ED">
        <w:rPr>
          <w:lang w:val="en-US"/>
        </w:rPr>
        <w:t xml:space="preserve">(5), 729-739. </w:t>
      </w:r>
      <w:r w:rsidR="00F94B6B" w:rsidRPr="00E137ED">
        <w:rPr>
          <w:lang w:val="en-US"/>
        </w:rPr>
        <w:t>https://doi.org/</w:t>
      </w:r>
      <w:r w:rsidRPr="00E137ED">
        <w:rPr>
          <w:lang w:val="en-US"/>
        </w:rPr>
        <w:t>10.1016/j.bushor.2017.06.001.</w:t>
      </w:r>
    </w:p>
    <w:p w14:paraId="4CAC98CE" w14:textId="77777777" w:rsidR="008845B1" w:rsidRPr="00E137ED" w:rsidRDefault="008845B1" w:rsidP="00E137ED">
      <w:pPr>
        <w:ind w:left="567" w:hanging="567"/>
        <w:rPr>
          <w:lang w:val="en-US"/>
        </w:rPr>
      </w:pPr>
      <w:r w:rsidRPr="00E137ED">
        <w:rPr>
          <w:lang w:val="en-US"/>
        </w:rPr>
        <w:t xml:space="preserve">Centers for Disease Control and Prevention. (2018). </w:t>
      </w:r>
      <w:r w:rsidRPr="00E137ED">
        <w:rPr>
          <w:i/>
          <w:lang w:val="en-US"/>
        </w:rPr>
        <w:t>Intimate partner violence</w:t>
      </w:r>
      <w:r w:rsidRPr="00E137ED">
        <w:rPr>
          <w:lang w:val="en-US"/>
        </w:rPr>
        <w:t xml:space="preserve">. Retrieved from </w:t>
      </w:r>
      <w:hyperlink r:id="rId11" w:history="1">
        <w:r w:rsidRPr="00E137ED">
          <w:rPr>
            <w:rStyle w:val="Hyperlink"/>
            <w:lang w:val="en-US"/>
          </w:rPr>
          <w:t>https://www.cdc.gov/violenceprevention/intimatepartnerviolence/index.html</w:t>
        </w:r>
      </w:hyperlink>
      <w:r w:rsidRPr="00E137ED">
        <w:rPr>
          <w:lang w:val="en-US"/>
        </w:rPr>
        <w:t xml:space="preserve">. </w:t>
      </w:r>
    </w:p>
    <w:p w14:paraId="146F0223" w14:textId="468F2609" w:rsidR="008845B1" w:rsidRPr="00E137ED" w:rsidRDefault="008845B1" w:rsidP="00E137ED">
      <w:pPr>
        <w:ind w:left="567" w:hanging="567"/>
        <w:rPr>
          <w:lang w:val="en-US"/>
        </w:rPr>
      </w:pPr>
      <w:r w:rsidRPr="00E137ED">
        <w:t xml:space="preserve">Chou, S. W., &amp; Hsu, C. S. (2018). </w:t>
      </w:r>
      <w:r w:rsidRPr="00E137ED">
        <w:rPr>
          <w:lang w:val="en-US"/>
        </w:rPr>
        <w:t xml:space="preserve">An empirical investigation on knowledge use in virtual communities–A relationship development perspective. </w:t>
      </w:r>
      <w:r w:rsidRPr="00E137ED">
        <w:rPr>
          <w:i/>
          <w:lang w:val="en-US"/>
        </w:rPr>
        <w:t>International Journal of Information Management, 38</w:t>
      </w:r>
      <w:r w:rsidRPr="00E137ED">
        <w:rPr>
          <w:lang w:val="en-US"/>
        </w:rPr>
        <w:t xml:space="preserve">(1), 243-255. </w:t>
      </w:r>
      <w:r w:rsidR="00F94B6B" w:rsidRPr="00E137ED">
        <w:rPr>
          <w:lang w:val="en-US"/>
        </w:rPr>
        <w:t>https://doi.org/</w:t>
      </w:r>
      <w:r w:rsidRPr="00E137ED">
        <w:rPr>
          <w:lang w:val="en-US"/>
        </w:rPr>
        <w:t>10.1016/j.ijinfomgt.2017.10.003</w:t>
      </w:r>
    </w:p>
    <w:p w14:paraId="3A97378A" w14:textId="791C0DE7" w:rsidR="004B5B0B" w:rsidRPr="00E137ED" w:rsidRDefault="004B5B0B" w:rsidP="00E137ED">
      <w:pPr>
        <w:ind w:left="567" w:hanging="567"/>
        <w:rPr>
          <w:lang w:val="en-US"/>
        </w:rPr>
      </w:pPr>
      <w:r w:rsidRPr="00E137ED">
        <w:rPr>
          <w:lang w:val="en-US"/>
        </w:rPr>
        <w:t xml:space="preserve">Chung, S. H., &amp; Cheng, K. C. (2018). How does cognitive dissonance influence the sunk cost </w:t>
      </w:r>
      <w:proofErr w:type="gramStart"/>
      <w:r w:rsidRPr="00E137ED">
        <w:rPr>
          <w:lang w:val="en-US"/>
        </w:rPr>
        <w:t>effect?.</w:t>
      </w:r>
      <w:proofErr w:type="gramEnd"/>
      <w:r w:rsidRPr="00E137ED">
        <w:rPr>
          <w:lang w:val="en-US"/>
        </w:rPr>
        <w:t xml:space="preserve"> </w:t>
      </w:r>
      <w:r w:rsidRPr="00E137ED">
        <w:rPr>
          <w:i/>
          <w:lang w:val="en-US"/>
        </w:rPr>
        <w:t>Psychology research and behavior management, 11</w:t>
      </w:r>
      <w:r w:rsidRPr="00E137ED">
        <w:rPr>
          <w:lang w:val="en-US"/>
        </w:rPr>
        <w:t>, 37.</w:t>
      </w:r>
      <w:r w:rsidR="00427040" w:rsidRPr="00E137ED">
        <w:rPr>
          <w:lang w:val="en-US"/>
        </w:rPr>
        <w:t xml:space="preserve"> </w:t>
      </w:r>
      <w:r w:rsidR="00F94B6B" w:rsidRPr="00E137ED">
        <w:rPr>
          <w:lang w:val="en-US"/>
        </w:rPr>
        <w:t>https://doi.org/</w:t>
      </w:r>
      <w:r w:rsidR="00427040" w:rsidRPr="00E137ED">
        <w:rPr>
          <w:lang w:val="en-US"/>
        </w:rPr>
        <w:t>10.2147/PRBM.S150494.</w:t>
      </w:r>
    </w:p>
    <w:p w14:paraId="30700EF2" w14:textId="0B855C9E" w:rsidR="005F1B6E" w:rsidRPr="00E137ED" w:rsidRDefault="005F1B6E" w:rsidP="00E137ED">
      <w:pPr>
        <w:ind w:left="567" w:hanging="567"/>
        <w:rPr>
          <w:lang w:val="en-US"/>
        </w:rPr>
      </w:pPr>
      <w:r w:rsidRPr="00E137ED">
        <w:rPr>
          <w:lang w:val="en-US"/>
        </w:rPr>
        <w:t xml:space="preserve">Chung, G. H., Choi, J. N., &amp; Du, J. (2017). Tired of innovations? Learned helplessness and fatigue in the context of continuous streams of innovation implementation. </w:t>
      </w:r>
      <w:r w:rsidRPr="00E137ED">
        <w:rPr>
          <w:i/>
          <w:lang w:val="en-US"/>
        </w:rPr>
        <w:t>Journal of Organizational Behavior, 38</w:t>
      </w:r>
      <w:r w:rsidRPr="00E137ED">
        <w:rPr>
          <w:lang w:val="en-US"/>
        </w:rPr>
        <w:t>(7), 1130-1148.</w:t>
      </w:r>
      <w:r w:rsidR="00F22083" w:rsidRPr="00E137ED">
        <w:rPr>
          <w:lang w:val="en-US"/>
        </w:rPr>
        <w:t xml:space="preserve"> </w:t>
      </w:r>
      <w:r w:rsidR="00F94B6B" w:rsidRPr="00E137ED">
        <w:rPr>
          <w:lang w:val="en-US"/>
        </w:rPr>
        <w:t>https://doi.org/</w:t>
      </w:r>
      <w:r w:rsidR="00F22083" w:rsidRPr="00E137ED">
        <w:rPr>
          <w:lang w:val="en-US"/>
        </w:rPr>
        <w:t>10.1002/job.2191.</w:t>
      </w:r>
    </w:p>
    <w:p w14:paraId="5FB4AB66" w14:textId="0226E079" w:rsidR="009C57AB" w:rsidRPr="00E137ED" w:rsidRDefault="009C57AB" w:rsidP="00E137ED">
      <w:pPr>
        <w:ind w:left="567" w:hanging="567"/>
        <w:rPr>
          <w:lang w:val="en-US"/>
        </w:rPr>
      </w:pPr>
      <w:proofErr w:type="spellStart"/>
      <w:r w:rsidRPr="00E137ED">
        <w:rPr>
          <w:lang w:val="en-US"/>
        </w:rPr>
        <w:t>Copp</w:t>
      </w:r>
      <w:proofErr w:type="spellEnd"/>
      <w:r w:rsidRPr="00E137ED">
        <w:rPr>
          <w:lang w:val="en-US"/>
        </w:rPr>
        <w:t xml:space="preserve">, J. E., Giordano, P. C., Longmore, M. A., &amp; Manning, W. D. (2015). Stay/leave decision-making in non-violent and violent dating relationships. </w:t>
      </w:r>
      <w:r w:rsidRPr="00E137ED">
        <w:rPr>
          <w:i/>
          <w:lang w:val="en-US"/>
        </w:rPr>
        <w:t>Violence and victims, 30</w:t>
      </w:r>
      <w:r w:rsidRPr="00E137ED">
        <w:rPr>
          <w:lang w:val="en-US"/>
        </w:rPr>
        <w:t>(4), 581.</w:t>
      </w:r>
      <w:r w:rsidR="00645877" w:rsidRPr="00E137ED">
        <w:rPr>
          <w:lang w:val="en-US"/>
        </w:rPr>
        <w:t xml:space="preserve"> </w:t>
      </w:r>
      <w:r w:rsidR="00F94B6B" w:rsidRPr="00E137ED">
        <w:rPr>
          <w:lang w:val="en-US"/>
        </w:rPr>
        <w:t>https://doi.org/</w:t>
      </w:r>
      <w:r w:rsidR="00645877" w:rsidRPr="00E137ED">
        <w:rPr>
          <w:lang w:val="en-US"/>
        </w:rPr>
        <w:t>10.1891/0886-6708.VV-D-13-00176.</w:t>
      </w:r>
    </w:p>
    <w:p w14:paraId="13C651E8" w14:textId="0DCEC9C0" w:rsidR="004C1D5F" w:rsidRPr="00E137ED" w:rsidRDefault="004C1D5F" w:rsidP="00E137ED">
      <w:pPr>
        <w:ind w:left="567" w:hanging="567"/>
        <w:rPr>
          <w:lang w:val="en-US"/>
        </w:rPr>
      </w:pPr>
      <w:proofErr w:type="spellStart"/>
      <w:r w:rsidRPr="00E137ED">
        <w:rPr>
          <w:lang w:val="en-US"/>
        </w:rPr>
        <w:t>Copp</w:t>
      </w:r>
      <w:proofErr w:type="spellEnd"/>
      <w:r w:rsidRPr="00E137ED">
        <w:rPr>
          <w:lang w:val="en-US"/>
        </w:rPr>
        <w:t xml:space="preserve">, J. E., Giordano, P. C., Longmore, M. A., &amp; Manning, W. D. (2016). The development of attitudes toward intimate partner violence: An examination of key correlates among a sample of young adults. </w:t>
      </w:r>
      <w:r w:rsidRPr="00E137ED">
        <w:rPr>
          <w:i/>
          <w:lang w:val="en-US"/>
        </w:rPr>
        <w:t>Journal of interpersonal violence</w:t>
      </w:r>
      <w:r w:rsidR="00A3605E" w:rsidRPr="00E137ED">
        <w:rPr>
          <w:lang w:val="en-US"/>
        </w:rPr>
        <w:t xml:space="preserve">. </w:t>
      </w:r>
      <w:r w:rsidR="00F94B6B" w:rsidRPr="00E137ED">
        <w:rPr>
          <w:lang w:val="en-US"/>
        </w:rPr>
        <w:t>https://doi.org/</w:t>
      </w:r>
      <w:r w:rsidRPr="00E137ED">
        <w:rPr>
          <w:lang w:val="en-US"/>
        </w:rPr>
        <w:t>0886260516651311.</w:t>
      </w:r>
    </w:p>
    <w:p w14:paraId="6BDFF246" w14:textId="79CE293C" w:rsidR="00996770" w:rsidRPr="00E137ED" w:rsidRDefault="00996770" w:rsidP="00E137ED">
      <w:pPr>
        <w:ind w:left="567" w:hanging="567"/>
        <w:rPr>
          <w:lang w:val="en-US"/>
        </w:rPr>
      </w:pPr>
      <w:r w:rsidRPr="00E137ED">
        <w:rPr>
          <w:lang w:val="en-US"/>
        </w:rPr>
        <w:t xml:space="preserve">Council of Europe (2011). </w:t>
      </w:r>
      <w:r w:rsidRPr="00E137ED">
        <w:rPr>
          <w:i/>
          <w:lang w:val="en-US"/>
        </w:rPr>
        <w:t>Explanatory Report to the Council of Europe Convention on Preventing and Combating Violence against Women and Domestic Violence.</w:t>
      </w:r>
      <w:r w:rsidRPr="00E137ED">
        <w:rPr>
          <w:lang w:val="en-US"/>
        </w:rPr>
        <w:t xml:space="preserve"> Council of Europe Treaty Series No 210.</w:t>
      </w:r>
    </w:p>
    <w:p w14:paraId="7510E7B7" w14:textId="7A38FDCF" w:rsidR="00AE66A5" w:rsidRPr="00E137ED" w:rsidRDefault="007F241F" w:rsidP="00E137ED">
      <w:pPr>
        <w:ind w:left="567" w:hanging="567"/>
        <w:rPr>
          <w:lang w:val="en-US"/>
        </w:rPr>
      </w:pPr>
      <w:r w:rsidRPr="00E137ED">
        <w:rPr>
          <w:lang w:val="en-US"/>
        </w:rPr>
        <w:lastRenderedPageBreak/>
        <w:t xml:space="preserve">De Ridder, D. T., &amp; </w:t>
      </w:r>
      <w:proofErr w:type="spellStart"/>
      <w:r w:rsidRPr="00E137ED">
        <w:rPr>
          <w:lang w:val="en-US"/>
        </w:rPr>
        <w:t>Lensvelt</w:t>
      </w:r>
      <w:proofErr w:type="spellEnd"/>
      <w:r w:rsidRPr="00E137ED">
        <w:rPr>
          <w:lang w:val="en-US"/>
        </w:rPr>
        <w:t xml:space="preserve">-Mulders, G. (2018). Taking stock of self-control: A meta-analysis of how trait self-control relates to a wide range of behaviors. In </w:t>
      </w:r>
      <w:r w:rsidRPr="00E137ED">
        <w:rPr>
          <w:i/>
          <w:lang w:val="en-US"/>
        </w:rPr>
        <w:t>Self-Regulation and Self-Control</w:t>
      </w:r>
      <w:r w:rsidRPr="00E137ED">
        <w:rPr>
          <w:lang w:val="en-US"/>
        </w:rPr>
        <w:t xml:space="preserve"> (pp. 221-274). Routledge.</w:t>
      </w:r>
    </w:p>
    <w:p w14:paraId="01B1B064" w14:textId="40254B7C" w:rsidR="008845B1" w:rsidRPr="00E137ED" w:rsidRDefault="008845B1" w:rsidP="00E137ED">
      <w:pPr>
        <w:ind w:left="567" w:right="-1" w:hanging="567"/>
        <w:rPr>
          <w:rFonts w:eastAsia="Times New Roman"/>
          <w:color w:val="333333"/>
          <w:shd w:val="clear" w:color="auto" w:fill="FFFFFF"/>
          <w:lang w:val="en-US"/>
        </w:rPr>
      </w:pPr>
      <w:proofErr w:type="spellStart"/>
      <w:r w:rsidRPr="00E137ED">
        <w:rPr>
          <w:rFonts w:eastAsia="Times New Roman"/>
          <w:color w:val="333333"/>
          <w:shd w:val="clear" w:color="auto" w:fill="FFFFFF"/>
          <w:lang w:val="en-US"/>
        </w:rPr>
        <w:t>Eagly</w:t>
      </w:r>
      <w:proofErr w:type="spellEnd"/>
      <w:r w:rsidRPr="00E137ED">
        <w:rPr>
          <w:rFonts w:eastAsia="Times New Roman"/>
          <w:color w:val="333333"/>
          <w:shd w:val="clear" w:color="auto" w:fill="FFFFFF"/>
          <w:lang w:val="en-US"/>
        </w:rPr>
        <w:t xml:space="preserve">, A. H., &amp; </w:t>
      </w:r>
      <w:proofErr w:type="spellStart"/>
      <w:r w:rsidRPr="00E137ED">
        <w:rPr>
          <w:rFonts w:eastAsia="Times New Roman"/>
          <w:color w:val="333333"/>
          <w:shd w:val="clear" w:color="auto" w:fill="FFFFFF"/>
          <w:lang w:val="en-US"/>
        </w:rPr>
        <w:t>Chaiken</w:t>
      </w:r>
      <w:proofErr w:type="spellEnd"/>
      <w:r w:rsidRPr="00E137ED">
        <w:rPr>
          <w:rFonts w:eastAsia="Times New Roman"/>
          <w:color w:val="333333"/>
          <w:shd w:val="clear" w:color="auto" w:fill="FFFFFF"/>
          <w:lang w:val="en-US"/>
        </w:rPr>
        <w:t xml:space="preserve">, S. (1998). Attitude structure and function. In D. T. Gilbert, S. T. Fiske, &amp; G. </w:t>
      </w:r>
      <w:proofErr w:type="spellStart"/>
      <w:r w:rsidRPr="00E137ED">
        <w:rPr>
          <w:rFonts w:eastAsia="Times New Roman"/>
          <w:color w:val="333333"/>
          <w:shd w:val="clear" w:color="auto" w:fill="FFFFFF"/>
          <w:lang w:val="en-US"/>
        </w:rPr>
        <w:t>Lindzey</w:t>
      </w:r>
      <w:proofErr w:type="spellEnd"/>
      <w:r w:rsidRPr="00E137ED">
        <w:rPr>
          <w:rFonts w:eastAsia="Times New Roman"/>
          <w:color w:val="333333"/>
          <w:shd w:val="clear" w:color="auto" w:fill="FFFFFF"/>
          <w:lang w:val="en-US"/>
        </w:rPr>
        <w:t xml:space="preserve"> (Eds.), </w:t>
      </w:r>
      <w:r w:rsidRPr="00E137ED">
        <w:rPr>
          <w:rStyle w:val="Emphasis"/>
          <w:rFonts w:eastAsia="Times New Roman"/>
          <w:color w:val="333333"/>
          <w:shd w:val="clear" w:color="auto" w:fill="FFFFFF"/>
          <w:lang w:val="en-US"/>
        </w:rPr>
        <w:t>The handbook of social psychology</w:t>
      </w:r>
      <w:r w:rsidRPr="00E137ED">
        <w:rPr>
          <w:rFonts w:eastAsia="Times New Roman"/>
          <w:color w:val="333333"/>
          <w:shd w:val="clear" w:color="auto" w:fill="FFFFFF"/>
          <w:lang w:val="en-US"/>
        </w:rPr>
        <w:t> (pp. 269-322). New York, NY, US: McGraw-Hill.</w:t>
      </w:r>
    </w:p>
    <w:p w14:paraId="71CDABC9" w14:textId="7C01D249" w:rsidR="00B8789F" w:rsidRPr="00E137ED" w:rsidRDefault="00B8789F" w:rsidP="00E137ED">
      <w:pPr>
        <w:ind w:left="567" w:right="-1" w:hanging="567"/>
        <w:rPr>
          <w:rFonts w:eastAsia="Times New Roman"/>
          <w:lang w:val="en-US"/>
        </w:rPr>
      </w:pPr>
      <w:r w:rsidRPr="00E137ED">
        <w:rPr>
          <w:rFonts w:eastAsia="Times New Roman"/>
          <w:lang w:val="en-US"/>
        </w:rPr>
        <w:t xml:space="preserve">Feldman, G., &amp; Wong, K. F. E. (2018). When action-inaction framing leads to higher escalation of commitment: A new inaction-effect perspective on the sunk-cost fallacy. </w:t>
      </w:r>
      <w:r w:rsidRPr="00E137ED">
        <w:rPr>
          <w:rFonts w:eastAsia="Times New Roman"/>
          <w:i/>
          <w:lang w:val="en-US"/>
        </w:rPr>
        <w:t>Psychological science, 29</w:t>
      </w:r>
      <w:r w:rsidRPr="00E137ED">
        <w:rPr>
          <w:rFonts w:eastAsia="Times New Roman"/>
          <w:lang w:val="en-US"/>
        </w:rPr>
        <w:t>(4), 537-548.</w:t>
      </w:r>
    </w:p>
    <w:p w14:paraId="18C89E3C" w14:textId="4A8C4270" w:rsidR="008845B1" w:rsidRPr="00E137ED" w:rsidRDefault="008845B1" w:rsidP="00E137ED">
      <w:pPr>
        <w:ind w:left="567" w:hanging="567"/>
        <w:rPr>
          <w:lang w:val="en-US"/>
        </w:rPr>
      </w:pPr>
      <w:r w:rsidRPr="00E137ED">
        <w:rPr>
          <w:lang w:val="en-US"/>
        </w:rPr>
        <w:t xml:space="preserve">Fishbein, M., &amp; </w:t>
      </w:r>
      <w:proofErr w:type="spellStart"/>
      <w:r w:rsidRPr="00E137ED">
        <w:rPr>
          <w:lang w:val="en-US"/>
        </w:rPr>
        <w:t>Ajzen</w:t>
      </w:r>
      <w:proofErr w:type="spellEnd"/>
      <w:r w:rsidRPr="00E137ED">
        <w:rPr>
          <w:lang w:val="en-US"/>
        </w:rPr>
        <w:t xml:space="preserve">, I. (1975). </w:t>
      </w:r>
      <w:r w:rsidRPr="00E137ED">
        <w:rPr>
          <w:i/>
          <w:lang w:val="en-US"/>
        </w:rPr>
        <w:t>Belief, attitude, intention, and behavior: An introduction to theory and research.</w:t>
      </w:r>
      <w:r w:rsidRPr="00E137ED">
        <w:rPr>
          <w:lang w:val="en-US"/>
        </w:rPr>
        <w:t xml:space="preserve"> Boston: Addison-Wesley.</w:t>
      </w:r>
    </w:p>
    <w:p w14:paraId="01DDA213" w14:textId="197ED21F" w:rsidR="00547B84" w:rsidRPr="00E137ED" w:rsidRDefault="00547B84" w:rsidP="00E137ED">
      <w:pPr>
        <w:ind w:left="567" w:hanging="567"/>
        <w:rPr>
          <w:lang w:val="en-US"/>
        </w:rPr>
      </w:pPr>
      <w:r w:rsidRPr="00E137ED">
        <w:rPr>
          <w:lang w:val="en-US"/>
        </w:rPr>
        <w:t xml:space="preserve">Flood, M., &amp; Pease, B. (2009). Factors influencing attitudes to violence against women. </w:t>
      </w:r>
      <w:r w:rsidRPr="00E137ED">
        <w:rPr>
          <w:i/>
          <w:lang w:val="en-US"/>
        </w:rPr>
        <w:t>Trauma, violence, &amp; abuse, 10</w:t>
      </w:r>
      <w:r w:rsidRPr="00E137ED">
        <w:rPr>
          <w:lang w:val="en-US"/>
        </w:rPr>
        <w:t>(2), 125-142.</w:t>
      </w:r>
      <w:r w:rsidR="005E7A9F" w:rsidRPr="00E137ED">
        <w:rPr>
          <w:lang w:val="en-US"/>
        </w:rPr>
        <w:t xml:space="preserve"> </w:t>
      </w:r>
      <w:r w:rsidR="00F94B6B" w:rsidRPr="00E137ED">
        <w:rPr>
          <w:lang w:val="en-US"/>
        </w:rPr>
        <w:t>https://doi.org/</w:t>
      </w:r>
      <w:r w:rsidR="005E7A9F" w:rsidRPr="00E137ED">
        <w:rPr>
          <w:lang w:val="en-US"/>
        </w:rPr>
        <w:t xml:space="preserve"> </w:t>
      </w:r>
      <w:r w:rsidR="00777F7D" w:rsidRPr="00E137ED">
        <w:rPr>
          <w:lang w:val="en-US"/>
        </w:rPr>
        <w:t>1</w:t>
      </w:r>
      <w:r w:rsidR="005E7A9F" w:rsidRPr="00E137ED">
        <w:rPr>
          <w:lang w:val="en-US"/>
        </w:rPr>
        <w:t>0.1177/1524838009334131</w:t>
      </w:r>
    </w:p>
    <w:p w14:paraId="505DAEB2" w14:textId="1927DBE1" w:rsidR="00684D8E" w:rsidRPr="00E137ED" w:rsidRDefault="008845B1" w:rsidP="00E137ED">
      <w:pPr>
        <w:ind w:left="567" w:right="-1" w:hanging="567"/>
        <w:rPr>
          <w:rFonts w:eastAsia="Times New Roman"/>
          <w:lang w:val="en-US"/>
        </w:rPr>
      </w:pPr>
      <w:r w:rsidRPr="00E137ED">
        <w:rPr>
          <w:rFonts w:eastAsia="Times New Roman"/>
          <w:lang w:val="en-US"/>
        </w:rPr>
        <w:t xml:space="preserve">Glass, N., </w:t>
      </w:r>
      <w:proofErr w:type="spellStart"/>
      <w:r w:rsidRPr="00E137ED">
        <w:rPr>
          <w:rFonts w:eastAsia="Times New Roman"/>
          <w:lang w:val="en-US"/>
        </w:rPr>
        <w:t>Fredland</w:t>
      </w:r>
      <w:proofErr w:type="spellEnd"/>
      <w:r w:rsidRPr="00E137ED">
        <w:rPr>
          <w:rFonts w:eastAsia="Times New Roman"/>
          <w:lang w:val="en-US"/>
        </w:rPr>
        <w:t xml:space="preserve">, N., Campbell, J., Yonas, M., Sharps, P., &amp; </w:t>
      </w:r>
      <w:proofErr w:type="spellStart"/>
      <w:r w:rsidRPr="00E137ED">
        <w:rPr>
          <w:rFonts w:eastAsia="Times New Roman"/>
          <w:lang w:val="en-US"/>
        </w:rPr>
        <w:t>Kub</w:t>
      </w:r>
      <w:proofErr w:type="spellEnd"/>
      <w:r w:rsidRPr="00E137ED">
        <w:rPr>
          <w:rFonts w:eastAsia="Times New Roman"/>
          <w:lang w:val="en-US"/>
        </w:rPr>
        <w:t xml:space="preserve">, J. (2003). Adolescent dating violence: Prevalence, risk factors, health outcomes, and implications for clinical practice. </w:t>
      </w:r>
      <w:r w:rsidRPr="00E137ED">
        <w:rPr>
          <w:rFonts w:eastAsia="Times New Roman"/>
          <w:i/>
          <w:lang w:val="en-US"/>
        </w:rPr>
        <w:t>JOGNN Clinical Issues, 32,</w:t>
      </w:r>
      <w:r w:rsidRPr="00E137ED">
        <w:rPr>
          <w:rFonts w:eastAsia="Times New Roman"/>
          <w:lang w:val="en-US"/>
        </w:rPr>
        <w:t xml:space="preserve"> 227–238.</w:t>
      </w:r>
      <w:r w:rsidR="00684D8E" w:rsidRPr="00E137ED">
        <w:rPr>
          <w:rFonts w:eastAsia="Times New Roman"/>
          <w:lang w:val="en-US"/>
        </w:rPr>
        <w:t xml:space="preserve"> </w:t>
      </w:r>
      <w:r w:rsidR="00F94B6B" w:rsidRPr="00E137ED">
        <w:rPr>
          <w:rFonts w:eastAsia="Times New Roman"/>
          <w:lang w:val="en-US"/>
        </w:rPr>
        <w:t>https://doi.org/</w:t>
      </w:r>
      <w:r w:rsidR="00684D8E" w:rsidRPr="00E137ED">
        <w:rPr>
          <w:rFonts w:eastAsia="Times New Roman"/>
          <w:lang w:val="en-US"/>
        </w:rPr>
        <w:t>10.1177/0884217503252033</w:t>
      </w:r>
      <w:r w:rsidR="003B625E" w:rsidRPr="00E137ED">
        <w:rPr>
          <w:rFonts w:eastAsia="Times New Roman"/>
          <w:lang w:val="en-US"/>
        </w:rPr>
        <w:t>.</w:t>
      </w:r>
    </w:p>
    <w:p w14:paraId="12ABAB87" w14:textId="07B793DB" w:rsidR="003B625E" w:rsidRPr="00E137ED" w:rsidRDefault="003B625E" w:rsidP="00E137ED">
      <w:pPr>
        <w:ind w:left="567" w:right="-1" w:hanging="567"/>
        <w:rPr>
          <w:rFonts w:eastAsia="Times New Roman"/>
          <w:lang w:val="en-US"/>
        </w:rPr>
      </w:pPr>
      <w:proofErr w:type="spellStart"/>
      <w:r w:rsidRPr="00E137ED">
        <w:rPr>
          <w:rFonts w:eastAsia="Times New Roman"/>
          <w:lang w:val="en-US"/>
        </w:rPr>
        <w:t>Haita</w:t>
      </w:r>
      <w:proofErr w:type="spellEnd"/>
      <w:r w:rsidRPr="00E137ED">
        <w:rPr>
          <w:rFonts w:eastAsia="Times New Roman"/>
          <w:lang w:val="en-US"/>
        </w:rPr>
        <w:t xml:space="preserve">-Falah, C. (2017). Sunk-cost fallacy and cognitive ability in individual decision-making. </w:t>
      </w:r>
      <w:r w:rsidRPr="00E137ED">
        <w:rPr>
          <w:rFonts w:eastAsia="Times New Roman"/>
          <w:i/>
          <w:lang w:val="en-US"/>
        </w:rPr>
        <w:t>Journal of Economic Psychology, 58</w:t>
      </w:r>
      <w:r w:rsidRPr="00E137ED">
        <w:rPr>
          <w:rFonts w:eastAsia="Times New Roman"/>
          <w:lang w:val="en-US"/>
        </w:rPr>
        <w:t>, 44-59. doi.org/10.1016/j.joep.2016.12.001.</w:t>
      </w:r>
    </w:p>
    <w:p w14:paraId="55FB8419" w14:textId="19FD1BD0" w:rsidR="00684D8E" w:rsidRPr="00E137ED" w:rsidRDefault="008845B1" w:rsidP="00E137ED">
      <w:pPr>
        <w:ind w:left="567" w:hanging="567"/>
        <w:rPr>
          <w:lang w:val="en-US"/>
        </w:rPr>
      </w:pPr>
      <w:proofErr w:type="spellStart"/>
      <w:r w:rsidRPr="00E137ED">
        <w:rPr>
          <w:lang w:val="en-US"/>
        </w:rPr>
        <w:t>Heintz</w:t>
      </w:r>
      <w:proofErr w:type="spellEnd"/>
      <w:r w:rsidRPr="00E137ED">
        <w:rPr>
          <w:lang w:val="en-US"/>
        </w:rPr>
        <w:t xml:space="preserve">, C., </w:t>
      </w:r>
      <w:proofErr w:type="spellStart"/>
      <w:r w:rsidRPr="00E137ED">
        <w:rPr>
          <w:lang w:val="en-US"/>
        </w:rPr>
        <w:t>Celse</w:t>
      </w:r>
      <w:proofErr w:type="spellEnd"/>
      <w:r w:rsidRPr="00E137ED">
        <w:rPr>
          <w:lang w:val="en-US"/>
        </w:rPr>
        <w:t xml:space="preserve">, J., Giardini, F., &amp; Data, S. M. (2015). Facing expectations: Those that we prefer to </w:t>
      </w:r>
      <w:proofErr w:type="spellStart"/>
      <w:r w:rsidRPr="00E137ED">
        <w:rPr>
          <w:lang w:val="en-US"/>
        </w:rPr>
        <w:t>fulﬁland</w:t>
      </w:r>
      <w:proofErr w:type="spellEnd"/>
      <w:r w:rsidRPr="00E137ED">
        <w:rPr>
          <w:lang w:val="en-US"/>
        </w:rPr>
        <w:t xml:space="preserve"> those that we disregard. </w:t>
      </w:r>
      <w:r w:rsidRPr="00E137ED">
        <w:rPr>
          <w:i/>
          <w:lang w:val="en-US"/>
        </w:rPr>
        <w:t>Judgment and Decision Making, 10</w:t>
      </w:r>
      <w:r w:rsidRPr="00E137ED">
        <w:rPr>
          <w:lang w:val="en-US"/>
        </w:rPr>
        <w:t>(5), 442.</w:t>
      </w:r>
      <w:r w:rsidR="00684D8E" w:rsidRPr="00E137ED">
        <w:rPr>
          <w:lang w:val="en-US"/>
        </w:rPr>
        <w:t xml:space="preserve"> Available online at: </w:t>
      </w:r>
      <w:hyperlink r:id="rId12" w:history="1">
        <w:r w:rsidR="00684D8E" w:rsidRPr="00E137ED">
          <w:rPr>
            <w:lang w:val="en-US"/>
          </w:rPr>
          <w:t>https://www.sjdm.org/15/15204/jdm15204.pdf</w:t>
        </w:r>
      </w:hyperlink>
    </w:p>
    <w:p w14:paraId="2BEB2EAA" w14:textId="723DD119" w:rsidR="008845B1" w:rsidRPr="00E137ED" w:rsidRDefault="008845B1" w:rsidP="00E137ED">
      <w:pPr>
        <w:ind w:left="567" w:right="-1" w:hanging="567"/>
        <w:rPr>
          <w:rFonts w:eastAsia="Times New Roman"/>
          <w:lang w:val="en-US"/>
        </w:rPr>
      </w:pPr>
      <w:proofErr w:type="spellStart"/>
      <w:r w:rsidRPr="00E137ED">
        <w:rPr>
          <w:rFonts w:eastAsia="Times New Roman"/>
          <w:lang w:val="en-US"/>
        </w:rPr>
        <w:t>Henton</w:t>
      </w:r>
      <w:proofErr w:type="spellEnd"/>
      <w:r w:rsidRPr="00E137ED">
        <w:rPr>
          <w:rFonts w:eastAsia="Times New Roman"/>
          <w:lang w:val="en-US"/>
        </w:rPr>
        <w:t xml:space="preserve">, J., Cate, R., </w:t>
      </w:r>
      <w:proofErr w:type="spellStart"/>
      <w:r w:rsidRPr="00E137ED">
        <w:rPr>
          <w:rFonts w:eastAsia="Times New Roman"/>
          <w:lang w:val="en-US"/>
        </w:rPr>
        <w:t>Koval</w:t>
      </w:r>
      <w:proofErr w:type="spellEnd"/>
      <w:r w:rsidRPr="00E137ED">
        <w:rPr>
          <w:rFonts w:eastAsia="Times New Roman"/>
          <w:lang w:val="en-US"/>
        </w:rPr>
        <w:t xml:space="preserve">, J., Lloyd, S., &amp; Christopher, S. (1983). Romance and violence in dating relationships. </w:t>
      </w:r>
      <w:r w:rsidRPr="00E137ED">
        <w:rPr>
          <w:rFonts w:eastAsia="Times New Roman"/>
          <w:i/>
          <w:lang w:val="en-US"/>
        </w:rPr>
        <w:t>Journal of Family Issues, 4</w:t>
      </w:r>
      <w:r w:rsidRPr="00E137ED">
        <w:rPr>
          <w:rFonts w:eastAsia="Times New Roman"/>
          <w:lang w:val="en-US"/>
        </w:rPr>
        <w:t>, 467–482.</w:t>
      </w:r>
      <w:r w:rsidR="00ED41CD" w:rsidRPr="00E137ED">
        <w:rPr>
          <w:rFonts w:eastAsia="Times New Roman"/>
          <w:lang w:val="en-US"/>
        </w:rPr>
        <w:t xml:space="preserve"> </w:t>
      </w:r>
      <w:r w:rsidR="00F94B6B" w:rsidRPr="00E137ED">
        <w:rPr>
          <w:rFonts w:eastAsia="Times New Roman"/>
          <w:lang w:val="en-US"/>
        </w:rPr>
        <w:t>https://doi.org/</w:t>
      </w:r>
      <w:r w:rsidR="00ED41CD" w:rsidRPr="00E137ED">
        <w:rPr>
          <w:rFonts w:eastAsia="Times New Roman"/>
          <w:lang w:val="en-US"/>
        </w:rPr>
        <w:t>10.1177/019251383004003004</w:t>
      </w:r>
    </w:p>
    <w:p w14:paraId="7869F98F" w14:textId="77777777" w:rsidR="008845B1" w:rsidRPr="00E137ED" w:rsidRDefault="008845B1" w:rsidP="00E137ED">
      <w:pPr>
        <w:ind w:left="567" w:right="-1" w:hanging="567"/>
        <w:rPr>
          <w:rFonts w:eastAsia="Times New Roman"/>
          <w:lang w:val="en-US"/>
        </w:rPr>
      </w:pPr>
      <w:r w:rsidRPr="00E137ED">
        <w:rPr>
          <w:rFonts w:eastAsia="Times New Roman"/>
          <w:lang w:val="en-US"/>
        </w:rPr>
        <w:t xml:space="preserve">Jacobson, N., &amp; Gottman, J. (1998). </w:t>
      </w:r>
      <w:r w:rsidRPr="00E137ED">
        <w:rPr>
          <w:rFonts w:eastAsia="Times New Roman"/>
          <w:i/>
          <w:lang w:val="en-US"/>
        </w:rPr>
        <w:t xml:space="preserve">When men batter women: New insights into ending abusive relationships. </w:t>
      </w:r>
      <w:r w:rsidRPr="00E137ED">
        <w:rPr>
          <w:rFonts w:eastAsia="Times New Roman"/>
          <w:lang w:val="en-US"/>
        </w:rPr>
        <w:t>New York: Simon &amp; Schuster</w:t>
      </w:r>
    </w:p>
    <w:p w14:paraId="1497DFEF" w14:textId="2CFC30B4" w:rsidR="008845B1" w:rsidRPr="00E137ED" w:rsidRDefault="008845B1" w:rsidP="00E137ED">
      <w:pPr>
        <w:ind w:left="567" w:hanging="567"/>
        <w:rPr>
          <w:lang w:val="en-US"/>
        </w:rPr>
      </w:pPr>
      <w:r w:rsidRPr="00E137ED">
        <w:rPr>
          <w:lang w:val="en-US"/>
        </w:rPr>
        <w:t xml:space="preserve">Kahneman, D., &amp; Tversky, A. (1979). Prospect theory: an analysis of decisions under risk. </w:t>
      </w:r>
      <w:proofErr w:type="spellStart"/>
      <w:r w:rsidRPr="00E137ED">
        <w:rPr>
          <w:i/>
          <w:lang w:val="en-US"/>
        </w:rPr>
        <w:t>Econometrica</w:t>
      </w:r>
      <w:proofErr w:type="spellEnd"/>
      <w:r w:rsidRPr="00E137ED">
        <w:rPr>
          <w:i/>
          <w:lang w:val="en-US"/>
        </w:rPr>
        <w:t>, 47</w:t>
      </w:r>
      <w:r w:rsidRPr="00E137ED">
        <w:rPr>
          <w:lang w:val="en-US"/>
        </w:rPr>
        <w:t xml:space="preserve">(2), 263–292. </w:t>
      </w:r>
      <w:r w:rsidR="00F94B6B" w:rsidRPr="00E137ED">
        <w:rPr>
          <w:lang w:val="en-US"/>
        </w:rPr>
        <w:t>https://doi.org/</w:t>
      </w:r>
      <w:r w:rsidRPr="00E137ED">
        <w:rPr>
          <w:lang w:val="en-US"/>
        </w:rPr>
        <w:t>10.2307 /1914185</w:t>
      </w:r>
    </w:p>
    <w:p w14:paraId="21768667" w14:textId="33AFDBD7" w:rsidR="008845B1" w:rsidRPr="00E137ED" w:rsidRDefault="008845B1" w:rsidP="00E137ED">
      <w:pPr>
        <w:ind w:left="567" w:hanging="567"/>
        <w:rPr>
          <w:lang w:val="en-US"/>
        </w:rPr>
      </w:pPr>
      <w:r w:rsidRPr="00E137ED">
        <w:rPr>
          <w:lang w:val="en-US"/>
        </w:rPr>
        <w:t xml:space="preserve">Kahneman, D., &amp; Tversky, A. (1984). Choices, values, and frames. </w:t>
      </w:r>
      <w:r w:rsidRPr="00E137ED">
        <w:rPr>
          <w:i/>
          <w:lang w:val="en-US"/>
        </w:rPr>
        <w:t>American Psychologist, 39</w:t>
      </w:r>
      <w:r w:rsidRPr="00E137ED">
        <w:rPr>
          <w:lang w:val="en-US"/>
        </w:rPr>
        <w:t xml:space="preserve">, 341–350. </w:t>
      </w:r>
      <w:r w:rsidR="00F94B6B" w:rsidRPr="00E137ED">
        <w:rPr>
          <w:lang w:val="en-US"/>
        </w:rPr>
        <w:t>https://doi.org/</w:t>
      </w:r>
      <w:r w:rsidRPr="00E137ED">
        <w:rPr>
          <w:lang w:val="en-US"/>
        </w:rPr>
        <w:t>10.1037/0003-066 X.39.4.341</w:t>
      </w:r>
    </w:p>
    <w:p w14:paraId="5B0EE832" w14:textId="76A4FA71" w:rsidR="008845B1" w:rsidRPr="00E137ED" w:rsidRDefault="008845B1" w:rsidP="00E137ED">
      <w:pPr>
        <w:ind w:left="567" w:hanging="567"/>
        <w:rPr>
          <w:lang w:val="en-US"/>
        </w:rPr>
      </w:pPr>
      <w:r w:rsidRPr="00E137ED">
        <w:rPr>
          <w:lang w:val="en-US"/>
        </w:rPr>
        <w:t xml:space="preserve">Keeling, J., Smith, D., &amp; Fisher, C. (2016). A qualitative study exploring midlife women’s stages of change from domestic violence towards freedom. </w:t>
      </w:r>
      <w:r w:rsidRPr="00E137ED">
        <w:rPr>
          <w:i/>
          <w:lang w:val="en-US"/>
        </w:rPr>
        <w:t>BMC Women’s Health, 16</w:t>
      </w:r>
      <w:r w:rsidRPr="00E137ED">
        <w:rPr>
          <w:lang w:val="en-US"/>
        </w:rPr>
        <w:t xml:space="preserve">, Article 13. </w:t>
      </w:r>
      <w:r w:rsidR="00F94B6B" w:rsidRPr="00E137ED">
        <w:rPr>
          <w:lang w:val="en-US"/>
        </w:rPr>
        <w:t>https://doi.org/</w:t>
      </w:r>
      <w:r w:rsidRPr="00E137ED">
        <w:rPr>
          <w:lang w:val="en-US"/>
        </w:rPr>
        <w:t xml:space="preserve">10.1186/s12905-016-0291-9 </w:t>
      </w:r>
    </w:p>
    <w:p w14:paraId="65EEAAA4" w14:textId="77777777" w:rsidR="008845B1" w:rsidRPr="00E137ED" w:rsidRDefault="008845B1" w:rsidP="00E137ED">
      <w:pPr>
        <w:ind w:left="567" w:hanging="567"/>
        <w:rPr>
          <w:lang w:val="en-US"/>
        </w:rPr>
      </w:pPr>
      <w:r w:rsidRPr="00E137ED">
        <w:rPr>
          <w:lang w:val="en-US"/>
        </w:rPr>
        <w:t xml:space="preserve">Kelley, H. H., &amp; Thibaut, J. W. (1978). </w:t>
      </w:r>
      <w:r w:rsidRPr="00E137ED">
        <w:rPr>
          <w:i/>
          <w:lang w:val="en-US"/>
        </w:rPr>
        <w:t>Interpersonal relations: A theory of interdependence.</w:t>
      </w:r>
      <w:r w:rsidRPr="00E137ED">
        <w:rPr>
          <w:lang w:val="en-US"/>
        </w:rPr>
        <w:t xml:space="preserve"> New York: Wiley.</w:t>
      </w:r>
    </w:p>
    <w:p w14:paraId="101545AD" w14:textId="5E46067B" w:rsidR="008845B1" w:rsidRPr="00E137ED" w:rsidRDefault="008845B1" w:rsidP="00E137ED">
      <w:pPr>
        <w:ind w:left="567" w:hanging="567"/>
        <w:rPr>
          <w:lang w:val="en-US"/>
        </w:rPr>
      </w:pPr>
      <w:proofErr w:type="spellStart"/>
      <w:r w:rsidRPr="00E137ED">
        <w:rPr>
          <w:lang w:val="en-US"/>
        </w:rPr>
        <w:t>Khaw</w:t>
      </w:r>
      <w:proofErr w:type="spellEnd"/>
      <w:r w:rsidRPr="00E137ED">
        <w:rPr>
          <w:lang w:val="en-US"/>
        </w:rPr>
        <w:t xml:space="preserve">, L., &amp; Hardesty, J. L. (2015). Perceptions of boundary ambiguity in the process of leaving an abusive partner. </w:t>
      </w:r>
      <w:r w:rsidRPr="00E137ED">
        <w:rPr>
          <w:i/>
          <w:lang w:val="en-US"/>
        </w:rPr>
        <w:t>Family Process, 54</w:t>
      </w:r>
      <w:r w:rsidRPr="00E137ED">
        <w:rPr>
          <w:lang w:val="en-US"/>
        </w:rPr>
        <w:t xml:space="preserve">, 327-343. </w:t>
      </w:r>
      <w:r w:rsidR="00F94B6B" w:rsidRPr="00E137ED">
        <w:rPr>
          <w:lang w:val="en-US"/>
        </w:rPr>
        <w:t>https://doi.org/</w:t>
      </w:r>
      <w:r w:rsidRPr="00E137ED">
        <w:rPr>
          <w:lang w:val="en-US"/>
        </w:rPr>
        <w:t>10.1111/famp.12104</w:t>
      </w:r>
    </w:p>
    <w:p w14:paraId="1B1EA723" w14:textId="5095EACD" w:rsidR="008845B1" w:rsidRPr="00E137ED" w:rsidRDefault="008845B1" w:rsidP="00E137ED">
      <w:pPr>
        <w:ind w:left="567" w:hanging="567"/>
        <w:rPr>
          <w:lang w:val="en-US"/>
        </w:rPr>
      </w:pPr>
      <w:r w:rsidRPr="00E137ED">
        <w:rPr>
          <w:lang w:val="en-US"/>
        </w:rPr>
        <w:t xml:space="preserve">Kim, S. S., &amp; Son, J. Y. (2009). Out of dedication or constraint? A dual model of postadoption phenomena and its empirical test in the context of online services. </w:t>
      </w:r>
      <w:r w:rsidRPr="00E137ED">
        <w:rPr>
          <w:i/>
          <w:lang w:val="en-US"/>
        </w:rPr>
        <w:t>MIS Quarterly, 33</w:t>
      </w:r>
      <w:r w:rsidRPr="00E137ED">
        <w:rPr>
          <w:lang w:val="en-US"/>
        </w:rPr>
        <w:t xml:space="preserve">(1), 49–70. </w:t>
      </w:r>
      <w:r w:rsidR="00F94B6B" w:rsidRPr="00E137ED">
        <w:rPr>
          <w:lang w:val="en-US"/>
        </w:rPr>
        <w:t>https://doi.org/</w:t>
      </w:r>
      <w:r w:rsidRPr="00E137ED">
        <w:rPr>
          <w:lang w:val="en-US"/>
        </w:rPr>
        <w:t>10.2307/20650278</w:t>
      </w:r>
    </w:p>
    <w:p w14:paraId="06593113" w14:textId="43F3660A" w:rsidR="00447405" w:rsidRPr="00E137ED" w:rsidRDefault="00447405" w:rsidP="00E137ED">
      <w:pPr>
        <w:ind w:left="567" w:hanging="567"/>
        <w:rPr>
          <w:lang w:val="en-US"/>
        </w:rPr>
      </w:pPr>
      <w:proofErr w:type="spellStart"/>
      <w:r w:rsidRPr="00E137ED">
        <w:rPr>
          <w:lang w:val="en-US"/>
        </w:rPr>
        <w:t>Khoso</w:t>
      </w:r>
      <w:proofErr w:type="spellEnd"/>
      <w:r w:rsidRPr="00E137ED">
        <w:rPr>
          <w:lang w:val="en-US"/>
        </w:rPr>
        <w:t xml:space="preserve">, I., Shaikh, M., Parmar, V., &amp; Bashir, A. (2018). Escalating Behavior </w:t>
      </w:r>
      <w:proofErr w:type="gramStart"/>
      <w:r w:rsidRPr="00E137ED">
        <w:rPr>
          <w:lang w:val="en-US"/>
        </w:rPr>
        <w:t>To</w:t>
      </w:r>
      <w:proofErr w:type="gramEnd"/>
      <w:r w:rsidRPr="00E137ED">
        <w:rPr>
          <w:lang w:val="en-US"/>
        </w:rPr>
        <w:t xml:space="preserve"> Losing Projects: Agency Theory Perspective. </w:t>
      </w:r>
      <w:r w:rsidRPr="00E137ED">
        <w:rPr>
          <w:i/>
          <w:lang w:val="en-US"/>
        </w:rPr>
        <w:t>Grassroots, 48</w:t>
      </w:r>
      <w:r w:rsidRPr="00E137ED">
        <w:rPr>
          <w:lang w:val="en-US"/>
        </w:rPr>
        <w:t>(1).</w:t>
      </w:r>
    </w:p>
    <w:p w14:paraId="4B4269EA" w14:textId="7C20A672" w:rsidR="003C390B" w:rsidRPr="00E137ED" w:rsidRDefault="003C390B" w:rsidP="00E137ED">
      <w:pPr>
        <w:ind w:left="567" w:hanging="567"/>
        <w:rPr>
          <w:lang w:val="en-US"/>
        </w:rPr>
      </w:pPr>
      <w:r w:rsidRPr="00E137ED">
        <w:rPr>
          <w:lang w:val="en-US"/>
        </w:rPr>
        <w:t xml:space="preserve">Labella, M. H., &amp; </w:t>
      </w:r>
      <w:proofErr w:type="spellStart"/>
      <w:r w:rsidRPr="00E137ED">
        <w:rPr>
          <w:lang w:val="en-US"/>
        </w:rPr>
        <w:t>Masten</w:t>
      </w:r>
      <w:proofErr w:type="spellEnd"/>
      <w:r w:rsidRPr="00E137ED">
        <w:rPr>
          <w:lang w:val="en-US"/>
        </w:rPr>
        <w:t xml:space="preserve">, A. S. (2018). Family influences on the development of aggression and violence. </w:t>
      </w:r>
      <w:r w:rsidRPr="00E137ED">
        <w:rPr>
          <w:i/>
          <w:lang w:val="en-US"/>
        </w:rPr>
        <w:t>Current opinion in psychology, 19</w:t>
      </w:r>
      <w:r w:rsidRPr="00E137ED">
        <w:rPr>
          <w:lang w:val="en-US"/>
        </w:rPr>
        <w:t xml:space="preserve">, 11-16. </w:t>
      </w:r>
      <w:r w:rsidR="00F94B6B" w:rsidRPr="00E137ED">
        <w:rPr>
          <w:lang w:val="en-US"/>
        </w:rPr>
        <w:t>https://doi.org/</w:t>
      </w:r>
      <w:r w:rsidR="006F7659" w:rsidRPr="00E137ED">
        <w:rPr>
          <w:lang w:val="en-US"/>
        </w:rPr>
        <w:t>10.1016/j.copsyc.2017.03.028</w:t>
      </w:r>
    </w:p>
    <w:p w14:paraId="01FEA06B" w14:textId="5521646D" w:rsidR="008845B1" w:rsidRPr="00E137ED" w:rsidRDefault="008845B1" w:rsidP="00E137ED">
      <w:pPr>
        <w:ind w:left="567" w:hanging="567"/>
        <w:rPr>
          <w:lang w:val="en-US"/>
        </w:rPr>
      </w:pPr>
      <w:r w:rsidRPr="00E137ED">
        <w:rPr>
          <w:lang w:val="en-US"/>
        </w:rPr>
        <w:lastRenderedPageBreak/>
        <w:t xml:space="preserve">Lacey, K. K., Saunders, D. G., &amp; Zhang, L. (2011). A comparison of women of color and non-Hispanic White women on factors related to leaving a violent relationship. </w:t>
      </w:r>
      <w:r w:rsidRPr="00E137ED">
        <w:rPr>
          <w:i/>
          <w:lang w:val="en-US"/>
        </w:rPr>
        <w:t>Journal of Interpersonal Violence, 26</w:t>
      </w:r>
      <w:r w:rsidRPr="00E137ED">
        <w:rPr>
          <w:lang w:val="en-US"/>
        </w:rPr>
        <w:t xml:space="preserve">, 1036-1055. </w:t>
      </w:r>
      <w:r w:rsidR="00F94B6B" w:rsidRPr="00E137ED">
        <w:rPr>
          <w:lang w:val="en-US"/>
        </w:rPr>
        <w:t>https://doi.org/</w:t>
      </w:r>
      <w:r w:rsidRPr="00E137ED">
        <w:rPr>
          <w:lang w:val="en-US"/>
        </w:rPr>
        <w:t>10.1177/0886260510376496</w:t>
      </w:r>
    </w:p>
    <w:p w14:paraId="205CCCEA" w14:textId="77777777" w:rsidR="008845B1" w:rsidRPr="00E137ED" w:rsidRDefault="008845B1" w:rsidP="00E137ED">
      <w:pPr>
        <w:ind w:left="567" w:hanging="567"/>
        <w:rPr>
          <w:lang w:val="en-US"/>
        </w:rPr>
      </w:pPr>
      <w:r w:rsidRPr="00E137ED">
        <w:rPr>
          <w:lang w:val="en-US"/>
        </w:rPr>
        <w:t xml:space="preserve">Leahy, R. L. (2000). Sunk costs and resistance to change. </w:t>
      </w:r>
      <w:r w:rsidRPr="00E137ED">
        <w:rPr>
          <w:i/>
          <w:lang w:val="en-US"/>
        </w:rPr>
        <w:t>Journal of Cognitive Psychotherapy, 14</w:t>
      </w:r>
      <w:r w:rsidRPr="00E137ED">
        <w:rPr>
          <w:lang w:val="en-US"/>
        </w:rPr>
        <w:t>(4), 355-372.</w:t>
      </w:r>
    </w:p>
    <w:p w14:paraId="232DEEA6" w14:textId="633BD72D" w:rsidR="008845B1" w:rsidRPr="00E137ED" w:rsidRDefault="008845B1" w:rsidP="00E137ED">
      <w:pPr>
        <w:ind w:left="567" w:hanging="567"/>
        <w:rPr>
          <w:lang w:val="en-US"/>
        </w:rPr>
      </w:pPr>
      <w:r w:rsidRPr="00E137ED">
        <w:rPr>
          <w:lang w:val="en-US"/>
        </w:rPr>
        <w:t xml:space="preserve">Lee, J. S., Keil, M., &amp; Wong, K. F. E. (2018). Does a Tired Mind Help Avoid a Decision Bias? The Effect of Ego Depletion on Escalation of Commitment. </w:t>
      </w:r>
      <w:r w:rsidRPr="00E137ED">
        <w:rPr>
          <w:i/>
          <w:lang w:val="en-US"/>
        </w:rPr>
        <w:t>Applied Psychology, 67</w:t>
      </w:r>
      <w:r w:rsidRPr="00E137ED">
        <w:rPr>
          <w:lang w:val="en-US"/>
        </w:rPr>
        <w:t xml:space="preserve">(1), 171-185. </w:t>
      </w:r>
      <w:r w:rsidR="00F94B6B" w:rsidRPr="00E137ED">
        <w:rPr>
          <w:lang w:val="en-US"/>
        </w:rPr>
        <w:t>https://doi.org/</w:t>
      </w:r>
      <w:r w:rsidRPr="00E137ED">
        <w:rPr>
          <w:lang w:val="en-US"/>
        </w:rPr>
        <w:t>10.1111/apps.12109</w:t>
      </w:r>
      <w:r w:rsidR="009C07F0" w:rsidRPr="00E137ED">
        <w:rPr>
          <w:lang w:val="en-US"/>
        </w:rPr>
        <w:t>.</w:t>
      </w:r>
    </w:p>
    <w:p w14:paraId="47DCAE79" w14:textId="5F361388" w:rsidR="00214DC0" w:rsidRPr="00E137ED" w:rsidRDefault="00214DC0" w:rsidP="00E137ED">
      <w:pPr>
        <w:ind w:left="567" w:hanging="567"/>
        <w:rPr>
          <w:lang w:val="en-US"/>
        </w:rPr>
      </w:pPr>
      <w:r w:rsidRPr="00E137ED">
        <w:rPr>
          <w:lang w:val="en-US"/>
        </w:rPr>
        <w:t xml:space="preserve">Liao, W., McComas, K. A., &amp; Connie Yuan, Y. (2017). The Influence of Unrestricted Information Exchange on Willingness to Share Information </w:t>
      </w:r>
      <w:proofErr w:type="gramStart"/>
      <w:r w:rsidRPr="00E137ED">
        <w:rPr>
          <w:lang w:val="en-US"/>
        </w:rPr>
        <w:t>With</w:t>
      </w:r>
      <w:proofErr w:type="gramEnd"/>
      <w:r w:rsidRPr="00E137ED">
        <w:rPr>
          <w:lang w:val="en-US"/>
        </w:rPr>
        <w:t xml:space="preserve"> Outsiders. </w:t>
      </w:r>
      <w:r w:rsidRPr="00E137ED">
        <w:rPr>
          <w:i/>
          <w:lang w:val="en-US"/>
        </w:rPr>
        <w:t>Human Communication Research, 43</w:t>
      </w:r>
      <w:r w:rsidRPr="00E137ED">
        <w:rPr>
          <w:lang w:val="en-US"/>
        </w:rPr>
        <w:t xml:space="preserve">(2), 256-275. </w:t>
      </w:r>
      <w:r w:rsidR="00F94B6B" w:rsidRPr="00E137ED">
        <w:rPr>
          <w:lang w:val="en-US"/>
        </w:rPr>
        <w:t>https://doi.org/</w:t>
      </w:r>
      <w:r w:rsidRPr="00E137ED">
        <w:rPr>
          <w:lang w:val="en-US"/>
        </w:rPr>
        <w:t xml:space="preserve"> 10.1111/hcre.12104. </w:t>
      </w:r>
    </w:p>
    <w:p w14:paraId="58EBCD66" w14:textId="432C711B" w:rsidR="009C07F0" w:rsidRPr="00E137ED" w:rsidRDefault="009C07F0" w:rsidP="00E137ED">
      <w:pPr>
        <w:ind w:left="567" w:hanging="567"/>
        <w:rPr>
          <w:lang w:val="en-US"/>
        </w:rPr>
      </w:pPr>
      <w:r w:rsidRPr="00E137ED">
        <w:rPr>
          <w:lang w:val="en-US"/>
        </w:rPr>
        <w:t xml:space="preserve">Lin, Y. C., &amp; Chang, C. C. A. (2017). Exploring wasteful consumption. </w:t>
      </w:r>
      <w:r w:rsidRPr="00E137ED">
        <w:rPr>
          <w:i/>
          <w:lang w:val="en-US"/>
        </w:rPr>
        <w:t>Journal of Environmental Psychology, 49</w:t>
      </w:r>
      <w:r w:rsidRPr="00E137ED">
        <w:rPr>
          <w:lang w:val="en-US"/>
        </w:rPr>
        <w:t xml:space="preserve">, 106-111. </w:t>
      </w:r>
      <w:r w:rsidR="00F94B6B" w:rsidRPr="00E137ED">
        <w:rPr>
          <w:lang w:val="en-US"/>
        </w:rPr>
        <w:t>https://doi.org/</w:t>
      </w:r>
      <w:r w:rsidRPr="00E137ED">
        <w:rPr>
          <w:lang w:val="en-US"/>
        </w:rPr>
        <w:t>10.1016/j.jenvp.2017.01.001.</w:t>
      </w:r>
    </w:p>
    <w:p w14:paraId="34292548" w14:textId="4DFD62F6" w:rsidR="008845B1" w:rsidRPr="00E137ED" w:rsidRDefault="008845B1" w:rsidP="00E137ED">
      <w:pPr>
        <w:ind w:left="567" w:hanging="567"/>
      </w:pPr>
      <w:proofErr w:type="spellStart"/>
      <w:r w:rsidRPr="00E137ED">
        <w:rPr>
          <w:lang w:val="en-US"/>
        </w:rPr>
        <w:t>Löckenhoff</w:t>
      </w:r>
      <w:proofErr w:type="spellEnd"/>
      <w:r w:rsidRPr="00E137ED">
        <w:rPr>
          <w:lang w:val="en-US"/>
        </w:rPr>
        <w:t xml:space="preserve">, C. E. (2018). Aging and Decision-Making: A Conceptual Framework for Future Research-A Mini-Review. </w:t>
      </w:r>
      <w:r w:rsidRPr="00E137ED">
        <w:rPr>
          <w:i/>
        </w:rPr>
        <w:t>Gerontology, 64</w:t>
      </w:r>
      <w:r w:rsidRPr="00E137ED">
        <w:t xml:space="preserve">(2). </w:t>
      </w:r>
      <w:r w:rsidR="00F94B6B" w:rsidRPr="00E137ED">
        <w:t>https://doi.org/</w:t>
      </w:r>
      <w:r w:rsidRPr="00E137ED">
        <w:t>10.1159/000485247</w:t>
      </w:r>
    </w:p>
    <w:p w14:paraId="2987FFDE" w14:textId="4763BDE5" w:rsidR="008845B1" w:rsidRPr="00E137ED" w:rsidRDefault="008845B1" w:rsidP="00E137ED">
      <w:pPr>
        <w:ind w:left="567" w:right="-1" w:hanging="567"/>
        <w:rPr>
          <w:rFonts w:eastAsia="Times New Roman"/>
          <w:lang w:val="en-US"/>
        </w:rPr>
      </w:pPr>
      <w:r w:rsidRPr="00E137ED">
        <w:rPr>
          <w:rFonts w:eastAsia="Times New Roman"/>
          <w:color w:val="222222"/>
          <w:shd w:val="clear" w:color="auto" w:fill="FFFFFF"/>
        </w:rPr>
        <w:t xml:space="preserve">Machado, C., Caridade, S., &amp; Martins, C. (2010). </w:t>
      </w:r>
      <w:r w:rsidRPr="00E137ED">
        <w:rPr>
          <w:rFonts w:eastAsia="Times New Roman"/>
          <w:color w:val="222222"/>
          <w:shd w:val="clear" w:color="auto" w:fill="FFFFFF"/>
          <w:lang w:val="en-US"/>
        </w:rPr>
        <w:t>Violence in juvenile dating relationships self-reported prevalence and attitudes in a Portuguese sample. </w:t>
      </w:r>
      <w:r w:rsidRPr="00E137ED">
        <w:rPr>
          <w:rFonts w:eastAsia="Times New Roman"/>
          <w:i/>
          <w:iCs/>
          <w:color w:val="222222"/>
          <w:shd w:val="clear" w:color="auto" w:fill="FFFFFF"/>
          <w:lang w:val="en-US"/>
        </w:rPr>
        <w:t>Journal of Family Violence</w:t>
      </w:r>
      <w:r w:rsidRPr="00E137ED">
        <w:rPr>
          <w:rFonts w:eastAsia="Times New Roman"/>
          <w:color w:val="222222"/>
          <w:shd w:val="clear" w:color="auto" w:fill="FFFFFF"/>
          <w:lang w:val="en-US"/>
        </w:rPr>
        <w:t>, </w:t>
      </w:r>
      <w:r w:rsidRPr="00E137ED">
        <w:rPr>
          <w:rFonts w:eastAsia="Times New Roman"/>
          <w:i/>
          <w:iCs/>
          <w:color w:val="222222"/>
          <w:shd w:val="clear" w:color="auto" w:fill="FFFFFF"/>
          <w:lang w:val="en-US"/>
        </w:rPr>
        <w:t>25</w:t>
      </w:r>
      <w:r w:rsidRPr="00E137ED">
        <w:rPr>
          <w:rFonts w:eastAsia="Times New Roman"/>
          <w:color w:val="222222"/>
          <w:shd w:val="clear" w:color="auto" w:fill="FFFFFF"/>
          <w:lang w:val="en-US"/>
        </w:rPr>
        <w:t>(1), 43.</w:t>
      </w:r>
      <w:r w:rsidR="005F0B6E" w:rsidRPr="00E137ED">
        <w:rPr>
          <w:rFonts w:eastAsia="Times New Roman"/>
          <w:color w:val="222222"/>
          <w:shd w:val="clear" w:color="auto" w:fill="FFFFFF"/>
          <w:lang w:val="en-US"/>
        </w:rPr>
        <w:t xml:space="preserve"> </w:t>
      </w:r>
      <w:r w:rsidR="00F94B6B" w:rsidRPr="00E137ED">
        <w:rPr>
          <w:rFonts w:eastAsia="Times New Roman"/>
          <w:color w:val="222222"/>
          <w:shd w:val="clear" w:color="auto" w:fill="FFFFFF"/>
          <w:lang w:val="en-US"/>
        </w:rPr>
        <w:t>https://doi.org/</w:t>
      </w:r>
      <w:r w:rsidR="005F0B6E" w:rsidRPr="00E137ED">
        <w:rPr>
          <w:rFonts w:eastAsia="Times New Roman"/>
          <w:color w:val="222222"/>
          <w:shd w:val="clear" w:color="auto" w:fill="FFFFFF"/>
          <w:lang w:val="en-US"/>
        </w:rPr>
        <w:t>10.1007/s10896-009-9268-x</w:t>
      </w:r>
    </w:p>
    <w:p w14:paraId="616FB0C7" w14:textId="2C0F63BD" w:rsidR="008845B1" w:rsidRPr="00E137ED" w:rsidRDefault="008845B1" w:rsidP="00E137ED">
      <w:pPr>
        <w:ind w:left="567" w:right="-1" w:hanging="567"/>
        <w:rPr>
          <w:rFonts w:eastAsia="Times New Roman"/>
          <w:color w:val="222222"/>
          <w:shd w:val="clear" w:color="auto" w:fill="FFFFFF"/>
          <w:lang w:val="en-US"/>
        </w:rPr>
      </w:pPr>
      <w:r w:rsidRPr="00E137ED">
        <w:rPr>
          <w:rFonts w:eastAsia="Times New Roman"/>
          <w:color w:val="222222"/>
          <w:shd w:val="clear" w:color="auto" w:fill="FFFFFF"/>
          <w:lang w:val="en-US"/>
        </w:rPr>
        <w:t>Machado, C., Gonçalves, M., Matos, M., &amp; Dias, A. R. (2007). Child and partner abuse: Self-reported prevalence and attitudes in the north of Portugal. </w:t>
      </w:r>
      <w:r w:rsidRPr="00E137ED">
        <w:rPr>
          <w:rFonts w:eastAsia="Times New Roman"/>
          <w:i/>
          <w:iCs/>
          <w:color w:val="222222"/>
          <w:shd w:val="clear" w:color="auto" w:fill="FFFFFF"/>
          <w:lang w:val="en-US"/>
        </w:rPr>
        <w:t>Child Abuse &amp; Neglect</w:t>
      </w:r>
      <w:r w:rsidRPr="00E137ED">
        <w:rPr>
          <w:rFonts w:eastAsia="Times New Roman"/>
          <w:color w:val="222222"/>
          <w:shd w:val="clear" w:color="auto" w:fill="FFFFFF"/>
          <w:lang w:val="en-US"/>
        </w:rPr>
        <w:t>, </w:t>
      </w:r>
      <w:r w:rsidRPr="00E137ED">
        <w:rPr>
          <w:rFonts w:eastAsia="Times New Roman"/>
          <w:i/>
          <w:iCs/>
          <w:color w:val="222222"/>
          <w:shd w:val="clear" w:color="auto" w:fill="FFFFFF"/>
          <w:lang w:val="en-US"/>
        </w:rPr>
        <w:t>31</w:t>
      </w:r>
      <w:r w:rsidRPr="00E137ED">
        <w:rPr>
          <w:rFonts w:eastAsia="Times New Roman"/>
          <w:color w:val="222222"/>
          <w:shd w:val="clear" w:color="auto" w:fill="FFFFFF"/>
          <w:lang w:val="en-US"/>
        </w:rPr>
        <w:t>(6), 657-670.</w:t>
      </w:r>
      <w:r w:rsidR="00DF6D73" w:rsidRPr="00E137ED">
        <w:rPr>
          <w:rFonts w:eastAsia="Times New Roman"/>
          <w:color w:val="222222"/>
          <w:shd w:val="clear" w:color="auto" w:fill="FFFFFF"/>
          <w:lang w:val="en-US"/>
        </w:rPr>
        <w:t xml:space="preserve"> </w:t>
      </w:r>
      <w:r w:rsidR="00F94B6B" w:rsidRPr="00E137ED">
        <w:rPr>
          <w:rFonts w:eastAsia="Times New Roman"/>
          <w:color w:val="222222"/>
          <w:shd w:val="clear" w:color="auto" w:fill="FFFFFF"/>
          <w:lang w:val="en-US"/>
        </w:rPr>
        <w:t>https://doi.org/</w:t>
      </w:r>
      <w:r w:rsidR="00DF6D73" w:rsidRPr="00E137ED">
        <w:rPr>
          <w:rFonts w:eastAsia="Times New Roman"/>
          <w:color w:val="222222"/>
          <w:shd w:val="clear" w:color="auto" w:fill="FFFFFF"/>
          <w:lang w:val="en-US"/>
        </w:rPr>
        <w:t>10.1016/j.chiabu.2006.11.002</w:t>
      </w:r>
    </w:p>
    <w:p w14:paraId="4D526395" w14:textId="642DD52C" w:rsidR="007C0BE0" w:rsidRPr="00E137ED" w:rsidRDefault="007C0BE0" w:rsidP="00E137ED">
      <w:pPr>
        <w:ind w:left="567" w:right="-1" w:hanging="567"/>
        <w:rPr>
          <w:rFonts w:eastAsia="Times New Roman"/>
          <w:lang w:val="en-US"/>
        </w:rPr>
      </w:pPr>
      <w:r w:rsidRPr="00E137ED">
        <w:rPr>
          <w:rFonts w:eastAsia="Times New Roman"/>
          <w:lang w:val="en-US"/>
        </w:rPr>
        <w:t xml:space="preserve">Machado, C., Martins, C., &amp; </w:t>
      </w:r>
      <w:proofErr w:type="spellStart"/>
      <w:r w:rsidRPr="00E137ED">
        <w:rPr>
          <w:rFonts w:eastAsia="Times New Roman"/>
          <w:lang w:val="en-US"/>
        </w:rPr>
        <w:t>Caridade</w:t>
      </w:r>
      <w:proofErr w:type="spellEnd"/>
      <w:r w:rsidRPr="00E137ED">
        <w:rPr>
          <w:rFonts w:eastAsia="Times New Roman"/>
          <w:lang w:val="en-US"/>
        </w:rPr>
        <w:t xml:space="preserve">, S. (2014). Violence in intimate relationships: A comparison between married and dating couples. </w:t>
      </w:r>
      <w:r w:rsidRPr="00E137ED">
        <w:rPr>
          <w:rFonts w:eastAsia="Times New Roman"/>
          <w:i/>
          <w:lang w:val="en-US"/>
        </w:rPr>
        <w:t>Journal of Criminology,</w:t>
      </w:r>
      <w:r w:rsidRPr="00E137ED">
        <w:rPr>
          <w:rFonts w:eastAsia="Times New Roman"/>
          <w:lang w:val="en-US"/>
        </w:rPr>
        <w:t xml:space="preserve"> 2014.</w:t>
      </w:r>
      <w:r w:rsidR="002928D1" w:rsidRPr="00E137ED">
        <w:rPr>
          <w:lang w:val="en-US"/>
        </w:rPr>
        <w:t xml:space="preserve"> </w:t>
      </w:r>
      <w:r w:rsidR="00F94B6B" w:rsidRPr="00E137ED">
        <w:rPr>
          <w:lang w:val="en-US"/>
        </w:rPr>
        <w:t>https://doi.org/</w:t>
      </w:r>
      <w:r w:rsidR="002928D1" w:rsidRPr="00E137ED">
        <w:rPr>
          <w:rFonts w:eastAsia="Times New Roman"/>
          <w:lang w:val="en-US"/>
        </w:rPr>
        <w:t>10.1155/2014/897093</w:t>
      </w:r>
    </w:p>
    <w:p w14:paraId="14DDA6ED" w14:textId="77777777" w:rsidR="008845B1" w:rsidRPr="00E137ED" w:rsidRDefault="008845B1" w:rsidP="00E137ED">
      <w:pPr>
        <w:ind w:left="567" w:right="-1" w:hanging="567"/>
        <w:rPr>
          <w:rFonts w:eastAsia="Times New Roman"/>
          <w:lang w:val="en-US"/>
        </w:rPr>
      </w:pPr>
      <w:r w:rsidRPr="00E137ED">
        <w:rPr>
          <w:rFonts w:eastAsia="Times New Roman"/>
          <w:lang w:val="en-US"/>
        </w:rPr>
        <w:t xml:space="preserve">Machado, C., Matos, M., &amp; Moreira, A. I. (2003). </w:t>
      </w:r>
      <w:r w:rsidRPr="00E137ED">
        <w:rPr>
          <w:rFonts w:eastAsia="Times New Roman"/>
        </w:rPr>
        <w:t xml:space="preserve">Violência nas relações amorosas: Comportamentos e atitudes na população universitária. </w:t>
      </w:r>
      <w:proofErr w:type="spellStart"/>
      <w:r w:rsidRPr="00E137ED">
        <w:rPr>
          <w:rFonts w:eastAsia="Times New Roman"/>
          <w:i/>
          <w:lang w:val="en-US"/>
        </w:rPr>
        <w:t>Psychologica</w:t>
      </w:r>
      <w:proofErr w:type="spellEnd"/>
      <w:r w:rsidRPr="00E137ED">
        <w:rPr>
          <w:rFonts w:eastAsia="Times New Roman"/>
          <w:i/>
          <w:lang w:val="en-US"/>
        </w:rPr>
        <w:t>, 33</w:t>
      </w:r>
      <w:r w:rsidRPr="00E137ED">
        <w:rPr>
          <w:rFonts w:eastAsia="Times New Roman"/>
          <w:lang w:val="en-US"/>
        </w:rPr>
        <w:t>, 69–83.</w:t>
      </w:r>
    </w:p>
    <w:p w14:paraId="16598367" w14:textId="427B3E0F" w:rsidR="008845B1" w:rsidRPr="00E137ED" w:rsidRDefault="008845B1" w:rsidP="00E137ED">
      <w:pPr>
        <w:ind w:left="567" w:hanging="567"/>
        <w:rPr>
          <w:lang w:val="en-US"/>
        </w:rPr>
      </w:pPr>
      <w:r w:rsidRPr="00E137ED">
        <w:rPr>
          <w:lang w:val="en-US"/>
        </w:rPr>
        <w:t xml:space="preserve">Mills, C. P., Hill, H. M., &amp; Johnson, J. A. (2018). Mediated Effects of Coping on Mental Health Outcomes of African American Women Exposed to Physical and Psychological Abuse. </w:t>
      </w:r>
      <w:r w:rsidRPr="00E137ED">
        <w:rPr>
          <w:i/>
          <w:lang w:val="en-US"/>
        </w:rPr>
        <w:t>Violence against women</w:t>
      </w:r>
      <w:r w:rsidRPr="00E137ED">
        <w:rPr>
          <w:lang w:val="en-US"/>
        </w:rPr>
        <w:t xml:space="preserve">. </w:t>
      </w:r>
      <w:r w:rsidR="00F94B6B" w:rsidRPr="00E137ED">
        <w:rPr>
          <w:lang w:val="en-US"/>
        </w:rPr>
        <w:t>https://doi.org/</w:t>
      </w:r>
      <w:r w:rsidRPr="00E137ED">
        <w:rPr>
          <w:lang w:val="en-US"/>
        </w:rPr>
        <w:t>10.1177/1077801216686219</w:t>
      </w:r>
    </w:p>
    <w:p w14:paraId="0312CDD4" w14:textId="1E6C3036" w:rsidR="008845B1" w:rsidRPr="00E137ED" w:rsidRDefault="008845B1" w:rsidP="00E137ED">
      <w:pPr>
        <w:ind w:left="567" w:hanging="567"/>
        <w:rPr>
          <w:lang w:val="en-US"/>
        </w:rPr>
      </w:pPr>
      <w:r w:rsidRPr="00E137ED">
        <w:rPr>
          <w:lang w:val="en-US"/>
        </w:rPr>
        <w:t>Navarro, A. D., &amp; Fantino, E. (2009). The sunk</w:t>
      </w:r>
      <w:r w:rsidRPr="00E137ED">
        <w:rPr>
          <w:rFonts w:eastAsia="Calibri"/>
          <w:lang w:val="en-US"/>
        </w:rPr>
        <w:t>‐</w:t>
      </w:r>
      <w:r w:rsidRPr="00E137ED">
        <w:rPr>
          <w:lang w:val="en-US"/>
        </w:rPr>
        <w:t xml:space="preserve">time effect: An exploration. </w:t>
      </w:r>
      <w:r w:rsidRPr="00E137ED">
        <w:rPr>
          <w:i/>
          <w:lang w:val="en-US"/>
        </w:rPr>
        <w:t>Journal of behavioral decision making, 22</w:t>
      </w:r>
      <w:r w:rsidRPr="00E137ED">
        <w:rPr>
          <w:lang w:val="en-US"/>
        </w:rPr>
        <w:t xml:space="preserve">(3), 252-270. </w:t>
      </w:r>
      <w:r w:rsidR="00F94B6B" w:rsidRPr="00E137ED">
        <w:rPr>
          <w:lang w:val="en-US"/>
        </w:rPr>
        <w:t>https://doi.org/</w:t>
      </w:r>
      <w:r w:rsidRPr="00E137ED">
        <w:rPr>
          <w:lang w:val="en-US"/>
        </w:rPr>
        <w:t>10.1002/bdm.624</w:t>
      </w:r>
    </w:p>
    <w:p w14:paraId="036EF577" w14:textId="7029E6D2" w:rsidR="008845B1" w:rsidRPr="00E137ED" w:rsidRDefault="008845B1" w:rsidP="00E137ED">
      <w:pPr>
        <w:ind w:left="567" w:hanging="567"/>
        <w:rPr>
          <w:lang w:val="en-US"/>
        </w:rPr>
      </w:pPr>
      <w:r w:rsidRPr="00E137ED">
        <w:rPr>
          <w:lang w:val="en-US"/>
        </w:rPr>
        <w:t>O’Mara, S. (2018). The Importance of Cognitive Biases. In</w:t>
      </w:r>
      <w:r w:rsidRPr="00E137ED">
        <w:rPr>
          <w:i/>
          <w:lang w:val="en-US"/>
        </w:rPr>
        <w:t xml:space="preserve"> A Brain for Business–A Brain for Life</w:t>
      </w:r>
      <w:r w:rsidRPr="00E137ED">
        <w:rPr>
          <w:lang w:val="en-US"/>
        </w:rPr>
        <w:t xml:space="preserve"> (pp. 61-75). Palgrave Macmillan, Cham.</w:t>
      </w:r>
    </w:p>
    <w:p w14:paraId="1288EBD2" w14:textId="1F0CE0C0" w:rsidR="00FF72B2" w:rsidRPr="00E137ED" w:rsidRDefault="00FF72B2" w:rsidP="00E137ED">
      <w:pPr>
        <w:ind w:left="567" w:hanging="567"/>
        <w:rPr>
          <w:lang w:val="en-US"/>
        </w:rPr>
      </w:pPr>
      <w:proofErr w:type="spellStart"/>
      <w:r w:rsidRPr="00E137ED">
        <w:rPr>
          <w:lang w:val="en-US"/>
        </w:rPr>
        <w:t>Pachur</w:t>
      </w:r>
      <w:proofErr w:type="spellEnd"/>
      <w:r w:rsidRPr="00E137ED">
        <w:rPr>
          <w:lang w:val="en-US"/>
        </w:rPr>
        <w:t>, T., Schulte-</w:t>
      </w:r>
      <w:proofErr w:type="spellStart"/>
      <w:r w:rsidRPr="00E137ED">
        <w:rPr>
          <w:lang w:val="en-US"/>
        </w:rPr>
        <w:t>Mecklenbeck</w:t>
      </w:r>
      <w:proofErr w:type="spellEnd"/>
      <w:r w:rsidRPr="00E137ED">
        <w:rPr>
          <w:lang w:val="en-US"/>
        </w:rPr>
        <w:t xml:space="preserve">, M., Murphy, R. O., &amp; </w:t>
      </w:r>
      <w:proofErr w:type="spellStart"/>
      <w:r w:rsidRPr="00E137ED">
        <w:rPr>
          <w:lang w:val="en-US"/>
        </w:rPr>
        <w:t>Hertwig</w:t>
      </w:r>
      <w:proofErr w:type="spellEnd"/>
      <w:r w:rsidRPr="00E137ED">
        <w:rPr>
          <w:lang w:val="en-US"/>
        </w:rPr>
        <w:t xml:space="preserve">, R. (2018). Prospect theory reflects selective allocation of attention. </w:t>
      </w:r>
      <w:r w:rsidRPr="00E137ED">
        <w:rPr>
          <w:i/>
          <w:lang w:val="en-US"/>
        </w:rPr>
        <w:t>Journal of experimental psychology: general</w:t>
      </w:r>
      <w:r w:rsidRPr="00E137ED">
        <w:rPr>
          <w:lang w:val="en-US"/>
        </w:rPr>
        <w:t xml:space="preserve">, 147(2), 147. </w:t>
      </w:r>
      <w:r w:rsidR="00F94B6B" w:rsidRPr="00E137ED">
        <w:rPr>
          <w:lang w:val="en-US"/>
        </w:rPr>
        <w:t>https://doi.org/</w:t>
      </w:r>
      <w:r w:rsidRPr="00E137ED">
        <w:rPr>
          <w:lang w:val="en-US"/>
        </w:rPr>
        <w:t xml:space="preserve"> 10.1037/xge0000406.</w:t>
      </w:r>
    </w:p>
    <w:p w14:paraId="52CB9998" w14:textId="77777777" w:rsidR="008845B1" w:rsidRPr="00E137ED" w:rsidRDefault="008845B1" w:rsidP="00E137ED">
      <w:pPr>
        <w:ind w:left="567" w:hanging="567"/>
        <w:rPr>
          <w:lang w:val="en-US"/>
        </w:rPr>
      </w:pPr>
      <w:proofErr w:type="spellStart"/>
      <w:r w:rsidRPr="00E137ED">
        <w:rPr>
          <w:lang w:val="en-US"/>
        </w:rPr>
        <w:t>Rachlin</w:t>
      </w:r>
      <w:proofErr w:type="spellEnd"/>
      <w:r w:rsidRPr="00E137ED">
        <w:rPr>
          <w:lang w:val="en-US"/>
        </w:rPr>
        <w:t xml:space="preserve">, H. (2000). </w:t>
      </w:r>
      <w:r w:rsidRPr="00E137ED">
        <w:rPr>
          <w:i/>
          <w:lang w:val="en-US"/>
        </w:rPr>
        <w:t>The science of self-control.</w:t>
      </w:r>
      <w:r w:rsidRPr="00E137ED">
        <w:rPr>
          <w:lang w:val="en-US"/>
        </w:rPr>
        <w:t xml:space="preserve"> Harvard University press.</w:t>
      </w:r>
    </w:p>
    <w:p w14:paraId="67D03200" w14:textId="233C5BE2" w:rsidR="008845B1" w:rsidRPr="00E137ED" w:rsidRDefault="008845B1" w:rsidP="00E137ED">
      <w:pPr>
        <w:ind w:left="567" w:hanging="567"/>
        <w:rPr>
          <w:lang w:val="en-US"/>
        </w:rPr>
      </w:pPr>
      <w:proofErr w:type="spellStart"/>
      <w:r w:rsidRPr="00E137ED">
        <w:rPr>
          <w:lang w:val="en-US"/>
        </w:rPr>
        <w:t>Rego</w:t>
      </w:r>
      <w:proofErr w:type="spellEnd"/>
      <w:r w:rsidRPr="00E137ED">
        <w:rPr>
          <w:lang w:val="en-US"/>
        </w:rPr>
        <w:t xml:space="preserve">, S., </w:t>
      </w:r>
      <w:proofErr w:type="spellStart"/>
      <w:r w:rsidRPr="00E137ED">
        <w:rPr>
          <w:lang w:val="en-US"/>
        </w:rPr>
        <w:t>Arantes</w:t>
      </w:r>
      <w:proofErr w:type="spellEnd"/>
      <w:r w:rsidRPr="00E137ED">
        <w:rPr>
          <w:lang w:val="en-US"/>
        </w:rPr>
        <w:t xml:space="preserve">, J., &amp; </w:t>
      </w:r>
      <w:proofErr w:type="spellStart"/>
      <w:r w:rsidRPr="00E137ED">
        <w:rPr>
          <w:lang w:val="en-US"/>
        </w:rPr>
        <w:t>Magalhães</w:t>
      </w:r>
      <w:proofErr w:type="spellEnd"/>
      <w:r w:rsidRPr="00E137ED">
        <w:rPr>
          <w:lang w:val="en-US"/>
        </w:rPr>
        <w:t xml:space="preserve">, P. (2016). Is there a Sunk Cost Effect in Committed Relationships? </w:t>
      </w:r>
      <w:r w:rsidRPr="00E137ED">
        <w:rPr>
          <w:i/>
          <w:lang w:val="en-US"/>
        </w:rPr>
        <w:t>Current Psychology</w:t>
      </w:r>
      <w:r w:rsidRPr="00E137ED">
        <w:rPr>
          <w:lang w:val="en-US"/>
        </w:rPr>
        <w:t xml:space="preserve">, 1-12. </w:t>
      </w:r>
      <w:r w:rsidR="00F94B6B" w:rsidRPr="00E137ED">
        <w:rPr>
          <w:lang w:val="en-US"/>
        </w:rPr>
        <w:t>https://doi.org/</w:t>
      </w:r>
      <w:r w:rsidRPr="00E137ED">
        <w:rPr>
          <w:lang w:val="en-US"/>
        </w:rPr>
        <w:t>10.1007/s12144-016-9529-9</w:t>
      </w:r>
    </w:p>
    <w:p w14:paraId="391B1A18" w14:textId="0598C340" w:rsidR="008845B1" w:rsidRPr="00E137ED" w:rsidRDefault="008845B1" w:rsidP="00E137ED">
      <w:pPr>
        <w:ind w:left="567" w:hanging="567"/>
        <w:rPr>
          <w:lang w:val="en-US"/>
        </w:rPr>
      </w:pPr>
      <w:r w:rsidRPr="00E137ED">
        <w:rPr>
          <w:lang w:val="en-US"/>
        </w:rPr>
        <w:t xml:space="preserve">Riddell, T., Ford-Gilboe, M., &amp; </w:t>
      </w:r>
      <w:proofErr w:type="spellStart"/>
      <w:r w:rsidRPr="00E137ED">
        <w:rPr>
          <w:lang w:val="en-US"/>
        </w:rPr>
        <w:t>Leipert</w:t>
      </w:r>
      <w:proofErr w:type="spellEnd"/>
      <w:r w:rsidRPr="00E137ED">
        <w:rPr>
          <w:lang w:val="en-US"/>
        </w:rPr>
        <w:t xml:space="preserve">, B. (2009). Strategies used by rural women to stop, avoid, or escape from intimate partner violence. </w:t>
      </w:r>
      <w:r w:rsidRPr="00E137ED">
        <w:rPr>
          <w:i/>
          <w:lang w:val="en-US"/>
        </w:rPr>
        <w:t>Health Care for Women International, 30</w:t>
      </w:r>
      <w:r w:rsidRPr="00E137ED">
        <w:rPr>
          <w:lang w:val="en-US"/>
        </w:rPr>
        <w:t xml:space="preserve">, 134-159. </w:t>
      </w:r>
      <w:r w:rsidR="00F94B6B" w:rsidRPr="00E137ED">
        <w:rPr>
          <w:lang w:val="en-US"/>
        </w:rPr>
        <w:t>https://doi.org/</w:t>
      </w:r>
      <w:r w:rsidRPr="00E137ED">
        <w:rPr>
          <w:lang w:val="en-US"/>
        </w:rPr>
        <w:t>10.1080/07399330802523774</w:t>
      </w:r>
    </w:p>
    <w:p w14:paraId="5FC4DA5E" w14:textId="68AD4AB1" w:rsidR="008845B1" w:rsidRPr="00E137ED" w:rsidRDefault="008845B1" w:rsidP="00E137ED">
      <w:pPr>
        <w:ind w:left="567" w:hanging="567"/>
        <w:rPr>
          <w:lang w:val="en-US"/>
        </w:rPr>
      </w:pPr>
      <w:r w:rsidRPr="00E137ED">
        <w:rPr>
          <w:lang w:val="en-US"/>
        </w:rPr>
        <w:lastRenderedPageBreak/>
        <w:t xml:space="preserve">Rover, S., </w:t>
      </w:r>
      <w:proofErr w:type="spellStart"/>
      <w:r w:rsidRPr="00E137ED">
        <w:rPr>
          <w:lang w:val="en-US"/>
        </w:rPr>
        <w:t>Wuerges</w:t>
      </w:r>
      <w:proofErr w:type="spellEnd"/>
      <w:r w:rsidRPr="00E137ED">
        <w:rPr>
          <w:lang w:val="en-US"/>
        </w:rPr>
        <w:t xml:space="preserve">, A. F. E., </w:t>
      </w:r>
      <w:proofErr w:type="spellStart"/>
      <w:r w:rsidRPr="00E137ED">
        <w:rPr>
          <w:lang w:val="en-US"/>
        </w:rPr>
        <w:t>Tomazzia</w:t>
      </w:r>
      <w:proofErr w:type="spellEnd"/>
      <w:r w:rsidRPr="00E137ED">
        <w:rPr>
          <w:lang w:val="en-US"/>
        </w:rPr>
        <w:t xml:space="preserve">, E. C., &amp; </w:t>
      </w:r>
      <w:proofErr w:type="spellStart"/>
      <w:r w:rsidRPr="00E137ED">
        <w:rPr>
          <w:lang w:val="en-US"/>
        </w:rPr>
        <w:t>Borba</w:t>
      </w:r>
      <w:proofErr w:type="spellEnd"/>
      <w:r w:rsidRPr="00E137ED">
        <w:rPr>
          <w:lang w:val="en-US"/>
        </w:rPr>
        <w:t xml:space="preserve">, J. A. (2009). Sunk Costs Effect: Does Theoretical Knowledge Affects Students' Decision Process? </w:t>
      </w:r>
      <w:r w:rsidRPr="00E137ED">
        <w:rPr>
          <w:i/>
          <w:lang w:val="en-US"/>
        </w:rPr>
        <w:t>Brazilian Business Review (English Edition), 6</w:t>
      </w:r>
      <w:r w:rsidRPr="00E137ED">
        <w:rPr>
          <w:lang w:val="en-US"/>
        </w:rPr>
        <w:t xml:space="preserve">(3). </w:t>
      </w:r>
      <w:r w:rsidR="00F94B6B" w:rsidRPr="00E137ED">
        <w:rPr>
          <w:lang w:val="en-US"/>
        </w:rPr>
        <w:t>https://doi.org/</w:t>
      </w:r>
      <w:r w:rsidRPr="00E137ED">
        <w:rPr>
          <w:lang w:val="en-US"/>
        </w:rPr>
        <w:t>10.15728/bbr.2009.6.3.2</w:t>
      </w:r>
    </w:p>
    <w:p w14:paraId="1DFA2536" w14:textId="29E347A0" w:rsidR="008845B1" w:rsidRPr="00E137ED" w:rsidRDefault="008845B1" w:rsidP="00E137ED">
      <w:pPr>
        <w:ind w:left="567" w:right="-1" w:hanging="567"/>
        <w:rPr>
          <w:rFonts w:eastAsia="Times New Roman"/>
          <w:lang w:val="en-US"/>
        </w:rPr>
      </w:pPr>
      <w:proofErr w:type="spellStart"/>
      <w:r w:rsidRPr="00E137ED">
        <w:rPr>
          <w:rFonts w:eastAsia="Times New Roman"/>
          <w:color w:val="222222"/>
          <w:shd w:val="clear" w:color="auto" w:fill="FFFFFF"/>
          <w:lang w:val="en-US"/>
        </w:rPr>
        <w:t>Rusbult</w:t>
      </w:r>
      <w:proofErr w:type="spellEnd"/>
      <w:r w:rsidRPr="00E137ED">
        <w:rPr>
          <w:rFonts w:eastAsia="Times New Roman"/>
          <w:color w:val="222222"/>
          <w:shd w:val="clear" w:color="auto" w:fill="FFFFFF"/>
          <w:lang w:val="en-US"/>
        </w:rPr>
        <w:t xml:space="preserve">, C. E., &amp; </w:t>
      </w:r>
      <w:proofErr w:type="spellStart"/>
      <w:r w:rsidRPr="00E137ED">
        <w:rPr>
          <w:rFonts w:eastAsia="Times New Roman"/>
          <w:color w:val="222222"/>
          <w:shd w:val="clear" w:color="auto" w:fill="FFFFFF"/>
          <w:lang w:val="en-US"/>
        </w:rPr>
        <w:t>Buunk</w:t>
      </w:r>
      <w:proofErr w:type="spellEnd"/>
      <w:r w:rsidRPr="00E137ED">
        <w:rPr>
          <w:rFonts w:eastAsia="Times New Roman"/>
          <w:color w:val="222222"/>
          <w:shd w:val="clear" w:color="auto" w:fill="FFFFFF"/>
          <w:lang w:val="en-US"/>
        </w:rPr>
        <w:t>, B. P. (1993). Commitment processes in close relationships: An interdependence analysis. </w:t>
      </w:r>
      <w:r w:rsidRPr="00E137ED">
        <w:rPr>
          <w:rFonts w:eastAsia="Times New Roman"/>
          <w:i/>
          <w:iCs/>
          <w:color w:val="222222"/>
          <w:shd w:val="clear" w:color="auto" w:fill="FFFFFF"/>
          <w:lang w:val="en-US"/>
        </w:rPr>
        <w:t>Journal of Social and Personal Relationships</w:t>
      </w:r>
      <w:r w:rsidRPr="00E137ED">
        <w:rPr>
          <w:rFonts w:eastAsia="Times New Roman"/>
          <w:color w:val="222222"/>
          <w:shd w:val="clear" w:color="auto" w:fill="FFFFFF"/>
          <w:lang w:val="en-US"/>
        </w:rPr>
        <w:t>, </w:t>
      </w:r>
      <w:r w:rsidRPr="00E137ED">
        <w:rPr>
          <w:rFonts w:eastAsia="Times New Roman"/>
          <w:i/>
          <w:iCs/>
          <w:color w:val="222222"/>
          <w:shd w:val="clear" w:color="auto" w:fill="FFFFFF"/>
          <w:lang w:val="en-US"/>
        </w:rPr>
        <w:t>10</w:t>
      </w:r>
      <w:r w:rsidRPr="00E137ED">
        <w:rPr>
          <w:rFonts w:eastAsia="Times New Roman"/>
          <w:color w:val="222222"/>
          <w:shd w:val="clear" w:color="auto" w:fill="FFFFFF"/>
          <w:lang w:val="en-US"/>
        </w:rPr>
        <w:t>(2), 175-204.</w:t>
      </w:r>
      <w:r w:rsidR="003768CA" w:rsidRPr="00E137ED">
        <w:rPr>
          <w:rFonts w:eastAsia="Times New Roman"/>
          <w:color w:val="222222"/>
          <w:shd w:val="clear" w:color="auto" w:fill="FFFFFF"/>
          <w:lang w:val="en-US"/>
        </w:rPr>
        <w:t xml:space="preserve"> </w:t>
      </w:r>
      <w:r w:rsidR="00F94B6B" w:rsidRPr="00E137ED">
        <w:rPr>
          <w:rFonts w:eastAsia="Times New Roman"/>
          <w:color w:val="222222"/>
          <w:shd w:val="clear" w:color="auto" w:fill="FFFFFF"/>
          <w:lang w:val="en-US"/>
        </w:rPr>
        <w:t>https://doi.org/</w:t>
      </w:r>
      <w:r w:rsidR="003768CA" w:rsidRPr="00E137ED">
        <w:rPr>
          <w:rFonts w:eastAsia="Times New Roman"/>
          <w:color w:val="222222"/>
          <w:shd w:val="clear" w:color="auto" w:fill="FFFFFF"/>
          <w:lang w:val="en-US"/>
        </w:rPr>
        <w:t>10.1177/026540759301000202</w:t>
      </w:r>
    </w:p>
    <w:p w14:paraId="20725306" w14:textId="15C546C9" w:rsidR="008845B1" w:rsidRPr="00E137ED" w:rsidRDefault="008845B1" w:rsidP="00E137ED">
      <w:pPr>
        <w:ind w:left="567" w:right="-1" w:hanging="567"/>
        <w:rPr>
          <w:rFonts w:eastAsia="Times New Roman"/>
          <w:color w:val="222222"/>
          <w:shd w:val="clear" w:color="auto" w:fill="FFFFFF"/>
          <w:lang w:val="en-US"/>
        </w:rPr>
      </w:pPr>
      <w:proofErr w:type="spellStart"/>
      <w:r w:rsidRPr="00E137ED">
        <w:rPr>
          <w:rFonts w:eastAsia="Times New Roman"/>
          <w:color w:val="222222"/>
          <w:shd w:val="clear" w:color="auto" w:fill="FFFFFF"/>
          <w:lang w:val="en-US"/>
        </w:rPr>
        <w:t>Rusbult</w:t>
      </w:r>
      <w:proofErr w:type="spellEnd"/>
      <w:r w:rsidRPr="00E137ED">
        <w:rPr>
          <w:rFonts w:eastAsia="Times New Roman"/>
          <w:color w:val="222222"/>
          <w:shd w:val="clear" w:color="auto" w:fill="FFFFFF"/>
          <w:lang w:val="en-US"/>
        </w:rPr>
        <w:t>, C. E., &amp; Martz, J. M. (1995). Remaining in an abusive relationship: An investment model analysis of nonvoluntary dependence. </w:t>
      </w:r>
      <w:r w:rsidRPr="00E137ED">
        <w:rPr>
          <w:rFonts w:eastAsia="Times New Roman"/>
          <w:i/>
          <w:iCs/>
          <w:color w:val="222222"/>
          <w:shd w:val="clear" w:color="auto" w:fill="FFFFFF"/>
          <w:lang w:val="en-US"/>
        </w:rPr>
        <w:t>Personality and Social Psychology Bulletin</w:t>
      </w:r>
      <w:r w:rsidRPr="00E137ED">
        <w:rPr>
          <w:rFonts w:eastAsia="Times New Roman"/>
          <w:color w:val="222222"/>
          <w:shd w:val="clear" w:color="auto" w:fill="FFFFFF"/>
          <w:lang w:val="en-US"/>
        </w:rPr>
        <w:t>, </w:t>
      </w:r>
      <w:r w:rsidRPr="00E137ED">
        <w:rPr>
          <w:rFonts w:eastAsia="Times New Roman"/>
          <w:i/>
          <w:iCs/>
          <w:color w:val="222222"/>
          <w:shd w:val="clear" w:color="auto" w:fill="FFFFFF"/>
          <w:lang w:val="en-US"/>
        </w:rPr>
        <w:t>21</w:t>
      </w:r>
      <w:r w:rsidRPr="00E137ED">
        <w:rPr>
          <w:rFonts w:eastAsia="Times New Roman"/>
          <w:color w:val="222222"/>
          <w:shd w:val="clear" w:color="auto" w:fill="FFFFFF"/>
          <w:lang w:val="en-US"/>
        </w:rPr>
        <w:t>(6), 558-571.</w:t>
      </w:r>
      <w:r w:rsidR="00EF235C" w:rsidRPr="00E137ED">
        <w:rPr>
          <w:rFonts w:eastAsia="Times New Roman"/>
          <w:color w:val="222222"/>
          <w:shd w:val="clear" w:color="auto" w:fill="FFFFFF"/>
          <w:lang w:val="en-US"/>
        </w:rPr>
        <w:t xml:space="preserve"> </w:t>
      </w:r>
      <w:r w:rsidR="00F94B6B" w:rsidRPr="00E137ED">
        <w:rPr>
          <w:rFonts w:eastAsia="Times New Roman"/>
          <w:color w:val="222222"/>
          <w:shd w:val="clear" w:color="auto" w:fill="FFFFFF"/>
          <w:lang w:val="en-US"/>
        </w:rPr>
        <w:t>https://doi.org/</w:t>
      </w:r>
      <w:r w:rsidR="00EF235C" w:rsidRPr="00E137ED">
        <w:rPr>
          <w:rFonts w:eastAsia="Times New Roman"/>
          <w:color w:val="222222"/>
          <w:shd w:val="clear" w:color="auto" w:fill="FFFFFF"/>
          <w:lang w:val="en-US"/>
        </w:rPr>
        <w:t>10.1177/0146167295216002</w:t>
      </w:r>
    </w:p>
    <w:p w14:paraId="5CE7CED1" w14:textId="4DF5BC95" w:rsidR="008845B1" w:rsidRPr="00E137ED" w:rsidRDefault="008845B1" w:rsidP="00E137ED">
      <w:pPr>
        <w:ind w:left="567" w:hanging="567"/>
        <w:rPr>
          <w:rFonts w:eastAsia="Times New Roman"/>
          <w:lang w:val="en-US"/>
        </w:rPr>
      </w:pPr>
      <w:r w:rsidRPr="00E137ED">
        <w:rPr>
          <w:rFonts w:eastAsia="Times New Roman"/>
          <w:lang w:val="en-US"/>
        </w:rPr>
        <w:t xml:space="preserve">Sears, H. A., Byers, E. S., Whelan, J. J., &amp; Saint-Pierre, M. (2006). If it hurts you, then it is not a joke. Adolescents’ ideas about girls’ and boys’ use and experience of abusive behavior in dating relationships. </w:t>
      </w:r>
      <w:r w:rsidRPr="00E137ED">
        <w:rPr>
          <w:rFonts w:eastAsia="Times New Roman"/>
          <w:i/>
          <w:lang w:val="en-US"/>
        </w:rPr>
        <w:t>Journal of Interpersonal Violence, 21,</w:t>
      </w:r>
      <w:r w:rsidRPr="00E137ED">
        <w:rPr>
          <w:rFonts w:eastAsia="Times New Roman"/>
          <w:lang w:val="en-US"/>
        </w:rPr>
        <w:t xml:space="preserve"> 1191–1207</w:t>
      </w:r>
      <w:r w:rsidR="00E52D9B" w:rsidRPr="00E137ED">
        <w:rPr>
          <w:rFonts w:eastAsia="Times New Roman"/>
          <w:lang w:val="en-US"/>
        </w:rPr>
        <w:t xml:space="preserve">. </w:t>
      </w:r>
      <w:r w:rsidR="00F94B6B" w:rsidRPr="00E137ED">
        <w:rPr>
          <w:rFonts w:eastAsia="Times New Roman"/>
          <w:lang w:val="en-US"/>
        </w:rPr>
        <w:t>https://doi.org/</w:t>
      </w:r>
      <w:r w:rsidR="00E52D9B" w:rsidRPr="00E137ED">
        <w:rPr>
          <w:rFonts w:eastAsia="Times New Roman"/>
          <w:lang w:val="en-US"/>
        </w:rPr>
        <w:t>10.1177/0886260506290423</w:t>
      </w:r>
    </w:p>
    <w:p w14:paraId="54427E13" w14:textId="4D7C39E7" w:rsidR="009475C5" w:rsidRPr="00E137ED" w:rsidRDefault="009475C5" w:rsidP="00E137ED">
      <w:pPr>
        <w:ind w:left="567" w:hanging="567"/>
        <w:rPr>
          <w:rFonts w:eastAsia="Times New Roman"/>
          <w:lang w:val="en-US"/>
        </w:rPr>
      </w:pPr>
      <w:r w:rsidRPr="00E137ED">
        <w:rPr>
          <w:rFonts w:eastAsia="Times New Roman"/>
          <w:lang w:val="en-US"/>
        </w:rPr>
        <w:t xml:space="preserve">Sheeran, P., &amp; Abraham, C. (2017). Implications of Goal Theories for the Theories of Reasoned Action and Planned Behavior. In </w:t>
      </w:r>
      <w:r w:rsidRPr="00E137ED">
        <w:rPr>
          <w:rFonts w:eastAsia="Times New Roman"/>
          <w:i/>
          <w:lang w:val="en-US"/>
        </w:rPr>
        <w:t>Planned Behavior</w:t>
      </w:r>
      <w:r w:rsidRPr="00E137ED">
        <w:rPr>
          <w:rFonts w:eastAsia="Times New Roman"/>
          <w:lang w:val="en-US"/>
        </w:rPr>
        <w:t xml:space="preserve"> (pp. 107-128). Routledge.</w:t>
      </w:r>
    </w:p>
    <w:p w14:paraId="43F60643" w14:textId="13BA83E9" w:rsidR="008845B1" w:rsidRPr="00E137ED" w:rsidRDefault="008845B1" w:rsidP="00E137ED">
      <w:pPr>
        <w:ind w:left="567" w:hanging="567"/>
        <w:rPr>
          <w:lang w:val="en-US"/>
        </w:rPr>
      </w:pPr>
      <w:proofErr w:type="spellStart"/>
      <w:r w:rsidRPr="00E137ED">
        <w:rPr>
          <w:lang w:val="en-US"/>
        </w:rPr>
        <w:t>Staw</w:t>
      </w:r>
      <w:proofErr w:type="spellEnd"/>
      <w:r w:rsidRPr="00E137ED">
        <w:rPr>
          <w:lang w:val="en-US"/>
        </w:rPr>
        <w:t xml:space="preserve">, B. M., &amp; Fox, V. F. (1977). Escalation: the determinants of commitment to a chosen course of action. </w:t>
      </w:r>
      <w:r w:rsidRPr="00E137ED">
        <w:rPr>
          <w:i/>
          <w:lang w:val="en-US"/>
        </w:rPr>
        <w:t>Human Relations, 30</w:t>
      </w:r>
      <w:r w:rsidRPr="00E137ED">
        <w:rPr>
          <w:lang w:val="en-US"/>
        </w:rPr>
        <w:t xml:space="preserve">, 431 – 450. </w:t>
      </w:r>
      <w:r w:rsidR="00F94B6B" w:rsidRPr="00E137ED">
        <w:rPr>
          <w:lang w:val="en-US"/>
        </w:rPr>
        <w:t>https://doi.org/</w:t>
      </w:r>
      <w:r w:rsidRPr="00E137ED">
        <w:rPr>
          <w:lang w:val="en-US"/>
        </w:rPr>
        <w:t>10.1177/001872677703000503.</w:t>
      </w:r>
    </w:p>
    <w:p w14:paraId="505B061D" w14:textId="77777777" w:rsidR="008845B1" w:rsidRPr="00E137ED" w:rsidRDefault="008845B1" w:rsidP="00E137ED">
      <w:pPr>
        <w:ind w:left="567" w:hanging="567"/>
        <w:rPr>
          <w:lang w:val="en-US"/>
        </w:rPr>
      </w:pPr>
      <w:proofErr w:type="spellStart"/>
      <w:r w:rsidRPr="00E137ED">
        <w:rPr>
          <w:lang w:val="en-US"/>
        </w:rPr>
        <w:t>Staw</w:t>
      </w:r>
      <w:proofErr w:type="spellEnd"/>
      <w:r w:rsidRPr="00E137ED">
        <w:rPr>
          <w:lang w:val="en-US"/>
        </w:rPr>
        <w:t xml:space="preserve">, B. M., &amp; Ross, J. (1987). Understanding escalation situations: Antecedents, prototypes, and solutions. In B. M. </w:t>
      </w:r>
      <w:proofErr w:type="spellStart"/>
      <w:r w:rsidRPr="00E137ED">
        <w:rPr>
          <w:lang w:val="en-US"/>
        </w:rPr>
        <w:t>Staw</w:t>
      </w:r>
      <w:proofErr w:type="spellEnd"/>
      <w:r w:rsidRPr="00E137ED">
        <w:rPr>
          <w:lang w:val="en-US"/>
        </w:rPr>
        <w:t xml:space="preserve"> &amp; L. L. Cummings (Eds.), </w:t>
      </w:r>
      <w:r w:rsidRPr="00E137ED">
        <w:rPr>
          <w:i/>
          <w:lang w:val="en-US"/>
        </w:rPr>
        <w:t>Research in organizational behavior</w:t>
      </w:r>
      <w:r w:rsidRPr="00E137ED">
        <w:rPr>
          <w:lang w:val="en-US"/>
        </w:rPr>
        <w:t>, vol. 9: 39-78. Greenwich, CT: JAI Press.</w:t>
      </w:r>
    </w:p>
    <w:p w14:paraId="4F067534" w14:textId="7952FF6E" w:rsidR="008845B1" w:rsidRPr="00E137ED" w:rsidRDefault="008845B1" w:rsidP="00E137ED">
      <w:pPr>
        <w:ind w:left="567" w:hanging="567"/>
        <w:rPr>
          <w:rFonts w:eastAsia="Times New Roman"/>
          <w:lang w:val="en-US"/>
        </w:rPr>
      </w:pPr>
      <w:r w:rsidRPr="00E137ED">
        <w:rPr>
          <w:rFonts w:eastAsia="Times New Roman"/>
          <w:lang w:val="en-US"/>
        </w:rPr>
        <w:t xml:space="preserve">Straus, M. A. (2004). Prevalence of violence against dating partners by male and female university students worldwide. </w:t>
      </w:r>
      <w:r w:rsidRPr="00E137ED">
        <w:rPr>
          <w:rFonts w:eastAsia="Times New Roman"/>
          <w:i/>
          <w:lang w:val="en-US"/>
        </w:rPr>
        <w:t>Violence Against Women, 10,</w:t>
      </w:r>
      <w:r w:rsidRPr="00E137ED">
        <w:rPr>
          <w:rFonts w:eastAsia="Times New Roman"/>
          <w:lang w:val="en-US"/>
        </w:rPr>
        <w:t xml:space="preserve"> 790–811.</w:t>
      </w:r>
      <w:r w:rsidR="00927ECF" w:rsidRPr="00E137ED">
        <w:rPr>
          <w:rFonts w:eastAsia="Times New Roman"/>
          <w:lang w:val="en-US"/>
        </w:rPr>
        <w:t xml:space="preserve"> </w:t>
      </w:r>
      <w:r w:rsidR="00F94B6B" w:rsidRPr="00E137ED">
        <w:rPr>
          <w:rFonts w:eastAsia="Times New Roman"/>
          <w:lang w:val="en-US"/>
        </w:rPr>
        <w:t>https://doi.org/</w:t>
      </w:r>
      <w:r w:rsidR="00927ECF" w:rsidRPr="00E137ED">
        <w:rPr>
          <w:rFonts w:eastAsia="Times New Roman"/>
          <w:lang w:val="en-US"/>
        </w:rPr>
        <w:t>10.1177/1077801204265552</w:t>
      </w:r>
    </w:p>
    <w:p w14:paraId="45CB3098" w14:textId="1FE05186" w:rsidR="008845B1" w:rsidRPr="00E137ED" w:rsidRDefault="008845B1" w:rsidP="00E137ED">
      <w:pPr>
        <w:ind w:left="567" w:hanging="567"/>
        <w:rPr>
          <w:lang w:val="en-US"/>
        </w:rPr>
      </w:pPr>
      <w:proofErr w:type="spellStart"/>
      <w:r w:rsidRPr="00E137ED">
        <w:rPr>
          <w:lang w:val="en-US"/>
        </w:rPr>
        <w:t>Strube</w:t>
      </w:r>
      <w:proofErr w:type="spellEnd"/>
      <w:r w:rsidRPr="00E137ED">
        <w:rPr>
          <w:lang w:val="en-US"/>
        </w:rPr>
        <w:t xml:space="preserve">, M. J. (1988). The decision to leave an abusive relationship: empirical evidence and theoretical issues. </w:t>
      </w:r>
      <w:r w:rsidRPr="00E137ED">
        <w:rPr>
          <w:i/>
          <w:lang w:val="en-US"/>
        </w:rPr>
        <w:t>Psychological bulletin, 104</w:t>
      </w:r>
      <w:r w:rsidRPr="00E137ED">
        <w:rPr>
          <w:lang w:val="en-US"/>
        </w:rPr>
        <w:t xml:space="preserve">(2), 236. </w:t>
      </w:r>
      <w:r w:rsidR="00F94B6B" w:rsidRPr="00E137ED">
        <w:rPr>
          <w:lang w:val="en-US"/>
        </w:rPr>
        <w:t>https://doi.org/</w:t>
      </w:r>
      <w:r w:rsidRPr="00E137ED">
        <w:rPr>
          <w:lang w:val="en-US"/>
        </w:rPr>
        <w:t>10.1037/0033-2909.104.2.236</w:t>
      </w:r>
    </w:p>
    <w:p w14:paraId="1F1415DB" w14:textId="66643668" w:rsidR="008845B1" w:rsidRPr="00E137ED" w:rsidRDefault="008845B1" w:rsidP="00E137ED">
      <w:pPr>
        <w:ind w:left="567" w:hanging="567"/>
        <w:rPr>
          <w:lang w:val="en-US"/>
        </w:rPr>
      </w:pPr>
      <w:proofErr w:type="spellStart"/>
      <w:r w:rsidRPr="00E137ED">
        <w:rPr>
          <w:lang w:val="en-US"/>
        </w:rPr>
        <w:t>Székely</w:t>
      </w:r>
      <w:proofErr w:type="spellEnd"/>
      <w:r w:rsidRPr="00E137ED">
        <w:rPr>
          <w:lang w:val="en-US"/>
        </w:rPr>
        <w:t xml:space="preserve">, M., &amp; Michael, J. (2018). Investing in commitment: Persistence in a joint action is enhanced by the perception of a partner’s effort. </w:t>
      </w:r>
      <w:r w:rsidRPr="00E137ED">
        <w:rPr>
          <w:i/>
          <w:lang w:val="en-US"/>
        </w:rPr>
        <w:t>Cognition, 174</w:t>
      </w:r>
      <w:r w:rsidRPr="00E137ED">
        <w:rPr>
          <w:lang w:val="en-US"/>
        </w:rPr>
        <w:t xml:space="preserve">, 37-42. </w:t>
      </w:r>
      <w:r w:rsidR="00F94B6B" w:rsidRPr="00E137ED">
        <w:rPr>
          <w:lang w:val="en-US"/>
        </w:rPr>
        <w:t>https://doi.org/</w:t>
      </w:r>
      <w:r w:rsidRPr="00E137ED">
        <w:rPr>
          <w:lang w:val="en-US"/>
        </w:rPr>
        <w:t>10.1016/j.cognition.2018.01.012</w:t>
      </w:r>
    </w:p>
    <w:p w14:paraId="609735D8" w14:textId="77777777" w:rsidR="008845B1" w:rsidRPr="00E137ED" w:rsidRDefault="008845B1" w:rsidP="00E137ED">
      <w:pPr>
        <w:ind w:left="567" w:hanging="567"/>
        <w:rPr>
          <w:lang w:val="en-US"/>
        </w:rPr>
      </w:pPr>
      <w:r w:rsidRPr="00E137ED">
        <w:rPr>
          <w:lang w:val="en-US"/>
        </w:rPr>
        <w:t xml:space="preserve">Thibaut, J. W., &amp; Kelley, H. H. (1959). </w:t>
      </w:r>
      <w:r w:rsidRPr="00E137ED">
        <w:rPr>
          <w:i/>
          <w:lang w:val="en-US"/>
        </w:rPr>
        <w:t>The social psychology of groups.</w:t>
      </w:r>
      <w:r w:rsidRPr="00E137ED">
        <w:rPr>
          <w:lang w:val="en-US"/>
        </w:rPr>
        <w:t xml:space="preserve"> New York: Wiley.</w:t>
      </w:r>
    </w:p>
    <w:p w14:paraId="23F97DA8" w14:textId="58DE0EA8" w:rsidR="008845B1" w:rsidRPr="00E137ED" w:rsidRDefault="008845B1" w:rsidP="00E137ED">
      <w:pPr>
        <w:ind w:left="567" w:hanging="567"/>
        <w:rPr>
          <w:lang w:val="en-US"/>
        </w:rPr>
      </w:pPr>
      <w:r w:rsidRPr="00E137ED">
        <w:rPr>
          <w:lang w:val="en-US"/>
        </w:rPr>
        <w:t xml:space="preserve">Tversky, A., &amp; Kahneman, D. (1981). The framing of decisions and the psychology of choice. </w:t>
      </w:r>
      <w:r w:rsidRPr="00E137ED">
        <w:rPr>
          <w:i/>
          <w:lang w:val="en-US"/>
        </w:rPr>
        <w:t>Science, 211</w:t>
      </w:r>
      <w:r w:rsidRPr="00E137ED">
        <w:rPr>
          <w:lang w:val="en-US"/>
        </w:rPr>
        <w:t xml:space="preserve">(4481), 453–458. </w:t>
      </w:r>
      <w:r w:rsidR="00F94B6B" w:rsidRPr="00E137ED">
        <w:rPr>
          <w:lang w:val="en-US"/>
        </w:rPr>
        <w:t>https://doi.org/</w:t>
      </w:r>
      <w:r w:rsidRPr="00E137ED">
        <w:rPr>
          <w:lang w:val="en-US"/>
        </w:rPr>
        <w:t xml:space="preserve">10.1126 /science.7455683. </w:t>
      </w:r>
    </w:p>
    <w:p w14:paraId="355655DF" w14:textId="44E4F071" w:rsidR="008845B1" w:rsidRPr="00E137ED" w:rsidRDefault="008845B1" w:rsidP="00E137ED">
      <w:pPr>
        <w:ind w:left="567" w:hanging="567"/>
        <w:rPr>
          <w:lang w:val="en-US"/>
        </w:rPr>
      </w:pPr>
      <w:r w:rsidRPr="00E137ED">
        <w:rPr>
          <w:lang w:val="en-US"/>
        </w:rPr>
        <w:t xml:space="preserve">Tversky, A., &amp; Kahneman, D. (1986). Rational choice and the framing of decisions rational choice and the framing of decisions. </w:t>
      </w:r>
      <w:r w:rsidRPr="00E137ED">
        <w:rPr>
          <w:i/>
          <w:lang w:val="en-US"/>
        </w:rPr>
        <w:t>The Journal of Business, 59,</w:t>
      </w:r>
      <w:r w:rsidRPr="00E137ED">
        <w:rPr>
          <w:lang w:val="en-US"/>
        </w:rPr>
        <w:t xml:space="preserve"> S251–S278. </w:t>
      </w:r>
      <w:r w:rsidR="00F94B6B" w:rsidRPr="00E137ED">
        <w:rPr>
          <w:lang w:val="en-US"/>
        </w:rPr>
        <w:t>https://doi.org/</w:t>
      </w:r>
      <w:r w:rsidRPr="00E137ED">
        <w:rPr>
          <w:lang w:val="en-US"/>
        </w:rPr>
        <w:t>10.1086/296365.</w:t>
      </w:r>
    </w:p>
    <w:p w14:paraId="3DAB172F" w14:textId="77777777" w:rsidR="00565229" w:rsidRPr="00E137ED" w:rsidRDefault="00565229" w:rsidP="00E137ED">
      <w:pPr>
        <w:ind w:left="567" w:hanging="567"/>
        <w:rPr>
          <w:lang w:val="en-US"/>
        </w:rPr>
      </w:pPr>
      <w:r w:rsidRPr="00E137ED">
        <w:rPr>
          <w:lang w:val="en-US"/>
        </w:rPr>
        <w:t xml:space="preserve">Walker, L. E. (1983). Victimology and the psychological perspectives of battered women. </w:t>
      </w:r>
      <w:r w:rsidRPr="00E137ED">
        <w:rPr>
          <w:i/>
          <w:lang w:val="en-US"/>
        </w:rPr>
        <w:t>Victimology, 8</w:t>
      </w:r>
      <w:r w:rsidRPr="00E137ED">
        <w:rPr>
          <w:lang w:val="en-US"/>
        </w:rPr>
        <w:t>(1-2), 82-104.</w:t>
      </w:r>
    </w:p>
    <w:p w14:paraId="6BA3C08B" w14:textId="22A9E5C0" w:rsidR="00DE0F21" w:rsidRPr="00E137ED" w:rsidRDefault="00DE0F21" w:rsidP="00E137ED">
      <w:pPr>
        <w:ind w:left="567" w:hanging="567"/>
        <w:rPr>
          <w:lang w:val="en-US"/>
        </w:rPr>
      </w:pPr>
      <w:r w:rsidRPr="00E137ED">
        <w:rPr>
          <w:lang w:val="en-US"/>
        </w:rPr>
        <w:t>World Health Organization (2003). The WHO multi-country study on women's health and domestic violence against women. Last accessed on 2018 Feb 13. Available form: </w:t>
      </w:r>
      <w:hyperlink r:id="rId13" w:history="1">
        <w:r w:rsidRPr="00E137ED">
          <w:rPr>
            <w:lang w:val="en-US"/>
          </w:rPr>
          <w:t>www.who.int/gender/violence/multicountry</w:t>
        </w:r>
      </w:hyperlink>
      <w:r w:rsidRPr="00E137ED">
        <w:rPr>
          <w:lang w:val="en-US"/>
        </w:rPr>
        <w:t> .</w:t>
      </w:r>
    </w:p>
    <w:p w14:paraId="60397DE7" w14:textId="101F37CB" w:rsidR="008845B1" w:rsidRPr="00E137ED" w:rsidRDefault="008845B1" w:rsidP="00E137ED">
      <w:pPr>
        <w:ind w:left="567" w:hanging="567"/>
        <w:rPr>
          <w:lang w:val="en-US"/>
        </w:rPr>
      </w:pPr>
      <w:r w:rsidRPr="00E137ED">
        <w:t xml:space="preserve">Yoder, C. Y., Mancha, R., &amp; Agrawal, N. (2014). </w:t>
      </w:r>
      <w:r w:rsidRPr="00E137ED">
        <w:rPr>
          <w:lang w:val="en-US"/>
        </w:rPr>
        <w:t xml:space="preserve">Culture-related factors affect sunk cost bias. </w:t>
      </w:r>
      <w:r w:rsidRPr="00E137ED">
        <w:rPr>
          <w:i/>
          <w:lang w:val="en-US"/>
        </w:rPr>
        <w:t>Behavioral Development Bulletin 19</w:t>
      </w:r>
      <w:r w:rsidRPr="00E137ED">
        <w:rPr>
          <w:lang w:val="en-US"/>
        </w:rPr>
        <w:t xml:space="preserve">,105 –118. </w:t>
      </w:r>
      <w:r w:rsidR="00F94B6B" w:rsidRPr="00E137ED">
        <w:rPr>
          <w:lang w:val="en-US"/>
        </w:rPr>
        <w:t>https://doi.org/</w:t>
      </w:r>
      <w:r w:rsidRPr="00E137ED">
        <w:rPr>
          <w:lang w:val="en-US"/>
        </w:rPr>
        <w:t>10.1037/h0101086</w:t>
      </w:r>
    </w:p>
    <w:p w14:paraId="08640E8C" w14:textId="77777777" w:rsidR="001D1DED" w:rsidRDefault="001D1DED" w:rsidP="00B606C1">
      <w:pPr>
        <w:rPr>
          <w:lang w:val="en-US"/>
        </w:rPr>
      </w:pPr>
    </w:p>
    <w:p w14:paraId="1F0C137D" w14:textId="77777777" w:rsidR="00EB1C7B" w:rsidRDefault="00EB1C7B" w:rsidP="00B606C1">
      <w:pPr>
        <w:rPr>
          <w:lang w:val="en-US"/>
        </w:rPr>
      </w:pPr>
    </w:p>
    <w:p w14:paraId="2D547642" w14:textId="77777777" w:rsidR="00EB1C7B" w:rsidRDefault="00EB1C7B" w:rsidP="00B606C1">
      <w:pPr>
        <w:rPr>
          <w:lang w:val="en-US"/>
        </w:rPr>
      </w:pPr>
    </w:p>
    <w:p w14:paraId="46CFE6C5" w14:textId="68D2C6CE" w:rsidR="0054333C" w:rsidRPr="0054333C" w:rsidRDefault="0054333C" w:rsidP="00E137ED">
      <w:pPr>
        <w:tabs>
          <w:tab w:val="left" w:pos="1013"/>
        </w:tabs>
        <w:rPr>
          <w:b/>
          <w:lang w:val="en-US"/>
        </w:rPr>
      </w:pPr>
      <w:r w:rsidRPr="0054333C">
        <w:rPr>
          <w:b/>
          <w:lang w:val="en-US"/>
        </w:rPr>
        <w:lastRenderedPageBreak/>
        <w:t>Endnotes</w:t>
      </w:r>
    </w:p>
    <w:p w14:paraId="7921B5A8" w14:textId="1D42F2A8" w:rsidR="0054333C" w:rsidRDefault="0054333C" w:rsidP="00E137ED">
      <w:pPr>
        <w:tabs>
          <w:tab w:val="left" w:pos="1013"/>
        </w:tabs>
        <w:rPr>
          <w:lang w:val="en-US"/>
        </w:rPr>
      </w:pPr>
    </w:p>
    <w:p w14:paraId="2C63DDFD" w14:textId="64B89719" w:rsidR="0054333C" w:rsidRPr="00D97079" w:rsidRDefault="0054333C" w:rsidP="00E137ED">
      <w:pPr>
        <w:tabs>
          <w:tab w:val="left" w:pos="1013"/>
        </w:tabs>
        <w:rPr>
          <w:lang w:val="en-US"/>
        </w:rPr>
      </w:pPr>
      <w:r>
        <w:rPr>
          <w:rFonts w:eastAsia="Times New Roman"/>
          <w:lang w:val="en-US"/>
        </w:rPr>
        <w:t xml:space="preserve">1 - </w:t>
      </w:r>
      <w:r w:rsidRPr="009402B1">
        <w:rPr>
          <w:rFonts w:eastAsia="Times New Roman"/>
          <w:lang w:val="en-US"/>
        </w:rPr>
        <w:t>According to Council of Europe (2011), leaving a small mark in any part of the partner’s body is considered physical vio</w:t>
      </w:r>
      <w:bookmarkStart w:id="4" w:name="_GoBack"/>
      <w:bookmarkEnd w:id="4"/>
      <w:r w:rsidRPr="009402B1">
        <w:rPr>
          <w:rFonts w:eastAsia="Times New Roman"/>
          <w:lang w:val="en-US"/>
        </w:rPr>
        <w:t>lence</w:t>
      </w:r>
    </w:p>
    <w:sectPr w:rsidR="0054333C" w:rsidRPr="00D9707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795C2B" w14:textId="77777777" w:rsidR="003D7FB8" w:rsidRDefault="003D7FB8" w:rsidP="008845B1">
      <w:r>
        <w:separator/>
      </w:r>
    </w:p>
  </w:endnote>
  <w:endnote w:type="continuationSeparator" w:id="0">
    <w:p w14:paraId="04A576F2" w14:textId="77777777" w:rsidR="003D7FB8" w:rsidRDefault="003D7FB8" w:rsidP="00884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FA5860" w14:textId="77777777" w:rsidR="003D7FB8" w:rsidRDefault="003D7FB8" w:rsidP="008845B1">
      <w:r>
        <w:separator/>
      </w:r>
    </w:p>
  </w:footnote>
  <w:footnote w:type="continuationSeparator" w:id="0">
    <w:p w14:paraId="6FC735CF" w14:textId="77777777" w:rsidR="003D7FB8" w:rsidRDefault="003D7FB8" w:rsidP="008845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E10587"/>
    <w:multiLevelType w:val="hybridMultilevel"/>
    <w:tmpl w:val="60589C36"/>
    <w:lvl w:ilvl="0" w:tplc="C69AC03C">
      <w:start w:val="1"/>
      <w:numFmt w:val="upp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212E2B2B"/>
    <w:multiLevelType w:val="hybridMultilevel"/>
    <w:tmpl w:val="393E70F0"/>
    <w:lvl w:ilvl="0" w:tplc="D5407F12">
      <w:numFmt w:val="bullet"/>
      <w:lvlText w:val="-"/>
      <w:lvlJc w:val="left"/>
      <w:pPr>
        <w:ind w:left="720" w:hanging="360"/>
      </w:pPr>
      <w:rPr>
        <w:rFonts w:ascii="Times New Roman" w:eastAsia="Times New Roman" w:hAnsi="Times New Roman" w:cs="Times New Roman"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15:restartNumberingAfterBreak="0">
    <w:nsid w:val="71884CA8"/>
    <w:multiLevelType w:val="multilevel"/>
    <w:tmpl w:val="76BED9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0CA"/>
    <w:rsid w:val="000061FB"/>
    <w:rsid w:val="00007EAA"/>
    <w:rsid w:val="00013C98"/>
    <w:rsid w:val="00015421"/>
    <w:rsid w:val="00020B51"/>
    <w:rsid w:val="00020EC6"/>
    <w:rsid w:val="000228AF"/>
    <w:rsid w:val="000244E8"/>
    <w:rsid w:val="00034B26"/>
    <w:rsid w:val="00050997"/>
    <w:rsid w:val="00053050"/>
    <w:rsid w:val="00055A6E"/>
    <w:rsid w:val="00055AD9"/>
    <w:rsid w:val="00064C99"/>
    <w:rsid w:val="000654F4"/>
    <w:rsid w:val="00065A71"/>
    <w:rsid w:val="000727A4"/>
    <w:rsid w:val="00091D4D"/>
    <w:rsid w:val="000A2CCE"/>
    <w:rsid w:val="000A7507"/>
    <w:rsid w:val="000B06EB"/>
    <w:rsid w:val="000D249B"/>
    <w:rsid w:val="000E0A22"/>
    <w:rsid w:val="000E3777"/>
    <w:rsid w:val="000E6B00"/>
    <w:rsid w:val="000F4BBE"/>
    <w:rsid w:val="000F538A"/>
    <w:rsid w:val="00100773"/>
    <w:rsid w:val="001168A1"/>
    <w:rsid w:val="001223E7"/>
    <w:rsid w:val="00124788"/>
    <w:rsid w:val="00131FF0"/>
    <w:rsid w:val="00132039"/>
    <w:rsid w:val="0013484D"/>
    <w:rsid w:val="0013704B"/>
    <w:rsid w:val="00141871"/>
    <w:rsid w:val="0014781D"/>
    <w:rsid w:val="0015502D"/>
    <w:rsid w:val="001605B5"/>
    <w:rsid w:val="00164F2C"/>
    <w:rsid w:val="00167D07"/>
    <w:rsid w:val="00193033"/>
    <w:rsid w:val="001A148E"/>
    <w:rsid w:val="001A15F5"/>
    <w:rsid w:val="001B3372"/>
    <w:rsid w:val="001B7062"/>
    <w:rsid w:val="001C3D01"/>
    <w:rsid w:val="001D1DED"/>
    <w:rsid w:val="001D6EDF"/>
    <w:rsid w:val="001D7E47"/>
    <w:rsid w:val="001F2042"/>
    <w:rsid w:val="001F7D7F"/>
    <w:rsid w:val="002076B5"/>
    <w:rsid w:val="00211A4B"/>
    <w:rsid w:val="00212520"/>
    <w:rsid w:val="00213CFF"/>
    <w:rsid w:val="00214DC0"/>
    <w:rsid w:val="00217727"/>
    <w:rsid w:val="00222F7E"/>
    <w:rsid w:val="00224B05"/>
    <w:rsid w:val="00225FB4"/>
    <w:rsid w:val="00227D78"/>
    <w:rsid w:val="002325A6"/>
    <w:rsid w:val="00240791"/>
    <w:rsid w:val="00241897"/>
    <w:rsid w:val="00253AC4"/>
    <w:rsid w:val="002928D1"/>
    <w:rsid w:val="002A2ADA"/>
    <w:rsid w:val="002A2B70"/>
    <w:rsid w:val="002A3C2D"/>
    <w:rsid w:val="002B1CA7"/>
    <w:rsid w:val="002B713E"/>
    <w:rsid w:val="002B7675"/>
    <w:rsid w:val="002C00E3"/>
    <w:rsid w:val="002C1620"/>
    <w:rsid w:val="002C67D1"/>
    <w:rsid w:val="002C7FAE"/>
    <w:rsid w:val="002D45AF"/>
    <w:rsid w:val="002E560B"/>
    <w:rsid w:val="002F3891"/>
    <w:rsid w:val="002F436C"/>
    <w:rsid w:val="0030267F"/>
    <w:rsid w:val="00322C27"/>
    <w:rsid w:val="0032763C"/>
    <w:rsid w:val="0034043A"/>
    <w:rsid w:val="00342E2B"/>
    <w:rsid w:val="003458E6"/>
    <w:rsid w:val="0034732C"/>
    <w:rsid w:val="0035069B"/>
    <w:rsid w:val="00353B4A"/>
    <w:rsid w:val="00373EFD"/>
    <w:rsid w:val="003768CA"/>
    <w:rsid w:val="00380E0F"/>
    <w:rsid w:val="00384A02"/>
    <w:rsid w:val="00387D3E"/>
    <w:rsid w:val="0039240E"/>
    <w:rsid w:val="003A7495"/>
    <w:rsid w:val="003B2792"/>
    <w:rsid w:val="003B3610"/>
    <w:rsid w:val="003B625E"/>
    <w:rsid w:val="003C1F40"/>
    <w:rsid w:val="003C1FF7"/>
    <w:rsid w:val="003C390B"/>
    <w:rsid w:val="003C660E"/>
    <w:rsid w:val="003C748F"/>
    <w:rsid w:val="003D1C7D"/>
    <w:rsid w:val="003D2E79"/>
    <w:rsid w:val="003D7CD4"/>
    <w:rsid w:val="003D7E68"/>
    <w:rsid w:val="003D7FB8"/>
    <w:rsid w:val="003E1208"/>
    <w:rsid w:val="003E34FF"/>
    <w:rsid w:val="003E5251"/>
    <w:rsid w:val="00411A3C"/>
    <w:rsid w:val="00416EFA"/>
    <w:rsid w:val="00421B21"/>
    <w:rsid w:val="00427040"/>
    <w:rsid w:val="00430F35"/>
    <w:rsid w:val="00433431"/>
    <w:rsid w:val="00433AA5"/>
    <w:rsid w:val="0043443E"/>
    <w:rsid w:val="00442524"/>
    <w:rsid w:val="0044253B"/>
    <w:rsid w:val="0044667C"/>
    <w:rsid w:val="00447405"/>
    <w:rsid w:val="00447491"/>
    <w:rsid w:val="00453EE2"/>
    <w:rsid w:val="004541E2"/>
    <w:rsid w:val="004574FC"/>
    <w:rsid w:val="004635D3"/>
    <w:rsid w:val="00482988"/>
    <w:rsid w:val="004877F9"/>
    <w:rsid w:val="00491003"/>
    <w:rsid w:val="004B5B0B"/>
    <w:rsid w:val="004B5C4D"/>
    <w:rsid w:val="004C1D5F"/>
    <w:rsid w:val="004C1FF4"/>
    <w:rsid w:val="004D5E24"/>
    <w:rsid w:val="004F46FC"/>
    <w:rsid w:val="004F6316"/>
    <w:rsid w:val="00514F77"/>
    <w:rsid w:val="0054316A"/>
    <w:rsid w:val="0054333C"/>
    <w:rsid w:val="00547B84"/>
    <w:rsid w:val="00561AA0"/>
    <w:rsid w:val="00565229"/>
    <w:rsid w:val="005853DA"/>
    <w:rsid w:val="00586402"/>
    <w:rsid w:val="00595506"/>
    <w:rsid w:val="005A037D"/>
    <w:rsid w:val="005C04F9"/>
    <w:rsid w:val="005D041A"/>
    <w:rsid w:val="005D5042"/>
    <w:rsid w:val="005D5F64"/>
    <w:rsid w:val="005E55B0"/>
    <w:rsid w:val="005E7A9F"/>
    <w:rsid w:val="005F0B6E"/>
    <w:rsid w:val="005F1B6E"/>
    <w:rsid w:val="005F2C8E"/>
    <w:rsid w:val="00605F76"/>
    <w:rsid w:val="00612A35"/>
    <w:rsid w:val="00626481"/>
    <w:rsid w:val="006278F3"/>
    <w:rsid w:val="00630F46"/>
    <w:rsid w:val="00631E53"/>
    <w:rsid w:val="00632E6C"/>
    <w:rsid w:val="0064560B"/>
    <w:rsid w:val="00645877"/>
    <w:rsid w:val="006472E8"/>
    <w:rsid w:val="00650550"/>
    <w:rsid w:val="00650A5F"/>
    <w:rsid w:val="006736C3"/>
    <w:rsid w:val="0067388E"/>
    <w:rsid w:val="00684D8E"/>
    <w:rsid w:val="0068586A"/>
    <w:rsid w:val="006864CD"/>
    <w:rsid w:val="006968B4"/>
    <w:rsid w:val="006C2B92"/>
    <w:rsid w:val="006D1127"/>
    <w:rsid w:val="006D3057"/>
    <w:rsid w:val="006D70D2"/>
    <w:rsid w:val="006D79A9"/>
    <w:rsid w:val="006E0760"/>
    <w:rsid w:val="006E396A"/>
    <w:rsid w:val="006E7F64"/>
    <w:rsid w:val="006F0A40"/>
    <w:rsid w:val="006F7659"/>
    <w:rsid w:val="0070179E"/>
    <w:rsid w:val="00723D51"/>
    <w:rsid w:val="00736FC4"/>
    <w:rsid w:val="00754811"/>
    <w:rsid w:val="00762F64"/>
    <w:rsid w:val="00767055"/>
    <w:rsid w:val="00770A31"/>
    <w:rsid w:val="00776937"/>
    <w:rsid w:val="00777F7D"/>
    <w:rsid w:val="00784947"/>
    <w:rsid w:val="00787534"/>
    <w:rsid w:val="00787A49"/>
    <w:rsid w:val="0079021A"/>
    <w:rsid w:val="007A6F7A"/>
    <w:rsid w:val="007B136F"/>
    <w:rsid w:val="007B59B7"/>
    <w:rsid w:val="007B6CF4"/>
    <w:rsid w:val="007B742E"/>
    <w:rsid w:val="007C0BE0"/>
    <w:rsid w:val="007E0534"/>
    <w:rsid w:val="007E5AB1"/>
    <w:rsid w:val="007E66DB"/>
    <w:rsid w:val="007E7032"/>
    <w:rsid w:val="007F241F"/>
    <w:rsid w:val="008046F6"/>
    <w:rsid w:val="00812838"/>
    <w:rsid w:val="00813DD0"/>
    <w:rsid w:val="00815B9E"/>
    <w:rsid w:val="00827B2D"/>
    <w:rsid w:val="00840A9B"/>
    <w:rsid w:val="008411B0"/>
    <w:rsid w:val="00850D7C"/>
    <w:rsid w:val="00854CA4"/>
    <w:rsid w:val="00877168"/>
    <w:rsid w:val="00881DAF"/>
    <w:rsid w:val="008845B1"/>
    <w:rsid w:val="008926B5"/>
    <w:rsid w:val="008962C8"/>
    <w:rsid w:val="008A1DD1"/>
    <w:rsid w:val="008A3A27"/>
    <w:rsid w:val="008A40CA"/>
    <w:rsid w:val="008B3E38"/>
    <w:rsid w:val="008B4F7F"/>
    <w:rsid w:val="008C03B4"/>
    <w:rsid w:val="008C10F2"/>
    <w:rsid w:val="008C40ED"/>
    <w:rsid w:val="008D3039"/>
    <w:rsid w:val="008D6E48"/>
    <w:rsid w:val="008D76E8"/>
    <w:rsid w:val="008D7C53"/>
    <w:rsid w:val="008E0711"/>
    <w:rsid w:val="008E13A6"/>
    <w:rsid w:val="008E148F"/>
    <w:rsid w:val="008E167D"/>
    <w:rsid w:val="008E698A"/>
    <w:rsid w:val="008F1157"/>
    <w:rsid w:val="008F149B"/>
    <w:rsid w:val="00910917"/>
    <w:rsid w:val="00913AB1"/>
    <w:rsid w:val="00922632"/>
    <w:rsid w:val="0092380F"/>
    <w:rsid w:val="00927ECF"/>
    <w:rsid w:val="00936A84"/>
    <w:rsid w:val="009402B1"/>
    <w:rsid w:val="009475C5"/>
    <w:rsid w:val="00955981"/>
    <w:rsid w:val="00972314"/>
    <w:rsid w:val="0097576B"/>
    <w:rsid w:val="00975DCC"/>
    <w:rsid w:val="00980AF5"/>
    <w:rsid w:val="00981882"/>
    <w:rsid w:val="00987C3B"/>
    <w:rsid w:val="00990D0A"/>
    <w:rsid w:val="00996770"/>
    <w:rsid w:val="009A04DA"/>
    <w:rsid w:val="009A7EBC"/>
    <w:rsid w:val="009B2D50"/>
    <w:rsid w:val="009C07F0"/>
    <w:rsid w:val="009C114E"/>
    <w:rsid w:val="009C212D"/>
    <w:rsid w:val="009C2CED"/>
    <w:rsid w:val="009C2EDF"/>
    <w:rsid w:val="009C57AB"/>
    <w:rsid w:val="009D2CDA"/>
    <w:rsid w:val="009D2D1C"/>
    <w:rsid w:val="009D55DA"/>
    <w:rsid w:val="009E3F92"/>
    <w:rsid w:val="009E663A"/>
    <w:rsid w:val="009E6693"/>
    <w:rsid w:val="00A00F53"/>
    <w:rsid w:val="00A24502"/>
    <w:rsid w:val="00A24DF8"/>
    <w:rsid w:val="00A352B7"/>
    <w:rsid w:val="00A3605E"/>
    <w:rsid w:val="00A4590A"/>
    <w:rsid w:val="00A50FAD"/>
    <w:rsid w:val="00A52E5D"/>
    <w:rsid w:val="00A60788"/>
    <w:rsid w:val="00A8235C"/>
    <w:rsid w:val="00A9083E"/>
    <w:rsid w:val="00A95D95"/>
    <w:rsid w:val="00AA1AAC"/>
    <w:rsid w:val="00AA6811"/>
    <w:rsid w:val="00AA6FD5"/>
    <w:rsid w:val="00AB5687"/>
    <w:rsid w:val="00AC7CA8"/>
    <w:rsid w:val="00AD055B"/>
    <w:rsid w:val="00AD0D34"/>
    <w:rsid w:val="00AD3B6A"/>
    <w:rsid w:val="00AE66A5"/>
    <w:rsid w:val="00AE7344"/>
    <w:rsid w:val="00AF129D"/>
    <w:rsid w:val="00AF5B3C"/>
    <w:rsid w:val="00B00351"/>
    <w:rsid w:val="00B0158D"/>
    <w:rsid w:val="00B051B6"/>
    <w:rsid w:val="00B061C4"/>
    <w:rsid w:val="00B10FF6"/>
    <w:rsid w:val="00B26B92"/>
    <w:rsid w:val="00B33952"/>
    <w:rsid w:val="00B4318B"/>
    <w:rsid w:val="00B53061"/>
    <w:rsid w:val="00B6018B"/>
    <w:rsid w:val="00B606C1"/>
    <w:rsid w:val="00B61F4B"/>
    <w:rsid w:val="00B64206"/>
    <w:rsid w:val="00B81A48"/>
    <w:rsid w:val="00B84BFC"/>
    <w:rsid w:val="00B86C57"/>
    <w:rsid w:val="00B8789F"/>
    <w:rsid w:val="00B87C5C"/>
    <w:rsid w:val="00B90EF2"/>
    <w:rsid w:val="00B93900"/>
    <w:rsid w:val="00B94E33"/>
    <w:rsid w:val="00BA0466"/>
    <w:rsid w:val="00BA24CB"/>
    <w:rsid w:val="00BB1053"/>
    <w:rsid w:val="00BB5DD5"/>
    <w:rsid w:val="00BC0660"/>
    <w:rsid w:val="00BC3C92"/>
    <w:rsid w:val="00BD0268"/>
    <w:rsid w:val="00BF1C18"/>
    <w:rsid w:val="00BF7B15"/>
    <w:rsid w:val="00C0345B"/>
    <w:rsid w:val="00C0457C"/>
    <w:rsid w:val="00C13679"/>
    <w:rsid w:val="00C14403"/>
    <w:rsid w:val="00C14F67"/>
    <w:rsid w:val="00C17692"/>
    <w:rsid w:val="00C25C10"/>
    <w:rsid w:val="00C26A9A"/>
    <w:rsid w:val="00C27AA4"/>
    <w:rsid w:val="00C33B2E"/>
    <w:rsid w:val="00C34620"/>
    <w:rsid w:val="00C46047"/>
    <w:rsid w:val="00C466BA"/>
    <w:rsid w:val="00C548A6"/>
    <w:rsid w:val="00C61226"/>
    <w:rsid w:val="00C62B82"/>
    <w:rsid w:val="00C6432C"/>
    <w:rsid w:val="00C85354"/>
    <w:rsid w:val="00CB5FE7"/>
    <w:rsid w:val="00CC099E"/>
    <w:rsid w:val="00CC42D5"/>
    <w:rsid w:val="00CD2D16"/>
    <w:rsid w:val="00CF36A9"/>
    <w:rsid w:val="00CF5BA2"/>
    <w:rsid w:val="00CF61B3"/>
    <w:rsid w:val="00CF6E6C"/>
    <w:rsid w:val="00CF738E"/>
    <w:rsid w:val="00D03C54"/>
    <w:rsid w:val="00D14143"/>
    <w:rsid w:val="00D20663"/>
    <w:rsid w:val="00D2535F"/>
    <w:rsid w:val="00D31ED9"/>
    <w:rsid w:val="00D320B4"/>
    <w:rsid w:val="00D32E11"/>
    <w:rsid w:val="00D45FB3"/>
    <w:rsid w:val="00D61650"/>
    <w:rsid w:val="00D70DB3"/>
    <w:rsid w:val="00D71903"/>
    <w:rsid w:val="00D8024D"/>
    <w:rsid w:val="00D85C67"/>
    <w:rsid w:val="00D91949"/>
    <w:rsid w:val="00D95F50"/>
    <w:rsid w:val="00D97079"/>
    <w:rsid w:val="00DD5B86"/>
    <w:rsid w:val="00DE0F21"/>
    <w:rsid w:val="00DE7A1D"/>
    <w:rsid w:val="00DE7AF7"/>
    <w:rsid w:val="00DF6D73"/>
    <w:rsid w:val="00E02E82"/>
    <w:rsid w:val="00E10409"/>
    <w:rsid w:val="00E10E15"/>
    <w:rsid w:val="00E137ED"/>
    <w:rsid w:val="00E13C51"/>
    <w:rsid w:val="00E15F1A"/>
    <w:rsid w:val="00E2397C"/>
    <w:rsid w:val="00E42418"/>
    <w:rsid w:val="00E52D9B"/>
    <w:rsid w:val="00E5627D"/>
    <w:rsid w:val="00E629CF"/>
    <w:rsid w:val="00E644CB"/>
    <w:rsid w:val="00E708DF"/>
    <w:rsid w:val="00E70997"/>
    <w:rsid w:val="00E77E66"/>
    <w:rsid w:val="00E84EF0"/>
    <w:rsid w:val="00E85FFD"/>
    <w:rsid w:val="00E95574"/>
    <w:rsid w:val="00EA1CBD"/>
    <w:rsid w:val="00EB1C7B"/>
    <w:rsid w:val="00EB54F3"/>
    <w:rsid w:val="00EB79BA"/>
    <w:rsid w:val="00ED248E"/>
    <w:rsid w:val="00ED277A"/>
    <w:rsid w:val="00ED41CD"/>
    <w:rsid w:val="00ED5B8D"/>
    <w:rsid w:val="00EF1B76"/>
    <w:rsid w:val="00EF235C"/>
    <w:rsid w:val="00EF4ADD"/>
    <w:rsid w:val="00EF51F0"/>
    <w:rsid w:val="00EF5D89"/>
    <w:rsid w:val="00F06196"/>
    <w:rsid w:val="00F1187A"/>
    <w:rsid w:val="00F21911"/>
    <w:rsid w:val="00F22083"/>
    <w:rsid w:val="00F228FC"/>
    <w:rsid w:val="00F2777E"/>
    <w:rsid w:val="00F331A1"/>
    <w:rsid w:val="00F44F52"/>
    <w:rsid w:val="00F50927"/>
    <w:rsid w:val="00F53044"/>
    <w:rsid w:val="00F64B20"/>
    <w:rsid w:val="00F71904"/>
    <w:rsid w:val="00F7312C"/>
    <w:rsid w:val="00F74A76"/>
    <w:rsid w:val="00F81B65"/>
    <w:rsid w:val="00F94B6B"/>
    <w:rsid w:val="00FB08AA"/>
    <w:rsid w:val="00FE0F9A"/>
    <w:rsid w:val="00FE362E"/>
    <w:rsid w:val="00FF72B2"/>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C64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E0F21"/>
    <w:pPr>
      <w:spacing w:after="0" w:line="240" w:lineRule="auto"/>
    </w:pPr>
    <w:rPr>
      <w:rFonts w:ascii="Times New Roman" w:hAnsi="Times New Roman" w:cs="Times New Roman"/>
      <w:sz w:val="24"/>
      <w:szCs w:val="24"/>
      <w:lang w:eastAsia="pt-PT"/>
    </w:rPr>
  </w:style>
  <w:style w:type="paragraph" w:styleId="Heading3">
    <w:name w:val="heading 3"/>
    <w:basedOn w:val="Normal"/>
    <w:link w:val="Heading3Char"/>
    <w:uiPriority w:val="9"/>
    <w:qFormat/>
    <w:rsid w:val="00736FC4"/>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64206"/>
    <w:rPr>
      <w:sz w:val="16"/>
      <w:szCs w:val="16"/>
    </w:rPr>
  </w:style>
  <w:style w:type="paragraph" w:styleId="CommentText">
    <w:name w:val="annotation text"/>
    <w:basedOn w:val="Normal"/>
    <w:link w:val="CommentTextChar"/>
    <w:uiPriority w:val="99"/>
    <w:unhideWhenUsed/>
    <w:rsid w:val="00B64206"/>
    <w:pPr>
      <w:spacing w:after="160"/>
    </w:pPr>
    <w:rPr>
      <w:rFonts w:ascii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B64206"/>
    <w:rPr>
      <w:sz w:val="20"/>
      <w:szCs w:val="20"/>
    </w:rPr>
  </w:style>
  <w:style w:type="paragraph" w:styleId="CommentSubject">
    <w:name w:val="annotation subject"/>
    <w:basedOn w:val="CommentText"/>
    <w:next w:val="CommentText"/>
    <w:link w:val="CommentSubjectChar"/>
    <w:uiPriority w:val="99"/>
    <w:semiHidden/>
    <w:unhideWhenUsed/>
    <w:rsid w:val="00B64206"/>
    <w:rPr>
      <w:b/>
      <w:bCs/>
    </w:rPr>
  </w:style>
  <w:style w:type="character" w:customStyle="1" w:styleId="CommentSubjectChar">
    <w:name w:val="Comment Subject Char"/>
    <w:basedOn w:val="CommentTextChar"/>
    <w:link w:val="CommentSubject"/>
    <w:uiPriority w:val="99"/>
    <w:semiHidden/>
    <w:rsid w:val="00B64206"/>
    <w:rPr>
      <w:b/>
      <w:bCs/>
      <w:sz w:val="20"/>
      <w:szCs w:val="20"/>
    </w:rPr>
  </w:style>
  <w:style w:type="paragraph" w:styleId="BalloonText">
    <w:name w:val="Balloon Text"/>
    <w:basedOn w:val="Normal"/>
    <w:link w:val="BalloonTextChar"/>
    <w:uiPriority w:val="99"/>
    <w:semiHidden/>
    <w:unhideWhenUsed/>
    <w:rsid w:val="00B64206"/>
    <w:rPr>
      <w:rFonts w:ascii="Segoe UI" w:hAnsi="Segoe UI" w:cs="Segoe UI"/>
      <w:sz w:val="18"/>
      <w:szCs w:val="18"/>
      <w:lang w:eastAsia="en-US"/>
    </w:rPr>
  </w:style>
  <w:style w:type="character" w:customStyle="1" w:styleId="BalloonTextChar">
    <w:name w:val="Balloon Text Char"/>
    <w:basedOn w:val="DefaultParagraphFont"/>
    <w:link w:val="BalloonText"/>
    <w:uiPriority w:val="99"/>
    <w:semiHidden/>
    <w:rsid w:val="00B64206"/>
    <w:rPr>
      <w:rFonts w:ascii="Segoe UI" w:hAnsi="Segoe UI" w:cs="Segoe UI"/>
      <w:sz w:val="18"/>
      <w:szCs w:val="18"/>
    </w:rPr>
  </w:style>
  <w:style w:type="table" w:styleId="TableGrid">
    <w:name w:val="Table Grid"/>
    <w:basedOn w:val="TableNormal"/>
    <w:uiPriority w:val="39"/>
    <w:rsid w:val="00224B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C2B92"/>
    <w:pPr>
      <w:ind w:left="720"/>
      <w:contextualSpacing/>
    </w:pPr>
  </w:style>
  <w:style w:type="paragraph" w:customStyle="1" w:styleId="textbox">
    <w:name w:val="textbox"/>
    <w:basedOn w:val="Normal"/>
    <w:rsid w:val="00421B21"/>
    <w:pPr>
      <w:spacing w:before="100" w:beforeAutospacing="1" w:after="100" w:afterAutospacing="1"/>
    </w:pPr>
  </w:style>
  <w:style w:type="paragraph" w:styleId="NormalWeb">
    <w:name w:val="Normal (Web)"/>
    <w:basedOn w:val="Normal"/>
    <w:uiPriority w:val="99"/>
    <w:semiHidden/>
    <w:unhideWhenUsed/>
    <w:rsid w:val="00BA0466"/>
    <w:pPr>
      <w:spacing w:before="100" w:beforeAutospacing="1" w:after="100" w:afterAutospacing="1"/>
    </w:pPr>
  </w:style>
  <w:style w:type="character" w:styleId="Hyperlink">
    <w:name w:val="Hyperlink"/>
    <w:basedOn w:val="DefaultParagraphFont"/>
    <w:uiPriority w:val="99"/>
    <w:unhideWhenUsed/>
    <w:rsid w:val="001D1DED"/>
    <w:rPr>
      <w:color w:val="0563C1" w:themeColor="hyperlink"/>
      <w:u w:val="single"/>
    </w:rPr>
  </w:style>
  <w:style w:type="character" w:customStyle="1" w:styleId="Heading3Char">
    <w:name w:val="Heading 3 Char"/>
    <w:basedOn w:val="DefaultParagraphFont"/>
    <w:link w:val="Heading3"/>
    <w:uiPriority w:val="9"/>
    <w:rsid w:val="00736FC4"/>
    <w:rPr>
      <w:rFonts w:ascii="Times New Roman" w:hAnsi="Times New Roman" w:cs="Times New Roman"/>
      <w:b/>
      <w:bCs/>
      <w:sz w:val="27"/>
      <w:szCs w:val="27"/>
      <w:lang w:eastAsia="pt-PT"/>
    </w:rPr>
  </w:style>
  <w:style w:type="character" w:styleId="Emphasis">
    <w:name w:val="Emphasis"/>
    <w:basedOn w:val="DefaultParagraphFont"/>
    <w:uiPriority w:val="20"/>
    <w:qFormat/>
    <w:rsid w:val="00E10E15"/>
    <w:rPr>
      <w:i/>
      <w:iCs/>
    </w:rPr>
  </w:style>
  <w:style w:type="paragraph" w:styleId="FootnoteText">
    <w:name w:val="footnote text"/>
    <w:basedOn w:val="Normal"/>
    <w:link w:val="FootnoteTextChar"/>
    <w:uiPriority w:val="99"/>
    <w:unhideWhenUsed/>
    <w:rsid w:val="008845B1"/>
  </w:style>
  <w:style w:type="character" w:customStyle="1" w:styleId="FootnoteTextChar">
    <w:name w:val="Footnote Text Char"/>
    <w:basedOn w:val="DefaultParagraphFont"/>
    <w:link w:val="FootnoteText"/>
    <w:uiPriority w:val="99"/>
    <w:rsid w:val="008845B1"/>
    <w:rPr>
      <w:rFonts w:ascii="Times New Roman" w:hAnsi="Times New Roman" w:cs="Times New Roman"/>
      <w:sz w:val="24"/>
      <w:szCs w:val="24"/>
      <w:lang w:eastAsia="pt-PT"/>
    </w:rPr>
  </w:style>
  <w:style w:type="character" w:styleId="FootnoteReference">
    <w:name w:val="footnote reference"/>
    <w:basedOn w:val="DefaultParagraphFont"/>
    <w:uiPriority w:val="99"/>
    <w:unhideWhenUsed/>
    <w:rsid w:val="008845B1"/>
    <w:rPr>
      <w:vertAlign w:val="superscript"/>
    </w:rPr>
  </w:style>
  <w:style w:type="paragraph" w:styleId="Revision">
    <w:name w:val="Revision"/>
    <w:hidden/>
    <w:uiPriority w:val="99"/>
    <w:semiHidden/>
    <w:rsid w:val="0054316A"/>
    <w:pPr>
      <w:spacing w:after="0" w:line="240" w:lineRule="auto"/>
    </w:pPr>
    <w:rPr>
      <w:rFonts w:ascii="Times New Roman" w:hAnsi="Times New Roman" w:cs="Times New Roman"/>
      <w:sz w:val="24"/>
      <w:szCs w:val="24"/>
      <w:lang w:eastAsia="pt-PT"/>
    </w:rPr>
  </w:style>
  <w:style w:type="character" w:customStyle="1" w:styleId="ref-journal">
    <w:name w:val="ref-journal"/>
    <w:basedOn w:val="DefaultParagraphFont"/>
    <w:rsid w:val="00DE0F21"/>
  </w:style>
  <w:style w:type="paragraph" w:styleId="EndnoteText">
    <w:name w:val="endnote text"/>
    <w:basedOn w:val="Normal"/>
    <w:link w:val="EndnoteTextChar"/>
    <w:uiPriority w:val="99"/>
    <w:semiHidden/>
    <w:unhideWhenUsed/>
    <w:rsid w:val="0054333C"/>
    <w:rPr>
      <w:sz w:val="20"/>
      <w:szCs w:val="20"/>
    </w:rPr>
  </w:style>
  <w:style w:type="character" w:customStyle="1" w:styleId="EndnoteTextChar">
    <w:name w:val="Endnote Text Char"/>
    <w:basedOn w:val="DefaultParagraphFont"/>
    <w:link w:val="EndnoteText"/>
    <w:uiPriority w:val="99"/>
    <w:semiHidden/>
    <w:rsid w:val="0054333C"/>
    <w:rPr>
      <w:rFonts w:ascii="Times New Roman" w:hAnsi="Times New Roman" w:cs="Times New Roman"/>
      <w:sz w:val="20"/>
      <w:szCs w:val="20"/>
      <w:lang w:eastAsia="pt-PT"/>
    </w:rPr>
  </w:style>
  <w:style w:type="character" w:styleId="EndnoteReference">
    <w:name w:val="endnote reference"/>
    <w:basedOn w:val="DefaultParagraphFont"/>
    <w:uiPriority w:val="99"/>
    <w:semiHidden/>
    <w:unhideWhenUsed/>
    <w:rsid w:val="0054333C"/>
    <w:rPr>
      <w:vertAlign w:val="superscript"/>
    </w:rPr>
  </w:style>
  <w:style w:type="paragraph" w:styleId="Header">
    <w:name w:val="header"/>
    <w:basedOn w:val="Normal"/>
    <w:link w:val="HeaderChar"/>
    <w:uiPriority w:val="99"/>
    <w:unhideWhenUsed/>
    <w:rsid w:val="00A24DF8"/>
    <w:pPr>
      <w:tabs>
        <w:tab w:val="center" w:pos="4252"/>
        <w:tab w:val="right" w:pos="8504"/>
      </w:tabs>
    </w:pPr>
  </w:style>
  <w:style w:type="character" w:customStyle="1" w:styleId="HeaderChar">
    <w:name w:val="Header Char"/>
    <w:basedOn w:val="DefaultParagraphFont"/>
    <w:link w:val="Header"/>
    <w:uiPriority w:val="99"/>
    <w:rsid w:val="00A24DF8"/>
    <w:rPr>
      <w:rFonts w:ascii="Times New Roman" w:hAnsi="Times New Roman" w:cs="Times New Roman"/>
      <w:sz w:val="24"/>
      <w:szCs w:val="24"/>
      <w:lang w:eastAsia="pt-PT"/>
    </w:rPr>
  </w:style>
  <w:style w:type="paragraph" w:styleId="Footer">
    <w:name w:val="footer"/>
    <w:basedOn w:val="Normal"/>
    <w:link w:val="FooterChar"/>
    <w:uiPriority w:val="99"/>
    <w:unhideWhenUsed/>
    <w:rsid w:val="00A24DF8"/>
    <w:pPr>
      <w:tabs>
        <w:tab w:val="center" w:pos="4252"/>
        <w:tab w:val="right" w:pos="8504"/>
      </w:tabs>
    </w:pPr>
  </w:style>
  <w:style w:type="character" w:customStyle="1" w:styleId="FooterChar">
    <w:name w:val="Footer Char"/>
    <w:basedOn w:val="DefaultParagraphFont"/>
    <w:link w:val="Footer"/>
    <w:uiPriority w:val="99"/>
    <w:rsid w:val="00A24DF8"/>
    <w:rPr>
      <w:rFonts w:ascii="Times New Roman" w:hAnsi="Times New Roman" w:cs="Times New Roman"/>
      <w:sz w:val="24"/>
      <w:szCs w:val="24"/>
      <w:lang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155951">
      <w:bodyDiv w:val="1"/>
      <w:marLeft w:val="0"/>
      <w:marRight w:val="0"/>
      <w:marTop w:val="0"/>
      <w:marBottom w:val="0"/>
      <w:divBdr>
        <w:top w:val="none" w:sz="0" w:space="0" w:color="auto"/>
        <w:left w:val="none" w:sz="0" w:space="0" w:color="auto"/>
        <w:bottom w:val="none" w:sz="0" w:space="0" w:color="auto"/>
        <w:right w:val="none" w:sz="0" w:space="0" w:color="auto"/>
      </w:divBdr>
    </w:div>
    <w:div w:id="43650533">
      <w:bodyDiv w:val="1"/>
      <w:marLeft w:val="0"/>
      <w:marRight w:val="0"/>
      <w:marTop w:val="0"/>
      <w:marBottom w:val="0"/>
      <w:divBdr>
        <w:top w:val="none" w:sz="0" w:space="0" w:color="auto"/>
        <w:left w:val="none" w:sz="0" w:space="0" w:color="auto"/>
        <w:bottom w:val="none" w:sz="0" w:space="0" w:color="auto"/>
        <w:right w:val="none" w:sz="0" w:space="0" w:color="auto"/>
      </w:divBdr>
    </w:div>
    <w:div w:id="46299982">
      <w:bodyDiv w:val="1"/>
      <w:marLeft w:val="0"/>
      <w:marRight w:val="0"/>
      <w:marTop w:val="0"/>
      <w:marBottom w:val="0"/>
      <w:divBdr>
        <w:top w:val="none" w:sz="0" w:space="0" w:color="auto"/>
        <w:left w:val="none" w:sz="0" w:space="0" w:color="auto"/>
        <w:bottom w:val="none" w:sz="0" w:space="0" w:color="auto"/>
        <w:right w:val="none" w:sz="0" w:space="0" w:color="auto"/>
      </w:divBdr>
    </w:div>
    <w:div w:id="59595697">
      <w:bodyDiv w:val="1"/>
      <w:marLeft w:val="0"/>
      <w:marRight w:val="0"/>
      <w:marTop w:val="0"/>
      <w:marBottom w:val="0"/>
      <w:divBdr>
        <w:top w:val="none" w:sz="0" w:space="0" w:color="auto"/>
        <w:left w:val="none" w:sz="0" w:space="0" w:color="auto"/>
        <w:bottom w:val="none" w:sz="0" w:space="0" w:color="auto"/>
        <w:right w:val="none" w:sz="0" w:space="0" w:color="auto"/>
      </w:divBdr>
    </w:div>
    <w:div w:id="119765186">
      <w:bodyDiv w:val="1"/>
      <w:marLeft w:val="0"/>
      <w:marRight w:val="0"/>
      <w:marTop w:val="0"/>
      <w:marBottom w:val="0"/>
      <w:divBdr>
        <w:top w:val="none" w:sz="0" w:space="0" w:color="auto"/>
        <w:left w:val="none" w:sz="0" w:space="0" w:color="auto"/>
        <w:bottom w:val="none" w:sz="0" w:space="0" w:color="auto"/>
        <w:right w:val="none" w:sz="0" w:space="0" w:color="auto"/>
      </w:divBdr>
    </w:div>
    <w:div w:id="143619018">
      <w:bodyDiv w:val="1"/>
      <w:marLeft w:val="0"/>
      <w:marRight w:val="0"/>
      <w:marTop w:val="0"/>
      <w:marBottom w:val="0"/>
      <w:divBdr>
        <w:top w:val="none" w:sz="0" w:space="0" w:color="auto"/>
        <w:left w:val="none" w:sz="0" w:space="0" w:color="auto"/>
        <w:bottom w:val="none" w:sz="0" w:space="0" w:color="auto"/>
        <w:right w:val="none" w:sz="0" w:space="0" w:color="auto"/>
      </w:divBdr>
    </w:div>
    <w:div w:id="160435921">
      <w:bodyDiv w:val="1"/>
      <w:marLeft w:val="0"/>
      <w:marRight w:val="0"/>
      <w:marTop w:val="0"/>
      <w:marBottom w:val="0"/>
      <w:divBdr>
        <w:top w:val="none" w:sz="0" w:space="0" w:color="auto"/>
        <w:left w:val="none" w:sz="0" w:space="0" w:color="auto"/>
        <w:bottom w:val="none" w:sz="0" w:space="0" w:color="auto"/>
        <w:right w:val="none" w:sz="0" w:space="0" w:color="auto"/>
      </w:divBdr>
    </w:div>
    <w:div w:id="167061013">
      <w:bodyDiv w:val="1"/>
      <w:marLeft w:val="0"/>
      <w:marRight w:val="0"/>
      <w:marTop w:val="0"/>
      <w:marBottom w:val="0"/>
      <w:divBdr>
        <w:top w:val="none" w:sz="0" w:space="0" w:color="auto"/>
        <w:left w:val="none" w:sz="0" w:space="0" w:color="auto"/>
        <w:bottom w:val="none" w:sz="0" w:space="0" w:color="auto"/>
        <w:right w:val="none" w:sz="0" w:space="0" w:color="auto"/>
      </w:divBdr>
    </w:div>
    <w:div w:id="172034922">
      <w:bodyDiv w:val="1"/>
      <w:marLeft w:val="0"/>
      <w:marRight w:val="0"/>
      <w:marTop w:val="0"/>
      <w:marBottom w:val="0"/>
      <w:divBdr>
        <w:top w:val="none" w:sz="0" w:space="0" w:color="auto"/>
        <w:left w:val="none" w:sz="0" w:space="0" w:color="auto"/>
        <w:bottom w:val="none" w:sz="0" w:space="0" w:color="auto"/>
        <w:right w:val="none" w:sz="0" w:space="0" w:color="auto"/>
      </w:divBdr>
    </w:div>
    <w:div w:id="216824933">
      <w:bodyDiv w:val="1"/>
      <w:marLeft w:val="0"/>
      <w:marRight w:val="0"/>
      <w:marTop w:val="0"/>
      <w:marBottom w:val="0"/>
      <w:divBdr>
        <w:top w:val="none" w:sz="0" w:space="0" w:color="auto"/>
        <w:left w:val="none" w:sz="0" w:space="0" w:color="auto"/>
        <w:bottom w:val="none" w:sz="0" w:space="0" w:color="auto"/>
        <w:right w:val="none" w:sz="0" w:space="0" w:color="auto"/>
      </w:divBdr>
    </w:div>
    <w:div w:id="243296202">
      <w:bodyDiv w:val="1"/>
      <w:marLeft w:val="0"/>
      <w:marRight w:val="0"/>
      <w:marTop w:val="0"/>
      <w:marBottom w:val="0"/>
      <w:divBdr>
        <w:top w:val="none" w:sz="0" w:space="0" w:color="auto"/>
        <w:left w:val="none" w:sz="0" w:space="0" w:color="auto"/>
        <w:bottom w:val="none" w:sz="0" w:space="0" w:color="auto"/>
        <w:right w:val="none" w:sz="0" w:space="0" w:color="auto"/>
      </w:divBdr>
    </w:div>
    <w:div w:id="258491891">
      <w:bodyDiv w:val="1"/>
      <w:marLeft w:val="0"/>
      <w:marRight w:val="0"/>
      <w:marTop w:val="0"/>
      <w:marBottom w:val="0"/>
      <w:divBdr>
        <w:top w:val="none" w:sz="0" w:space="0" w:color="auto"/>
        <w:left w:val="none" w:sz="0" w:space="0" w:color="auto"/>
        <w:bottom w:val="none" w:sz="0" w:space="0" w:color="auto"/>
        <w:right w:val="none" w:sz="0" w:space="0" w:color="auto"/>
      </w:divBdr>
    </w:div>
    <w:div w:id="274217240">
      <w:bodyDiv w:val="1"/>
      <w:marLeft w:val="0"/>
      <w:marRight w:val="0"/>
      <w:marTop w:val="0"/>
      <w:marBottom w:val="0"/>
      <w:divBdr>
        <w:top w:val="none" w:sz="0" w:space="0" w:color="auto"/>
        <w:left w:val="none" w:sz="0" w:space="0" w:color="auto"/>
        <w:bottom w:val="none" w:sz="0" w:space="0" w:color="auto"/>
        <w:right w:val="none" w:sz="0" w:space="0" w:color="auto"/>
      </w:divBdr>
    </w:div>
    <w:div w:id="275404521">
      <w:bodyDiv w:val="1"/>
      <w:marLeft w:val="0"/>
      <w:marRight w:val="0"/>
      <w:marTop w:val="0"/>
      <w:marBottom w:val="0"/>
      <w:divBdr>
        <w:top w:val="none" w:sz="0" w:space="0" w:color="auto"/>
        <w:left w:val="none" w:sz="0" w:space="0" w:color="auto"/>
        <w:bottom w:val="none" w:sz="0" w:space="0" w:color="auto"/>
        <w:right w:val="none" w:sz="0" w:space="0" w:color="auto"/>
      </w:divBdr>
    </w:div>
    <w:div w:id="298221361">
      <w:bodyDiv w:val="1"/>
      <w:marLeft w:val="0"/>
      <w:marRight w:val="0"/>
      <w:marTop w:val="0"/>
      <w:marBottom w:val="0"/>
      <w:divBdr>
        <w:top w:val="none" w:sz="0" w:space="0" w:color="auto"/>
        <w:left w:val="none" w:sz="0" w:space="0" w:color="auto"/>
        <w:bottom w:val="none" w:sz="0" w:space="0" w:color="auto"/>
        <w:right w:val="none" w:sz="0" w:space="0" w:color="auto"/>
      </w:divBdr>
    </w:div>
    <w:div w:id="300161259">
      <w:bodyDiv w:val="1"/>
      <w:marLeft w:val="0"/>
      <w:marRight w:val="0"/>
      <w:marTop w:val="0"/>
      <w:marBottom w:val="0"/>
      <w:divBdr>
        <w:top w:val="none" w:sz="0" w:space="0" w:color="auto"/>
        <w:left w:val="none" w:sz="0" w:space="0" w:color="auto"/>
        <w:bottom w:val="none" w:sz="0" w:space="0" w:color="auto"/>
        <w:right w:val="none" w:sz="0" w:space="0" w:color="auto"/>
      </w:divBdr>
    </w:div>
    <w:div w:id="303703726">
      <w:bodyDiv w:val="1"/>
      <w:marLeft w:val="0"/>
      <w:marRight w:val="0"/>
      <w:marTop w:val="0"/>
      <w:marBottom w:val="0"/>
      <w:divBdr>
        <w:top w:val="none" w:sz="0" w:space="0" w:color="auto"/>
        <w:left w:val="none" w:sz="0" w:space="0" w:color="auto"/>
        <w:bottom w:val="none" w:sz="0" w:space="0" w:color="auto"/>
        <w:right w:val="none" w:sz="0" w:space="0" w:color="auto"/>
      </w:divBdr>
    </w:div>
    <w:div w:id="307978805">
      <w:bodyDiv w:val="1"/>
      <w:marLeft w:val="0"/>
      <w:marRight w:val="0"/>
      <w:marTop w:val="0"/>
      <w:marBottom w:val="0"/>
      <w:divBdr>
        <w:top w:val="none" w:sz="0" w:space="0" w:color="auto"/>
        <w:left w:val="none" w:sz="0" w:space="0" w:color="auto"/>
        <w:bottom w:val="none" w:sz="0" w:space="0" w:color="auto"/>
        <w:right w:val="none" w:sz="0" w:space="0" w:color="auto"/>
      </w:divBdr>
    </w:div>
    <w:div w:id="322321599">
      <w:bodyDiv w:val="1"/>
      <w:marLeft w:val="0"/>
      <w:marRight w:val="0"/>
      <w:marTop w:val="0"/>
      <w:marBottom w:val="0"/>
      <w:divBdr>
        <w:top w:val="none" w:sz="0" w:space="0" w:color="auto"/>
        <w:left w:val="none" w:sz="0" w:space="0" w:color="auto"/>
        <w:bottom w:val="none" w:sz="0" w:space="0" w:color="auto"/>
        <w:right w:val="none" w:sz="0" w:space="0" w:color="auto"/>
      </w:divBdr>
    </w:div>
    <w:div w:id="344018686">
      <w:bodyDiv w:val="1"/>
      <w:marLeft w:val="0"/>
      <w:marRight w:val="0"/>
      <w:marTop w:val="0"/>
      <w:marBottom w:val="0"/>
      <w:divBdr>
        <w:top w:val="none" w:sz="0" w:space="0" w:color="auto"/>
        <w:left w:val="none" w:sz="0" w:space="0" w:color="auto"/>
        <w:bottom w:val="none" w:sz="0" w:space="0" w:color="auto"/>
        <w:right w:val="none" w:sz="0" w:space="0" w:color="auto"/>
      </w:divBdr>
    </w:div>
    <w:div w:id="391850335">
      <w:bodyDiv w:val="1"/>
      <w:marLeft w:val="0"/>
      <w:marRight w:val="0"/>
      <w:marTop w:val="0"/>
      <w:marBottom w:val="0"/>
      <w:divBdr>
        <w:top w:val="none" w:sz="0" w:space="0" w:color="auto"/>
        <w:left w:val="none" w:sz="0" w:space="0" w:color="auto"/>
        <w:bottom w:val="none" w:sz="0" w:space="0" w:color="auto"/>
        <w:right w:val="none" w:sz="0" w:space="0" w:color="auto"/>
      </w:divBdr>
    </w:div>
    <w:div w:id="418719232">
      <w:bodyDiv w:val="1"/>
      <w:marLeft w:val="0"/>
      <w:marRight w:val="0"/>
      <w:marTop w:val="0"/>
      <w:marBottom w:val="0"/>
      <w:divBdr>
        <w:top w:val="none" w:sz="0" w:space="0" w:color="auto"/>
        <w:left w:val="none" w:sz="0" w:space="0" w:color="auto"/>
        <w:bottom w:val="none" w:sz="0" w:space="0" w:color="auto"/>
        <w:right w:val="none" w:sz="0" w:space="0" w:color="auto"/>
      </w:divBdr>
    </w:div>
    <w:div w:id="467163085">
      <w:bodyDiv w:val="1"/>
      <w:marLeft w:val="0"/>
      <w:marRight w:val="0"/>
      <w:marTop w:val="0"/>
      <w:marBottom w:val="0"/>
      <w:divBdr>
        <w:top w:val="none" w:sz="0" w:space="0" w:color="auto"/>
        <w:left w:val="none" w:sz="0" w:space="0" w:color="auto"/>
        <w:bottom w:val="none" w:sz="0" w:space="0" w:color="auto"/>
        <w:right w:val="none" w:sz="0" w:space="0" w:color="auto"/>
      </w:divBdr>
    </w:div>
    <w:div w:id="481430645">
      <w:bodyDiv w:val="1"/>
      <w:marLeft w:val="0"/>
      <w:marRight w:val="0"/>
      <w:marTop w:val="0"/>
      <w:marBottom w:val="0"/>
      <w:divBdr>
        <w:top w:val="none" w:sz="0" w:space="0" w:color="auto"/>
        <w:left w:val="none" w:sz="0" w:space="0" w:color="auto"/>
        <w:bottom w:val="none" w:sz="0" w:space="0" w:color="auto"/>
        <w:right w:val="none" w:sz="0" w:space="0" w:color="auto"/>
      </w:divBdr>
    </w:div>
    <w:div w:id="489176585">
      <w:bodyDiv w:val="1"/>
      <w:marLeft w:val="0"/>
      <w:marRight w:val="0"/>
      <w:marTop w:val="0"/>
      <w:marBottom w:val="0"/>
      <w:divBdr>
        <w:top w:val="none" w:sz="0" w:space="0" w:color="auto"/>
        <w:left w:val="none" w:sz="0" w:space="0" w:color="auto"/>
        <w:bottom w:val="none" w:sz="0" w:space="0" w:color="auto"/>
        <w:right w:val="none" w:sz="0" w:space="0" w:color="auto"/>
      </w:divBdr>
    </w:div>
    <w:div w:id="496195095">
      <w:bodyDiv w:val="1"/>
      <w:marLeft w:val="0"/>
      <w:marRight w:val="0"/>
      <w:marTop w:val="0"/>
      <w:marBottom w:val="0"/>
      <w:divBdr>
        <w:top w:val="none" w:sz="0" w:space="0" w:color="auto"/>
        <w:left w:val="none" w:sz="0" w:space="0" w:color="auto"/>
        <w:bottom w:val="none" w:sz="0" w:space="0" w:color="auto"/>
        <w:right w:val="none" w:sz="0" w:space="0" w:color="auto"/>
      </w:divBdr>
    </w:div>
    <w:div w:id="508525626">
      <w:bodyDiv w:val="1"/>
      <w:marLeft w:val="0"/>
      <w:marRight w:val="0"/>
      <w:marTop w:val="0"/>
      <w:marBottom w:val="0"/>
      <w:divBdr>
        <w:top w:val="none" w:sz="0" w:space="0" w:color="auto"/>
        <w:left w:val="none" w:sz="0" w:space="0" w:color="auto"/>
        <w:bottom w:val="none" w:sz="0" w:space="0" w:color="auto"/>
        <w:right w:val="none" w:sz="0" w:space="0" w:color="auto"/>
      </w:divBdr>
    </w:div>
    <w:div w:id="521285720">
      <w:bodyDiv w:val="1"/>
      <w:marLeft w:val="0"/>
      <w:marRight w:val="0"/>
      <w:marTop w:val="0"/>
      <w:marBottom w:val="0"/>
      <w:divBdr>
        <w:top w:val="none" w:sz="0" w:space="0" w:color="auto"/>
        <w:left w:val="none" w:sz="0" w:space="0" w:color="auto"/>
        <w:bottom w:val="none" w:sz="0" w:space="0" w:color="auto"/>
        <w:right w:val="none" w:sz="0" w:space="0" w:color="auto"/>
      </w:divBdr>
    </w:div>
    <w:div w:id="528030157">
      <w:bodyDiv w:val="1"/>
      <w:marLeft w:val="0"/>
      <w:marRight w:val="0"/>
      <w:marTop w:val="0"/>
      <w:marBottom w:val="0"/>
      <w:divBdr>
        <w:top w:val="none" w:sz="0" w:space="0" w:color="auto"/>
        <w:left w:val="none" w:sz="0" w:space="0" w:color="auto"/>
        <w:bottom w:val="none" w:sz="0" w:space="0" w:color="auto"/>
        <w:right w:val="none" w:sz="0" w:space="0" w:color="auto"/>
      </w:divBdr>
    </w:div>
    <w:div w:id="528759940">
      <w:bodyDiv w:val="1"/>
      <w:marLeft w:val="0"/>
      <w:marRight w:val="0"/>
      <w:marTop w:val="0"/>
      <w:marBottom w:val="0"/>
      <w:divBdr>
        <w:top w:val="none" w:sz="0" w:space="0" w:color="auto"/>
        <w:left w:val="none" w:sz="0" w:space="0" w:color="auto"/>
        <w:bottom w:val="none" w:sz="0" w:space="0" w:color="auto"/>
        <w:right w:val="none" w:sz="0" w:space="0" w:color="auto"/>
      </w:divBdr>
    </w:div>
    <w:div w:id="574514434">
      <w:bodyDiv w:val="1"/>
      <w:marLeft w:val="0"/>
      <w:marRight w:val="0"/>
      <w:marTop w:val="0"/>
      <w:marBottom w:val="0"/>
      <w:divBdr>
        <w:top w:val="none" w:sz="0" w:space="0" w:color="auto"/>
        <w:left w:val="none" w:sz="0" w:space="0" w:color="auto"/>
        <w:bottom w:val="none" w:sz="0" w:space="0" w:color="auto"/>
        <w:right w:val="none" w:sz="0" w:space="0" w:color="auto"/>
      </w:divBdr>
    </w:div>
    <w:div w:id="601570148">
      <w:bodyDiv w:val="1"/>
      <w:marLeft w:val="0"/>
      <w:marRight w:val="0"/>
      <w:marTop w:val="0"/>
      <w:marBottom w:val="0"/>
      <w:divBdr>
        <w:top w:val="none" w:sz="0" w:space="0" w:color="auto"/>
        <w:left w:val="none" w:sz="0" w:space="0" w:color="auto"/>
        <w:bottom w:val="none" w:sz="0" w:space="0" w:color="auto"/>
        <w:right w:val="none" w:sz="0" w:space="0" w:color="auto"/>
      </w:divBdr>
    </w:div>
    <w:div w:id="663705126">
      <w:bodyDiv w:val="1"/>
      <w:marLeft w:val="0"/>
      <w:marRight w:val="0"/>
      <w:marTop w:val="0"/>
      <w:marBottom w:val="0"/>
      <w:divBdr>
        <w:top w:val="none" w:sz="0" w:space="0" w:color="auto"/>
        <w:left w:val="none" w:sz="0" w:space="0" w:color="auto"/>
        <w:bottom w:val="none" w:sz="0" w:space="0" w:color="auto"/>
        <w:right w:val="none" w:sz="0" w:space="0" w:color="auto"/>
      </w:divBdr>
    </w:div>
    <w:div w:id="672608251">
      <w:bodyDiv w:val="1"/>
      <w:marLeft w:val="0"/>
      <w:marRight w:val="0"/>
      <w:marTop w:val="0"/>
      <w:marBottom w:val="0"/>
      <w:divBdr>
        <w:top w:val="none" w:sz="0" w:space="0" w:color="auto"/>
        <w:left w:val="none" w:sz="0" w:space="0" w:color="auto"/>
        <w:bottom w:val="none" w:sz="0" w:space="0" w:color="auto"/>
        <w:right w:val="none" w:sz="0" w:space="0" w:color="auto"/>
      </w:divBdr>
    </w:div>
    <w:div w:id="677394170">
      <w:bodyDiv w:val="1"/>
      <w:marLeft w:val="0"/>
      <w:marRight w:val="0"/>
      <w:marTop w:val="0"/>
      <w:marBottom w:val="0"/>
      <w:divBdr>
        <w:top w:val="none" w:sz="0" w:space="0" w:color="auto"/>
        <w:left w:val="none" w:sz="0" w:space="0" w:color="auto"/>
        <w:bottom w:val="none" w:sz="0" w:space="0" w:color="auto"/>
        <w:right w:val="none" w:sz="0" w:space="0" w:color="auto"/>
      </w:divBdr>
    </w:div>
    <w:div w:id="769861452">
      <w:bodyDiv w:val="1"/>
      <w:marLeft w:val="0"/>
      <w:marRight w:val="0"/>
      <w:marTop w:val="0"/>
      <w:marBottom w:val="0"/>
      <w:divBdr>
        <w:top w:val="none" w:sz="0" w:space="0" w:color="auto"/>
        <w:left w:val="none" w:sz="0" w:space="0" w:color="auto"/>
        <w:bottom w:val="none" w:sz="0" w:space="0" w:color="auto"/>
        <w:right w:val="none" w:sz="0" w:space="0" w:color="auto"/>
      </w:divBdr>
    </w:div>
    <w:div w:id="771706496">
      <w:bodyDiv w:val="1"/>
      <w:marLeft w:val="0"/>
      <w:marRight w:val="0"/>
      <w:marTop w:val="0"/>
      <w:marBottom w:val="0"/>
      <w:divBdr>
        <w:top w:val="none" w:sz="0" w:space="0" w:color="auto"/>
        <w:left w:val="none" w:sz="0" w:space="0" w:color="auto"/>
        <w:bottom w:val="none" w:sz="0" w:space="0" w:color="auto"/>
        <w:right w:val="none" w:sz="0" w:space="0" w:color="auto"/>
      </w:divBdr>
    </w:div>
    <w:div w:id="830758424">
      <w:bodyDiv w:val="1"/>
      <w:marLeft w:val="0"/>
      <w:marRight w:val="0"/>
      <w:marTop w:val="0"/>
      <w:marBottom w:val="0"/>
      <w:divBdr>
        <w:top w:val="none" w:sz="0" w:space="0" w:color="auto"/>
        <w:left w:val="none" w:sz="0" w:space="0" w:color="auto"/>
        <w:bottom w:val="none" w:sz="0" w:space="0" w:color="auto"/>
        <w:right w:val="none" w:sz="0" w:space="0" w:color="auto"/>
      </w:divBdr>
    </w:div>
    <w:div w:id="833574031">
      <w:bodyDiv w:val="1"/>
      <w:marLeft w:val="0"/>
      <w:marRight w:val="0"/>
      <w:marTop w:val="0"/>
      <w:marBottom w:val="0"/>
      <w:divBdr>
        <w:top w:val="none" w:sz="0" w:space="0" w:color="auto"/>
        <w:left w:val="none" w:sz="0" w:space="0" w:color="auto"/>
        <w:bottom w:val="none" w:sz="0" w:space="0" w:color="auto"/>
        <w:right w:val="none" w:sz="0" w:space="0" w:color="auto"/>
      </w:divBdr>
    </w:div>
    <w:div w:id="836337052">
      <w:bodyDiv w:val="1"/>
      <w:marLeft w:val="0"/>
      <w:marRight w:val="0"/>
      <w:marTop w:val="0"/>
      <w:marBottom w:val="0"/>
      <w:divBdr>
        <w:top w:val="none" w:sz="0" w:space="0" w:color="auto"/>
        <w:left w:val="none" w:sz="0" w:space="0" w:color="auto"/>
        <w:bottom w:val="none" w:sz="0" w:space="0" w:color="auto"/>
        <w:right w:val="none" w:sz="0" w:space="0" w:color="auto"/>
      </w:divBdr>
    </w:div>
    <w:div w:id="857157979">
      <w:bodyDiv w:val="1"/>
      <w:marLeft w:val="0"/>
      <w:marRight w:val="0"/>
      <w:marTop w:val="0"/>
      <w:marBottom w:val="0"/>
      <w:divBdr>
        <w:top w:val="none" w:sz="0" w:space="0" w:color="auto"/>
        <w:left w:val="none" w:sz="0" w:space="0" w:color="auto"/>
        <w:bottom w:val="none" w:sz="0" w:space="0" w:color="auto"/>
        <w:right w:val="none" w:sz="0" w:space="0" w:color="auto"/>
      </w:divBdr>
    </w:div>
    <w:div w:id="860356974">
      <w:bodyDiv w:val="1"/>
      <w:marLeft w:val="0"/>
      <w:marRight w:val="0"/>
      <w:marTop w:val="0"/>
      <w:marBottom w:val="0"/>
      <w:divBdr>
        <w:top w:val="none" w:sz="0" w:space="0" w:color="auto"/>
        <w:left w:val="none" w:sz="0" w:space="0" w:color="auto"/>
        <w:bottom w:val="none" w:sz="0" w:space="0" w:color="auto"/>
        <w:right w:val="none" w:sz="0" w:space="0" w:color="auto"/>
      </w:divBdr>
    </w:div>
    <w:div w:id="1005789645">
      <w:bodyDiv w:val="1"/>
      <w:marLeft w:val="0"/>
      <w:marRight w:val="0"/>
      <w:marTop w:val="0"/>
      <w:marBottom w:val="0"/>
      <w:divBdr>
        <w:top w:val="none" w:sz="0" w:space="0" w:color="auto"/>
        <w:left w:val="none" w:sz="0" w:space="0" w:color="auto"/>
        <w:bottom w:val="none" w:sz="0" w:space="0" w:color="auto"/>
        <w:right w:val="none" w:sz="0" w:space="0" w:color="auto"/>
      </w:divBdr>
    </w:div>
    <w:div w:id="1015621437">
      <w:bodyDiv w:val="1"/>
      <w:marLeft w:val="0"/>
      <w:marRight w:val="0"/>
      <w:marTop w:val="0"/>
      <w:marBottom w:val="0"/>
      <w:divBdr>
        <w:top w:val="none" w:sz="0" w:space="0" w:color="auto"/>
        <w:left w:val="none" w:sz="0" w:space="0" w:color="auto"/>
        <w:bottom w:val="none" w:sz="0" w:space="0" w:color="auto"/>
        <w:right w:val="none" w:sz="0" w:space="0" w:color="auto"/>
      </w:divBdr>
    </w:div>
    <w:div w:id="1023943513">
      <w:bodyDiv w:val="1"/>
      <w:marLeft w:val="0"/>
      <w:marRight w:val="0"/>
      <w:marTop w:val="0"/>
      <w:marBottom w:val="0"/>
      <w:divBdr>
        <w:top w:val="none" w:sz="0" w:space="0" w:color="auto"/>
        <w:left w:val="none" w:sz="0" w:space="0" w:color="auto"/>
        <w:bottom w:val="none" w:sz="0" w:space="0" w:color="auto"/>
        <w:right w:val="none" w:sz="0" w:space="0" w:color="auto"/>
      </w:divBdr>
    </w:div>
    <w:div w:id="1098673865">
      <w:bodyDiv w:val="1"/>
      <w:marLeft w:val="0"/>
      <w:marRight w:val="0"/>
      <w:marTop w:val="0"/>
      <w:marBottom w:val="0"/>
      <w:divBdr>
        <w:top w:val="none" w:sz="0" w:space="0" w:color="auto"/>
        <w:left w:val="none" w:sz="0" w:space="0" w:color="auto"/>
        <w:bottom w:val="none" w:sz="0" w:space="0" w:color="auto"/>
        <w:right w:val="none" w:sz="0" w:space="0" w:color="auto"/>
      </w:divBdr>
    </w:div>
    <w:div w:id="1141768250">
      <w:bodyDiv w:val="1"/>
      <w:marLeft w:val="0"/>
      <w:marRight w:val="0"/>
      <w:marTop w:val="0"/>
      <w:marBottom w:val="0"/>
      <w:divBdr>
        <w:top w:val="none" w:sz="0" w:space="0" w:color="auto"/>
        <w:left w:val="none" w:sz="0" w:space="0" w:color="auto"/>
        <w:bottom w:val="none" w:sz="0" w:space="0" w:color="auto"/>
        <w:right w:val="none" w:sz="0" w:space="0" w:color="auto"/>
      </w:divBdr>
    </w:div>
    <w:div w:id="1216625041">
      <w:bodyDiv w:val="1"/>
      <w:marLeft w:val="0"/>
      <w:marRight w:val="0"/>
      <w:marTop w:val="0"/>
      <w:marBottom w:val="0"/>
      <w:divBdr>
        <w:top w:val="none" w:sz="0" w:space="0" w:color="auto"/>
        <w:left w:val="none" w:sz="0" w:space="0" w:color="auto"/>
        <w:bottom w:val="none" w:sz="0" w:space="0" w:color="auto"/>
        <w:right w:val="none" w:sz="0" w:space="0" w:color="auto"/>
      </w:divBdr>
    </w:div>
    <w:div w:id="1235507237">
      <w:bodyDiv w:val="1"/>
      <w:marLeft w:val="0"/>
      <w:marRight w:val="0"/>
      <w:marTop w:val="0"/>
      <w:marBottom w:val="0"/>
      <w:divBdr>
        <w:top w:val="none" w:sz="0" w:space="0" w:color="auto"/>
        <w:left w:val="none" w:sz="0" w:space="0" w:color="auto"/>
        <w:bottom w:val="none" w:sz="0" w:space="0" w:color="auto"/>
        <w:right w:val="none" w:sz="0" w:space="0" w:color="auto"/>
      </w:divBdr>
    </w:div>
    <w:div w:id="1268540119">
      <w:bodyDiv w:val="1"/>
      <w:marLeft w:val="0"/>
      <w:marRight w:val="0"/>
      <w:marTop w:val="0"/>
      <w:marBottom w:val="0"/>
      <w:divBdr>
        <w:top w:val="none" w:sz="0" w:space="0" w:color="auto"/>
        <w:left w:val="none" w:sz="0" w:space="0" w:color="auto"/>
        <w:bottom w:val="none" w:sz="0" w:space="0" w:color="auto"/>
        <w:right w:val="none" w:sz="0" w:space="0" w:color="auto"/>
      </w:divBdr>
    </w:div>
    <w:div w:id="1273823360">
      <w:bodyDiv w:val="1"/>
      <w:marLeft w:val="0"/>
      <w:marRight w:val="0"/>
      <w:marTop w:val="0"/>
      <w:marBottom w:val="0"/>
      <w:divBdr>
        <w:top w:val="none" w:sz="0" w:space="0" w:color="auto"/>
        <w:left w:val="none" w:sz="0" w:space="0" w:color="auto"/>
        <w:bottom w:val="none" w:sz="0" w:space="0" w:color="auto"/>
        <w:right w:val="none" w:sz="0" w:space="0" w:color="auto"/>
      </w:divBdr>
    </w:div>
    <w:div w:id="1292983345">
      <w:bodyDiv w:val="1"/>
      <w:marLeft w:val="0"/>
      <w:marRight w:val="0"/>
      <w:marTop w:val="0"/>
      <w:marBottom w:val="0"/>
      <w:divBdr>
        <w:top w:val="none" w:sz="0" w:space="0" w:color="auto"/>
        <w:left w:val="none" w:sz="0" w:space="0" w:color="auto"/>
        <w:bottom w:val="none" w:sz="0" w:space="0" w:color="auto"/>
        <w:right w:val="none" w:sz="0" w:space="0" w:color="auto"/>
      </w:divBdr>
    </w:div>
    <w:div w:id="1326132655">
      <w:bodyDiv w:val="1"/>
      <w:marLeft w:val="0"/>
      <w:marRight w:val="0"/>
      <w:marTop w:val="0"/>
      <w:marBottom w:val="0"/>
      <w:divBdr>
        <w:top w:val="none" w:sz="0" w:space="0" w:color="auto"/>
        <w:left w:val="none" w:sz="0" w:space="0" w:color="auto"/>
        <w:bottom w:val="none" w:sz="0" w:space="0" w:color="auto"/>
        <w:right w:val="none" w:sz="0" w:space="0" w:color="auto"/>
      </w:divBdr>
    </w:div>
    <w:div w:id="1345667418">
      <w:bodyDiv w:val="1"/>
      <w:marLeft w:val="0"/>
      <w:marRight w:val="0"/>
      <w:marTop w:val="0"/>
      <w:marBottom w:val="0"/>
      <w:divBdr>
        <w:top w:val="none" w:sz="0" w:space="0" w:color="auto"/>
        <w:left w:val="none" w:sz="0" w:space="0" w:color="auto"/>
        <w:bottom w:val="none" w:sz="0" w:space="0" w:color="auto"/>
        <w:right w:val="none" w:sz="0" w:space="0" w:color="auto"/>
      </w:divBdr>
    </w:div>
    <w:div w:id="1346437532">
      <w:bodyDiv w:val="1"/>
      <w:marLeft w:val="0"/>
      <w:marRight w:val="0"/>
      <w:marTop w:val="0"/>
      <w:marBottom w:val="0"/>
      <w:divBdr>
        <w:top w:val="none" w:sz="0" w:space="0" w:color="auto"/>
        <w:left w:val="none" w:sz="0" w:space="0" w:color="auto"/>
        <w:bottom w:val="none" w:sz="0" w:space="0" w:color="auto"/>
        <w:right w:val="none" w:sz="0" w:space="0" w:color="auto"/>
      </w:divBdr>
    </w:div>
    <w:div w:id="1352031193">
      <w:bodyDiv w:val="1"/>
      <w:marLeft w:val="0"/>
      <w:marRight w:val="0"/>
      <w:marTop w:val="0"/>
      <w:marBottom w:val="0"/>
      <w:divBdr>
        <w:top w:val="none" w:sz="0" w:space="0" w:color="auto"/>
        <w:left w:val="none" w:sz="0" w:space="0" w:color="auto"/>
        <w:bottom w:val="none" w:sz="0" w:space="0" w:color="auto"/>
        <w:right w:val="none" w:sz="0" w:space="0" w:color="auto"/>
      </w:divBdr>
    </w:div>
    <w:div w:id="1363633744">
      <w:bodyDiv w:val="1"/>
      <w:marLeft w:val="0"/>
      <w:marRight w:val="0"/>
      <w:marTop w:val="0"/>
      <w:marBottom w:val="0"/>
      <w:divBdr>
        <w:top w:val="none" w:sz="0" w:space="0" w:color="auto"/>
        <w:left w:val="none" w:sz="0" w:space="0" w:color="auto"/>
        <w:bottom w:val="none" w:sz="0" w:space="0" w:color="auto"/>
        <w:right w:val="none" w:sz="0" w:space="0" w:color="auto"/>
      </w:divBdr>
    </w:div>
    <w:div w:id="1375622215">
      <w:bodyDiv w:val="1"/>
      <w:marLeft w:val="0"/>
      <w:marRight w:val="0"/>
      <w:marTop w:val="0"/>
      <w:marBottom w:val="0"/>
      <w:divBdr>
        <w:top w:val="none" w:sz="0" w:space="0" w:color="auto"/>
        <w:left w:val="none" w:sz="0" w:space="0" w:color="auto"/>
        <w:bottom w:val="none" w:sz="0" w:space="0" w:color="auto"/>
        <w:right w:val="none" w:sz="0" w:space="0" w:color="auto"/>
      </w:divBdr>
    </w:div>
    <w:div w:id="1396976354">
      <w:bodyDiv w:val="1"/>
      <w:marLeft w:val="0"/>
      <w:marRight w:val="0"/>
      <w:marTop w:val="0"/>
      <w:marBottom w:val="0"/>
      <w:divBdr>
        <w:top w:val="none" w:sz="0" w:space="0" w:color="auto"/>
        <w:left w:val="none" w:sz="0" w:space="0" w:color="auto"/>
        <w:bottom w:val="none" w:sz="0" w:space="0" w:color="auto"/>
        <w:right w:val="none" w:sz="0" w:space="0" w:color="auto"/>
      </w:divBdr>
    </w:div>
    <w:div w:id="1406344136">
      <w:bodyDiv w:val="1"/>
      <w:marLeft w:val="0"/>
      <w:marRight w:val="0"/>
      <w:marTop w:val="0"/>
      <w:marBottom w:val="0"/>
      <w:divBdr>
        <w:top w:val="none" w:sz="0" w:space="0" w:color="auto"/>
        <w:left w:val="none" w:sz="0" w:space="0" w:color="auto"/>
        <w:bottom w:val="none" w:sz="0" w:space="0" w:color="auto"/>
        <w:right w:val="none" w:sz="0" w:space="0" w:color="auto"/>
      </w:divBdr>
    </w:div>
    <w:div w:id="1406878004">
      <w:bodyDiv w:val="1"/>
      <w:marLeft w:val="0"/>
      <w:marRight w:val="0"/>
      <w:marTop w:val="0"/>
      <w:marBottom w:val="0"/>
      <w:divBdr>
        <w:top w:val="none" w:sz="0" w:space="0" w:color="auto"/>
        <w:left w:val="none" w:sz="0" w:space="0" w:color="auto"/>
        <w:bottom w:val="none" w:sz="0" w:space="0" w:color="auto"/>
        <w:right w:val="none" w:sz="0" w:space="0" w:color="auto"/>
      </w:divBdr>
    </w:div>
    <w:div w:id="1421293363">
      <w:bodyDiv w:val="1"/>
      <w:marLeft w:val="0"/>
      <w:marRight w:val="0"/>
      <w:marTop w:val="0"/>
      <w:marBottom w:val="0"/>
      <w:divBdr>
        <w:top w:val="none" w:sz="0" w:space="0" w:color="auto"/>
        <w:left w:val="none" w:sz="0" w:space="0" w:color="auto"/>
        <w:bottom w:val="none" w:sz="0" w:space="0" w:color="auto"/>
        <w:right w:val="none" w:sz="0" w:space="0" w:color="auto"/>
      </w:divBdr>
    </w:div>
    <w:div w:id="1437824195">
      <w:bodyDiv w:val="1"/>
      <w:marLeft w:val="0"/>
      <w:marRight w:val="0"/>
      <w:marTop w:val="0"/>
      <w:marBottom w:val="0"/>
      <w:divBdr>
        <w:top w:val="none" w:sz="0" w:space="0" w:color="auto"/>
        <w:left w:val="none" w:sz="0" w:space="0" w:color="auto"/>
        <w:bottom w:val="none" w:sz="0" w:space="0" w:color="auto"/>
        <w:right w:val="none" w:sz="0" w:space="0" w:color="auto"/>
      </w:divBdr>
    </w:div>
    <w:div w:id="1441148571">
      <w:bodyDiv w:val="1"/>
      <w:marLeft w:val="0"/>
      <w:marRight w:val="0"/>
      <w:marTop w:val="0"/>
      <w:marBottom w:val="0"/>
      <w:divBdr>
        <w:top w:val="none" w:sz="0" w:space="0" w:color="auto"/>
        <w:left w:val="none" w:sz="0" w:space="0" w:color="auto"/>
        <w:bottom w:val="none" w:sz="0" w:space="0" w:color="auto"/>
        <w:right w:val="none" w:sz="0" w:space="0" w:color="auto"/>
      </w:divBdr>
    </w:div>
    <w:div w:id="1441297036">
      <w:bodyDiv w:val="1"/>
      <w:marLeft w:val="0"/>
      <w:marRight w:val="0"/>
      <w:marTop w:val="0"/>
      <w:marBottom w:val="0"/>
      <w:divBdr>
        <w:top w:val="none" w:sz="0" w:space="0" w:color="auto"/>
        <w:left w:val="none" w:sz="0" w:space="0" w:color="auto"/>
        <w:bottom w:val="none" w:sz="0" w:space="0" w:color="auto"/>
        <w:right w:val="none" w:sz="0" w:space="0" w:color="auto"/>
      </w:divBdr>
    </w:div>
    <w:div w:id="1451825049">
      <w:bodyDiv w:val="1"/>
      <w:marLeft w:val="0"/>
      <w:marRight w:val="0"/>
      <w:marTop w:val="0"/>
      <w:marBottom w:val="0"/>
      <w:divBdr>
        <w:top w:val="none" w:sz="0" w:space="0" w:color="auto"/>
        <w:left w:val="none" w:sz="0" w:space="0" w:color="auto"/>
        <w:bottom w:val="none" w:sz="0" w:space="0" w:color="auto"/>
        <w:right w:val="none" w:sz="0" w:space="0" w:color="auto"/>
      </w:divBdr>
    </w:div>
    <w:div w:id="1464497957">
      <w:bodyDiv w:val="1"/>
      <w:marLeft w:val="0"/>
      <w:marRight w:val="0"/>
      <w:marTop w:val="0"/>
      <w:marBottom w:val="0"/>
      <w:divBdr>
        <w:top w:val="none" w:sz="0" w:space="0" w:color="auto"/>
        <w:left w:val="none" w:sz="0" w:space="0" w:color="auto"/>
        <w:bottom w:val="none" w:sz="0" w:space="0" w:color="auto"/>
        <w:right w:val="none" w:sz="0" w:space="0" w:color="auto"/>
      </w:divBdr>
    </w:div>
    <w:div w:id="1489248064">
      <w:bodyDiv w:val="1"/>
      <w:marLeft w:val="0"/>
      <w:marRight w:val="0"/>
      <w:marTop w:val="0"/>
      <w:marBottom w:val="0"/>
      <w:divBdr>
        <w:top w:val="none" w:sz="0" w:space="0" w:color="auto"/>
        <w:left w:val="none" w:sz="0" w:space="0" w:color="auto"/>
        <w:bottom w:val="none" w:sz="0" w:space="0" w:color="auto"/>
        <w:right w:val="none" w:sz="0" w:space="0" w:color="auto"/>
      </w:divBdr>
    </w:div>
    <w:div w:id="1492599096">
      <w:bodyDiv w:val="1"/>
      <w:marLeft w:val="0"/>
      <w:marRight w:val="0"/>
      <w:marTop w:val="0"/>
      <w:marBottom w:val="0"/>
      <w:divBdr>
        <w:top w:val="none" w:sz="0" w:space="0" w:color="auto"/>
        <w:left w:val="none" w:sz="0" w:space="0" w:color="auto"/>
        <w:bottom w:val="none" w:sz="0" w:space="0" w:color="auto"/>
        <w:right w:val="none" w:sz="0" w:space="0" w:color="auto"/>
      </w:divBdr>
    </w:div>
    <w:div w:id="1503659546">
      <w:bodyDiv w:val="1"/>
      <w:marLeft w:val="0"/>
      <w:marRight w:val="0"/>
      <w:marTop w:val="0"/>
      <w:marBottom w:val="0"/>
      <w:divBdr>
        <w:top w:val="none" w:sz="0" w:space="0" w:color="auto"/>
        <w:left w:val="none" w:sz="0" w:space="0" w:color="auto"/>
        <w:bottom w:val="none" w:sz="0" w:space="0" w:color="auto"/>
        <w:right w:val="none" w:sz="0" w:space="0" w:color="auto"/>
      </w:divBdr>
    </w:div>
    <w:div w:id="1542356771">
      <w:bodyDiv w:val="1"/>
      <w:marLeft w:val="0"/>
      <w:marRight w:val="0"/>
      <w:marTop w:val="0"/>
      <w:marBottom w:val="0"/>
      <w:divBdr>
        <w:top w:val="none" w:sz="0" w:space="0" w:color="auto"/>
        <w:left w:val="none" w:sz="0" w:space="0" w:color="auto"/>
        <w:bottom w:val="none" w:sz="0" w:space="0" w:color="auto"/>
        <w:right w:val="none" w:sz="0" w:space="0" w:color="auto"/>
      </w:divBdr>
    </w:div>
    <w:div w:id="1604263435">
      <w:bodyDiv w:val="1"/>
      <w:marLeft w:val="0"/>
      <w:marRight w:val="0"/>
      <w:marTop w:val="0"/>
      <w:marBottom w:val="0"/>
      <w:divBdr>
        <w:top w:val="none" w:sz="0" w:space="0" w:color="auto"/>
        <w:left w:val="none" w:sz="0" w:space="0" w:color="auto"/>
        <w:bottom w:val="none" w:sz="0" w:space="0" w:color="auto"/>
        <w:right w:val="none" w:sz="0" w:space="0" w:color="auto"/>
      </w:divBdr>
    </w:div>
    <w:div w:id="1613973008">
      <w:bodyDiv w:val="1"/>
      <w:marLeft w:val="0"/>
      <w:marRight w:val="0"/>
      <w:marTop w:val="0"/>
      <w:marBottom w:val="0"/>
      <w:divBdr>
        <w:top w:val="none" w:sz="0" w:space="0" w:color="auto"/>
        <w:left w:val="none" w:sz="0" w:space="0" w:color="auto"/>
        <w:bottom w:val="none" w:sz="0" w:space="0" w:color="auto"/>
        <w:right w:val="none" w:sz="0" w:space="0" w:color="auto"/>
      </w:divBdr>
    </w:div>
    <w:div w:id="1620650670">
      <w:bodyDiv w:val="1"/>
      <w:marLeft w:val="0"/>
      <w:marRight w:val="0"/>
      <w:marTop w:val="0"/>
      <w:marBottom w:val="0"/>
      <w:divBdr>
        <w:top w:val="none" w:sz="0" w:space="0" w:color="auto"/>
        <w:left w:val="none" w:sz="0" w:space="0" w:color="auto"/>
        <w:bottom w:val="none" w:sz="0" w:space="0" w:color="auto"/>
        <w:right w:val="none" w:sz="0" w:space="0" w:color="auto"/>
      </w:divBdr>
    </w:div>
    <w:div w:id="1647129077">
      <w:bodyDiv w:val="1"/>
      <w:marLeft w:val="0"/>
      <w:marRight w:val="0"/>
      <w:marTop w:val="0"/>
      <w:marBottom w:val="0"/>
      <w:divBdr>
        <w:top w:val="none" w:sz="0" w:space="0" w:color="auto"/>
        <w:left w:val="none" w:sz="0" w:space="0" w:color="auto"/>
        <w:bottom w:val="none" w:sz="0" w:space="0" w:color="auto"/>
        <w:right w:val="none" w:sz="0" w:space="0" w:color="auto"/>
      </w:divBdr>
    </w:div>
    <w:div w:id="1652444379">
      <w:bodyDiv w:val="1"/>
      <w:marLeft w:val="0"/>
      <w:marRight w:val="0"/>
      <w:marTop w:val="0"/>
      <w:marBottom w:val="0"/>
      <w:divBdr>
        <w:top w:val="none" w:sz="0" w:space="0" w:color="auto"/>
        <w:left w:val="none" w:sz="0" w:space="0" w:color="auto"/>
        <w:bottom w:val="none" w:sz="0" w:space="0" w:color="auto"/>
        <w:right w:val="none" w:sz="0" w:space="0" w:color="auto"/>
      </w:divBdr>
    </w:div>
    <w:div w:id="1670405103">
      <w:bodyDiv w:val="1"/>
      <w:marLeft w:val="0"/>
      <w:marRight w:val="0"/>
      <w:marTop w:val="0"/>
      <w:marBottom w:val="0"/>
      <w:divBdr>
        <w:top w:val="none" w:sz="0" w:space="0" w:color="auto"/>
        <w:left w:val="none" w:sz="0" w:space="0" w:color="auto"/>
        <w:bottom w:val="none" w:sz="0" w:space="0" w:color="auto"/>
        <w:right w:val="none" w:sz="0" w:space="0" w:color="auto"/>
      </w:divBdr>
    </w:div>
    <w:div w:id="1680813969">
      <w:bodyDiv w:val="1"/>
      <w:marLeft w:val="0"/>
      <w:marRight w:val="0"/>
      <w:marTop w:val="0"/>
      <w:marBottom w:val="0"/>
      <w:divBdr>
        <w:top w:val="none" w:sz="0" w:space="0" w:color="auto"/>
        <w:left w:val="none" w:sz="0" w:space="0" w:color="auto"/>
        <w:bottom w:val="none" w:sz="0" w:space="0" w:color="auto"/>
        <w:right w:val="none" w:sz="0" w:space="0" w:color="auto"/>
      </w:divBdr>
    </w:div>
    <w:div w:id="1711345548">
      <w:bodyDiv w:val="1"/>
      <w:marLeft w:val="0"/>
      <w:marRight w:val="0"/>
      <w:marTop w:val="0"/>
      <w:marBottom w:val="0"/>
      <w:divBdr>
        <w:top w:val="none" w:sz="0" w:space="0" w:color="auto"/>
        <w:left w:val="none" w:sz="0" w:space="0" w:color="auto"/>
        <w:bottom w:val="none" w:sz="0" w:space="0" w:color="auto"/>
        <w:right w:val="none" w:sz="0" w:space="0" w:color="auto"/>
      </w:divBdr>
    </w:div>
    <w:div w:id="1718580078">
      <w:bodyDiv w:val="1"/>
      <w:marLeft w:val="0"/>
      <w:marRight w:val="0"/>
      <w:marTop w:val="0"/>
      <w:marBottom w:val="0"/>
      <w:divBdr>
        <w:top w:val="none" w:sz="0" w:space="0" w:color="auto"/>
        <w:left w:val="none" w:sz="0" w:space="0" w:color="auto"/>
        <w:bottom w:val="none" w:sz="0" w:space="0" w:color="auto"/>
        <w:right w:val="none" w:sz="0" w:space="0" w:color="auto"/>
      </w:divBdr>
    </w:div>
    <w:div w:id="1727071185">
      <w:bodyDiv w:val="1"/>
      <w:marLeft w:val="0"/>
      <w:marRight w:val="0"/>
      <w:marTop w:val="0"/>
      <w:marBottom w:val="0"/>
      <w:divBdr>
        <w:top w:val="none" w:sz="0" w:space="0" w:color="auto"/>
        <w:left w:val="none" w:sz="0" w:space="0" w:color="auto"/>
        <w:bottom w:val="none" w:sz="0" w:space="0" w:color="auto"/>
        <w:right w:val="none" w:sz="0" w:space="0" w:color="auto"/>
      </w:divBdr>
    </w:div>
    <w:div w:id="1741126005">
      <w:bodyDiv w:val="1"/>
      <w:marLeft w:val="0"/>
      <w:marRight w:val="0"/>
      <w:marTop w:val="0"/>
      <w:marBottom w:val="0"/>
      <w:divBdr>
        <w:top w:val="none" w:sz="0" w:space="0" w:color="auto"/>
        <w:left w:val="none" w:sz="0" w:space="0" w:color="auto"/>
        <w:bottom w:val="none" w:sz="0" w:space="0" w:color="auto"/>
        <w:right w:val="none" w:sz="0" w:space="0" w:color="auto"/>
      </w:divBdr>
    </w:div>
    <w:div w:id="1760980589">
      <w:bodyDiv w:val="1"/>
      <w:marLeft w:val="0"/>
      <w:marRight w:val="0"/>
      <w:marTop w:val="0"/>
      <w:marBottom w:val="0"/>
      <w:divBdr>
        <w:top w:val="none" w:sz="0" w:space="0" w:color="auto"/>
        <w:left w:val="none" w:sz="0" w:space="0" w:color="auto"/>
        <w:bottom w:val="none" w:sz="0" w:space="0" w:color="auto"/>
        <w:right w:val="none" w:sz="0" w:space="0" w:color="auto"/>
      </w:divBdr>
    </w:div>
    <w:div w:id="1772124461">
      <w:bodyDiv w:val="1"/>
      <w:marLeft w:val="0"/>
      <w:marRight w:val="0"/>
      <w:marTop w:val="0"/>
      <w:marBottom w:val="0"/>
      <w:divBdr>
        <w:top w:val="none" w:sz="0" w:space="0" w:color="auto"/>
        <w:left w:val="none" w:sz="0" w:space="0" w:color="auto"/>
        <w:bottom w:val="none" w:sz="0" w:space="0" w:color="auto"/>
        <w:right w:val="none" w:sz="0" w:space="0" w:color="auto"/>
      </w:divBdr>
    </w:div>
    <w:div w:id="1773821028">
      <w:bodyDiv w:val="1"/>
      <w:marLeft w:val="0"/>
      <w:marRight w:val="0"/>
      <w:marTop w:val="0"/>
      <w:marBottom w:val="0"/>
      <w:divBdr>
        <w:top w:val="none" w:sz="0" w:space="0" w:color="auto"/>
        <w:left w:val="none" w:sz="0" w:space="0" w:color="auto"/>
        <w:bottom w:val="none" w:sz="0" w:space="0" w:color="auto"/>
        <w:right w:val="none" w:sz="0" w:space="0" w:color="auto"/>
      </w:divBdr>
    </w:div>
    <w:div w:id="1778452617">
      <w:bodyDiv w:val="1"/>
      <w:marLeft w:val="0"/>
      <w:marRight w:val="0"/>
      <w:marTop w:val="0"/>
      <w:marBottom w:val="0"/>
      <w:divBdr>
        <w:top w:val="none" w:sz="0" w:space="0" w:color="auto"/>
        <w:left w:val="none" w:sz="0" w:space="0" w:color="auto"/>
        <w:bottom w:val="none" w:sz="0" w:space="0" w:color="auto"/>
        <w:right w:val="none" w:sz="0" w:space="0" w:color="auto"/>
      </w:divBdr>
    </w:div>
    <w:div w:id="1787893406">
      <w:bodyDiv w:val="1"/>
      <w:marLeft w:val="0"/>
      <w:marRight w:val="0"/>
      <w:marTop w:val="0"/>
      <w:marBottom w:val="0"/>
      <w:divBdr>
        <w:top w:val="none" w:sz="0" w:space="0" w:color="auto"/>
        <w:left w:val="none" w:sz="0" w:space="0" w:color="auto"/>
        <w:bottom w:val="none" w:sz="0" w:space="0" w:color="auto"/>
        <w:right w:val="none" w:sz="0" w:space="0" w:color="auto"/>
      </w:divBdr>
    </w:div>
    <w:div w:id="1815685231">
      <w:bodyDiv w:val="1"/>
      <w:marLeft w:val="0"/>
      <w:marRight w:val="0"/>
      <w:marTop w:val="0"/>
      <w:marBottom w:val="0"/>
      <w:divBdr>
        <w:top w:val="none" w:sz="0" w:space="0" w:color="auto"/>
        <w:left w:val="none" w:sz="0" w:space="0" w:color="auto"/>
        <w:bottom w:val="none" w:sz="0" w:space="0" w:color="auto"/>
        <w:right w:val="none" w:sz="0" w:space="0" w:color="auto"/>
      </w:divBdr>
    </w:div>
    <w:div w:id="1843230925">
      <w:bodyDiv w:val="1"/>
      <w:marLeft w:val="0"/>
      <w:marRight w:val="0"/>
      <w:marTop w:val="0"/>
      <w:marBottom w:val="0"/>
      <w:divBdr>
        <w:top w:val="none" w:sz="0" w:space="0" w:color="auto"/>
        <w:left w:val="none" w:sz="0" w:space="0" w:color="auto"/>
        <w:bottom w:val="none" w:sz="0" w:space="0" w:color="auto"/>
        <w:right w:val="none" w:sz="0" w:space="0" w:color="auto"/>
      </w:divBdr>
    </w:div>
    <w:div w:id="1852992357">
      <w:bodyDiv w:val="1"/>
      <w:marLeft w:val="0"/>
      <w:marRight w:val="0"/>
      <w:marTop w:val="0"/>
      <w:marBottom w:val="0"/>
      <w:divBdr>
        <w:top w:val="none" w:sz="0" w:space="0" w:color="auto"/>
        <w:left w:val="none" w:sz="0" w:space="0" w:color="auto"/>
        <w:bottom w:val="none" w:sz="0" w:space="0" w:color="auto"/>
        <w:right w:val="none" w:sz="0" w:space="0" w:color="auto"/>
      </w:divBdr>
    </w:div>
    <w:div w:id="1857108150">
      <w:bodyDiv w:val="1"/>
      <w:marLeft w:val="0"/>
      <w:marRight w:val="0"/>
      <w:marTop w:val="0"/>
      <w:marBottom w:val="0"/>
      <w:divBdr>
        <w:top w:val="none" w:sz="0" w:space="0" w:color="auto"/>
        <w:left w:val="none" w:sz="0" w:space="0" w:color="auto"/>
        <w:bottom w:val="none" w:sz="0" w:space="0" w:color="auto"/>
        <w:right w:val="none" w:sz="0" w:space="0" w:color="auto"/>
      </w:divBdr>
    </w:div>
    <w:div w:id="1878538992">
      <w:bodyDiv w:val="1"/>
      <w:marLeft w:val="0"/>
      <w:marRight w:val="0"/>
      <w:marTop w:val="0"/>
      <w:marBottom w:val="0"/>
      <w:divBdr>
        <w:top w:val="none" w:sz="0" w:space="0" w:color="auto"/>
        <w:left w:val="none" w:sz="0" w:space="0" w:color="auto"/>
        <w:bottom w:val="none" w:sz="0" w:space="0" w:color="auto"/>
        <w:right w:val="none" w:sz="0" w:space="0" w:color="auto"/>
      </w:divBdr>
    </w:div>
    <w:div w:id="1933119558">
      <w:bodyDiv w:val="1"/>
      <w:marLeft w:val="0"/>
      <w:marRight w:val="0"/>
      <w:marTop w:val="0"/>
      <w:marBottom w:val="0"/>
      <w:divBdr>
        <w:top w:val="none" w:sz="0" w:space="0" w:color="auto"/>
        <w:left w:val="none" w:sz="0" w:space="0" w:color="auto"/>
        <w:bottom w:val="none" w:sz="0" w:space="0" w:color="auto"/>
        <w:right w:val="none" w:sz="0" w:space="0" w:color="auto"/>
      </w:divBdr>
    </w:div>
    <w:div w:id="1937321074">
      <w:bodyDiv w:val="1"/>
      <w:marLeft w:val="0"/>
      <w:marRight w:val="0"/>
      <w:marTop w:val="0"/>
      <w:marBottom w:val="0"/>
      <w:divBdr>
        <w:top w:val="none" w:sz="0" w:space="0" w:color="auto"/>
        <w:left w:val="none" w:sz="0" w:space="0" w:color="auto"/>
        <w:bottom w:val="none" w:sz="0" w:space="0" w:color="auto"/>
        <w:right w:val="none" w:sz="0" w:space="0" w:color="auto"/>
      </w:divBdr>
    </w:div>
    <w:div w:id="1938053535">
      <w:bodyDiv w:val="1"/>
      <w:marLeft w:val="0"/>
      <w:marRight w:val="0"/>
      <w:marTop w:val="0"/>
      <w:marBottom w:val="0"/>
      <w:divBdr>
        <w:top w:val="none" w:sz="0" w:space="0" w:color="auto"/>
        <w:left w:val="none" w:sz="0" w:space="0" w:color="auto"/>
        <w:bottom w:val="none" w:sz="0" w:space="0" w:color="auto"/>
        <w:right w:val="none" w:sz="0" w:space="0" w:color="auto"/>
      </w:divBdr>
    </w:div>
    <w:div w:id="2018800862">
      <w:bodyDiv w:val="1"/>
      <w:marLeft w:val="0"/>
      <w:marRight w:val="0"/>
      <w:marTop w:val="0"/>
      <w:marBottom w:val="0"/>
      <w:divBdr>
        <w:top w:val="none" w:sz="0" w:space="0" w:color="auto"/>
        <w:left w:val="none" w:sz="0" w:space="0" w:color="auto"/>
        <w:bottom w:val="none" w:sz="0" w:space="0" w:color="auto"/>
        <w:right w:val="none" w:sz="0" w:space="0" w:color="auto"/>
      </w:divBdr>
    </w:div>
    <w:div w:id="2019916816">
      <w:bodyDiv w:val="1"/>
      <w:marLeft w:val="0"/>
      <w:marRight w:val="0"/>
      <w:marTop w:val="0"/>
      <w:marBottom w:val="0"/>
      <w:divBdr>
        <w:top w:val="none" w:sz="0" w:space="0" w:color="auto"/>
        <w:left w:val="none" w:sz="0" w:space="0" w:color="auto"/>
        <w:bottom w:val="none" w:sz="0" w:space="0" w:color="auto"/>
        <w:right w:val="none" w:sz="0" w:space="0" w:color="auto"/>
      </w:divBdr>
    </w:div>
    <w:div w:id="2020689754">
      <w:bodyDiv w:val="1"/>
      <w:marLeft w:val="0"/>
      <w:marRight w:val="0"/>
      <w:marTop w:val="0"/>
      <w:marBottom w:val="0"/>
      <w:divBdr>
        <w:top w:val="none" w:sz="0" w:space="0" w:color="auto"/>
        <w:left w:val="none" w:sz="0" w:space="0" w:color="auto"/>
        <w:bottom w:val="none" w:sz="0" w:space="0" w:color="auto"/>
        <w:right w:val="none" w:sz="0" w:space="0" w:color="auto"/>
      </w:divBdr>
    </w:div>
    <w:div w:id="2100903669">
      <w:bodyDiv w:val="1"/>
      <w:marLeft w:val="0"/>
      <w:marRight w:val="0"/>
      <w:marTop w:val="0"/>
      <w:marBottom w:val="0"/>
      <w:divBdr>
        <w:top w:val="none" w:sz="0" w:space="0" w:color="auto"/>
        <w:left w:val="none" w:sz="0" w:space="0" w:color="auto"/>
        <w:bottom w:val="none" w:sz="0" w:space="0" w:color="auto"/>
        <w:right w:val="none" w:sz="0" w:space="0" w:color="auto"/>
      </w:divBdr>
    </w:div>
    <w:div w:id="2121143319">
      <w:bodyDiv w:val="1"/>
      <w:marLeft w:val="0"/>
      <w:marRight w:val="0"/>
      <w:marTop w:val="0"/>
      <w:marBottom w:val="0"/>
      <w:divBdr>
        <w:top w:val="none" w:sz="0" w:space="0" w:color="auto"/>
        <w:left w:val="none" w:sz="0" w:space="0" w:color="auto"/>
        <w:bottom w:val="none" w:sz="0" w:space="0" w:color="auto"/>
        <w:right w:val="none" w:sz="0" w:space="0" w:color="auto"/>
      </w:divBdr>
    </w:div>
    <w:div w:id="2134788648">
      <w:bodyDiv w:val="1"/>
      <w:marLeft w:val="0"/>
      <w:marRight w:val="0"/>
      <w:marTop w:val="0"/>
      <w:marBottom w:val="0"/>
      <w:divBdr>
        <w:top w:val="none" w:sz="0" w:space="0" w:color="auto"/>
        <w:left w:val="none" w:sz="0" w:space="0" w:color="auto"/>
        <w:bottom w:val="none" w:sz="0" w:space="0" w:color="auto"/>
        <w:right w:val="none" w:sz="0" w:space="0" w:color="auto"/>
      </w:divBdr>
    </w:div>
    <w:div w:id="213485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who.int/gender/violence/multicountr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jdm.org/15/15204/jdm15204.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c.gov/violenceprevention/intimatepartnerviolence/index.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betterhumans.coach.me/cognitive-bias-cheat-sheet55a472476b18"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88699F2-59D4-4F34-8894-D5E955240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6818</Words>
  <Characters>36820</Characters>
  <Application>Microsoft Office Word</Application>
  <DocSecurity>0</DocSecurity>
  <Lines>306</Lines>
  <Paragraphs>87</Paragraphs>
  <ScaleCrop>false</ScaleCrop>
  <Company/>
  <LinksUpToDate>false</LinksUpToDate>
  <CharactersWithSpaces>43551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2019-06-30T17:02:00Z</dcterms:created>
  <dcterms:modified xsi:type="dcterms:W3CDTF">2019-06-30T17:02:00Z</dcterms:modified>
</cp:coreProperties>
</file>