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184" w:rsidRDefault="001B4184" w:rsidP="00AE6065">
      <w:pPr>
        <w:spacing w:line="240" w:lineRule="auto"/>
        <w:jc w:val="center"/>
        <w:rPr>
          <w:rFonts w:ascii="Times New Roman" w:hAnsi="Times New Roman" w:cs="Times New Roman"/>
          <w:b/>
          <w:sz w:val="28"/>
        </w:rPr>
      </w:pPr>
      <w:r w:rsidRPr="000D0E40">
        <w:rPr>
          <w:rFonts w:ascii="Times New Roman" w:hAnsi="Times New Roman" w:cs="Times New Roman"/>
          <w:b/>
          <w:sz w:val="28"/>
        </w:rPr>
        <w:t>INTERVENCIÓN PSICOLÓGICA PARA LA PREVENCIÓN DE  BURNOUT EN TAXISTAS DE RIOBAMBA – ECUADOR</w:t>
      </w:r>
    </w:p>
    <w:p w:rsidR="001B4184" w:rsidRPr="000D0E40" w:rsidRDefault="001B4184" w:rsidP="008A5D5B">
      <w:pPr>
        <w:spacing w:line="240" w:lineRule="auto"/>
        <w:rPr>
          <w:rFonts w:ascii="Times New Roman" w:hAnsi="Times New Roman" w:cs="Times New Roman"/>
        </w:rPr>
      </w:pPr>
    </w:p>
    <w:p w:rsidR="000D0E40" w:rsidRDefault="000D0E40" w:rsidP="000D0E40">
      <w:pPr>
        <w:spacing w:line="240" w:lineRule="auto"/>
        <w:rPr>
          <w:rFonts w:ascii="Times New Roman" w:hAnsi="Times New Roman" w:cs="Times New Roman"/>
          <w:sz w:val="24"/>
          <w:szCs w:val="24"/>
        </w:rPr>
      </w:pPr>
      <w:r w:rsidRPr="000D0E40">
        <w:rPr>
          <w:rFonts w:ascii="Times New Roman" w:hAnsi="Times New Roman" w:cs="Times New Roman"/>
          <w:sz w:val="24"/>
          <w:szCs w:val="24"/>
        </w:rPr>
        <w:t>RESUMEN</w:t>
      </w:r>
    </w:p>
    <w:p w:rsidR="000D0E40" w:rsidRPr="00AE6065" w:rsidRDefault="000D0E40" w:rsidP="000D0E40">
      <w:pPr>
        <w:spacing w:after="0" w:line="240" w:lineRule="auto"/>
        <w:rPr>
          <w:rFonts w:ascii="Times New Roman" w:hAnsi="Times New Roman" w:cs="Times New Roman"/>
          <w:szCs w:val="24"/>
        </w:rPr>
      </w:pPr>
      <w:r w:rsidRPr="00AE6065">
        <w:rPr>
          <w:rFonts w:ascii="Times New Roman" w:hAnsi="Times New Roman" w:cs="Times New Roman"/>
          <w:szCs w:val="24"/>
        </w:rPr>
        <w:t>El presente trabajo de investigación tiene como objetivo principal plantear una propuesta</w:t>
      </w:r>
      <w:r w:rsidR="003523E7" w:rsidRPr="00AE6065">
        <w:rPr>
          <w:rFonts w:ascii="Times New Roman" w:hAnsi="Times New Roman" w:cs="Times New Roman"/>
          <w:szCs w:val="24"/>
        </w:rPr>
        <w:t xml:space="preserve"> para prevenir los estados de B</w:t>
      </w:r>
      <w:r w:rsidRPr="00AE6065">
        <w:rPr>
          <w:rFonts w:ascii="Times New Roman" w:hAnsi="Times New Roman" w:cs="Times New Roman"/>
          <w:szCs w:val="24"/>
        </w:rPr>
        <w:t>urnout en una población de taxistas de la ciudad de Riobamba-Ecuador, se planteó un diseño de investigación cualitativo de tipo cuasi-experimental de corte longitudinal, aplicando como instrumento de evaluación el Inventario de Burnout de Maslach MBI segunda versión, formada por 22 ítems valorados con una escala de tipo Likert, como propuesta de prevención se aplicó un programa de intervención psicológica basada en 15 sesiones grupales dirigida al aprendizaje de técnicas para la prevención del estrés laboral, los resultados se analizaron estadísticamente con el programa  SPSS aplicando la prueba de Wilconxon que permitió comparar los valores medios entre las variables de estados de burnout en los periodos pre y post intervención lo cual determino que existían diferencias significativas en las variables de agotamiento emocional y Despersonalización.</w:t>
      </w:r>
    </w:p>
    <w:p w:rsidR="000D0E40" w:rsidRPr="000D0E40" w:rsidRDefault="000D0E40" w:rsidP="000D0E40">
      <w:pPr>
        <w:spacing w:after="0" w:line="240" w:lineRule="auto"/>
        <w:rPr>
          <w:rFonts w:ascii="Times New Roman" w:hAnsi="Times New Roman" w:cs="Times New Roman"/>
          <w:sz w:val="24"/>
          <w:szCs w:val="24"/>
        </w:rPr>
      </w:pPr>
    </w:p>
    <w:p w:rsidR="000D0E40" w:rsidRDefault="000D0E40" w:rsidP="000D0E40">
      <w:pPr>
        <w:spacing w:line="240" w:lineRule="auto"/>
        <w:rPr>
          <w:rFonts w:ascii="Times New Roman" w:hAnsi="Times New Roman" w:cs="Times New Roman"/>
          <w:sz w:val="24"/>
          <w:szCs w:val="24"/>
        </w:rPr>
      </w:pPr>
      <w:r>
        <w:rPr>
          <w:rFonts w:ascii="Times New Roman" w:hAnsi="Times New Roman" w:cs="Times New Roman"/>
          <w:sz w:val="24"/>
          <w:szCs w:val="24"/>
        </w:rPr>
        <w:t>Palabras claves</w:t>
      </w:r>
    </w:p>
    <w:p w:rsidR="00CD1DBD" w:rsidRDefault="003523E7" w:rsidP="000D0E40">
      <w:pPr>
        <w:spacing w:line="240" w:lineRule="auto"/>
        <w:rPr>
          <w:rFonts w:ascii="Times New Roman" w:hAnsi="Times New Roman" w:cs="Times New Roman"/>
          <w:sz w:val="24"/>
          <w:szCs w:val="24"/>
        </w:rPr>
      </w:pPr>
      <w:r>
        <w:rPr>
          <w:rFonts w:ascii="Times New Roman" w:hAnsi="Times New Roman" w:cs="Times New Roman"/>
          <w:sz w:val="24"/>
          <w:szCs w:val="24"/>
        </w:rPr>
        <w:t>B</w:t>
      </w:r>
      <w:r w:rsidR="000D0E40">
        <w:rPr>
          <w:rFonts w:ascii="Times New Roman" w:hAnsi="Times New Roman" w:cs="Times New Roman"/>
          <w:sz w:val="24"/>
          <w:szCs w:val="24"/>
        </w:rPr>
        <w:t>urnout, Intervención psicológica, Agotamiento emocional y Despersonalización.</w:t>
      </w:r>
    </w:p>
    <w:p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ABSTRACT</w:t>
      </w:r>
    </w:p>
    <w:p w:rsidR="000D0E40" w:rsidRPr="00611139" w:rsidRDefault="00611139" w:rsidP="000D0E40">
      <w:pPr>
        <w:spacing w:line="240" w:lineRule="auto"/>
        <w:rPr>
          <w:rFonts w:ascii="Times New Roman" w:hAnsi="Times New Roman" w:cs="Times New Roman"/>
          <w:sz w:val="24"/>
          <w:szCs w:val="24"/>
          <w:lang w:val="en-US"/>
        </w:rPr>
      </w:pPr>
      <w:r w:rsidRPr="00611139">
        <w:rPr>
          <w:rFonts w:ascii="Times New Roman" w:hAnsi="Times New Roman" w:cs="Times New Roman"/>
          <w:sz w:val="24"/>
          <w:szCs w:val="24"/>
          <w:lang w:val="en-US"/>
        </w:rPr>
        <w:t xml:space="preserve">The main objective of this research work is to </w:t>
      </w:r>
      <w:r>
        <w:rPr>
          <w:rFonts w:ascii="Times New Roman" w:hAnsi="Times New Roman" w:cs="Times New Roman"/>
          <w:sz w:val="24"/>
          <w:szCs w:val="24"/>
          <w:lang w:val="en-US"/>
        </w:rPr>
        <w:t>expose</w:t>
      </w:r>
      <w:r w:rsidRPr="00611139">
        <w:rPr>
          <w:rFonts w:ascii="Times New Roman" w:hAnsi="Times New Roman" w:cs="Times New Roman"/>
          <w:sz w:val="24"/>
          <w:szCs w:val="24"/>
          <w:lang w:val="en-US"/>
        </w:rPr>
        <w:t xml:space="preserve"> a proposal to prevent Burnout states in a population of</w:t>
      </w:r>
      <w:r>
        <w:rPr>
          <w:rFonts w:ascii="Times New Roman" w:hAnsi="Times New Roman" w:cs="Times New Roman"/>
          <w:sz w:val="24"/>
          <w:szCs w:val="24"/>
          <w:lang w:val="en-US"/>
        </w:rPr>
        <w:t xml:space="preserve"> taxi drivers from </w:t>
      </w:r>
      <w:r w:rsidRPr="00611139">
        <w:rPr>
          <w:rFonts w:ascii="Times New Roman" w:hAnsi="Times New Roman" w:cs="Times New Roman"/>
          <w:sz w:val="24"/>
          <w:szCs w:val="24"/>
          <w:lang w:val="en-US"/>
        </w:rPr>
        <w:t>Riobamba, Ecuador. A qualitative research design of a quasi-experimental type of longitudinal cut was proposed, applying as an instrument of evaluation the Inventory of Burnout of Maslach MBI second version, formed by 22 items valued with a scale of type Likert, as a proposal of prevention a psychological intervention program was applied based on 15 group sessions directed to the learning of techniques for the prevention of the stress labor, the results were statistically analyzed with the SPSS program applying the Wilconxon test that allowed comparing the mean values between the variables of burnout states in the pre and post intervention periods, which determined that there were significant differences in the variables of emoti</w:t>
      </w:r>
      <w:r w:rsidR="008B19C2">
        <w:rPr>
          <w:rFonts w:ascii="Times New Roman" w:hAnsi="Times New Roman" w:cs="Times New Roman"/>
          <w:sz w:val="24"/>
          <w:szCs w:val="24"/>
          <w:lang w:val="en-US"/>
        </w:rPr>
        <w:t>onal exhaustion and d</w:t>
      </w:r>
      <w:r w:rsidRPr="00611139">
        <w:rPr>
          <w:rFonts w:ascii="Times New Roman" w:hAnsi="Times New Roman" w:cs="Times New Roman"/>
          <w:sz w:val="24"/>
          <w:szCs w:val="24"/>
          <w:lang w:val="en-US"/>
        </w:rPr>
        <w:t>epersonalizatio</w:t>
      </w:r>
      <w:r w:rsidR="003D2FAA">
        <w:rPr>
          <w:rFonts w:ascii="Times New Roman" w:hAnsi="Times New Roman" w:cs="Times New Roman"/>
          <w:sz w:val="24"/>
          <w:szCs w:val="24"/>
          <w:lang w:val="en-US"/>
        </w:rPr>
        <w:t>n</w:t>
      </w:r>
    </w:p>
    <w:p w:rsidR="000D0E40" w:rsidRPr="00966075" w:rsidRDefault="000D0E40" w:rsidP="000D0E40">
      <w:pPr>
        <w:spacing w:line="240" w:lineRule="auto"/>
        <w:rPr>
          <w:rFonts w:ascii="Times New Roman" w:hAnsi="Times New Roman" w:cs="Times New Roman"/>
          <w:sz w:val="24"/>
          <w:szCs w:val="24"/>
          <w:lang w:val="en-US"/>
        </w:rPr>
      </w:pPr>
      <w:r w:rsidRPr="00966075">
        <w:rPr>
          <w:rFonts w:ascii="Times New Roman" w:hAnsi="Times New Roman" w:cs="Times New Roman"/>
          <w:sz w:val="24"/>
          <w:szCs w:val="24"/>
          <w:lang w:val="en-US"/>
        </w:rPr>
        <w:t>Keywords</w:t>
      </w:r>
    </w:p>
    <w:p w:rsidR="008B19C2" w:rsidRDefault="008B19C2" w:rsidP="000D0E40">
      <w:pPr>
        <w:spacing w:line="240" w:lineRule="auto"/>
        <w:rPr>
          <w:rFonts w:ascii="Times New Roman" w:hAnsi="Times New Roman" w:cs="Times New Roman"/>
          <w:sz w:val="24"/>
          <w:szCs w:val="24"/>
          <w:lang w:val="en-US"/>
        </w:rPr>
      </w:pPr>
      <w:r w:rsidRPr="008B19C2">
        <w:rPr>
          <w:rFonts w:ascii="Times New Roman" w:hAnsi="Times New Roman" w:cs="Times New Roman"/>
          <w:sz w:val="24"/>
          <w:szCs w:val="24"/>
          <w:lang w:val="en-US"/>
        </w:rPr>
        <w:t>Burnout, psychological intervention, emotional exhaustion</w:t>
      </w:r>
      <w:r>
        <w:rPr>
          <w:rFonts w:ascii="Times New Roman" w:hAnsi="Times New Roman" w:cs="Times New Roman"/>
          <w:sz w:val="24"/>
          <w:szCs w:val="24"/>
          <w:lang w:val="en-US"/>
        </w:rPr>
        <w:t>, d</w:t>
      </w:r>
      <w:r w:rsidRPr="008B19C2">
        <w:rPr>
          <w:rFonts w:ascii="Times New Roman" w:hAnsi="Times New Roman" w:cs="Times New Roman"/>
          <w:sz w:val="24"/>
          <w:szCs w:val="24"/>
          <w:lang w:val="en-US"/>
        </w:rPr>
        <w:t>epersonalization</w:t>
      </w:r>
    </w:p>
    <w:p w:rsidR="00AE6065" w:rsidRPr="008B19C2" w:rsidRDefault="00AE6065" w:rsidP="000D0E40">
      <w:pPr>
        <w:spacing w:line="240" w:lineRule="auto"/>
        <w:rPr>
          <w:rFonts w:ascii="Times New Roman" w:hAnsi="Times New Roman" w:cs="Times New Roman"/>
          <w:sz w:val="24"/>
          <w:szCs w:val="24"/>
          <w:lang w:val="en-US"/>
        </w:rPr>
      </w:pPr>
      <w:bookmarkStart w:id="0" w:name="_GoBack"/>
      <w:bookmarkEnd w:id="0"/>
    </w:p>
    <w:p w:rsidR="000D0E40" w:rsidRPr="008B19C2" w:rsidRDefault="00AE6065" w:rsidP="00AE6065">
      <w:pPr>
        <w:spacing w:line="240" w:lineRule="auto"/>
        <w:jc w:val="center"/>
        <w:rPr>
          <w:rFonts w:ascii="Times New Roman" w:hAnsi="Times New Roman" w:cs="Times New Roman"/>
          <w:sz w:val="24"/>
          <w:szCs w:val="24"/>
          <w:lang w:val="en-US"/>
        </w:rPr>
      </w:pPr>
      <w:r w:rsidRPr="00AE6065">
        <w:rPr>
          <w:rFonts w:ascii="Times New Roman" w:hAnsi="Times New Roman" w:cs="Times New Roman"/>
          <w:sz w:val="24"/>
          <w:szCs w:val="24"/>
          <w:lang w:val="en-US"/>
        </w:rPr>
        <w:t>PSYCHOLOGICAL INTERVENTION TO PREVENT BURNOUT IN TAXI DRIVERS FROM RIOBAMBA-ECUADOR.</w:t>
      </w: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síndrome </w:t>
      </w:r>
      <w:r w:rsidR="00242285" w:rsidRPr="000D0E40">
        <w:rPr>
          <w:rFonts w:ascii="Times New Roman" w:hAnsi="Times New Roman" w:cs="Times New Roman"/>
          <w:sz w:val="24"/>
          <w:szCs w:val="24"/>
        </w:rPr>
        <w:t>de</w:t>
      </w:r>
      <w:r w:rsidRPr="000D0E40">
        <w:rPr>
          <w:rFonts w:ascii="Times New Roman" w:hAnsi="Times New Roman" w:cs="Times New Roman"/>
          <w:sz w:val="24"/>
          <w:szCs w:val="24"/>
        </w:rPr>
        <w:t xml:space="preserve"> Burnout ha sido uno de los temas más estudiados en poblaciones de salud, académicas y administrativas y muy poco en el trabajador conductor de transporte, dónde el continuo contacto con personas puede generar manifestaciones de estrés.  Según la Organización Mundial de la Salud (OMS, 2007) los trabajadores representan la mitad de la población en todo el mundo y son quienes aportan al desarrollo económico y social de los países, por </w:t>
      </w:r>
      <w:r w:rsidR="000D0E40" w:rsidRPr="000D0E40">
        <w:rPr>
          <w:rFonts w:ascii="Times New Roman" w:hAnsi="Times New Roman" w:cs="Times New Roman"/>
          <w:sz w:val="24"/>
          <w:szCs w:val="24"/>
        </w:rPr>
        <w:t>tanto,</w:t>
      </w:r>
      <w:r w:rsidRPr="000D0E40">
        <w:rPr>
          <w:rFonts w:ascii="Times New Roman" w:hAnsi="Times New Roman" w:cs="Times New Roman"/>
          <w:sz w:val="24"/>
          <w:szCs w:val="24"/>
        </w:rPr>
        <w:t xml:space="preserve"> es importante prevenir su salud. Los trabajadores de transporte de taxis se </w:t>
      </w:r>
      <w:r w:rsidRPr="000D0E40">
        <w:rPr>
          <w:rFonts w:ascii="Times New Roman" w:hAnsi="Times New Roman" w:cs="Times New Roman"/>
          <w:sz w:val="24"/>
          <w:szCs w:val="24"/>
        </w:rPr>
        <w:lastRenderedPageBreak/>
        <w:t>desempeñan en un  campo  laboral, donde  varios factores de riesgo pueden influir en  su estabilidad física y emocional, por ejemplo el ambiente físico que se refiere a la exposición al ruido,  la radiación solar, el tráfico, los clientes o usuarios a los que brindan el servicio,  entre otros y al ambiente psicosocial que hace referencia a la organización,   donde se pueden encontrar problemas relacionados a las  exigencias de trabajo, la presión del tiempo, el acoso, la intimidación, la intolerancia, el temor a la pérdida del puesto de trabajo, sufrir un accidente de tránsito son algunas  variables psicosociales que pueden provocar desgaste en el profesional.</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síndrome de desgaste profesional consiste en la presencia de una respuesta prolongada de estrés, donde el organismo reacciona ante factores estresantes emocionales e interpersonales que se presentan en el trabajo, que incluyen síntomas como fatiga crónica, sensaciones de dolor, ineficiencia, cansancio mental, entre otros.  El síndrome se encuentra codificado en la Clasificación internacional de enfermedades CIE-10, bajo el código Z 73.0 como “problemas relacionados con el manejo de las dificultades de la vida (Organización Mundial de la Salud, 1992).</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Desde la perspectiva de Maslach y Jackson (1981) el Síndrome de Burnout se describe por la presencia de:</w:t>
      </w:r>
    </w:p>
    <w:p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Agotamiento emocional, caracterizado por la pérdida progresiva de energía, acompañado de cansancio físico y mental, desgaste y fatiga debido a la interacción con personas por su trabajo. </w:t>
      </w:r>
    </w:p>
    <w:p w:rsidR="000D0E40"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Despersonalización, presencia de sentimientos negativos, irritabilidad, actitud negativa, apatía hacia los clientes y/o usuarios destinatarios de su trabajo.</w:t>
      </w:r>
    </w:p>
    <w:p w:rsidR="001B4184" w:rsidRPr="000D0E40" w:rsidRDefault="001B4184" w:rsidP="000D0E40">
      <w:pPr>
        <w:pStyle w:val="Prrafodelista"/>
        <w:numPr>
          <w:ilvl w:val="0"/>
          <w:numId w:val="1"/>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Realización personal, es la tendencia a valorarse negativamente hacia sí mismo como resultado de una insatisfacción percibida por el profesional en relación a su trabajo.   </w:t>
      </w:r>
    </w:p>
    <w:p w:rsidR="001B4184" w:rsidRPr="000D0E40" w:rsidRDefault="001B4184" w:rsidP="000D0E40">
      <w:pPr>
        <w:spacing w:line="240" w:lineRule="auto"/>
        <w:ind w:firstLine="708"/>
        <w:rPr>
          <w:rFonts w:ascii="Times New Roman" w:hAnsi="Times New Roman" w:cs="Times New Roman"/>
          <w:sz w:val="24"/>
          <w:szCs w:val="24"/>
        </w:rPr>
      </w:pPr>
      <w:r w:rsidRPr="000D0E40">
        <w:rPr>
          <w:rFonts w:ascii="Times New Roman" w:hAnsi="Times New Roman" w:cs="Times New Roman"/>
          <w:sz w:val="24"/>
          <w:szCs w:val="24"/>
        </w:rPr>
        <w:t>Estos componentes del Burnout pueden afectar la salud del profesional, desencadenando sintomatología que altere las diferentes áreas como son:</w:t>
      </w:r>
    </w:p>
    <w:p w:rsidR="001B4184" w:rsidRPr="000D0E40" w:rsidRDefault="001B4184" w:rsidP="000D0E40">
      <w:pPr>
        <w:spacing w:line="240" w:lineRule="auto"/>
        <w:rPr>
          <w:rFonts w:ascii="Times New Roman" w:hAnsi="Times New Roman" w:cs="Times New Roman"/>
          <w:sz w:val="24"/>
          <w:szCs w:val="24"/>
        </w:rPr>
      </w:pP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Psicosomática: problemas cardiovasculares, hipertensión, cefaleas, migrañas, alteraciones gastrointestinales, colon irritable, dolores musculares, dificultades del sueño, entre otros.</w:t>
      </w: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Conductual: incremento en el consumo de fármacos, tabaco y alcohol, alteración en la conducta alimentaria, agresividad, impulsividad, dificultades familiares, sociales y laborales.</w:t>
      </w:r>
    </w:p>
    <w:p w:rsidR="000D0E40"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 xml:space="preserve">Emocional: apatía, sentimientos de tristeza, impaciencia, irritabilidad, baja autoestima, pérdida de motivación e interés por realizar su trabajo. </w:t>
      </w:r>
    </w:p>
    <w:p w:rsidR="001B4184" w:rsidRPr="000D0E40" w:rsidRDefault="001B4184" w:rsidP="000D0E40">
      <w:pPr>
        <w:pStyle w:val="Prrafodelista"/>
        <w:numPr>
          <w:ilvl w:val="0"/>
          <w:numId w:val="3"/>
        </w:numPr>
        <w:spacing w:line="240" w:lineRule="auto"/>
        <w:rPr>
          <w:rFonts w:ascii="Times New Roman" w:hAnsi="Times New Roman" w:cs="Times New Roman"/>
          <w:sz w:val="24"/>
          <w:szCs w:val="24"/>
        </w:rPr>
      </w:pPr>
      <w:r w:rsidRPr="000D0E40">
        <w:rPr>
          <w:rFonts w:ascii="Times New Roman" w:hAnsi="Times New Roman" w:cs="Times New Roman"/>
          <w:sz w:val="24"/>
          <w:szCs w:val="24"/>
        </w:rPr>
        <w:t>Cognitivo: pensamientos negativos hacia sí mismo, incapacidad para resolver problemas, disminución de la atención y concentración (El-Sahili, 2015).</w:t>
      </w: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Estrategias de prevención e intervención </w:t>
      </w:r>
    </w:p>
    <w:p w:rsidR="000D0E40"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prevención en la salud laboral puede definirse como el conjunto de actividades para impedir la aparición de enfermedades relacionadas con el trabajo. Es importante </w:t>
      </w:r>
      <w:r w:rsidRPr="000D0E40">
        <w:rPr>
          <w:rFonts w:ascii="Times New Roman" w:hAnsi="Times New Roman" w:cs="Times New Roman"/>
          <w:sz w:val="24"/>
          <w:szCs w:val="24"/>
        </w:rPr>
        <w:lastRenderedPageBreak/>
        <w:t>mencionar que la prevención primaria se ocupa del fomento de la salud mientras que la prevención secundaria, ejecuta actividades comprometidas con la detección temprana del probl</w:t>
      </w:r>
      <w:r w:rsidR="000D0E40" w:rsidRPr="000D0E40">
        <w:rPr>
          <w:rFonts w:ascii="Times New Roman" w:hAnsi="Times New Roman" w:cs="Times New Roman"/>
          <w:sz w:val="24"/>
          <w:szCs w:val="24"/>
        </w:rPr>
        <w:t>ema (El-Sahili, 2015).</w:t>
      </w:r>
    </w:p>
    <w:p w:rsidR="001B4184" w:rsidRPr="000D0E40" w:rsidRDefault="005E7DC4"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Algunos au</w:t>
      </w:r>
      <w:r w:rsidR="001B4184" w:rsidRPr="000D0E40">
        <w:rPr>
          <w:rFonts w:ascii="Times New Roman" w:hAnsi="Times New Roman" w:cs="Times New Roman"/>
          <w:sz w:val="24"/>
          <w:szCs w:val="24"/>
        </w:rPr>
        <w:t xml:space="preserve">tores como Guerrero y Rubio (2005) indican </w:t>
      </w:r>
      <w:r w:rsidR="000D0E40" w:rsidRPr="000D0E40">
        <w:rPr>
          <w:rFonts w:ascii="Times New Roman" w:hAnsi="Times New Roman" w:cs="Times New Roman"/>
          <w:sz w:val="24"/>
          <w:szCs w:val="24"/>
        </w:rPr>
        <w:t>que,</w:t>
      </w:r>
      <w:r w:rsidR="001B4184" w:rsidRPr="000D0E40">
        <w:rPr>
          <w:rFonts w:ascii="Times New Roman" w:hAnsi="Times New Roman" w:cs="Times New Roman"/>
          <w:sz w:val="24"/>
          <w:szCs w:val="24"/>
        </w:rPr>
        <w:t xml:space="preserve"> para poder reducir los riesgos en la salud, se pueden emplear algunas estrategias de intervención psicológica orientadas a prevenir o reducir los síntomas del Burnout que pueden ser individuales o grupales. </w:t>
      </w:r>
    </w:p>
    <w:p w:rsidR="000D0E40" w:rsidRPr="000D0E40" w:rsidRDefault="000D0E40" w:rsidP="000D0E40">
      <w:pPr>
        <w:spacing w:after="0" w:line="240" w:lineRule="auto"/>
        <w:ind w:firstLine="709"/>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Técnica de respiración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Ante situaciones de peligro o estrés el organismo reacciona con un incremento en la respiración y tensión general, como indica Labrador (1996) las técnicas de control de la respiración ayudan al individuo a aprender una forma adecuada de respirar para que ante situaciones complicadas pueda controlar su respiración de forma automática.</w:t>
      </w:r>
    </w:p>
    <w:p w:rsidR="000D0E40" w:rsidRPr="000D0E40" w:rsidRDefault="000D0E40" w:rsidP="000D0E40">
      <w:pPr>
        <w:spacing w:after="0"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Entrenamiento asertivo</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Es una técnica psicoterapéutica que tiene como objetivo enseñar las conductas adecuadas, proporcionar a la persona puntos de vista alternativos para aclarar los factores que interfieren con la expresión adecuada de las emociones, y cambiar sus pensamientos negativos. Se centra en el entrenamiento de habilidades sociales específicas utilizando técnicas como la imitación, el ensayo de conductas, el role-playing (dramatización), entre otras (Labrador, 1996).  </w:t>
      </w:r>
    </w:p>
    <w:p w:rsidR="000D0E40" w:rsidRPr="000D0E40" w:rsidRDefault="000D0E40"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Resolución de problemas </w:t>
      </w:r>
    </w:p>
    <w:p w:rsidR="001B4184"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relacional de solución de problemas y bienestar integra el modelo de afrontamiento de Lazarus, dirigidas a corregir el modo en que la persona aborda los problemas.   Según lo refieren Lazarus y Folkman (1986) ante la aparición de un evento determinado, la persona realiza una serie de valoraciones sobre el mismo, percibiendo al estímulo estresor como amenaza, pérdida y desafío, para posteriormente realizar una valoración de afrontamiento que permita emplear estrategias tanto cognitivas como conductuales orientadas a enfrentar el estímulo. La forma de reaccionar al estímulo estresor dependerá de la manera como la persona valore sus propios recursos para enfrentar el peligro. </w:t>
      </w:r>
    </w:p>
    <w:p w:rsidR="00A21417" w:rsidRPr="000D0E40" w:rsidRDefault="00A21417"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Reestructuración Cognitiva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Técnica orientada a identificar y cambiar las cogniciones (creencias irracionales, pensamientos distorsionados o autoverbalizaciones negativas) que determinan o mantienen el problema.  La reestructuración cognitiva se centra en el significado, analiza la racionalidad de los pensamientos o creencias y enseñan a la persona a pensar de manera correcta (Ruiz, Díaz y Villalobos, 2012).</w:t>
      </w:r>
    </w:p>
    <w:p w:rsidR="001B4184" w:rsidRPr="000D0E40" w:rsidRDefault="001B4184" w:rsidP="000D0E40">
      <w:pPr>
        <w:spacing w:line="240" w:lineRule="auto"/>
        <w:rPr>
          <w:rFonts w:ascii="Times New Roman" w:hAnsi="Times New Roman" w:cs="Times New Roman"/>
          <w:sz w:val="24"/>
          <w:szCs w:val="24"/>
        </w:rPr>
      </w:pPr>
    </w:p>
    <w:p w:rsidR="001B4184" w:rsidRPr="000D0E40" w:rsidRDefault="001B4184"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Habilidades sociales </w:t>
      </w:r>
    </w:p>
    <w:p w:rsidR="001B4184" w:rsidRPr="000D0E40" w:rsidRDefault="001B4184"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entrenamiento en habilidades sociales es una intervención cognitivo </w:t>
      </w:r>
      <w:r w:rsidR="000D0E40" w:rsidRPr="000D0E40">
        <w:rPr>
          <w:rFonts w:ascii="Times New Roman" w:hAnsi="Times New Roman" w:cs="Times New Roman"/>
          <w:sz w:val="24"/>
          <w:szCs w:val="24"/>
        </w:rPr>
        <w:t>conductual como</w:t>
      </w:r>
      <w:r w:rsidRPr="000D0E40">
        <w:rPr>
          <w:rFonts w:ascii="Times New Roman" w:hAnsi="Times New Roman" w:cs="Times New Roman"/>
          <w:sz w:val="24"/>
          <w:szCs w:val="24"/>
        </w:rPr>
        <w:t xml:space="preserve"> lo refiere Segrin (como se citó en Ruiz, Díaz, y Villalobos, 2012</w:t>
      </w:r>
      <w:r w:rsidR="000D0E40" w:rsidRPr="000D0E40">
        <w:rPr>
          <w:rFonts w:ascii="Times New Roman" w:hAnsi="Times New Roman" w:cs="Times New Roman"/>
          <w:sz w:val="24"/>
          <w:szCs w:val="24"/>
        </w:rPr>
        <w:t>) que</w:t>
      </w:r>
      <w:r w:rsidRPr="000D0E40">
        <w:rPr>
          <w:rFonts w:ascii="Times New Roman" w:hAnsi="Times New Roman" w:cs="Times New Roman"/>
          <w:sz w:val="24"/>
          <w:szCs w:val="24"/>
        </w:rPr>
        <w:t xml:space="preserve"> se aplican para mejorar la calidad de las relaciones interpersonales, de comunicación y relacionales.</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Método</w:t>
      </w: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Diseño de investigación</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presente trabajo responde a un diseño de investigación cualitativo, desarrollado con un planteamiento cuasi-experimental y un corte longitudinal, ya que se aplicó el instrumento en un periodo pre y un post intervención, con el fin de observar los cambio</w:t>
      </w:r>
      <w:r>
        <w:rPr>
          <w:rFonts w:ascii="Times New Roman" w:hAnsi="Times New Roman" w:cs="Times New Roman"/>
          <w:sz w:val="24"/>
          <w:szCs w:val="24"/>
        </w:rPr>
        <w:t>s de conducta e</w:t>
      </w:r>
      <w:r w:rsidRPr="000D0E40">
        <w:rPr>
          <w:rFonts w:ascii="Times New Roman" w:hAnsi="Times New Roman" w:cs="Times New Roman"/>
          <w:sz w:val="24"/>
          <w:szCs w:val="24"/>
        </w:rPr>
        <w:t xml:space="preserve">n relación a la terapia aplicada. </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Población y muestra</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población de estudio fueron 3.000 conductores de la Unión de Cooperativa de taxis Chimborazo, registrados en el año 2018.</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muestra de estudio estuvo conformada por 26 conductores que participaron en todo el proceso de investigación, siendo parte de la evaluación inicial, intervención psicológica y su post evaluación. </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Técnicas e instrumentos de investigación</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Para la evaluación en los periodos pre y post intervención psicológica se aplicó el Inventario de Burnout de Maslach MBI segunda versión, formada por 22 ítems valorados con una escala de tipo Likert, en un rango de siete adjetivos que van de “Nunca” (0) a “Todos los días” (6). Este instrumento evalúa tres factores que son denominados: agotamiento emocional (AE), Despersonalización (D) y realización personal en el trabajo (RP). La puntuación de cada subescala se obtiene sumando la puntuación de los ítems correspondientes a la misma. Son indicadoras de alto nivel de burnout las puntuaciones altas en Cansancio Emocional y en Despersonalización, así como las puntuaciones bajas en Realización Personal. Se han tomado como referencia los siguientes puntos de corte.</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Agotamiento emocional (AE): puntuaciones entre 0 a 18 nivel bajo, entre 19 a 36 nivel medio y de 37 o más nivel alto.</w:t>
      </w: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Despersonalización (D): puntuaciones entre 0 a 10 nivel bajo, entre 11 a 20 nivel medio y de 21 o más nivel alto.</w:t>
      </w:r>
    </w:p>
    <w:p w:rsidR="000D0E40" w:rsidRPr="000D0E40" w:rsidRDefault="000D0E40" w:rsidP="000D0E40">
      <w:pPr>
        <w:pStyle w:val="Prrafodelista"/>
        <w:numPr>
          <w:ilvl w:val="0"/>
          <w:numId w:val="4"/>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Subescala Realización personal (RP): puntuaciones de 32 o más nivel bajo, entre 16 a 31 nivel medio y entre 0 a 15 nivel alto (Maslach y Jackson, 1986).</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Procedimiento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intervención estuvo a cargo de una especialista en Psicología Clínica, la cual aplicó un programa de intervención psicológica basada en 15 sesiones grupales dirigida al aprendizaje de técnicas para la prevención del estrés laboral. Los objetivos en los que se trabajó fueron: </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Identificar situaciones que producen mayor nivel de desbordamiento profesional.</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Aprender a controlar la sobre activación psicofisiológica asociada a las situaciones de estrés.</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Mejorar las habilidades comunicativas para la resolución de conflictos interpersonales.</w:t>
      </w:r>
    </w:p>
    <w:p w:rsidR="000D0E40" w:rsidRPr="000D0E40" w:rsidRDefault="000D0E40" w:rsidP="000D0E40">
      <w:pPr>
        <w:pStyle w:val="Prrafodelista"/>
        <w:numPr>
          <w:ilvl w:val="0"/>
          <w:numId w:val="6"/>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lastRenderedPageBreak/>
        <w:t>Desarrollar estrategias de afrontamiento efectivas que permitan manejar las situaciones de estrés laboral.</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El programa se estructuró de la siguiente manera:</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Conceptualización: Mediante la psicoeducación se socializó información sobre el Burnout, factores etiológicos, síntomas, consecuencias físicas y psicológicas en la salud de la persona.</w:t>
      </w: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Evaluación: Aplicación pre intervención con el Inventario de Burnout de Maslach MBI, para identificar los niveles del Burnout.</w:t>
      </w:r>
    </w:p>
    <w:p w:rsidR="000D0E40" w:rsidRPr="000D0E40" w:rsidRDefault="000D0E40" w:rsidP="000D0E40">
      <w:pPr>
        <w:pStyle w:val="Prrafodelista"/>
        <w:numPr>
          <w:ilvl w:val="0"/>
          <w:numId w:val="7"/>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 xml:space="preserve">Entrenamiento y adquisición de habilidades: </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la relajación, dirigido a enseñar a la persona mecanismos para controlar, mediante la relajación, el aumento de la activación fisiológica y la ansiedad provocada por los estímulos estresores.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Reestructuración cognitiva, orientado a erradicar los pensamientos distorsionados formados como creencias sobre uno mismo y sobre los demás, así como un diálogo interiorizado de todo lo que nos sucede, sentimos y pensamos.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Resolución de problemas con el fin de ayudar a la persona a decidir cuáles son las soluciones más adecuadas a un problema.</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de asertividad, se entrena a la persona para que consiga conducirse de una forma asertiva, que consiste en conseguir una mayor capacidad para expresar los sentimientos, deseos y necesidades de manera libre, clara e inequívoca ante los demás, y que esté dirigida a logar sus objetivos respetando a los demás.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Entrenamiento en habilidades sociales para estimul</w:t>
      </w:r>
      <w:r w:rsidR="00AC4E46">
        <w:rPr>
          <w:rFonts w:ascii="Times New Roman" w:hAnsi="Times New Roman" w:cs="Times New Roman"/>
          <w:sz w:val="24"/>
          <w:szCs w:val="24"/>
        </w:rPr>
        <w:t>ar la capacidad de interacción</w:t>
      </w:r>
      <w:r w:rsidRPr="000D0E40">
        <w:rPr>
          <w:rFonts w:ascii="Times New Roman" w:hAnsi="Times New Roman" w:cs="Times New Roman"/>
          <w:sz w:val="24"/>
          <w:szCs w:val="24"/>
        </w:rPr>
        <w:t xml:space="preserve"> con otros, haciendo que esa interacción sea apropiada en cada una de las circunstancias.</w:t>
      </w:r>
    </w:p>
    <w:p w:rsidR="000D0E40" w:rsidRPr="000D0E40" w:rsidRDefault="000D0E40" w:rsidP="000D0E40">
      <w:pPr>
        <w:pStyle w:val="Prrafodelista"/>
        <w:numPr>
          <w:ilvl w:val="0"/>
          <w:numId w:val="8"/>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Técnicas de autocontrol, dirigido a que el individuo tenga control de la propia conducta a través del entrenamiento de su capacidad para regular las circunstancias que acompañan a su conducta (circunstancias que anteceden a su conducta y circunstancias consecuentes a esa conducta).</w:t>
      </w:r>
    </w:p>
    <w:p w:rsidR="000D0E40" w:rsidRPr="000D0E40" w:rsidRDefault="000D0E40" w:rsidP="000D0E40">
      <w:pPr>
        <w:pStyle w:val="Prrafodelista"/>
        <w:numPr>
          <w:ilvl w:val="0"/>
          <w:numId w:val="9"/>
        </w:numPr>
        <w:spacing w:after="0" w:line="240" w:lineRule="auto"/>
        <w:rPr>
          <w:rFonts w:ascii="Times New Roman" w:hAnsi="Times New Roman" w:cs="Times New Roman"/>
          <w:sz w:val="24"/>
          <w:szCs w:val="24"/>
        </w:rPr>
      </w:pPr>
      <w:r w:rsidRPr="000D0E40">
        <w:rPr>
          <w:rFonts w:ascii="Times New Roman" w:hAnsi="Times New Roman" w:cs="Times New Roman"/>
          <w:sz w:val="24"/>
          <w:szCs w:val="24"/>
        </w:rPr>
        <w:t>Reevaluación: Aplicación post intervención psicológica con el Inventario de Burnout de Maslach MBI para evaluar la eficacia del proceso terapéutico.</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 xml:space="preserve">Tratamiento estadístico de los resultados del estudio. </w:t>
      </w:r>
    </w:p>
    <w:p w:rsidR="000D0E40" w:rsidRDefault="000D0E40" w:rsidP="000D0E4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w:t>
      </w:r>
      <w:r w:rsidRPr="000D0E40">
        <w:rPr>
          <w:rFonts w:ascii="Times New Roman" w:hAnsi="Times New Roman" w:cs="Times New Roman"/>
          <w:sz w:val="24"/>
          <w:szCs w:val="24"/>
        </w:rPr>
        <w:t xml:space="preserve">l análisis estadístico de la investigación se </w:t>
      </w:r>
      <w:r>
        <w:rPr>
          <w:rFonts w:ascii="Times New Roman" w:hAnsi="Times New Roman" w:cs="Times New Roman"/>
          <w:sz w:val="24"/>
          <w:szCs w:val="24"/>
        </w:rPr>
        <w:t>realizó aplicando el paquete SPSS versión 27, desarrollando</w:t>
      </w:r>
      <w:r w:rsidRPr="000D0E40">
        <w:rPr>
          <w:rFonts w:ascii="Times New Roman" w:hAnsi="Times New Roman" w:cs="Times New Roman"/>
          <w:sz w:val="24"/>
          <w:szCs w:val="24"/>
        </w:rPr>
        <w:t xml:space="preserve"> un análisis descriptivo de las variables cuantitativas que caracterizaron la muestra de estudio la cual determino valores medios y sus respectivas desviaciones estándares, el análisis de comprobación de diferencias significativas entre los </w:t>
      </w:r>
      <w:r w:rsidRPr="000D0E40">
        <w:rPr>
          <w:rFonts w:ascii="Times New Roman" w:hAnsi="Times New Roman" w:cs="Times New Roman"/>
          <w:sz w:val="24"/>
          <w:szCs w:val="24"/>
        </w:rPr>
        <w:lastRenderedPageBreak/>
        <w:t>resultados se realizó aplicando una prueba de normalidad de Shapiro-Wilk que definió la aplicación de pruebas no paramétricas para muestras relacionadas, siendo la prueba de Wilconxon la que permitió comparar los valores medios entre las variables de estados de burnout en los p</w:t>
      </w:r>
      <w:r>
        <w:rPr>
          <w:rFonts w:ascii="Times New Roman" w:hAnsi="Times New Roman" w:cs="Times New Roman"/>
          <w:sz w:val="24"/>
          <w:szCs w:val="24"/>
        </w:rPr>
        <w:t>eriodos pre y post intervención de nuestro estudio.</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Resultados</w:t>
      </w: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Caracterización de la muestra de estudio.</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La muestra de estudio estuvo caracterizada por las siguientes variables:</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Tabla No. 1. Parámetros cuantitativos de caracterización de la muestra de estudio.</w:t>
      </w:r>
    </w:p>
    <w:tbl>
      <w:tblPr>
        <w:tblW w:w="5964" w:type="dxa"/>
        <w:jc w:val="center"/>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59"/>
        <w:gridCol w:w="1030"/>
        <w:gridCol w:w="1030"/>
        <w:gridCol w:w="1445"/>
      </w:tblGrid>
      <w:tr w:rsidR="000D0E40" w:rsidRPr="000D0E40" w:rsidTr="00220973">
        <w:trPr>
          <w:cantSplit/>
          <w:jc w:val="center"/>
        </w:trPr>
        <w:tc>
          <w:tcPr>
            <w:tcW w:w="2459"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Parámetros</w:t>
            </w:r>
          </w:p>
        </w:tc>
        <w:tc>
          <w:tcPr>
            <w:tcW w:w="1030"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n</w:t>
            </w:r>
          </w:p>
        </w:tc>
        <w:tc>
          <w:tcPr>
            <w:tcW w:w="1030"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Media</w:t>
            </w:r>
          </w:p>
        </w:tc>
        <w:tc>
          <w:tcPr>
            <w:tcW w:w="1445" w:type="dxa"/>
            <w:tcBorders>
              <w:top w:val="single" w:sz="4" w:space="0" w:color="auto"/>
              <w:bottom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color w:val="000000"/>
                <w:sz w:val="24"/>
                <w:szCs w:val="24"/>
                <w:lang w:val="es-MX" w:eastAsia="es-MX"/>
              </w:rPr>
            </w:pPr>
            <w:r w:rsidRPr="000D0E40">
              <w:rPr>
                <w:rFonts w:ascii="Times New Roman" w:hAnsi="Times New Roman" w:cs="Times New Roman"/>
                <w:b/>
                <w:color w:val="000000"/>
                <w:sz w:val="24"/>
                <w:szCs w:val="24"/>
                <w:lang w:val="es-MX" w:eastAsia="es-MX"/>
              </w:rPr>
              <w:t>Desviación Estándar</w:t>
            </w:r>
          </w:p>
        </w:tc>
      </w:tr>
      <w:tr w:rsidR="000D0E40" w:rsidRPr="000D0E40" w:rsidTr="00220973">
        <w:trPr>
          <w:cantSplit/>
          <w:jc w:val="center"/>
        </w:trPr>
        <w:tc>
          <w:tcPr>
            <w:tcW w:w="2459"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Edad</w:t>
            </w:r>
          </w:p>
        </w:tc>
        <w:tc>
          <w:tcPr>
            <w:tcW w:w="1030" w:type="dxa"/>
            <w:vMerge w:val="restart"/>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26</w:t>
            </w:r>
          </w:p>
        </w:tc>
        <w:tc>
          <w:tcPr>
            <w:tcW w:w="1030"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42.92</w:t>
            </w:r>
          </w:p>
        </w:tc>
        <w:tc>
          <w:tcPr>
            <w:tcW w:w="1445" w:type="dxa"/>
            <w:tcBorders>
              <w:top w:val="single" w:sz="4" w:space="0" w:color="auto"/>
            </w:tcBorders>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7.23</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de experiencia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12.54</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6.31</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Años en la cooperativa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8.46</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4.30</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Días de trabajo semana</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5.50</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1.60</w:t>
            </w:r>
          </w:p>
        </w:tc>
      </w:tr>
      <w:tr w:rsidR="000D0E40" w:rsidRPr="000D0E40" w:rsidTr="00220973">
        <w:trPr>
          <w:cantSplit/>
          <w:jc w:val="center"/>
        </w:trPr>
        <w:tc>
          <w:tcPr>
            <w:tcW w:w="2459" w:type="dxa"/>
            <w:shd w:val="clear" w:color="auto" w:fill="FFFFFF"/>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Horas diarias de trabajo</w:t>
            </w:r>
          </w:p>
        </w:tc>
        <w:tc>
          <w:tcPr>
            <w:tcW w:w="1030" w:type="dxa"/>
            <w:vMerge/>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p>
        </w:tc>
        <w:tc>
          <w:tcPr>
            <w:tcW w:w="1030"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8.96</w:t>
            </w:r>
          </w:p>
        </w:tc>
        <w:tc>
          <w:tcPr>
            <w:tcW w:w="1445" w:type="dxa"/>
            <w:shd w:val="clear" w:color="auto" w:fill="FFFFFF"/>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color w:val="000000"/>
                <w:sz w:val="24"/>
                <w:szCs w:val="24"/>
                <w:lang w:val="es-MX" w:eastAsia="es-MX"/>
              </w:rPr>
            </w:pPr>
            <w:r w:rsidRPr="000D0E40">
              <w:rPr>
                <w:rFonts w:ascii="Times New Roman" w:hAnsi="Times New Roman" w:cs="Times New Roman"/>
                <w:color w:val="000000"/>
                <w:sz w:val="24"/>
                <w:szCs w:val="24"/>
                <w:lang w:val="es-MX" w:eastAsia="es-MX"/>
              </w:rPr>
              <w:t>± 3.09</w:t>
            </w:r>
          </w:p>
        </w:tc>
      </w:tr>
    </w:tbl>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muestran que la edad promedio es de 42 años, los años de experiencia laborar como conductores es de 12 años mientras que los años de trabajo en la cooperativa es de 8 años, el promedio de días de trabajo a la semana es de 5 con una jornada de 8 horas diarias. </w:t>
      </w:r>
    </w:p>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b/>
          <w:sz w:val="24"/>
          <w:szCs w:val="24"/>
        </w:rPr>
      </w:pPr>
      <w:r w:rsidRPr="000D0E40">
        <w:rPr>
          <w:rFonts w:ascii="Times New Roman" w:hAnsi="Times New Roman" w:cs="Times New Roman"/>
          <w:b/>
          <w:sz w:val="24"/>
          <w:szCs w:val="24"/>
        </w:rPr>
        <w:t>Tabla No. 2. Parámetros cualitativos de caracterización de la muestra.</w:t>
      </w:r>
    </w:p>
    <w:p w:rsidR="000D0E40" w:rsidRPr="000D0E40" w:rsidRDefault="000D0E40" w:rsidP="000D0E40">
      <w:pPr>
        <w:spacing w:after="0" w:line="240" w:lineRule="auto"/>
        <w:ind w:firstLine="709"/>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705"/>
        <w:gridCol w:w="1814"/>
        <w:gridCol w:w="1486"/>
        <w:gridCol w:w="1716"/>
        <w:gridCol w:w="1717"/>
      </w:tblGrid>
      <w:tr w:rsidR="000D0E40" w:rsidRPr="000D0E40" w:rsidTr="00220973">
        <w:tc>
          <w:tcPr>
            <w:tcW w:w="3519" w:type="dxa"/>
            <w:gridSpan w:val="2"/>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Variables</w:t>
            </w:r>
          </w:p>
        </w:tc>
        <w:tc>
          <w:tcPr>
            <w:tcW w:w="1486" w:type="dxa"/>
            <w:tcBorders>
              <w:top w:val="single" w:sz="4" w:space="0" w:color="auto"/>
              <w:bottom w:val="single" w:sz="4" w:space="0" w:color="auto"/>
            </w:tcBorders>
            <w:shd w:val="clear" w:color="auto" w:fill="auto"/>
            <w:vAlign w:val="center"/>
          </w:tcPr>
          <w:p w:rsidR="000D0E40" w:rsidRPr="000D0E40" w:rsidRDefault="00966075"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N</w:t>
            </w:r>
          </w:p>
        </w:tc>
        <w:tc>
          <w:tcPr>
            <w:tcW w:w="171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Frecuencia</w:t>
            </w:r>
          </w:p>
        </w:tc>
        <w:tc>
          <w:tcPr>
            <w:tcW w:w="1717"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r w:rsidRPr="000D0E40">
              <w:rPr>
                <w:rFonts w:ascii="Times New Roman" w:eastAsia="Calibri" w:hAnsi="Times New Roman" w:cs="Times New Roman"/>
                <w:b/>
                <w:sz w:val="24"/>
                <w:szCs w:val="24"/>
                <w:lang w:val="es-MX"/>
              </w:rPr>
              <w:t>Porcentaje %</w:t>
            </w:r>
          </w:p>
        </w:tc>
      </w:tr>
      <w:tr w:rsidR="000D0E40" w:rsidRPr="000D0E40" w:rsidTr="00220973">
        <w:tc>
          <w:tcPr>
            <w:tcW w:w="1705"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Género</w:t>
            </w:r>
          </w:p>
        </w:tc>
        <w:tc>
          <w:tcPr>
            <w:tcW w:w="1814"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Masculino</w:t>
            </w:r>
          </w:p>
        </w:tc>
        <w:tc>
          <w:tcPr>
            <w:tcW w:w="148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19</w:t>
            </w:r>
          </w:p>
        </w:tc>
        <w:tc>
          <w:tcPr>
            <w:tcW w:w="1717"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73.1</w:t>
            </w:r>
          </w:p>
        </w:tc>
      </w:tr>
      <w:tr w:rsidR="000D0E40" w:rsidRPr="000D0E40" w:rsidTr="00220973">
        <w:tc>
          <w:tcPr>
            <w:tcW w:w="1705"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Femenino</w:t>
            </w:r>
          </w:p>
        </w:tc>
        <w:tc>
          <w:tcPr>
            <w:tcW w:w="148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w:t>
            </w:r>
          </w:p>
        </w:tc>
        <w:tc>
          <w:tcPr>
            <w:tcW w:w="1717"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26.9</w:t>
            </w:r>
          </w:p>
        </w:tc>
      </w:tr>
      <w:tr w:rsidR="000D0E40" w:rsidRPr="000D0E40" w:rsidTr="00220973">
        <w:tc>
          <w:tcPr>
            <w:tcW w:w="1705"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Nivel de estudios</w:t>
            </w:r>
          </w:p>
        </w:tc>
        <w:tc>
          <w:tcPr>
            <w:tcW w:w="1814"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Primaria</w:t>
            </w:r>
          </w:p>
        </w:tc>
        <w:tc>
          <w:tcPr>
            <w:tcW w:w="148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r w:rsidR="000D0E40" w:rsidRPr="000D0E40" w:rsidTr="00220973">
        <w:tc>
          <w:tcPr>
            <w:tcW w:w="1705" w:type="dxa"/>
            <w:vMerge/>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Secundaria</w:t>
            </w:r>
          </w:p>
        </w:tc>
        <w:tc>
          <w:tcPr>
            <w:tcW w:w="1486" w:type="dxa"/>
            <w:vMerge/>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13</w:t>
            </w:r>
          </w:p>
        </w:tc>
        <w:tc>
          <w:tcPr>
            <w:tcW w:w="1717" w:type="dxa"/>
            <w:tcBorders>
              <w:top w:val="nil"/>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50.0</w:t>
            </w:r>
          </w:p>
        </w:tc>
      </w:tr>
      <w:tr w:rsidR="000D0E40" w:rsidRPr="000D0E40" w:rsidTr="00220973">
        <w:tc>
          <w:tcPr>
            <w:tcW w:w="1705"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Tercer nivel</w:t>
            </w:r>
          </w:p>
        </w:tc>
        <w:tc>
          <w:tcPr>
            <w:tcW w:w="148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b/>
                <w:sz w:val="24"/>
                <w:szCs w:val="24"/>
                <w:lang w:val="es-MX"/>
              </w:rPr>
            </w:pPr>
          </w:p>
        </w:tc>
        <w:tc>
          <w:tcPr>
            <w:tcW w:w="171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w:t>
            </w:r>
          </w:p>
        </w:tc>
        <w:tc>
          <w:tcPr>
            <w:tcW w:w="1717"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42.3</w:t>
            </w:r>
          </w:p>
        </w:tc>
      </w:tr>
      <w:tr w:rsidR="000D0E40" w:rsidRPr="000D0E40" w:rsidTr="00220973">
        <w:tc>
          <w:tcPr>
            <w:tcW w:w="1705"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Etnia</w:t>
            </w:r>
          </w:p>
        </w:tc>
        <w:tc>
          <w:tcPr>
            <w:tcW w:w="1814"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Mestizo</w:t>
            </w:r>
          </w:p>
        </w:tc>
        <w:tc>
          <w:tcPr>
            <w:tcW w:w="148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7"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100.0</w:t>
            </w:r>
          </w:p>
        </w:tc>
      </w:tr>
      <w:tr w:rsidR="000D0E40" w:rsidRPr="000D0E40" w:rsidTr="00220973">
        <w:tc>
          <w:tcPr>
            <w:tcW w:w="1705"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Estado Civil</w:t>
            </w:r>
          </w:p>
        </w:tc>
        <w:tc>
          <w:tcPr>
            <w:tcW w:w="1814"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Soltero</w:t>
            </w:r>
          </w:p>
        </w:tc>
        <w:tc>
          <w:tcPr>
            <w:tcW w:w="148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Casado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18</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69.2</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Divorciado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Unión libre</w:t>
            </w:r>
          </w:p>
        </w:tc>
        <w:tc>
          <w:tcPr>
            <w:tcW w:w="1486"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6</w:t>
            </w:r>
          </w:p>
        </w:tc>
        <w:tc>
          <w:tcPr>
            <w:tcW w:w="1717"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23.1</w:t>
            </w:r>
          </w:p>
        </w:tc>
      </w:tr>
      <w:tr w:rsidR="000D0E40" w:rsidRPr="000D0E40" w:rsidTr="00220973">
        <w:tc>
          <w:tcPr>
            <w:tcW w:w="1705"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 xml:space="preserve">Ocupación </w:t>
            </w:r>
          </w:p>
        </w:tc>
        <w:tc>
          <w:tcPr>
            <w:tcW w:w="1814"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Chofer</w:t>
            </w:r>
          </w:p>
        </w:tc>
        <w:tc>
          <w:tcPr>
            <w:tcW w:w="148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26</w:t>
            </w:r>
          </w:p>
        </w:tc>
        <w:tc>
          <w:tcPr>
            <w:tcW w:w="171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57.7</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Docente</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4</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15.4</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Electricista</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Fisioterapista</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3.8</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Ingeniero</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3</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11.5</w:t>
            </w:r>
          </w:p>
        </w:tc>
      </w:tr>
      <w:tr w:rsidR="000D0E40" w:rsidRPr="000D0E40" w:rsidTr="00220973">
        <w:tc>
          <w:tcPr>
            <w:tcW w:w="1705"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814"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Otros</w:t>
            </w:r>
          </w:p>
        </w:tc>
        <w:tc>
          <w:tcPr>
            <w:tcW w:w="1486" w:type="dxa"/>
            <w:vMerge/>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eastAsia="Calibri" w:hAnsi="Times New Roman" w:cs="Times New Roman"/>
                <w:sz w:val="24"/>
                <w:szCs w:val="24"/>
                <w:lang w:val="es-MX"/>
              </w:rPr>
            </w:pPr>
          </w:p>
        </w:tc>
        <w:tc>
          <w:tcPr>
            <w:tcW w:w="1716"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2</w:t>
            </w:r>
          </w:p>
        </w:tc>
        <w:tc>
          <w:tcPr>
            <w:tcW w:w="1717" w:type="dxa"/>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eastAsia="Calibri" w:hAnsi="Times New Roman" w:cs="Times New Roman"/>
                <w:sz w:val="24"/>
                <w:szCs w:val="24"/>
                <w:lang w:val="es-MX"/>
              </w:rPr>
            </w:pPr>
            <w:r w:rsidRPr="000D0E40">
              <w:rPr>
                <w:rFonts w:ascii="Times New Roman" w:eastAsia="Calibri" w:hAnsi="Times New Roman" w:cs="Times New Roman"/>
                <w:sz w:val="24"/>
                <w:szCs w:val="24"/>
                <w:lang w:val="es-MX"/>
              </w:rPr>
              <w:t>7.7</w:t>
            </w:r>
          </w:p>
        </w:tc>
      </w:tr>
    </w:tbl>
    <w:p w:rsidR="000D0E40" w:rsidRPr="000D0E40" w:rsidRDefault="000D0E40" w:rsidP="000D0E40">
      <w:pPr>
        <w:spacing w:after="0" w:line="240" w:lineRule="auto"/>
        <w:ind w:firstLine="709"/>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rPr>
          <w:rFonts w:ascii="Times New Roman" w:hAnsi="Times New Roman" w:cs="Times New Roman"/>
          <w:b/>
          <w:sz w:val="24"/>
          <w:szCs w:val="24"/>
        </w:rPr>
      </w:pPr>
      <w:r w:rsidRPr="000D0E40">
        <w:rPr>
          <w:rFonts w:ascii="Times New Roman" w:hAnsi="Times New Roman" w:cs="Times New Roman"/>
          <w:b/>
          <w:sz w:val="24"/>
          <w:szCs w:val="24"/>
        </w:rPr>
        <w:t>Resultados de la aplicación del test de Maslach pre y post intervención</w:t>
      </w:r>
    </w:p>
    <w:p w:rsidR="000D0E40" w:rsidRPr="000D0E40" w:rsidRDefault="000D0E40" w:rsidP="000D0E40">
      <w:pPr>
        <w:spacing w:after="0" w:line="240" w:lineRule="auto"/>
        <w:rPr>
          <w:rFonts w:ascii="Times New Roman" w:hAnsi="Times New Roman" w:cs="Times New Roman"/>
          <w:sz w:val="24"/>
          <w:szCs w:val="24"/>
        </w:rPr>
      </w:pPr>
      <w:r w:rsidRPr="000D0E40">
        <w:rPr>
          <w:rFonts w:ascii="Times New Roman" w:hAnsi="Times New Roman" w:cs="Times New Roman"/>
          <w:sz w:val="24"/>
          <w:szCs w:val="24"/>
        </w:rPr>
        <w:lastRenderedPageBreak/>
        <w:tab/>
        <w:t>Para poder determinar las variaciones que la propuesta de prevención evidencio se realizó un análisis una comparación estadística entre los resultados de los periodos mencionados (tabla No. 3)</w:t>
      </w:r>
    </w:p>
    <w:p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Tabla No. 2. Resultados del Inventario de Burnout de Maslach y sus componentes en periodos de intervención</w:t>
      </w:r>
    </w:p>
    <w:tbl>
      <w:tblPr>
        <w:tblW w:w="682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13"/>
        <w:gridCol w:w="1030"/>
        <w:gridCol w:w="1030"/>
        <w:gridCol w:w="1476"/>
        <w:gridCol w:w="1476"/>
      </w:tblGrid>
      <w:tr w:rsidR="000D0E40" w:rsidRPr="000D0E40" w:rsidTr="00220973">
        <w:trPr>
          <w:cantSplit/>
          <w:jc w:val="center"/>
        </w:trPr>
        <w:tc>
          <w:tcPr>
            <w:tcW w:w="1813"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VARIABLE</w:t>
            </w:r>
          </w:p>
        </w:tc>
        <w:tc>
          <w:tcPr>
            <w:tcW w:w="1030"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n</w:t>
            </w:r>
          </w:p>
        </w:tc>
        <w:tc>
          <w:tcPr>
            <w:tcW w:w="1030"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Media</w:t>
            </w:r>
          </w:p>
        </w:tc>
        <w:tc>
          <w:tcPr>
            <w:tcW w:w="147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S</w:t>
            </w:r>
          </w:p>
        </w:tc>
        <w:tc>
          <w:tcPr>
            <w:tcW w:w="1476" w:type="dxa"/>
            <w:tcBorders>
              <w:top w:val="single" w:sz="4" w:space="0" w:color="auto"/>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b/>
                <w:sz w:val="24"/>
                <w:szCs w:val="24"/>
                <w:lang w:val="es-MX"/>
              </w:rPr>
            </w:pPr>
            <w:r w:rsidRPr="000D0E40">
              <w:rPr>
                <w:rFonts w:ascii="Times New Roman" w:hAnsi="Times New Roman" w:cs="Times New Roman"/>
                <w:b/>
                <w:sz w:val="24"/>
                <w:szCs w:val="24"/>
                <w:lang w:val="es-MX"/>
              </w:rPr>
              <w:t>P</w:t>
            </w:r>
          </w:p>
        </w:tc>
      </w:tr>
      <w:tr w:rsidR="000D0E40" w:rsidRPr="000D0E40" w:rsidTr="00220973">
        <w:trPr>
          <w:cantSplit/>
          <w:jc w:val="center"/>
        </w:trPr>
        <w:tc>
          <w:tcPr>
            <w:tcW w:w="1813"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8.81</w:t>
            </w:r>
          </w:p>
        </w:tc>
        <w:tc>
          <w:tcPr>
            <w:tcW w:w="147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±6.67</w:t>
            </w:r>
          </w:p>
        </w:tc>
        <w:tc>
          <w:tcPr>
            <w:tcW w:w="147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rsidTr="00220973">
        <w:trPr>
          <w:cantSplit/>
          <w:jc w:val="center"/>
        </w:trPr>
        <w:tc>
          <w:tcPr>
            <w:tcW w:w="1813"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Agotamiento emocional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13.77</w:t>
            </w:r>
          </w:p>
        </w:tc>
        <w:tc>
          <w:tcPr>
            <w:tcW w:w="147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±5.07</w:t>
            </w:r>
          </w:p>
        </w:tc>
        <w:tc>
          <w:tcPr>
            <w:tcW w:w="147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rsidTr="00220973">
        <w:trPr>
          <w:cantSplit/>
          <w:jc w:val="center"/>
        </w:trPr>
        <w:tc>
          <w:tcPr>
            <w:tcW w:w="1813"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3.27</w:t>
            </w:r>
          </w:p>
        </w:tc>
        <w:tc>
          <w:tcPr>
            <w:tcW w:w="1476" w:type="dxa"/>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±4.62</w:t>
            </w:r>
          </w:p>
        </w:tc>
        <w:tc>
          <w:tcPr>
            <w:tcW w:w="1476"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0.002*</w:t>
            </w:r>
          </w:p>
        </w:tc>
      </w:tr>
      <w:tr w:rsidR="000D0E40" w:rsidRPr="000D0E40" w:rsidTr="00220973">
        <w:trPr>
          <w:cantSplit/>
          <w:jc w:val="center"/>
        </w:trPr>
        <w:tc>
          <w:tcPr>
            <w:tcW w:w="1813"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Despersonalización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6.35</w:t>
            </w:r>
          </w:p>
        </w:tc>
        <w:tc>
          <w:tcPr>
            <w:tcW w:w="1476" w:type="dxa"/>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±2.66</w:t>
            </w:r>
          </w:p>
        </w:tc>
        <w:tc>
          <w:tcPr>
            <w:tcW w:w="1476"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r w:rsidR="000D0E40" w:rsidRPr="000D0E40" w:rsidTr="00220973">
        <w:trPr>
          <w:cantSplit/>
          <w:jc w:val="center"/>
        </w:trPr>
        <w:tc>
          <w:tcPr>
            <w:tcW w:w="1813"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Pre-intervención</w:t>
            </w:r>
          </w:p>
        </w:tc>
        <w:tc>
          <w:tcPr>
            <w:tcW w:w="1030" w:type="dxa"/>
            <w:vMerge w:val="restart"/>
            <w:tcBorders>
              <w:top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26</w:t>
            </w:r>
          </w:p>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p>
        </w:tc>
        <w:tc>
          <w:tcPr>
            <w:tcW w:w="1030"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38.19</w:t>
            </w:r>
          </w:p>
        </w:tc>
        <w:tc>
          <w:tcPr>
            <w:tcW w:w="1476" w:type="dxa"/>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±7.41</w:t>
            </w:r>
          </w:p>
        </w:tc>
        <w:tc>
          <w:tcPr>
            <w:tcW w:w="1476" w:type="dxa"/>
            <w:vMerge w:val="restart"/>
            <w:tcBorders>
              <w:top w:val="single" w:sz="4" w:space="0" w:color="auto"/>
              <w:bottom w:val="nil"/>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0.216**</w:t>
            </w:r>
          </w:p>
        </w:tc>
      </w:tr>
      <w:tr w:rsidR="000D0E40" w:rsidRPr="000D0E40" w:rsidTr="00220973">
        <w:trPr>
          <w:cantSplit/>
          <w:jc w:val="center"/>
        </w:trPr>
        <w:tc>
          <w:tcPr>
            <w:tcW w:w="1813"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rPr>
                <w:rFonts w:ascii="Times New Roman" w:hAnsi="Times New Roman" w:cs="Times New Roman"/>
                <w:sz w:val="24"/>
                <w:szCs w:val="24"/>
                <w:lang w:val="es-MX"/>
              </w:rPr>
            </w:pPr>
            <w:r w:rsidRPr="000D0E40">
              <w:rPr>
                <w:rFonts w:ascii="Times New Roman" w:hAnsi="Times New Roman" w:cs="Times New Roman"/>
                <w:sz w:val="24"/>
                <w:szCs w:val="24"/>
                <w:lang w:val="es-MX"/>
              </w:rPr>
              <w:t>Realización personal Post-intervención</w:t>
            </w:r>
          </w:p>
        </w:tc>
        <w:tc>
          <w:tcPr>
            <w:tcW w:w="1030" w:type="dxa"/>
            <w:vMerge/>
            <w:tcBorders>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c>
          <w:tcPr>
            <w:tcW w:w="1030"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36.92</w:t>
            </w:r>
          </w:p>
        </w:tc>
        <w:tc>
          <w:tcPr>
            <w:tcW w:w="1476" w:type="dxa"/>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±3.00</w:t>
            </w:r>
          </w:p>
        </w:tc>
        <w:tc>
          <w:tcPr>
            <w:tcW w:w="1476" w:type="dxa"/>
            <w:vMerge/>
            <w:tcBorders>
              <w:top w:val="nil"/>
              <w:bottom w:val="single" w:sz="4" w:space="0" w:color="auto"/>
            </w:tcBorders>
            <w:shd w:val="clear" w:color="auto" w:fill="auto"/>
            <w:vAlign w:val="center"/>
          </w:tcPr>
          <w:p w:rsidR="000D0E40" w:rsidRPr="000D0E40" w:rsidRDefault="000D0E40" w:rsidP="000D0E40">
            <w:pPr>
              <w:autoSpaceDE w:val="0"/>
              <w:autoSpaceDN w:val="0"/>
              <w:adjustRightInd w:val="0"/>
              <w:spacing w:after="0" w:line="240" w:lineRule="auto"/>
              <w:ind w:left="60" w:right="60"/>
              <w:jc w:val="center"/>
              <w:rPr>
                <w:rFonts w:ascii="Times New Roman" w:hAnsi="Times New Roman" w:cs="Times New Roman"/>
                <w:sz w:val="24"/>
                <w:szCs w:val="24"/>
                <w:lang w:val="es-MX"/>
              </w:rPr>
            </w:pPr>
          </w:p>
        </w:tc>
      </w:tr>
    </w:tbl>
    <w:p w:rsidR="000D0E40" w:rsidRPr="000D0E40" w:rsidRDefault="000D0E40" w:rsidP="000D0E40">
      <w:pPr>
        <w:pStyle w:val="Prrafodelista"/>
        <w:autoSpaceDE w:val="0"/>
        <w:autoSpaceDN w:val="0"/>
        <w:adjustRightInd w:val="0"/>
        <w:spacing w:after="0" w:line="400" w:lineRule="atLeast"/>
        <w:ind w:left="1080"/>
        <w:jc w:val="center"/>
        <w:rPr>
          <w:rFonts w:ascii="Times New Roman" w:hAnsi="Times New Roman" w:cs="Times New Roman"/>
          <w:sz w:val="24"/>
          <w:szCs w:val="24"/>
          <w:lang w:val="es-MX"/>
        </w:rPr>
      </w:pPr>
      <w:r w:rsidRPr="000D0E40">
        <w:rPr>
          <w:rFonts w:ascii="Times New Roman" w:hAnsi="Times New Roman" w:cs="Times New Roman"/>
          <w:sz w:val="24"/>
          <w:szCs w:val="24"/>
          <w:lang w:val="es-MX"/>
        </w:rPr>
        <w:t>*P≤0,05; **P≥0,05</w:t>
      </w:r>
    </w:p>
    <w:p w:rsidR="000D0E40" w:rsidRPr="000D0E40" w:rsidRDefault="000D0E40" w:rsidP="000D0E40">
      <w:pPr>
        <w:spacing w:after="0" w:line="240" w:lineRule="auto"/>
        <w:rPr>
          <w:rFonts w:ascii="Times New Roman" w:hAnsi="Times New Roman" w:cs="Times New Roman"/>
          <w:sz w:val="24"/>
          <w:szCs w:val="24"/>
        </w:rPr>
      </w:pP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Los diferentes ambientes laborales pueden generar niveles de estrés en unas personas más que en otras, la actividad del sector del transporte se caracteriza por un alto dinamismo, asociado a una alta carga mental debido a situaciones como el tráfico, el ruido, las jornadas largas e irregulares de trabajo, los problemas familiares, emocionales y  las relaciones interpersonales son factores considerados como generadores de estrés en los conductores Salazar y Pereda, 2010).</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El modelo de intervención propuesto estuvo enfocado en técnicas cognitivas conductuales orientadas a disminuir síntomas asociados al Burnout, mediante el entrenamiento de estrategias para identificar sus problemas, la forma de interpretarlos y evaluarlos, además se promovió el empleo de conductas adaptativas para enfrentar sus problemas. Se evidenciaron cabios positivos en agotamiento emocional y despersonalización.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Existen estudios interesantes como el de Cruzado, (como se citó en Vázquez et al., 2012) obtiene cambios clínicamente significativos a los tres meses de la intervención psicoterapéutica en el 50% de los miembros del equipo de oncología radioterápica tratado en lo relativo al cansancio emocional y la despersonalización. En este caso, se llevó a cabo un completo trabajo terapéutico a lo largo de seis sesiones, donde se incluía psicoeducación, estrategias de control del estrés, pautas para el autocuidado, entrenamiento en respiración, reestructuración cognitiva, trabajo en grupo y apoyo mutuo, así como, manejo de situaciones difíciles en la interacción con pacientes.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lastRenderedPageBreak/>
        <w:t>El estudio realizado por Marín (2018) realizó una intervención preventiva  con</w:t>
      </w:r>
      <w:r w:rsidR="00966075">
        <w:rPr>
          <w:rFonts w:ascii="Times New Roman" w:hAnsi="Times New Roman" w:cs="Times New Roman"/>
          <w:sz w:val="24"/>
          <w:szCs w:val="24"/>
        </w:rPr>
        <w:t xml:space="preserve"> </w:t>
      </w:r>
      <w:r w:rsidRPr="000D0E40">
        <w:rPr>
          <w:rFonts w:ascii="Times New Roman" w:hAnsi="Times New Roman" w:cs="Times New Roman"/>
          <w:sz w:val="24"/>
          <w:szCs w:val="24"/>
        </w:rPr>
        <w:t xml:space="preserve">2 ejes: uno terapéutico (terapia grupal interpersonal con componentes cognitivo-conductuales) y otro psicoeducativo; fue implementada por el autora </w:t>
      </w:r>
      <w:r w:rsidR="00966075">
        <w:rPr>
          <w:rFonts w:ascii="Times New Roman" w:hAnsi="Times New Roman" w:cs="Times New Roman"/>
          <w:sz w:val="24"/>
          <w:szCs w:val="24"/>
        </w:rPr>
        <w:t xml:space="preserve">a </w:t>
      </w:r>
      <w:r w:rsidRPr="000D0E40">
        <w:rPr>
          <w:rFonts w:ascii="Times New Roman" w:hAnsi="Times New Roman" w:cs="Times New Roman"/>
          <w:sz w:val="24"/>
          <w:szCs w:val="24"/>
        </w:rPr>
        <w:t>través de 20 sesiones quincenales de 3 h cada una más una sesión adicional de seguimiento. Se observó una disminución significativa (p &lt; 0.05) en síntomas de agotamiento emocional, depresión, burnout y ansiedad, cambio que se mantuvo estable en las 2 primeras variables después de 3 meses.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No se evidenciaron cambios a nivel de la realización personal, manteniéndose sentimientos de desconfianza, presencia de valoraciones negativas hacia su trabajo debido a una falta de reconocimiento social y económico y dificultades para separar la vida personal de la laboral, por lo que es importante realizar una evaluación de la propuesta de intervención psicológica orientada hacia esta dimensión e incrementar el tiempo de aplicación, así como dar seguimiento para mejorar los resultados como lo realizan  Asuero, Rodríguez, Pujol, B, &amp; Moix (2013) al evaluar la efectividad a largo plazo de un programa de entrenamiento en mindfulness dirigido a profesionales de atención primaria en el burnout, el estado emocional, la empatía y la conciencia plena.</w:t>
      </w:r>
    </w:p>
    <w:p w:rsidR="000D0E40" w:rsidRPr="000D0E40" w:rsidRDefault="000D0E40" w:rsidP="000D0E40">
      <w:pPr>
        <w:spacing w:after="0" w:line="240" w:lineRule="auto"/>
        <w:ind w:firstLine="709"/>
        <w:jc w:val="center"/>
        <w:rPr>
          <w:rFonts w:ascii="Times New Roman" w:hAnsi="Times New Roman" w:cs="Times New Roman"/>
          <w:sz w:val="24"/>
          <w:szCs w:val="24"/>
        </w:rPr>
      </w:pPr>
    </w:p>
    <w:p w:rsidR="000D0E40" w:rsidRPr="000D0E40" w:rsidRDefault="000D0E40" w:rsidP="000D0E40">
      <w:pPr>
        <w:spacing w:after="0" w:line="240" w:lineRule="auto"/>
        <w:ind w:firstLine="709"/>
        <w:jc w:val="center"/>
        <w:rPr>
          <w:rFonts w:ascii="Times New Roman" w:hAnsi="Times New Roman" w:cs="Times New Roman"/>
          <w:b/>
          <w:sz w:val="24"/>
          <w:szCs w:val="24"/>
        </w:rPr>
      </w:pPr>
      <w:r w:rsidRPr="000D0E40">
        <w:rPr>
          <w:rFonts w:ascii="Times New Roman" w:hAnsi="Times New Roman" w:cs="Times New Roman"/>
          <w:b/>
          <w:sz w:val="24"/>
          <w:szCs w:val="24"/>
        </w:rPr>
        <w:t>Conclusiones</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Los resultados indican que la intervención psicológica tuvo efecto positivo en la disminución de síntomas de agotamiento emocional y despersonalización, logrando que los participantes se entrenen en estrategias psicológicas que les ayude a enfrentarse a las diferentes situaciones de estrés de una manera adecuada.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 xml:space="preserve">La eficacia de la intervención psicológica de tipo grupal ayudó a la adherencia de los participantes al proceso de intervención, debido a que la muestra tenía similares características lo que facilitó el proceso psicoterapéutico. </w:t>
      </w:r>
    </w:p>
    <w:p w:rsidR="000D0E40" w:rsidRPr="000D0E40" w:rsidRDefault="000D0E40" w:rsidP="000D0E40">
      <w:pPr>
        <w:spacing w:after="0" w:line="240" w:lineRule="auto"/>
        <w:ind w:firstLine="709"/>
        <w:rPr>
          <w:rFonts w:ascii="Times New Roman" w:hAnsi="Times New Roman" w:cs="Times New Roman"/>
          <w:sz w:val="24"/>
          <w:szCs w:val="24"/>
        </w:rPr>
      </w:pPr>
      <w:r w:rsidRPr="000D0E40">
        <w:rPr>
          <w:rFonts w:ascii="Times New Roman" w:hAnsi="Times New Roman" w:cs="Times New Roman"/>
          <w:sz w:val="24"/>
          <w:szCs w:val="24"/>
        </w:rPr>
        <w:t>Es importante el estudio del burnout en estas poblaciones para evitar consecuencias futuras en su salud física y mental.</w:t>
      </w: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p>
    <w:p w:rsidR="000D0E40" w:rsidRPr="000D0E40" w:rsidRDefault="000D0E40" w:rsidP="000D0E40">
      <w:pPr>
        <w:spacing w:after="0" w:line="240" w:lineRule="auto"/>
        <w:jc w:val="center"/>
        <w:rPr>
          <w:rFonts w:ascii="Times New Roman" w:hAnsi="Times New Roman" w:cs="Times New Roman"/>
          <w:b/>
          <w:sz w:val="24"/>
          <w:szCs w:val="24"/>
        </w:rPr>
      </w:pPr>
      <w:r w:rsidRPr="000D0E40">
        <w:rPr>
          <w:rFonts w:ascii="Times New Roman" w:hAnsi="Times New Roman" w:cs="Times New Roman"/>
          <w:b/>
          <w:sz w:val="24"/>
          <w:szCs w:val="24"/>
        </w:rPr>
        <w:t xml:space="preserve">Referencias </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sz w:val="24"/>
          <w:szCs w:val="24"/>
        </w:rPr>
        <w:fldChar w:fldCharType="begin" w:fldLock="1"/>
      </w:r>
      <w:r w:rsidRPr="000D0E40">
        <w:rPr>
          <w:rFonts w:ascii="Times New Roman" w:hAnsi="Times New Roman" w:cs="Times New Roman"/>
          <w:sz w:val="24"/>
          <w:szCs w:val="24"/>
        </w:rPr>
        <w:instrText xml:space="preserve">ADDIN Mendeley Bibliography CSL_BIBLIOGRAPHY </w:instrText>
      </w:r>
      <w:r w:rsidRPr="000D0E40">
        <w:rPr>
          <w:rFonts w:ascii="Times New Roman" w:hAnsi="Times New Roman" w:cs="Times New Roman"/>
          <w:sz w:val="24"/>
          <w:szCs w:val="24"/>
        </w:rPr>
        <w:fldChar w:fldCharType="separate"/>
      </w:r>
      <w:r w:rsidRPr="000D0E40">
        <w:rPr>
          <w:rFonts w:ascii="Times New Roman" w:hAnsi="Times New Roman" w:cs="Times New Roman"/>
          <w:noProof/>
          <w:sz w:val="24"/>
          <w:szCs w:val="24"/>
        </w:rPr>
        <w:t xml:space="preserve">Arias,W., Mendoza,L., y Aleandra, M. (2013). Síndrome de Burnout en conductores de transporte público de la ciudad de Arequipa. </w:t>
      </w:r>
      <w:r w:rsidRPr="000D0E40">
        <w:rPr>
          <w:rFonts w:ascii="Times New Roman" w:hAnsi="Times New Roman" w:cs="Times New Roman"/>
          <w:i/>
          <w:iCs/>
          <w:noProof/>
          <w:sz w:val="24"/>
          <w:szCs w:val="24"/>
        </w:rPr>
        <w:t>Revista PeruArias,W., Mendoza,L., y Aleandra, M. (2013). Síndrome de Burnout en conductores de transporte público de la ciudad de Arequipa. Revista Peruana de Psicología y Trabajo Social., 2. Recuperado de https://www.researchgate.net/publication/27534616</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w:t>
      </w:r>
      <w:r w:rsidRPr="000D0E40">
        <w:rPr>
          <w:rFonts w:ascii="Times New Roman" w:hAnsi="Times New Roman" w:cs="Times New Roman"/>
          <w:noProof/>
          <w:sz w:val="24"/>
          <w:szCs w:val="24"/>
        </w:rPr>
        <w:t>. Recuperado de https://www.researchgate.net/publication/275346165_SINDROME_DE_BURNOUT_EN_CONDUCTORES_DE_TRANSPORTE_PUBLICO_DE_LA_CIUDAD_DE_AREQUIPA</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Asuero, M., Rodríguez, T., Pujol, E., B, A., &amp; Moix, J. (2013). Evaluación de la efectividad de un programa de mindfulness en profesionales de atención primaria. </w:t>
      </w:r>
      <w:r w:rsidRPr="000D0E40">
        <w:rPr>
          <w:rFonts w:ascii="Times New Roman" w:hAnsi="Times New Roman" w:cs="Times New Roman"/>
          <w:i/>
          <w:iCs/>
          <w:noProof/>
          <w:sz w:val="24"/>
          <w:szCs w:val="24"/>
        </w:rPr>
        <w:t>Gaceta Sanitaria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27</w:t>
      </w:r>
      <w:r w:rsidRPr="000D0E40">
        <w:rPr>
          <w:rFonts w:ascii="Times New Roman" w:hAnsi="Times New Roman" w:cs="Times New Roman"/>
          <w:noProof/>
          <w:sz w:val="24"/>
          <w:szCs w:val="24"/>
        </w:rPr>
        <w:t>(6), 521–528. https://doi.org/10.1016/j.gaceta.2013.04.007</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Caballo, V. (2009). Manual de Evaluacion y Entrenamiento de Las Habilidades Sociales. España: Siglo XXI.</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El-Sahili, L. F. (2015). Burnout , su desarrollo y extensión. En ProQuest Ebook Central </w:t>
      </w:r>
      <w:r w:rsidRPr="000D0E40">
        <w:rPr>
          <w:rFonts w:ascii="Times New Roman" w:hAnsi="Times New Roman" w:cs="Times New Roman"/>
          <w:noProof/>
          <w:sz w:val="24"/>
          <w:szCs w:val="24"/>
        </w:rPr>
        <w:lastRenderedPageBreak/>
        <w:t>http://ebookcentral.proquest.com/lib/unachlibsp/detail.action? (Ed.) (El Manual, pp. 1–18). https://doi.org/4421830.</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Faúndez, V. (2016). Christina Maslach, comprendiendo el burnout. Recuperado el 15 de febrero de 2019, de https://www.researchgate.net/publication/311611859_Christina_Maslach_comprendiendo_el_burnout</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Guerrero, E. y Rubio, J. (2005). </w:t>
      </w:r>
      <w:r w:rsidRPr="000D0E40">
        <w:rPr>
          <w:rFonts w:ascii="Times New Roman" w:hAnsi="Times New Roman" w:cs="Times New Roman"/>
          <w:i/>
          <w:iCs/>
          <w:noProof/>
          <w:sz w:val="24"/>
          <w:szCs w:val="24"/>
        </w:rPr>
        <w:t>Estrategias de prevención e intervención del “Burnout en el ámbito educativo”</w:t>
      </w:r>
      <w:r w:rsidRPr="000D0E40">
        <w:rPr>
          <w:rFonts w:ascii="Times New Roman" w:hAnsi="Times New Roman" w:cs="Times New Roman"/>
          <w:noProof/>
          <w:sz w:val="24"/>
          <w:szCs w:val="24"/>
        </w:rPr>
        <w:t>. Badajoz. Recuperado de http://www.inprf-cd.gob.mx/pdf/sm2805/sm280527.pdf</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Labrador, F., Echeburúa, E. y Becoña, E. (2000). </w:t>
      </w:r>
      <w:r w:rsidRPr="000D0E40">
        <w:rPr>
          <w:rFonts w:ascii="Times New Roman" w:hAnsi="Times New Roman" w:cs="Times New Roman"/>
          <w:i/>
          <w:iCs/>
          <w:noProof/>
          <w:sz w:val="24"/>
          <w:szCs w:val="24"/>
        </w:rPr>
        <w:t>Guía para la elección de tratamientos psicológicos efectivos: Hacia una nueva Psicología Clínica</w:t>
      </w:r>
      <w:r w:rsidRPr="000D0E40">
        <w:rPr>
          <w:rFonts w:ascii="Times New Roman" w:hAnsi="Times New Roman" w:cs="Times New Roman"/>
          <w:noProof/>
          <w:sz w:val="24"/>
          <w:szCs w:val="24"/>
        </w:rPr>
        <w:t xml:space="preserve"> (Dykinson). Madrid.</w:t>
      </w:r>
    </w:p>
    <w:p w:rsidR="000D0E40" w:rsidRPr="00921F67"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0D0E40">
        <w:rPr>
          <w:rFonts w:ascii="Times New Roman" w:hAnsi="Times New Roman" w:cs="Times New Roman"/>
          <w:noProof/>
          <w:sz w:val="24"/>
          <w:szCs w:val="24"/>
        </w:rPr>
        <w:t xml:space="preserve">Marín, M. (2018). Prevención de burnout y fatiga por compasión: evaluación de una intervención grupal. </w:t>
      </w:r>
      <w:r w:rsidRPr="00921F67">
        <w:rPr>
          <w:rFonts w:ascii="Times New Roman" w:hAnsi="Times New Roman" w:cs="Times New Roman"/>
          <w:i/>
          <w:iCs/>
          <w:noProof/>
          <w:sz w:val="24"/>
          <w:szCs w:val="24"/>
          <w:lang w:val="en-US"/>
        </w:rPr>
        <w:t>Journal of Behavior, Health &amp; Social Issues</w:t>
      </w:r>
      <w:r w:rsidRPr="00921F67">
        <w:rPr>
          <w:rFonts w:ascii="Times New Roman" w:hAnsi="Times New Roman" w:cs="Times New Roman"/>
          <w:noProof/>
          <w:sz w:val="24"/>
          <w:szCs w:val="24"/>
          <w:lang w:val="en-US"/>
        </w:rPr>
        <w:t xml:space="preserve">, </w:t>
      </w:r>
      <w:r w:rsidRPr="00921F67">
        <w:rPr>
          <w:rFonts w:ascii="Times New Roman" w:hAnsi="Times New Roman" w:cs="Times New Roman"/>
          <w:i/>
          <w:iCs/>
          <w:noProof/>
          <w:sz w:val="24"/>
          <w:szCs w:val="24"/>
          <w:lang w:val="en-US"/>
        </w:rPr>
        <w:t>9</w:t>
      </w:r>
      <w:r w:rsidRPr="00921F67">
        <w:rPr>
          <w:rFonts w:ascii="Times New Roman" w:hAnsi="Times New Roman" w:cs="Times New Roman"/>
          <w:noProof/>
          <w:sz w:val="24"/>
          <w:szCs w:val="24"/>
          <w:lang w:val="en-US"/>
        </w:rPr>
        <w:t>(2), 117–123. https://doi.org/10.1016/j.jbhsi.2018.01.008</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921F67">
        <w:rPr>
          <w:rFonts w:ascii="Times New Roman" w:hAnsi="Times New Roman" w:cs="Times New Roman"/>
          <w:noProof/>
          <w:sz w:val="24"/>
          <w:szCs w:val="24"/>
          <w:lang w:val="en-US"/>
        </w:rPr>
        <w:t xml:space="preserve">Maslach,C.y Jackson, S. (1986). </w:t>
      </w:r>
      <w:r w:rsidRPr="00921F67">
        <w:rPr>
          <w:rFonts w:ascii="Times New Roman" w:hAnsi="Times New Roman" w:cs="Times New Roman"/>
          <w:i/>
          <w:iCs/>
          <w:noProof/>
          <w:sz w:val="24"/>
          <w:szCs w:val="24"/>
          <w:lang w:val="en-US"/>
        </w:rPr>
        <w:t>MBI: Maslach Burnout Inventory. Manual.</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(Consulting). Palo Alto:University of California. Recuperado de https://es.scribd.com/document/322037991/Manual-Del-Mbi-Inventario-de-Burnout-Maslach</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Nezu, A; Nezu, C. y Lombardo, E. (2006). </w:t>
      </w:r>
      <w:r w:rsidRPr="000D0E40">
        <w:rPr>
          <w:rFonts w:ascii="Times New Roman" w:hAnsi="Times New Roman" w:cs="Times New Roman"/>
          <w:i/>
          <w:iCs/>
          <w:noProof/>
          <w:sz w:val="24"/>
          <w:szCs w:val="24"/>
        </w:rPr>
        <w:t>Formulación de casos y diseño de tratamientos cognitivo-conductuales.</w:t>
      </w:r>
      <w:r w:rsidRPr="000D0E40">
        <w:rPr>
          <w:rFonts w:ascii="Times New Roman" w:hAnsi="Times New Roman" w:cs="Times New Roman"/>
          <w:noProof/>
          <w:sz w:val="24"/>
          <w:szCs w:val="24"/>
        </w:rPr>
        <w:t xml:space="preserve"> (El Manual). México.</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OMS. (2007). </w:t>
      </w:r>
      <w:r w:rsidRPr="000D0E40">
        <w:rPr>
          <w:rFonts w:ascii="Times New Roman" w:hAnsi="Times New Roman" w:cs="Times New Roman"/>
          <w:i/>
          <w:iCs/>
          <w:noProof/>
          <w:sz w:val="24"/>
          <w:szCs w:val="24"/>
        </w:rPr>
        <w:t>Salud de los trabajadores: plan de acción mundial.</w:t>
      </w:r>
      <w:r w:rsidRPr="000D0E40">
        <w:rPr>
          <w:rFonts w:ascii="Times New Roman" w:hAnsi="Times New Roman" w:cs="Times New Roman"/>
          <w:noProof/>
          <w:sz w:val="24"/>
          <w:szCs w:val="24"/>
        </w:rPr>
        <w:t xml:space="preserve"> Ginebra. Recuperado de https://www.who.int/occupational_health/WHO_health_assembly_sp_web.pdf?ua=1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Organización Mundial de la Salud. </w:t>
      </w:r>
      <w:r w:rsidRPr="00921F67">
        <w:rPr>
          <w:rFonts w:ascii="Times New Roman" w:hAnsi="Times New Roman" w:cs="Times New Roman"/>
          <w:noProof/>
          <w:sz w:val="24"/>
          <w:szCs w:val="24"/>
          <w:lang w:val="en-US"/>
        </w:rPr>
        <w:t xml:space="preserve">(1992). </w:t>
      </w:r>
      <w:r w:rsidRPr="00921F67">
        <w:rPr>
          <w:rFonts w:ascii="Times New Roman" w:hAnsi="Times New Roman" w:cs="Times New Roman"/>
          <w:i/>
          <w:iCs/>
          <w:noProof/>
          <w:sz w:val="24"/>
          <w:szCs w:val="24"/>
          <w:lang w:val="en-US"/>
        </w:rPr>
        <w:t>The ICD-10 Classification of Mental and Behavioural Disorders: Diagnostic criteria for research</w:t>
      </w:r>
      <w:r w:rsidRPr="00921F67">
        <w:rPr>
          <w:rFonts w:ascii="Times New Roman" w:hAnsi="Times New Roman" w:cs="Times New Roman"/>
          <w:noProof/>
          <w:sz w:val="24"/>
          <w:szCs w:val="24"/>
          <w:lang w:val="en-US"/>
        </w:rPr>
        <w:t xml:space="preserve">. </w:t>
      </w:r>
      <w:r w:rsidRPr="000D0E40">
        <w:rPr>
          <w:rFonts w:ascii="Times New Roman" w:hAnsi="Times New Roman" w:cs="Times New Roman"/>
          <w:noProof/>
          <w:sz w:val="24"/>
          <w:szCs w:val="24"/>
        </w:rPr>
        <w:t>Madrid: Meditor. Recuperado de https://apps.who.int/iris/bitstream/handle/10665/42326/8479034920_spa.pdf?sequence=1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Ruiz, M., Díaz, M. y Villalobos, A. (2012). </w:t>
      </w:r>
      <w:r w:rsidRPr="000D0E40">
        <w:rPr>
          <w:rFonts w:ascii="Times New Roman" w:hAnsi="Times New Roman" w:cs="Times New Roman"/>
          <w:i/>
          <w:iCs/>
          <w:noProof/>
          <w:sz w:val="24"/>
          <w:szCs w:val="24"/>
        </w:rPr>
        <w:t>Manual de Técnicas de Intervención Cognitivo Conductuales</w:t>
      </w:r>
      <w:r w:rsidRPr="000D0E40">
        <w:rPr>
          <w:rFonts w:ascii="Times New Roman" w:hAnsi="Times New Roman" w:cs="Times New Roman"/>
          <w:noProof/>
          <w:sz w:val="24"/>
          <w:szCs w:val="24"/>
        </w:rPr>
        <w:t xml:space="preserve"> (DESCLEE DE). https://doi.org/B1-3308-2011</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Salazar, S. y Pereda, E. (2010). Síndrome de Burnout y patrones de comportamiento ante tráfico en conductores. </w:t>
      </w:r>
      <w:r w:rsidRPr="000D0E40">
        <w:rPr>
          <w:rFonts w:ascii="Times New Roman" w:hAnsi="Times New Roman" w:cs="Times New Roman"/>
          <w:i/>
          <w:iCs/>
          <w:noProof/>
          <w:sz w:val="24"/>
          <w:szCs w:val="24"/>
        </w:rPr>
        <w:t>Psicología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12</w:t>
      </w:r>
      <w:r w:rsidRPr="000D0E40">
        <w:rPr>
          <w:rFonts w:ascii="Times New Roman" w:hAnsi="Times New Roman" w:cs="Times New Roman"/>
          <w:noProof/>
          <w:sz w:val="24"/>
          <w:szCs w:val="24"/>
        </w:rPr>
        <w:t>.</w:t>
      </w:r>
    </w:p>
    <w:p w:rsidR="000D0E40" w:rsidRPr="000D0E40" w:rsidRDefault="000D0E40" w:rsidP="000D0E40">
      <w:pPr>
        <w:widowControl w:val="0"/>
        <w:autoSpaceDE w:val="0"/>
        <w:autoSpaceDN w:val="0"/>
        <w:adjustRightInd w:val="0"/>
        <w:spacing w:line="240" w:lineRule="auto"/>
        <w:ind w:left="480" w:hanging="480"/>
        <w:rPr>
          <w:rFonts w:ascii="Times New Roman" w:hAnsi="Times New Roman" w:cs="Times New Roman"/>
          <w:noProof/>
          <w:sz w:val="24"/>
          <w:szCs w:val="24"/>
        </w:rPr>
      </w:pPr>
      <w:r w:rsidRPr="000D0E40">
        <w:rPr>
          <w:rFonts w:ascii="Times New Roman" w:hAnsi="Times New Roman" w:cs="Times New Roman"/>
          <w:noProof/>
          <w:sz w:val="24"/>
          <w:szCs w:val="24"/>
        </w:rPr>
        <w:t xml:space="preserve">Vázquez, J., Vázquez, M., Álvarez, M., Reyes, M., Martínez, R., Nadal, M., &amp; Cruzado, J. (2012). Intervención psicoterapéutica intensiva realizada en un entorno natural para el tratamiento del Burnout en un equipo de enfermería oncológico. </w:t>
      </w:r>
      <w:r w:rsidRPr="000D0E40">
        <w:rPr>
          <w:rFonts w:ascii="Times New Roman" w:hAnsi="Times New Roman" w:cs="Times New Roman"/>
          <w:i/>
          <w:iCs/>
          <w:noProof/>
          <w:sz w:val="24"/>
          <w:szCs w:val="24"/>
        </w:rPr>
        <w:t>Psicooncología</w:t>
      </w:r>
      <w:r w:rsidRPr="000D0E40">
        <w:rPr>
          <w:rFonts w:ascii="Times New Roman" w:hAnsi="Times New Roman" w:cs="Times New Roman"/>
          <w:noProof/>
          <w:sz w:val="24"/>
          <w:szCs w:val="24"/>
        </w:rPr>
        <w:t xml:space="preserve">, </w:t>
      </w:r>
      <w:r w:rsidRPr="000D0E40">
        <w:rPr>
          <w:rFonts w:ascii="Times New Roman" w:hAnsi="Times New Roman" w:cs="Times New Roman"/>
          <w:i/>
          <w:iCs/>
          <w:noProof/>
          <w:sz w:val="24"/>
          <w:szCs w:val="24"/>
        </w:rPr>
        <w:t>9</w:t>
      </w:r>
      <w:r w:rsidRPr="000D0E40">
        <w:rPr>
          <w:rFonts w:ascii="Times New Roman" w:hAnsi="Times New Roman" w:cs="Times New Roman"/>
          <w:noProof/>
          <w:sz w:val="24"/>
          <w:szCs w:val="24"/>
        </w:rPr>
        <w:t>, 161–182. https://doi.org/10.5209/rev_PSIC.2012.v9.n1.39145</w:t>
      </w:r>
    </w:p>
    <w:p w:rsidR="000D0E40" w:rsidRPr="000D0E40" w:rsidRDefault="000D0E40" w:rsidP="000D0E40">
      <w:pPr>
        <w:spacing w:after="0" w:line="240" w:lineRule="auto"/>
        <w:ind w:firstLine="709"/>
        <w:jc w:val="both"/>
        <w:rPr>
          <w:rFonts w:ascii="Times New Roman" w:hAnsi="Times New Roman" w:cs="Times New Roman"/>
        </w:rPr>
      </w:pPr>
      <w:r w:rsidRPr="000D0E40">
        <w:rPr>
          <w:rFonts w:ascii="Times New Roman" w:hAnsi="Times New Roman" w:cs="Times New Roman"/>
          <w:sz w:val="24"/>
          <w:szCs w:val="24"/>
        </w:rPr>
        <w:fldChar w:fldCharType="end"/>
      </w:r>
    </w:p>
    <w:sectPr w:rsidR="000D0E40" w:rsidRPr="000D0E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2B" w:rsidRDefault="00E2622B" w:rsidP="00ED596C">
      <w:pPr>
        <w:spacing w:after="0" w:line="240" w:lineRule="auto"/>
      </w:pPr>
      <w:r>
        <w:separator/>
      </w:r>
    </w:p>
  </w:endnote>
  <w:endnote w:type="continuationSeparator" w:id="0">
    <w:p w:rsidR="00E2622B" w:rsidRDefault="00E2622B" w:rsidP="00ED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2B" w:rsidRDefault="00E2622B" w:rsidP="00ED596C">
      <w:pPr>
        <w:spacing w:after="0" w:line="240" w:lineRule="auto"/>
      </w:pPr>
      <w:r>
        <w:separator/>
      </w:r>
    </w:p>
  </w:footnote>
  <w:footnote w:type="continuationSeparator" w:id="0">
    <w:p w:rsidR="00E2622B" w:rsidRDefault="00E2622B" w:rsidP="00ED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9DC"/>
    <w:multiLevelType w:val="hybridMultilevel"/>
    <w:tmpl w:val="D216302E"/>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1" w15:restartNumberingAfterBreak="0">
    <w:nsid w:val="18BD32E5"/>
    <w:multiLevelType w:val="hybridMultilevel"/>
    <w:tmpl w:val="56EE789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2F67225"/>
    <w:multiLevelType w:val="hybridMultilevel"/>
    <w:tmpl w:val="014E88D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68C7A9C"/>
    <w:multiLevelType w:val="hybridMultilevel"/>
    <w:tmpl w:val="0E66C6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C450436"/>
    <w:multiLevelType w:val="hybridMultilevel"/>
    <w:tmpl w:val="8AB4B19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1653A6D"/>
    <w:multiLevelType w:val="hybridMultilevel"/>
    <w:tmpl w:val="501A580E"/>
    <w:lvl w:ilvl="0" w:tplc="080A0003">
      <w:start w:val="1"/>
      <w:numFmt w:val="bullet"/>
      <w:lvlText w:val="o"/>
      <w:lvlJc w:val="left"/>
      <w:pPr>
        <w:ind w:left="3020" w:hanging="360"/>
      </w:pPr>
      <w:rPr>
        <w:rFonts w:ascii="Courier New" w:hAnsi="Courier New" w:cs="Courier New" w:hint="default"/>
      </w:rPr>
    </w:lvl>
    <w:lvl w:ilvl="1" w:tplc="080A0003" w:tentative="1">
      <w:start w:val="1"/>
      <w:numFmt w:val="bullet"/>
      <w:lvlText w:val="o"/>
      <w:lvlJc w:val="left"/>
      <w:pPr>
        <w:ind w:left="3740" w:hanging="360"/>
      </w:pPr>
      <w:rPr>
        <w:rFonts w:ascii="Courier New" w:hAnsi="Courier New" w:cs="Courier New" w:hint="default"/>
      </w:rPr>
    </w:lvl>
    <w:lvl w:ilvl="2" w:tplc="080A0005" w:tentative="1">
      <w:start w:val="1"/>
      <w:numFmt w:val="bullet"/>
      <w:lvlText w:val=""/>
      <w:lvlJc w:val="left"/>
      <w:pPr>
        <w:ind w:left="4460" w:hanging="360"/>
      </w:pPr>
      <w:rPr>
        <w:rFonts w:ascii="Wingdings" w:hAnsi="Wingdings" w:hint="default"/>
      </w:rPr>
    </w:lvl>
    <w:lvl w:ilvl="3" w:tplc="080A0001" w:tentative="1">
      <w:start w:val="1"/>
      <w:numFmt w:val="bullet"/>
      <w:lvlText w:val=""/>
      <w:lvlJc w:val="left"/>
      <w:pPr>
        <w:ind w:left="5180" w:hanging="360"/>
      </w:pPr>
      <w:rPr>
        <w:rFonts w:ascii="Symbol" w:hAnsi="Symbol" w:hint="default"/>
      </w:rPr>
    </w:lvl>
    <w:lvl w:ilvl="4" w:tplc="080A0003" w:tentative="1">
      <w:start w:val="1"/>
      <w:numFmt w:val="bullet"/>
      <w:lvlText w:val="o"/>
      <w:lvlJc w:val="left"/>
      <w:pPr>
        <w:ind w:left="5900" w:hanging="360"/>
      </w:pPr>
      <w:rPr>
        <w:rFonts w:ascii="Courier New" w:hAnsi="Courier New" w:cs="Courier New" w:hint="default"/>
      </w:rPr>
    </w:lvl>
    <w:lvl w:ilvl="5" w:tplc="080A0005" w:tentative="1">
      <w:start w:val="1"/>
      <w:numFmt w:val="bullet"/>
      <w:lvlText w:val=""/>
      <w:lvlJc w:val="left"/>
      <w:pPr>
        <w:ind w:left="6620" w:hanging="360"/>
      </w:pPr>
      <w:rPr>
        <w:rFonts w:ascii="Wingdings" w:hAnsi="Wingdings" w:hint="default"/>
      </w:rPr>
    </w:lvl>
    <w:lvl w:ilvl="6" w:tplc="080A0001" w:tentative="1">
      <w:start w:val="1"/>
      <w:numFmt w:val="bullet"/>
      <w:lvlText w:val=""/>
      <w:lvlJc w:val="left"/>
      <w:pPr>
        <w:ind w:left="7340" w:hanging="360"/>
      </w:pPr>
      <w:rPr>
        <w:rFonts w:ascii="Symbol" w:hAnsi="Symbol" w:hint="default"/>
      </w:rPr>
    </w:lvl>
    <w:lvl w:ilvl="7" w:tplc="080A0003" w:tentative="1">
      <w:start w:val="1"/>
      <w:numFmt w:val="bullet"/>
      <w:lvlText w:val="o"/>
      <w:lvlJc w:val="left"/>
      <w:pPr>
        <w:ind w:left="8060" w:hanging="360"/>
      </w:pPr>
      <w:rPr>
        <w:rFonts w:ascii="Courier New" w:hAnsi="Courier New" w:cs="Courier New" w:hint="default"/>
      </w:rPr>
    </w:lvl>
    <w:lvl w:ilvl="8" w:tplc="080A0005" w:tentative="1">
      <w:start w:val="1"/>
      <w:numFmt w:val="bullet"/>
      <w:lvlText w:val=""/>
      <w:lvlJc w:val="left"/>
      <w:pPr>
        <w:ind w:left="8780" w:hanging="360"/>
      </w:pPr>
      <w:rPr>
        <w:rFonts w:ascii="Wingdings" w:hAnsi="Wingdings" w:hint="default"/>
      </w:rPr>
    </w:lvl>
  </w:abstractNum>
  <w:abstractNum w:abstractNumId="6" w15:restartNumberingAfterBreak="0">
    <w:nsid w:val="39C15E83"/>
    <w:multiLevelType w:val="hybridMultilevel"/>
    <w:tmpl w:val="1D769A42"/>
    <w:lvl w:ilvl="0" w:tplc="080A0001">
      <w:start w:val="1"/>
      <w:numFmt w:val="bullet"/>
      <w:lvlText w:val=""/>
      <w:lvlJc w:val="left"/>
      <w:pPr>
        <w:ind w:left="2137" w:hanging="360"/>
      </w:pPr>
      <w:rPr>
        <w:rFonts w:ascii="Symbol" w:hAnsi="Symbol"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7" w15:restartNumberingAfterBreak="0">
    <w:nsid w:val="3AA4536B"/>
    <w:multiLevelType w:val="hybridMultilevel"/>
    <w:tmpl w:val="DFBEF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341D43"/>
    <w:multiLevelType w:val="hybridMultilevel"/>
    <w:tmpl w:val="B70CE7A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4"/>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84"/>
    <w:rsid w:val="000D0E40"/>
    <w:rsid w:val="000F78FB"/>
    <w:rsid w:val="001B4184"/>
    <w:rsid w:val="00242285"/>
    <w:rsid w:val="00305EE5"/>
    <w:rsid w:val="003523E7"/>
    <w:rsid w:val="003D2FAA"/>
    <w:rsid w:val="005E7DC4"/>
    <w:rsid w:val="00611139"/>
    <w:rsid w:val="006F0416"/>
    <w:rsid w:val="008A5D5B"/>
    <w:rsid w:val="008B19C2"/>
    <w:rsid w:val="00921F67"/>
    <w:rsid w:val="00966075"/>
    <w:rsid w:val="00A21417"/>
    <w:rsid w:val="00AC4E46"/>
    <w:rsid w:val="00AE6065"/>
    <w:rsid w:val="00CD1DBD"/>
    <w:rsid w:val="00E2622B"/>
    <w:rsid w:val="00ED596C"/>
    <w:rsid w:val="00F34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F264"/>
  <w15:chartTrackingRefBased/>
  <w15:docId w15:val="{BE0BC6B6-B228-4701-9F02-52F9870D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E40"/>
    <w:pPr>
      <w:ind w:left="720"/>
      <w:contextualSpacing/>
    </w:pPr>
  </w:style>
  <w:style w:type="character" w:styleId="Hipervnculo">
    <w:name w:val="Hyperlink"/>
    <w:basedOn w:val="Fuentedeprrafopredeter"/>
    <w:uiPriority w:val="99"/>
    <w:unhideWhenUsed/>
    <w:rsid w:val="000D0E40"/>
    <w:rPr>
      <w:color w:val="0563C1" w:themeColor="hyperlink"/>
      <w:u w:val="single"/>
    </w:rPr>
  </w:style>
  <w:style w:type="paragraph" w:styleId="Encabezado">
    <w:name w:val="header"/>
    <w:basedOn w:val="Normal"/>
    <w:link w:val="EncabezadoCar"/>
    <w:uiPriority w:val="99"/>
    <w:unhideWhenUsed/>
    <w:rsid w:val="00ED5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96C"/>
    <w:rPr>
      <w:lang w:val="es-ES_tradnl"/>
    </w:rPr>
  </w:style>
  <w:style w:type="paragraph" w:styleId="Piedepgina">
    <w:name w:val="footer"/>
    <w:basedOn w:val="Normal"/>
    <w:link w:val="PiedepginaCar"/>
    <w:uiPriority w:val="99"/>
    <w:unhideWhenUsed/>
    <w:rsid w:val="00ED5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96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3438</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2019-07-12T14:33:00Z</dcterms:created>
  <dcterms:modified xsi:type="dcterms:W3CDTF">2019-07-12T14:33:00Z</dcterms:modified>
</cp:coreProperties>
</file>