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DE4" w:rsidRPr="00A26E08" w:rsidRDefault="002B4DE4" w:rsidP="0084774F">
      <w:pPr>
        <w:autoSpaceDE w:val="0"/>
        <w:autoSpaceDN w:val="0"/>
        <w:adjustRightInd w:val="0"/>
        <w:spacing w:after="0" w:line="240" w:lineRule="auto"/>
        <w:jc w:val="both"/>
        <w:rPr>
          <w:rFonts w:ascii="TimesNewRomanPS-BoldMT" w:hAnsi="TimesNewRomanPS-BoldMT" w:cs="TimesNewRomanPS-BoldMT"/>
          <w:b/>
          <w:bCs/>
          <w:color w:val="000000"/>
          <w:sz w:val="24"/>
          <w:szCs w:val="24"/>
        </w:rPr>
      </w:pPr>
      <w:r w:rsidRPr="00A26E08">
        <w:rPr>
          <w:rFonts w:ascii="TimesNewRomanPS-BoldMT" w:hAnsi="TimesNewRomanPS-BoldMT" w:cs="TimesNewRomanPS-BoldMT"/>
          <w:b/>
          <w:bCs/>
          <w:color w:val="000000"/>
          <w:sz w:val="24"/>
          <w:szCs w:val="24"/>
        </w:rPr>
        <w:t xml:space="preserve">Propiedades Psicométricas de la </w:t>
      </w:r>
      <w:r w:rsidR="007640BB" w:rsidRPr="00A26E08">
        <w:rPr>
          <w:rFonts w:ascii="TimesNewRomanPS-BoldMT" w:hAnsi="TimesNewRomanPS-BoldMT" w:cs="TimesNewRomanPS-BoldMT"/>
          <w:b/>
          <w:bCs/>
          <w:color w:val="000000"/>
          <w:sz w:val="24"/>
          <w:szCs w:val="24"/>
        </w:rPr>
        <w:t xml:space="preserve">Prueba de Adecuación Autovalorativa de Boxeo </w:t>
      </w:r>
      <w:r w:rsidR="00711B90" w:rsidRPr="00A26E08">
        <w:rPr>
          <w:rFonts w:ascii="TimesNewRomanPS-BoldMT" w:hAnsi="TimesNewRomanPS-BoldMT" w:cs="TimesNewRomanPS-BoldMT"/>
          <w:b/>
          <w:bCs/>
          <w:color w:val="000000"/>
          <w:sz w:val="24"/>
          <w:szCs w:val="24"/>
        </w:rPr>
        <w:t>en el contexto</w:t>
      </w:r>
      <w:r w:rsidRPr="00A26E08">
        <w:rPr>
          <w:rFonts w:ascii="TimesNewRomanPS-BoldMT" w:hAnsi="TimesNewRomanPS-BoldMT" w:cs="TimesNewRomanPS-BoldMT"/>
          <w:b/>
          <w:bCs/>
          <w:color w:val="000000"/>
          <w:sz w:val="24"/>
          <w:szCs w:val="24"/>
        </w:rPr>
        <w:t xml:space="preserve"> cubano</w:t>
      </w:r>
      <w:r w:rsidR="00711B90" w:rsidRPr="00A26E08">
        <w:rPr>
          <w:rFonts w:ascii="TimesNewRomanPS-BoldMT" w:hAnsi="TimesNewRomanPS-BoldMT" w:cs="TimesNewRomanPS-BoldMT"/>
          <w:b/>
          <w:bCs/>
          <w:color w:val="000000"/>
          <w:sz w:val="24"/>
          <w:szCs w:val="24"/>
        </w:rPr>
        <w:t>.</w:t>
      </w:r>
    </w:p>
    <w:p w:rsidR="00711B90" w:rsidRPr="00A26E08" w:rsidRDefault="00711B90" w:rsidP="00711B90">
      <w:pPr>
        <w:autoSpaceDE w:val="0"/>
        <w:autoSpaceDN w:val="0"/>
        <w:adjustRightInd w:val="0"/>
        <w:spacing w:after="0" w:line="240" w:lineRule="auto"/>
        <w:jc w:val="both"/>
        <w:rPr>
          <w:rFonts w:ascii="TimesNewRomanPS-BoldMT" w:hAnsi="TimesNewRomanPS-BoldMT" w:cs="TimesNewRomanPS-BoldMT"/>
          <w:b/>
          <w:bCs/>
          <w:color w:val="000000"/>
          <w:sz w:val="24"/>
          <w:szCs w:val="24"/>
        </w:rPr>
      </w:pPr>
    </w:p>
    <w:p w:rsidR="00144862" w:rsidRPr="00A26E08" w:rsidRDefault="00144862" w:rsidP="00144862">
      <w:pPr>
        <w:autoSpaceDE w:val="0"/>
        <w:autoSpaceDN w:val="0"/>
        <w:adjustRightInd w:val="0"/>
        <w:spacing w:after="0" w:line="240" w:lineRule="auto"/>
        <w:jc w:val="both"/>
        <w:rPr>
          <w:rFonts w:ascii="Times New Roman" w:hAnsi="Times New Roman" w:cs="Times New Roman"/>
          <w:color w:val="000000"/>
          <w:sz w:val="24"/>
          <w:szCs w:val="24"/>
        </w:rPr>
      </w:pPr>
      <w:r w:rsidRPr="00A26E08">
        <w:rPr>
          <w:rFonts w:ascii="Times New Roman" w:hAnsi="Times New Roman" w:cs="Times New Roman"/>
          <w:b/>
          <w:bCs/>
          <w:color w:val="000000"/>
          <w:sz w:val="24"/>
          <w:szCs w:val="24"/>
        </w:rPr>
        <w:t xml:space="preserve">RESUMEN: </w:t>
      </w:r>
      <w:r w:rsidRPr="00A26E08">
        <w:rPr>
          <w:rFonts w:ascii="Times New Roman" w:hAnsi="Times New Roman" w:cs="Times New Roman"/>
          <w:color w:val="000000"/>
          <w:sz w:val="24"/>
          <w:szCs w:val="24"/>
        </w:rPr>
        <w:t xml:space="preserve">El objetivo de este trabajo fue diseñar la </w:t>
      </w:r>
      <w:r w:rsidRPr="00A26E08">
        <w:rPr>
          <w:rFonts w:ascii="Times New Roman" w:hAnsi="Times New Roman" w:cs="Times New Roman"/>
          <w:i/>
          <w:iCs/>
          <w:color w:val="000000"/>
          <w:sz w:val="24"/>
          <w:szCs w:val="24"/>
        </w:rPr>
        <w:t xml:space="preserve">Prueba de Adecuación Autovalorativa de Boxeo (PAAB) </w:t>
      </w:r>
      <w:r w:rsidRPr="00A26E08">
        <w:rPr>
          <w:rFonts w:ascii="Times New Roman" w:hAnsi="Times New Roman" w:cs="Times New Roman"/>
          <w:color w:val="000000"/>
          <w:sz w:val="24"/>
          <w:szCs w:val="24"/>
        </w:rPr>
        <w:t xml:space="preserve">para uso en la población cubana de alto rendimiento, y examinar sus propiedades psicométricas. La muestra consta de 29 boxeadores del equipo nacional cubano (24,5 años de edad cronológica, como promedio). La PAAB demostró que las interpretaciones que derivan de su aplicación exhiben validez de criterio, pues la varianza interboxeadores </w:t>
      </w:r>
      <w:bookmarkStart w:id="0" w:name="_Hlk12449698"/>
      <w:r w:rsidRPr="00A26E08">
        <w:rPr>
          <w:rFonts w:ascii="Times New Roman" w:hAnsi="Times New Roman" w:cs="Times New Roman"/>
          <w:color w:val="000000"/>
          <w:sz w:val="24"/>
          <w:szCs w:val="24"/>
        </w:rPr>
        <w:t>(</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sub>
          <m:sup>
            <m:r>
              <w:rPr>
                <w:rFonts w:ascii="Cambria Math" w:eastAsia="Times New Roman" w:hAnsi="Cambria Math" w:cs="Times New Roman"/>
                <w:sz w:val="24"/>
                <w:szCs w:val="24"/>
              </w:rPr>
              <m:t>2</m:t>
            </m:r>
          </m:sup>
        </m:sSubSup>
      </m:oMath>
      <w:r w:rsidRPr="00A26E08">
        <w:rPr>
          <w:rFonts w:ascii="Times New Roman" w:eastAsiaTheme="minorEastAsia" w:hAnsi="Times New Roman" w:cs="Times New Roman"/>
          <w:sz w:val="24"/>
          <w:szCs w:val="24"/>
        </w:rPr>
        <w:t xml:space="preserve">) </w:t>
      </w:r>
      <w:bookmarkEnd w:id="0"/>
      <w:r w:rsidRPr="00A26E08">
        <w:rPr>
          <w:rFonts w:ascii="Times New Roman" w:eastAsiaTheme="minorEastAsia" w:hAnsi="Times New Roman" w:cs="Times New Roman"/>
          <w:sz w:val="24"/>
          <w:szCs w:val="24"/>
        </w:rPr>
        <w:t xml:space="preserve">explicada por la condición de ser participante </w:t>
      </w:r>
      <w:r w:rsidRPr="00A26E08">
        <w:rPr>
          <w:rFonts w:ascii="Times New Roman" w:eastAsiaTheme="minorEastAsia" w:hAnsi="Times New Roman" w:cs="Times New Roman"/>
          <w:i/>
          <w:sz w:val="24"/>
          <w:szCs w:val="24"/>
        </w:rPr>
        <w:t>destacado</w:t>
      </w:r>
      <w:r w:rsidRPr="00A26E08">
        <w:rPr>
          <w:rFonts w:ascii="Times New Roman" w:eastAsiaTheme="minorEastAsia" w:hAnsi="Times New Roman" w:cs="Times New Roman"/>
          <w:sz w:val="24"/>
          <w:szCs w:val="24"/>
        </w:rPr>
        <w:t xml:space="preserve"> o </w:t>
      </w:r>
      <w:r w:rsidRPr="00A26E08">
        <w:rPr>
          <w:rFonts w:ascii="Times New Roman" w:eastAsiaTheme="minorEastAsia" w:hAnsi="Times New Roman" w:cs="Times New Roman"/>
          <w:i/>
          <w:sz w:val="24"/>
          <w:szCs w:val="24"/>
        </w:rPr>
        <w:t>no destacado</w:t>
      </w:r>
      <w:r w:rsidRPr="00A26E08">
        <w:rPr>
          <w:rFonts w:ascii="Times New Roman" w:eastAsiaTheme="minorEastAsia" w:hAnsi="Times New Roman" w:cs="Times New Roman"/>
          <w:sz w:val="24"/>
          <w:szCs w:val="24"/>
        </w:rPr>
        <w:t xml:space="preserve"> fue del 72% (p&lt;0.05)</w:t>
      </w:r>
      <w:r w:rsidRPr="00A26E08">
        <w:rPr>
          <w:rFonts w:ascii="Times New Roman" w:hAnsi="Times New Roman" w:cs="Times New Roman"/>
          <w:color w:val="000000"/>
          <w:sz w:val="24"/>
          <w:szCs w:val="24"/>
        </w:rPr>
        <w:t xml:space="preserve">. El 75.9% de los participantes exhibió estabilidad temporal de las mediciones. La normalización de la prueba quedó establecida en intervalos que corresponden a una </w:t>
      </w:r>
      <w:r w:rsidRPr="00A26E08">
        <w:rPr>
          <w:rFonts w:ascii="Times New Roman" w:hAnsi="Times New Roman" w:cs="Times New Roman"/>
          <w:i/>
          <w:color w:val="000000"/>
          <w:sz w:val="24"/>
          <w:szCs w:val="24"/>
        </w:rPr>
        <w:t>adecuación óptima</w:t>
      </w:r>
      <w:r w:rsidRPr="00A26E08">
        <w:rPr>
          <w:rFonts w:ascii="Times New Roman" w:hAnsi="Times New Roman" w:cs="Times New Roman"/>
          <w:color w:val="000000"/>
          <w:sz w:val="24"/>
          <w:szCs w:val="24"/>
        </w:rPr>
        <w:t xml:space="preserve">, </w:t>
      </w:r>
      <w:r w:rsidRPr="00A26E08">
        <w:rPr>
          <w:rFonts w:ascii="Times New Roman" w:hAnsi="Times New Roman" w:cs="Times New Roman"/>
          <w:i/>
          <w:color w:val="000000"/>
          <w:sz w:val="24"/>
          <w:szCs w:val="24"/>
        </w:rPr>
        <w:t>adecuación suficiente</w:t>
      </w:r>
      <w:r w:rsidRPr="00A26E08">
        <w:rPr>
          <w:rFonts w:ascii="Times New Roman" w:hAnsi="Times New Roman" w:cs="Times New Roman"/>
          <w:color w:val="000000"/>
          <w:sz w:val="24"/>
          <w:szCs w:val="24"/>
        </w:rPr>
        <w:t xml:space="preserve"> e </w:t>
      </w:r>
      <w:r w:rsidRPr="00A26E08">
        <w:rPr>
          <w:rFonts w:ascii="Times New Roman" w:hAnsi="Times New Roman" w:cs="Times New Roman"/>
          <w:i/>
          <w:color w:val="000000"/>
          <w:sz w:val="24"/>
          <w:szCs w:val="24"/>
        </w:rPr>
        <w:t>inadecuación</w:t>
      </w:r>
      <w:r w:rsidRPr="00A26E08">
        <w:rPr>
          <w:rFonts w:ascii="Times New Roman" w:hAnsi="Times New Roman" w:cs="Times New Roman"/>
          <w:color w:val="000000"/>
          <w:sz w:val="24"/>
          <w:szCs w:val="24"/>
        </w:rPr>
        <w:t xml:space="preserve"> de las autovaloraciones parciales de rendimiento.</w:t>
      </w:r>
    </w:p>
    <w:p w:rsidR="00144862" w:rsidRPr="00A26E08" w:rsidRDefault="00144862" w:rsidP="00144862">
      <w:pPr>
        <w:autoSpaceDE w:val="0"/>
        <w:autoSpaceDN w:val="0"/>
        <w:adjustRightInd w:val="0"/>
        <w:spacing w:after="0" w:line="240" w:lineRule="auto"/>
        <w:jc w:val="both"/>
        <w:rPr>
          <w:rFonts w:ascii="Times New Roman" w:hAnsi="Times New Roman" w:cs="Times New Roman"/>
          <w:color w:val="000000"/>
          <w:sz w:val="24"/>
          <w:szCs w:val="24"/>
        </w:rPr>
      </w:pPr>
      <w:r w:rsidRPr="00A26E08">
        <w:rPr>
          <w:rFonts w:ascii="Times New Roman" w:hAnsi="Times New Roman" w:cs="Times New Roman"/>
          <w:b/>
          <w:bCs/>
          <w:color w:val="000000"/>
          <w:sz w:val="24"/>
          <w:szCs w:val="24"/>
        </w:rPr>
        <w:t xml:space="preserve">Palabras clave: </w:t>
      </w:r>
      <w:r w:rsidRPr="00A26E08">
        <w:rPr>
          <w:rFonts w:ascii="Times New Roman" w:hAnsi="Times New Roman" w:cs="Times New Roman"/>
          <w:color w:val="000000"/>
          <w:sz w:val="24"/>
          <w:szCs w:val="24"/>
        </w:rPr>
        <w:t>adecuación de la autovaloración; control psicológico del entrenamiento del boxeo; propiedades psicométricas; psicología del deporte.</w:t>
      </w:r>
    </w:p>
    <w:p w:rsidR="00144862" w:rsidRPr="00A26E08" w:rsidRDefault="00144862" w:rsidP="00144862">
      <w:pPr>
        <w:autoSpaceDE w:val="0"/>
        <w:autoSpaceDN w:val="0"/>
        <w:adjustRightInd w:val="0"/>
        <w:spacing w:after="0" w:line="240" w:lineRule="auto"/>
        <w:jc w:val="both"/>
        <w:rPr>
          <w:rFonts w:ascii="TimesNewRomanPSMT" w:hAnsi="TimesNewRomanPSMT" w:cs="TimesNewRomanPSMT"/>
          <w:color w:val="000000"/>
          <w:sz w:val="24"/>
          <w:szCs w:val="24"/>
        </w:rPr>
      </w:pPr>
    </w:p>
    <w:p w:rsidR="00144862" w:rsidRPr="0012124A" w:rsidRDefault="00144862" w:rsidP="00144862">
      <w:pPr>
        <w:autoSpaceDE w:val="0"/>
        <w:autoSpaceDN w:val="0"/>
        <w:adjustRightInd w:val="0"/>
        <w:spacing w:after="0" w:line="240" w:lineRule="auto"/>
        <w:jc w:val="both"/>
        <w:rPr>
          <w:rFonts w:ascii="TimesNewRomanPSMT" w:hAnsi="TimesNewRomanPSMT" w:cs="TimesNewRomanPSMT"/>
          <w:color w:val="000000"/>
          <w:sz w:val="24"/>
          <w:szCs w:val="24"/>
          <w:lang w:val="en-US"/>
        </w:rPr>
      </w:pPr>
      <w:r w:rsidRPr="0012124A">
        <w:rPr>
          <w:rFonts w:ascii="TimesNewRomanPSMT" w:hAnsi="TimesNewRomanPSMT" w:cs="TimesNewRomanPSMT"/>
          <w:b/>
          <w:color w:val="000000"/>
          <w:sz w:val="24"/>
          <w:szCs w:val="24"/>
          <w:lang w:val="en-US"/>
        </w:rPr>
        <w:t>ABSTRACT:</w:t>
      </w:r>
      <w:r w:rsidRPr="0012124A">
        <w:rPr>
          <w:rFonts w:ascii="TimesNewRomanPSMT" w:hAnsi="TimesNewRomanPSMT" w:cs="TimesNewRomanPSMT"/>
          <w:color w:val="000000"/>
          <w:sz w:val="24"/>
          <w:szCs w:val="24"/>
          <w:lang w:val="en-US"/>
        </w:rPr>
        <w:t xml:space="preserve"> The objective of this work was to design the Boxing Self-assessment Adequacy Test (PAAB) for use in the high-performance Cuban population, and to examine its psychometric properties. The sample consists of 29 boxers from the Cuban national team (24.5 years of age, on average). The PAAB showed that the interpretations derived from its application exhibit criterion validity, since the interboxing variance  explained by the condition of being a </w:t>
      </w:r>
      <w:r w:rsidRPr="0012124A">
        <w:rPr>
          <w:rFonts w:ascii="TimesNewRomanPSMT" w:hAnsi="TimesNewRomanPSMT" w:cs="TimesNewRomanPSMT"/>
          <w:i/>
          <w:color w:val="000000"/>
          <w:sz w:val="24"/>
          <w:szCs w:val="24"/>
          <w:lang w:val="en-US"/>
        </w:rPr>
        <w:t>prominent</w:t>
      </w:r>
      <w:r w:rsidRPr="0012124A">
        <w:rPr>
          <w:rFonts w:ascii="TimesNewRomanPSMT" w:hAnsi="TimesNewRomanPSMT" w:cs="TimesNewRomanPSMT"/>
          <w:color w:val="000000"/>
          <w:sz w:val="24"/>
          <w:szCs w:val="24"/>
          <w:lang w:val="en-US"/>
        </w:rPr>
        <w:t xml:space="preserve"> or </w:t>
      </w:r>
      <w:r w:rsidRPr="0012124A">
        <w:rPr>
          <w:rFonts w:ascii="TimesNewRomanPSMT" w:hAnsi="TimesNewRomanPSMT" w:cs="TimesNewRomanPSMT"/>
          <w:i/>
          <w:color w:val="000000"/>
          <w:sz w:val="24"/>
          <w:szCs w:val="24"/>
          <w:lang w:val="en-US"/>
        </w:rPr>
        <w:t>not prominent</w:t>
      </w:r>
      <w:r w:rsidRPr="0012124A">
        <w:rPr>
          <w:rFonts w:ascii="TimesNewRomanPSMT" w:hAnsi="TimesNewRomanPSMT" w:cs="TimesNewRomanPSMT"/>
          <w:color w:val="000000"/>
          <w:sz w:val="24"/>
          <w:szCs w:val="24"/>
          <w:lang w:val="en-US"/>
        </w:rPr>
        <w:t xml:space="preserve"> participant was 72% (p &lt;0.05). The 75.9% of the participants exhibited temporary stability of the measurements. The normalization of the test was established in intervals that correspond to an optimal adequacy, sufficient adequacy and inadequacy of the partial self-assessments performance.</w:t>
      </w:r>
    </w:p>
    <w:p w:rsidR="00144862" w:rsidRPr="0012124A" w:rsidRDefault="00144862" w:rsidP="00144862">
      <w:pPr>
        <w:autoSpaceDE w:val="0"/>
        <w:autoSpaceDN w:val="0"/>
        <w:adjustRightInd w:val="0"/>
        <w:spacing w:after="0" w:line="240" w:lineRule="auto"/>
        <w:jc w:val="both"/>
        <w:rPr>
          <w:rFonts w:ascii="TimesNewRomanPSMT" w:hAnsi="TimesNewRomanPSMT" w:cs="TimesNewRomanPSMT"/>
          <w:color w:val="000000"/>
          <w:sz w:val="24"/>
          <w:szCs w:val="24"/>
          <w:lang w:val="en-US"/>
        </w:rPr>
      </w:pPr>
      <w:r w:rsidRPr="0012124A">
        <w:rPr>
          <w:rFonts w:ascii="TimesNewRomanPSMT" w:hAnsi="TimesNewRomanPSMT" w:cs="TimesNewRomanPSMT"/>
          <w:b/>
          <w:color w:val="000000"/>
          <w:sz w:val="24"/>
          <w:szCs w:val="24"/>
          <w:lang w:val="en-US"/>
        </w:rPr>
        <w:t>Keywords:</w:t>
      </w:r>
      <w:r w:rsidRPr="0012124A">
        <w:rPr>
          <w:rFonts w:ascii="TimesNewRomanPSMT" w:hAnsi="TimesNewRomanPSMT" w:cs="TimesNewRomanPSMT"/>
          <w:color w:val="000000"/>
          <w:sz w:val="24"/>
          <w:szCs w:val="24"/>
          <w:lang w:val="en-US"/>
        </w:rPr>
        <w:t xml:space="preserve"> adequacy of self-assessment; psychological control of boxing training; psychometric properties; sport psychology.</w:t>
      </w: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A26E08" w:rsidRPr="0012124A" w:rsidRDefault="00A26E08" w:rsidP="00711B90">
      <w:pPr>
        <w:autoSpaceDE w:val="0"/>
        <w:autoSpaceDN w:val="0"/>
        <w:adjustRightInd w:val="0"/>
        <w:spacing w:after="0" w:line="240" w:lineRule="auto"/>
        <w:jc w:val="both"/>
        <w:rPr>
          <w:rFonts w:ascii="Times New Roman" w:hAnsi="Times New Roman" w:cs="Times New Roman"/>
          <w:b/>
          <w:bCs/>
          <w:color w:val="000000"/>
          <w:sz w:val="24"/>
          <w:szCs w:val="24"/>
          <w:lang w:val="en-US"/>
        </w:rPr>
      </w:pPr>
    </w:p>
    <w:p w:rsidR="00875292" w:rsidRPr="0012124A" w:rsidRDefault="00875292" w:rsidP="00711B90">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12124A" w:rsidRDefault="0012124A" w:rsidP="0084774F">
      <w:pPr>
        <w:autoSpaceDE w:val="0"/>
        <w:autoSpaceDN w:val="0"/>
        <w:adjustRightInd w:val="0"/>
        <w:spacing w:after="0" w:line="240" w:lineRule="auto"/>
        <w:jc w:val="both"/>
        <w:rPr>
          <w:rFonts w:ascii="Times New Roman" w:hAnsi="Times New Roman" w:cs="Times New Roman"/>
          <w:bCs/>
          <w:color w:val="000000"/>
          <w:sz w:val="24"/>
          <w:szCs w:val="24"/>
          <w:lang w:val="en-US"/>
        </w:rPr>
      </w:pPr>
    </w:p>
    <w:p w:rsidR="007640BB" w:rsidRPr="00A26E08" w:rsidRDefault="007640BB" w:rsidP="0084774F">
      <w:pPr>
        <w:autoSpaceDE w:val="0"/>
        <w:autoSpaceDN w:val="0"/>
        <w:adjustRightInd w:val="0"/>
        <w:spacing w:after="0" w:line="240" w:lineRule="auto"/>
        <w:jc w:val="both"/>
        <w:rPr>
          <w:rFonts w:ascii="TimesNewRomanPS-BoldMT" w:hAnsi="TimesNewRomanPS-BoldMT" w:cs="TimesNewRomanPS-BoldMT"/>
          <w:b/>
          <w:bCs/>
          <w:color w:val="000000"/>
          <w:sz w:val="24"/>
          <w:szCs w:val="24"/>
        </w:rPr>
      </w:pPr>
      <w:r w:rsidRPr="00A26E08">
        <w:rPr>
          <w:rFonts w:ascii="TimesNewRomanPS-BoldMT" w:hAnsi="TimesNewRomanPS-BoldMT" w:cs="TimesNewRomanPS-BoldMT"/>
          <w:b/>
          <w:bCs/>
          <w:color w:val="000000"/>
          <w:sz w:val="24"/>
          <w:szCs w:val="24"/>
        </w:rPr>
        <w:lastRenderedPageBreak/>
        <w:t>INTRODUCCIÓN</w:t>
      </w:r>
    </w:p>
    <w:p w:rsidR="00712CC0" w:rsidRDefault="00347E47"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L</w:t>
      </w:r>
      <w:r w:rsidR="00BE33AC" w:rsidRPr="00A26E08">
        <w:rPr>
          <w:rFonts w:ascii="TimesNewRomanPSMT" w:hAnsi="TimesNewRomanPSMT" w:cs="TimesNewRomanPSMT"/>
          <w:color w:val="000000"/>
          <w:sz w:val="24"/>
          <w:szCs w:val="24"/>
        </w:rPr>
        <w:t xml:space="preserve">a </w:t>
      </w:r>
      <w:r w:rsidR="000A6F14" w:rsidRPr="00A26E08">
        <w:rPr>
          <w:rFonts w:ascii="TimesNewRomanPSMT" w:hAnsi="TimesNewRomanPSMT" w:cs="TimesNewRomanPSMT"/>
          <w:color w:val="000000"/>
          <w:sz w:val="24"/>
          <w:szCs w:val="24"/>
        </w:rPr>
        <w:t>compren</w:t>
      </w:r>
      <w:r w:rsidR="00BE33AC" w:rsidRPr="00A26E08">
        <w:rPr>
          <w:rFonts w:ascii="TimesNewRomanPSMT" w:hAnsi="TimesNewRomanPSMT" w:cs="TimesNewRomanPSMT"/>
          <w:color w:val="000000"/>
          <w:sz w:val="24"/>
          <w:szCs w:val="24"/>
        </w:rPr>
        <w:t>sión holística de</w:t>
      </w:r>
      <w:r w:rsidRPr="00A26E08">
        <w:rPr>
          <w:rFonts w:ascii="TimesNewRomanPSMT" w:hAnsi="TimesNewRomanPSMT" w:cs="TimesNewRomanPSMT"/>
          <w:color w:val="000000"/>
          <w:sz w:val="24"/>
          <w:szCs w:val="24"/>
        </w:rPr>
        <w:t xml:space="preserve">l fenómeno psicológico </w:t>
      </w:r>
      <w:r w:rsidR="00BE33AC" w:rsidRPr="00A26E08">
        <w:rPr>
          <w:rFonts w:ascii="TimesNewRomanPSMT" w:hAnsi="TimesNewRomanPSMT" w:cs="TimesNewRomanPSMT"/>
          <w:color w:val="000000"/>
          <w:sz w:val="24"/>
          <w:szCs w:val="24"/>
        </w:rPr>
        <w:t xml:space="preserve">en cualquier espacio de </w:t>
      </w:r>
      <w:r w:rsidR="000A6F14" w:rsidRPr="00A26E08">
        <w:rPr>
          <w:rFonts w:ascii="TimesNewRomanPSMT" w:hAnsi="TimesNewRomanPSMT" w:cs="TimesNewRomanPSMT"/>
          <w:color w:val="000000"/>
          <w:sz w:val="24"/>
          <w:szCs w:val="24"/>
        </w:rPr>
        <w:t>interacción</w:t>
      </w:r>
      <w:r w:rsidR="00BE33AC" w:rsidRPr="00A26E08">
        <w:rPr>
          <w:rFonts w:ascii="TimesNewRomanPSMT" w:hAnsi="TimesNewRomanPSMT" w:cs="TimesNewRomanPSMT"/>
          <w:color w:val="000000"/>
          <w:sz w:val="24"/>
          <w:szCs w:val="24"/>
        </w:rPr>
        <w:t xml:space="preserve"> humana</w:t>
      </w:r>
      <w:r w:rsidRPr="00A26E08">
        <w:rPr>
          <w:rFonts w:ascii="TimesNewRomanPSMT" w:hAnsi="TimesNewRomanPSMT" w:cs="TimesNewRomanPSMT"/>
          <w:color w:val="000000"/>
          <w:sz w:val="24"/>
          <w:szCs w:val="24"/>
        </w:rPr>
        <w:t xml:space="preserve"> (Fariñas, 2018)</w:t>
      </w:r>
      <w:r w:rsidR="000A6F14" w:rsidRPr="00A26E08">
        <w:rPr>
          <w:rFonts w:ascii="TimesNewRomanPSMT" w:hAnsi="TimesNewRomanPSMT" w:cs="TimesNewRomanPSMT"/>
          <w:color w:val="000000"/>
          <w:sz w:val="24"/>
          <w:szCs w:val="24"/>
        </w:rPr>
        <w:t xml:space="preserve"> resulta </w:t>
      </w:r>
      <w:r w:rsidR="00FD03BE" w:rsidRPr="00A26E08">
        <w:rPr>
          <w:rFonts w:ascii="TimesNewRomanPSMT" w:hAnsi="TimesNewRomanPSMT" w:cs="TimesNewRomanPSMT"/>
          <w:color w:val="000000"/>
          <w:sz w:val="24"/>
          <w:szCs w:val="24"/>
        </w:rPr>
        <w:t xml:space="preserve">compleja e </w:t>
      </w:r>
      <w:r w:rsidR="000A6F14" w:rsidRPr="00A26E08">
        <w:rPr>
          <w:rFonts w:ascii="TimesNewRomanPSMT" w:hAnsi="TimesNewRomanPSMT" w:cs="TimesNewRomanPSMT"/>
          <w:color w:val="000000"/>
          <w:sz w:val="24"/>
          <w:szCs w:val="24"/>
        </w:rPr>
        <w:t>inherente a la labor de la psicología del depo</w:t>
      </w:r>
      <w:r w:rsidR="00F90224" w:rsidRPr="00A26E08">
        <w:rPr>
          <w:rFonts w:ascii="TimesNewRomanPSMT" w:hAnsi="TimesNewRomanPSMT" w:cs="TimesNewRomanPSMT"/>
          <w:color w:val="000000"/>
          <w:sz w:val="24"/>
          <w:szCs w:val="24"/>
        </w:rPr>
        <w:t>rte</w:t>
      </w:r>
      <w:r w:rsidRPr="00A26E08">
        <w:rPr>
          <w:rFonts w:ascii="TimesNewRomanPSMT" w:hAnsi="TimesNewRomanPSMT" w:cs="TimesNewRomanPSMT"/>
          <w:color w:val="000000"/>
          <w:sz w:val="24"/>
          <w:szCs w:val="24"/>
        </w:rPr>
        <w:t xml:space="preserve">. </w:t>
      </w:r>
      <w:r w:rsidR="004B2B8D" w:rsidRPr="00A26E08">
        <w:rPr>
          <w:rFonts w:ascii="TimesNewRomanPSMT" w:hAnsi="TimesNewRomanPSMT" w:cs="TimesNewRomanPSMT"/>
          <w:color w:val="000000"/>
          <w:sz w:val="24"/>
          <w:szCs w:val="24"/>
        </w:rPr>
        <w:t xml:space="preserve">Son </w:t>
      </w:r>
      <w:r w:rsidR="00EA1667" w:rsidRPr="00A26E08">
        <w:rPr>
          <w:rFonts w:ascii="TimesNewRomanPSMT" w:hAnsi="TimesNewRomanPSMT" w:cs="TimesNewRomanPSMT"/>
          <w:color w:val="000000"/>
          <w:sz w:val="24"/>
          <w:szCs w:val="24"/>
        </w:rPr>
        <w:t>pertinentes diversos</w:t>
      </w:r>
      <w:r w:rsidR="00BF4048" w:rsidRPr="00A26E08">
        <w:rPr>
          <w:rFonts w:ascii="TimesNewRomanPSMT" w:hAnsi="TimesNewRomanPSMT" w:cs="TimesNewRomanPSMT"/>
          <w:color w:val="000000"/>
          <w:sz w:val="24"/>
          <w:szCs w:val="24"/>
        </w:rPr>
        <w:t xml:space="preserve"> análisis metodológicos</w:t>
      </w:r>
      <w:r w:rsidR="00FD03BE" w:rsidRPr="00A26E08">
        <w:rPr>
          <w:rFonts w:ascii="TimesNewRomanPSMT" w:hAnsi="TimesNewRomanPSMT" w:cs="TimesNewRomanPSMT"/>
          <w:color w:val="000000"/>
          <w:sz w:val="24"/>
          <w:szCs w:val="24"/>
        </w:rPr>
        <w:t xml:space="preserve">, </w:t>
      </w:r>
      <w:r w:rsidR="00BF4048" w:rsidRPr="00A26E08">
        <w:rPr>
          <w:rFonts w:ascii="TimesNewRomanPSMT" w:hAnsi="TimesNewRomanPSMT" w:cs="TimesNewRomanPSMT"/>
          <w:color w:val="000000"/>
          <w:sz w:val="24"/>
          <w:szCs w:val="24"/>
        </w:rPr>
        <w:t>epistemológicos</w:t>
      </w:r>
      <w:r w:rsidR="00FD03BE" w:rsidRPr="00A26E08">
        <w:rPr>
          <w:rFonts w:ascii="TimesNewRomanPSMT" w:hAnsi="TimesNewRomanPSMT" w:cs="TimesNewRomanPSMT"/>
          <w:color w:val="000000"/>
          <w:sz w:val="24"/>
          <w:szCs w:val="24"/>
        </w:rPr>
        <w:t xml:space="preserve"> y teóricos</w:t>
      </w:r>
      <w:r w:rsidR="00BF4048" w:rsidRPr="00A26E08">
        <w:rPr>
          <w:rFonts w:ascii="TimesNewRomanPSMT" w:hAnsi="TimesNewRomanPSMT" w:cs="TimesNewRomanPSMT"/>
          <w:color w:val="000000"/>
          <w:sz w:val="24"/>
          <w:szCs w:val="24"/>
        </w:rPr>
        <w:t>,</w:t>
      </w:r>
      <w:r w:rsidR="00FD03BE" w:rsidRPr="00A26E08">
        <w:rPr>
          <w:rFonts w:ascii="TimesNewRomanPSMT" w:hAnsi="TimesNewRomanPSMT" w:cs="TimesNewRomanPSMT"/>
          <w:color w:val="000000"/>
          <w:sz w:val="24"/>
          <w:szCs w:val="24"/>
        </w:rPr>
        <w:t xml:space="preserve"> de múltiples procesos psíquicos y de sus dimensiones, </w:t>
      </w:r>
      <w:r w:rsidR="00BF4048" w:rsidRPr="00A26E08">
        <w:rPr>
          <w:rFonts w:ascii="TimesNewRomanPSMT" w:hAnsi="TimesNewRomanPSMT" w:cs="TimesNewRomanPSMT"/>
          <w:color w:val="000000"/>
          <w:sz w:val="24"/>
          <w:szCs w:val="24"/>
        </w:rPr>
        <w:t xml:space="preserve">dando lugar a un nuevo momento de integración </w:t>
      </w:r>
      <w:r w:rsidR="00FD03BE" w:rsidRPr="00A26E08">
        <w:rPr>
          <w:rFonts w:ascii="TimesNewRomanPSMT" w:hAnsi="TimesNewRomanPSMT" w:cs="TimesNewRomanPSMT"/>
          <w:color w:val="000000"/>
          <w:sz w:val="24"/>
          <w:szCs w:val="24"/>
        </w:rPr>
        <w:t xml:space="preserve">que capte </w:t>
      </w:r>
      <w:r w:rsidR="00712CC0">
        <w:rPr>
          <w:rFonts w:ascii="TimesNewRomanPSMT" w:hAnsi="TimesNewRomanPSMT" w:cs="TimesNewRomanPSMT"/>
          <w:color w:val="000000"/>
          <w:sz w:val="24"/>
          <w:szCs w:val="24"/>
        </w:rPr>
        <w:t xml:space="preserve">la subjetividad </w:t>
      </w:r>
      <w:r w:rsidR="00FD03BE" w:rsidRPr="00A26E08">
        <w:rPr>
          <w:rFonts w:ascii="TimesNewRomanPSMT" w:hAnsi="TimesNewRomanPSMT" w:cs="TimesNewRomanPSMT"/>
          <w:color w:val="000000"/>
          <w:sz w:val="24"/>
          <w:szCs w:val="24"/>
        </w:rPr>
        <w:t>reguladora consciente, personalizada e influida por un contexto histórico y temporal específicos</w:t>
      </w:r>
      <w:r w:rsidR="001B3FB7" w:rsidRPr="00A26E08">
        <w:rPr>
          <w:rFonts w:ascii="TimesNewRomanPSMT" w:hAnsi="TimesNewRomanPSMT" w:cs="TimesNewRomanPSMT"/>
          <w:color w:val="000000"/>
          <w:sz w:val="24"/>
          <w:szCs w:val="24"/>
        </w:rPr>
        <w:t>,</w:t>
      </w:r>
      <w:r w:rsidR="00FD03BE" w:rsidRPr="00A26E08">
        <w:rPr>
          <w:rFonts w:ascii="TimesNewRomanPSMT" w:hAnsi="TimesNewRomanPSMT" w:cs="TimesNewRomanPSMT"/>
          <w:color w:val="000000"/>
          <w:sz w:val="24"/>
          <w:szCs w:val="24"/>
        </w:rPr>
        <w:t xml:space="preserve"> </w:t>
      </w:r>
      <w:r w:rsidR="00712CC0">
        <w:rPr>
          <w:rFonts w:ascii="TimesNewRomanPSMT" w:hAnsi="TimesNewRomanPSMT" w:cs="TimesNewRomanPSMT"/>
          <w:color w:val="000000"/>
          <w:sz w:val="24"/>
          <w:szCs w:val="24"/>
        </w:rPr>
        <w:t>que está en la base de la conducta, y al mismo tiempo, se expresa a través de ella frente a</w:t>
      </w:r>
      <w:r w:rsidR="001B3FB7" w:rsidRPr="00A26E08">
        <w:rPr>
          <w:rFonts w:ascii="TimesNewRomanPSMT" w:hAnsi="TimesNewRomanPSMT" w:cs="TimesNewRomanPSMT"/>
          <w:color w:val="000000"/>
          <w:sz w:val="24"/>
          <w:szCs w:val="24"/>
        </w:rPr>
        <w:t xml:space="preserve"> las múltiples exigencias de </w:t>
      </w:r>
      <w:r w:rsidR="003A4201" w:rsidRPr="00A26E08">
        <w:rPr>
          <w:rFonts w:ascii="TimesNewRomanPSMT" w:hAnsi="TimesNewRomanPSMT" w:cs="TimesNewRomanPSMT"/>
          <w:color w:val="000000"/>
          <w:sz w:val="24"/>
          <w:szCs w:val="24"/>
        </w:rPr>
        <w:t>la actividad</w:t>
      </w:r>
      <w:r w:rsidR="00712CC0" w:rsidRPr="00712CC0">
        <w:rPr>
          <w:rFonts w:ascii="TimesNewRomanPSMT" w:hAnsi="TimesNewRomanPSMT" w:cs="TimesNewRomanPSMT"/>
          <w:color w:val="000000"/>
          <w:sz w:val="24"/>
          <w:szCs w:val="24"/>
        </w:rPr>
        <w:t xml:space="preserve"> </w:t>
      </w:r>
      <w:r w:rsidR="00712CC0">
        <w:rPr>
          <w:rFonts w:ascii="TimesNewRomanPSMT" w:hAnsi="TimesNewRomanPSMT" w:cs="TimesNewRomanPSMT"/>
          <w:color w:val="000000"/>
          <w:sz w:val="24"/>
          <w:szCs w:val="24"/>
        </w:rPr>
        <w:t>deportiva</w:t>
      </w:r>
      <w:r w:rsidR="00FD03BE" w:rsidRPr="00A26E08">
        <w:rPr>
          <w:rFonts w:ascii="TimesNewRomanPSMT" w:hAnsi="TimesNewRomanPSMT" w:cs="TimesNewRomanPSMT"/>
          <w:color w:val="000000"/>
          <w:sz w:val="24"/>
          <w:szCs w:val="24"/>
        </w:rPr>
        <w:t>.</w:t>
      </w:r>
    </w:p>
    <w:p w:rsidR="00B91E41" w:rsidRPr="00A26E08" w:rsidRDefault="00347E47"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Partiendo del supuesto anterior</w:t>
      </w:r>
      <w:r w:rsidR="00C85D04" w:rsidRPr="00A26E08">
        <w:rPr>
          <w:rFonts w:ascii="TimesNewRomanPSMT" w:hAnsi="TimesNewRomanPSMT" w:cs="TimesNewRomanPSMT"/>
          <w:color w:val="000000"/>
          <w:sz w:val="24"/>
          <w:szCs w:val="24"/>
        </w:rPr>
        <w:t>,</w:t>
      </w:r>
      <w:r w:rsidRPr="00A26E08">
        <w:rPr>
          <w:rFonts w:ascii="TimesNewRomanPSMT" w:hAnsi="TimesNewRomanPSMT" w:cs="TimesNewRomanPSMT"/>
          <w:color w:val="000000"/>
          <w:sz w:val="24"/>
          <w:szCs w:val="24"/>
        </w:rPr>
        <w:t xml:space="preserve"> </w:t>
      </w:r>
      <w:r w:rsidR="00BE33AC" w:rsidRPr="00A26E08">
        <w:rPr>
          <w:rFonts w:ascii="TimesNewRomanPSMT" w:hAnsi="TimesNewRomanPSMT" w:cs="TimesNewRomanPSMT"/>
          <w:color w:val="000000"/>
          <w:sz w:val="24"/>
          <w:szCs w:val="24"/>
        </w:rPr>
        <w:t>las potencialidades diagnósticas e interventivas de la</w:t>
      </w:r>
      <w:r w:rsidR="00C85D04" w:rsidRPr="00A26E08">
        <w:rPr>
          <w:rFonts w:ascii="TimesNewRomanPSMT" w:hAnsi="TimesNewRomanPSMT" w:cs="TimesNewRomanPSMT"/>
          <w:color w:val="000000"/>
          <w:sz w:val="24"/>
          <w:szCs w:val="24"/>
        </w:rPr>
        <w:t>s</w:t>
      </w:r>
      <w:r w:rsidR="00BE33AC" w:rsidRPr="00A26E08">
        <w:rPr>
          <w:rFonts w:ascii="TimesNewRomanPSMT" w:hAnsi="TimesNewRomanPSMT" w:cs="TimesNewRomanPSMT"/>
          <w:color w:val="000000"/>
          <w:sz w:val="24"/>
          <w:szCs w:val="24"/>
        </w:rPr>
        <w:t xml:space="preserve"> autovaloraci</w:t>
      </w:r>
      <w:r w:rsidR="00C85D04" w:rsidRPr="00A26E08">
        <w:rPr>
          <w:rFonts w:ascii="TimesNewRomanPSMT" w:hAnsi="TimesNewRomanPSMT" w:cs="TimesNewRomanPSMT"/>
          <w:color w:val="000000"/>
          <w:sz w:val="24"/>
          <w:szCs w:val="24"/>
        </w:rPr>
        <w:t>o</w:t>
      </w:r>
      <w:r w:rsidR="00BE33AC" w:rsidRPr="00A26E08">
        <w:rPr>
          <w:rFonts w:ascii="TimesNewRomanPSMT" w:hAnsi="TimesNewRomanPSMT" w:cs="TimesNewRomanPSMT"/>
          <w:color w:val="000000"/>
          <w:sz w:val="24"/>
          <w:szCs w:val="24"/>
        </w:rPr>
        <w:t>n</w:t>
      </w:r>
      <w:r w:rsidR="00C85D04" w:rsidRPr="00A26E08">
        <w:rPr>
          <w:rFonts w:ascii="TimesNewRomanPSMT" w:hAnsi="TimesNewRomanPSMT" w:cs="TimesNewRomanPSMT"/>
          <w:color w:val="000000"/>
          <w:sz w:val="24"/>
          <w:szCs w:val="24"/>
        </w:rPr>
        <w:t>es parciales de rendimiento</w:t>
      </w:r>
      <w:r w:rsidR="00BE33AC" w:rsidRPr="00A26E08">
        <w:rPr>
          <w:rFonts w:ascii="TimesNewRomanPSMT" w:hAnsi="TimesNewRomanPSMT" w:cs="TimesNewRomanPSMT"/>
          <w:color w:val="000000"/>
          <w:sz w:val="24"/>
          <w:szCs w:val="24"/>
        </w:rPr>
        <w:t xml:space="preserve"> de los boxeadores</w:t>
      </w:r>
      <w:r w:rsidR="00C85D04" w:rsidRPr="00A26E08">
        <w:rPr>
          <w:rFonts w:ascii="TimesNewRomanPSMT" w:hAnsi="TimesNewRomanPSMT" w:cs="TimesNewRomanPSMT"/>
          <w:color w:val="000000"/>
          <w:sz w:val="24"/>
          <w:szCs w:val="24"/>
        </w:rPr>
        <w:t xml:space="preserve"> del equipo nacional cubano</w:t>
      </w:r>
      <w:r w:rsidR="00BE33AC" w:rsidRPr="00A26E08">
        <w:rPr>
          <w:rFonts w:ascii="TimesNewRomanPSMT" w:hAnsi="TimesNewRomanPSMT" w:cs="TimesNewRomanPSMT"/>
          <w:color w:val="000000"/>
          <w:sz w:val="24"/>
          <w:szCs w:val="24"/>
        </w:rPr>
        <w:t xml:space="preserve">, se multiplican mediante su operacionalización en el contexto real de ejecuciones de acciones competitivas. </w:t>
      </w:r>
      <w:r w:rsidR="00B91E41" w:rsidRPr="00A26E08">
        <w:rPr>
          <w:rFonts w:ascii="TimesNewRomanPSMT" w:hAnsi="TimesNewRomanPSMT" w:cs="TimesNewRomanPSMT"/>
          <w:color w:val="000000"/>
          <w:sz w:val="24"/>
          <w:szCs w:val="24"/>
        </w:rPr>
        <w:t>Las autovaloraciones parciales de rendimiento (González, 2001 a)</w:t>
      </w:r>
      <w:r w:rsidR="00BC765A" w:rsidRPr="00A26E08">
        <w:rPr>
          <w:rFonts w:ascii="TimesNewRomanPSMT" w:hAnsi="TimesNewRomanPSMT" w:cs="TimesNewRomanPSMT"/>
          <w:color w:val="000000"/>
          <w:sz w:val="24"/>
          <w:szCs w:val="24"/>
        </w:rPr>
        <w:t xml:space="preserve"> constituyen</w:t>
      </w:r>
      <w:r w:rsidR="00B91E41" w:rsidRPr="00A26E08">
        <w:rPr>
          <w:rFonts w:ascii="TimesNewRomanPSMT" w:hAnsi="TimesNewRomanPSMT" w:cs="TimesNewRomanPSMT"/>
          <w:color w:val="000000"/>
          <w:sz w:val="24"/>
          <w:szCs w:val="24"/>
        </w:rPr>
        <w:t xml:space="preserve"> una fracción de la autovaloración general del deportista</w:t>
      </w:r>
      <w:r w:rsidR="00BC765A" w:rsidRPr="00A26E08">
        <w:rPr>
          <w:rFonts w:ascii="TimesNewRomanPSMT" w:hAnsi="TimesNewRomanPSMT" w:cs="TimesNewRomanPSMT"/>
          <w:color w:val="000000"/>
          <w:sz w:val="24"/>
          <w:szCs w:val="24"/>
        </w:rPr>
        <w:t>,</w:t>
      </w:r>
      <w:r w:rsidR="00B91E41" w:rsidRPr="00A26E08">
        <w:rPr>
          <w:rFonts w:ascii="TimesNewRomanPSMT" w:hAnsi="TimesNewRomanPSMT" w:cs="TimesNewRomanPSMT"/>
          <w:color w:val="000000"/>
          <w:sz w:val="24"/>
          <w:szCs w:val="24"/>
        </w:rPr>
        <w:t xml:space="preserve"> que se enmarca específicamente en el deporte que practica. Es la valoración que el atleta tiene de sí mismo en las cualidades de rendimiento de su deporte, que expresa la unión de los procesos cognitivos y afectivos subyacentes </w:t>
      </w:r>
      <w:r w:rsidR="004B2B8D" w:rsidRPr="00A26E08">
        <w:rPr>
          <w:rFonts w:ascii="TimesNewRomanPSMT" w:hAnsi="TimesNewRomanPSMT" w:cs="TimesNewRomanPSMT"/>
          <w:color w:val="000000"/>
          <w:sz w:val="24"/>
          <w:szCs w:val="24"/>
        </w:rPr>
        <w:t>a</w:t>
      </w:r>
      <w:r w:rsidR="00B91E41" w:rsidRPr="00A26E08">
        <w:rPr>
          <w:rFonts w:ascii="TimesNewRomanPSMT" w:hAnsi="TimesNewRomanPSMT" w:cs="TimesNewRomanPSMT"/>
          <w:color w:val="000000"/>
          <w:sz w:val="24"/>
          <w:szCs w:val="24"/>
        </w:rPr>
        <w:t xml:space="preserve"> la base </w:t>
      </w:r>
      <w:r w:rsidR="003A4201" w:rsidRPr="00A26E08">
        <w:rPr>
          <w:rFonts w:ascii="TimesNewRomanPSMT" w:hAnsi="TimesNewRomanPSMT" w:cs="TimesNewRomanPSMT"/>
          <w:color w:val="000000"/>
          <w:sz w:val="24"/>
          <w:szCs w:val="24"/>
        </w:rPr>
        <w:t>psíquica</w:t>
      </w:r>
      <w:r w:rsidR="00B91E41" w:rsidRPr="00A26E08">
        <w:rPr>
          <w:rFonts w:ascii="TimesNewRomanPSMT" w:hAnsi="TimesNewRomanPSMT" w:cs="TimesNewRomanPSMT"/>
          <w:color w:val="000000"/>
          <w:sz w:val="24"/>
          <w:szCs w:val="24"/>
        </w:rPr>
        <w:t xml:space="preserve"> reguladora de la conducta boxística. Se definen operacionalmente como índice de error autovalorativo, representado en lo adelante con las siglas IEA. Este es la medida de la adecuación de las autovaloraciones parciales, es decir, del modo en que se produce el reflejo de los movimientos y de la ejecución, en la mente del deportista.</w:t>
      </w:r>
      <w:r w:rsidR="00BE33AC" w:rsidRPr="00A26E08">
        <w:rPr>
          <w:rFonts w:ascii="TimesNewRomanPSMT" w:hAnsi="TimesNewRomanPSMT" w:cs="TimesNewRomanPSMT"/>
          <w:color w:val="000000"/>
          <w:sz w:val="24"/>
          <w:szCs w:val="24"/>
        </w:rPr>
        <w:t xml:space="preserve"> </w:t>
      </w:r>
    </w:p>
    <w:p w:rsidR="00F85B49" w:rsidRDefault="002D3F2C"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El número, elaboración personal y vínculo afectivo que exhiben los contenidos autovalorativos aportados por los sujetos, constituyen indicadores de las dimensiones cognitiva y afectiva, que facilitan </w:t>
      </w:r>
      <w:r w:rsidR="00BC765A" w:rsidRPr="00A26E08">
        <w:rPr>
          <w:rFonts w:ascii="TimesNewRomanPSMT" w:hAnsi="TimesNewRomanPSMT" w:cs="TimesNewRomanPSMT"/>
          <w:color w:val="000000"/>
          <w:sz w:val="24"/>
          <w:szCs w:val="24"/>
        </w:rPr>
        <w:t>su</w:t>
      </w:r>
      <w:r w:rsidRPr="00A26E08">
        <w:rPr>
          <w:rFonts w:ascii="TimesNewRomanPSMT" w:hAnsi="TimesNewRomanPSMT" w:cs="TimesNewRomanPSMT"/>
          <w:color w:val="000000"/>
          <w:sz w:val="24"/>
          <w:szCs w:val="24"/>
        </w:rPr>
        <w:t>s funcione</w:t>
      </w:r>
      <w:r w:rsidR="00E9323A" w:rsidRPr="00A26E08">
        <w:rPr>
          <w:rFonts w:ascii="TimesNewRomanPSMT" w:hAnsi="TimesNewRomanPSMT" w:cs="TimesNewRomanPSMT"/>
          <w:color w:val="000000"/>
          <w:sz w:val="24"/>
          <w:szCs w:val="24"/>
        </w:rPr>
        <w:t>s</w:t>
      </w:r>
      <w:r w:rsidR="00712CC0">
        <w:rPr>
          <w:rFonts w:ascii="TimesNewRomanPSMT" w:hAnsi="TimesNewRomanPSMT" w:cs="TimesNewRomanPSMT"/>
          <w:color w:val="000000"/>
          <w:sz w:val="24"/>
          <w:szCs w:val="24"/>
        </w:rPr>
        <w:t>,</w:t>
      </w:r>
      <w:r w:rsidR="00E9323A" w:rsidRPr="00A26E08">
        <w:rPr>
          <w:rFonts w:ascii="TimesNewRomanPSMT" w:hAnsi="TimesNewRomanPSMT" w:cs="TimesNewRomanPSMT"/>
          <w:color w:val="000000"/>
          <w:sz w:val="24"/>
          <w:szCs w:val="24"/>
        </w:rPr>
        <w:t xml:space="preserve"> </w:t>
      </w:r>
      <w:r w:rsidRPr="00A26E08">
        <w:rPr>
          <w:rFonts w:ascii="TimesNewRomanPSMT" w:hAnsi="TimesNewRomanPSMT" w:cs="TimesNewRomanPSMT"/>
          <w:color w:val="000000"/>
          <w:sz w:val="24"/>
          <w:szCs w:val="24"/>
        </w:rPr>
        <w:t>valorativa, reguladora y auto</w:t>
      </w:r>
      <w:r w:rsidR="00A04825" w:rsidRPr="00A26E08">
        <w:rPr>
          <w:rFonts w:ascii="TimesNewRomanPSMT" w:hAnsi="TimesNewRomanPSMT" w:cs="TimesNewRomanPSMT"/>
          <w:color w:val="000000"/>
          <w:sz w:val="24"/>
          <w:szCs w:val="24"/>
        </w:rPr>
        <w:t>educativa</w:t>
      </w:r>
      <w:r w:rsidRPr="00A26E08">
        <w:rPr>
          <w:rFonts w:ascii="TimesNewRomanPSMT" w:hAnsi="TimesNewRomanPSMT" w:cs="TimesNewRomanPSMT"/>
          <w:color w:val="000000"/>
          <w:sz w:val="24"/>
          <w:szCs w:val="24"/>
        </w:rPr>
        <w:t xml:space="preserve"> (Fernández, 20</w:t>
      </w:r>
      <w:r w:rsidR="0037260C" w:rsidRPr="00A26E08">
        <w:rPr>
          <w:rFonts w:ascii="TimesNewRomanPSMT" w:hAnsi="TimesNewRomanPSMT" w:cs="TimesNewRomanPSMT"/>
          <w:color w:val="000000"/>
          <w:sz w:val="24"/>
          <w:szCs w:val="24"/>
        </w:rPr>
        <w:t>16</w:t>
      </w:r>
      <w:r w:rsidRPr="00A26E08">
        <w:rPr>
          <w:rFonts w:ascii="TimesNewRomanPSMT" w:hAnsi="TimesNewRomanPSMT" w:cs="TimesNewRomanPSMT"/>
          <w:color w:val="000000"/>
          <w:sz w:val="24"/>
          <w:szCs w:val="24"/>
        </w:rPr>
        <w:t>)</w:t>
      </w:r>
      <w:r w:rsidR="00F85B49">
        <w:rPr>
          <w:rFonts w:ascii="TimesNewRomanPSMT" w:hAnsi="TimesNewRomanPSMT" w:cs="TimesNewRomanPSMT"/>
          <w:color w:val="000000"/>
          <w:sz w:val="24"/>
          <w:szCs w:val="24"/>
        </w:rPr>
        <w:t>,</w:t>
      </w:r>
      <w:r w:rsidR="004B2B8D" w:rsidRPr="00A26E08">
        <w:rPr>
          <w:rFonts w:ascii="TimesNewRomanPSMT" w:hAnsi="TimesNewRomanPSMT" w:cs="TimesNewRomanPSMT"/>
          <w:color w:val="000000"/>
          <w:sz w:val="24"/>
          <w:szCs w:val="24"/>
        </w:rPr>
        <w:t xml:space="preserve"> y que frecuentemente se utilizan</w:t>
      </w:r>
      <w:r w:rsidR="00A04825" w:rsidRPr="00A26E08">
        <w:rPr>
          <w:rFonts w:ascii="TimesNewRomanPSMT" w:hAnsi="TimesNewRomanPSMT" w:cs="TimesNewRomanPSMT"/>
          <w:color w:val="000000"/>
          <w:sz w:val="24"/>
          <w:szCs w:val="24"/>
        </w:rPr>
        <w:t xml:space="preserve"> en la elaboración de entrevistas, cuestionarios, composiciones, etc. </w:t>
      </w:r>
      <w:r w:rsidRPr="00A26E08">
        <w:rPr>
          <w:rFonts w:ascii="TimesNewRomanPSMT" w:hAnsi="TimesNewRomanPSMT" w:cs="TimesNewRomanPSMT"/>
          <w:color w:val="000000"/>
          <w:sz w:val="24"/>
          <w:szCs w:val="24"/>
        </w:rPr>
        <w:t>El aspecto de mayor capacidad heurística de la autovaloración lo constituye su adecuación o ajuste a la realidad personal</w:t>
      </w:r>
      <w:r w:rsidR="00B00D68" w:rsidRPr="00A26E08">
        <w:rPr>
          <w:rFonts w:ascii="TimesNewRomanPSMT" w:hAnsi="TimesNewRomanPSMT" w:cs="TimesNewRomanPSMT"/>
          <w:color w:val="000000"/>
          <w:sz w:val="24"/>
          <w:szCs w:val="24"/>
        </w:rPr>
        <w:t xml:space="preserve">, en la medida en que tributa a la formulación de metas </w:t>
      </w:r>
      <w:r w:rsidR="001F1A6C" w:rsidRPr="00A26E08">
        <w:rPr>
          <w:rFonts w:ascii="TimesNewRomanPSMT" w:hAnsi="TimesNewRomanPSMT" w:cs="TimesNewRomanPSMT"/>
          <w:color w:val="000000"/>
          <w:sz w:val="24"/>
          <w:szCs w:val="24"/>
        </w:rPr>
        <w:t>exigentes y posibles</w:t>
      </w:r>
      <w:r w:rsidR="00F85B49">
        <w:rPr>
          <w:rFonts w:ascii="TimesNewRomanPSMT" w:hAnsi="TimesNewRomanPSMT" w:cs="TimesNewRomanPSMT"/>
          <w:color w:val="000000"/>
          <w:sz w:val="24"/>
          <w:szCs w:val="24"/>
        </w:rPr>
        <w:t xml:space="preserve"> y a la asunción </w:t>
      </w:r>
      <w:r w:rsidR="001F1A6C" w:rsidRPr="00A26E08">
        <w:rPr>
          <w:rFonts w:ascii="TimesNewRomanPSMT" w:hAnsi="TimesNewRomanPSMT" w:cs="TimesNewRomanPSMT"/>
          <w:color w:val="000000"/>
          <w:sz w:val="24"/>
          <w:szCs w:val="24"/>
        </w:rPr>
        <w:t xml:space="preserve">de </w:t>
      </w:r>
      <w:r w:rsidR="00B00D68" w:rsidRPr="00A26E08">
        <w:rPr>
          <w:rFonts w:ascii="TimesNewRomanPSMT" w:hAnsi="TimesNewRomanPSMT" w:cs="TimesNewRomanPSMT"/>
          <w:color w:val="000000"/>
          <w:sz w:val="24"/>
          <w:szCs w:val="24"/>
        </w:rPr>
        <w:t xml:space="preserve">estrategias personales </w:t>
      </w:r>
      <w:r w:rsidR="004B2B8D" w:rsidRPr="00A26E08">
        <w:rPr>
          <w:rFonts w:ascii="TimesNewRomanPSMT" w:hAnsi="TimesNewRomanPSMT" w:cs="TimesNewRomanPSMT"/>
          <w:color w:val="000000"/>
          <w:sz w:val="24"/>
          <w:szCs w:val="24"/>
        </w:rPr>
        <w:t>para su</w:t>
      </w:r>
      <w:r w:rsidR="00B00D68" w:rsidRPr="00A26E08">
        <w:rPr>
          <w:rFonts w:ascii="TimesNewRomanPSMT" w:hAnsi="TimesNewRomanPSMT" w:cs="TimesNewRomanPSMT"/>
          <w:color w:val="000000"/>
          <w:sz w:val="24"/>
          <w:szCs w:val="24"/>
        </w:rPr>
        <w:t xml:space="preserve"> consecución</w:t>
      </w:r>
      <w:r w:rsidR="00F85B49">
        <w:rPr>
          <w:rFonts w:ascii="TimesNewRomanPSMT" w:hAnsi="TimesNewRomanPSMT" w:cs="TimesNewRomanPSMT"/>
          <w:color w:val="000000"/>
          <w:sz w:val="24"/>
          <w:szCs w:val="24"/>
        </w:rPr>
        <w:t>. Además, una elevada adecuación autovalorativa se convierte en fuente de retroalimentación efectiva acerca de la ejecución, contribuyendo directamente a su regulación.</w:t>
      </w:r>
    </w:p>
    <w:p w:rsidR="002D3F2C" w:rsidRPr="00A26E08" w:rsidRDefault="00A04825"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Los instrumentos para estudiar los procesos autovalorativos </w:t>
      </w:r>
      <w:r w:rsidR="004B2B8D" w:rsidRPr="00A26E08">
        <w:rPr>
          <w:rFonts w:ascii="TimesNewRomanPSMT" w:hAnsi="TimesNewRomanPSMT" w:cs="TimesNewRomanPSMT"/>
          <w:color w:val="000000"/>
          <w:sz w:val="24"/>
          <w:szCs w:val="24"/>
        </w:rPr>
        <w:t xml:space="preserve">en el deporte </w:t>
      </w:r>
      <w:r w:rsidRPr="00A26E08">
        <w:rPr>
          <w:rFonts w:ascii="TimesNewRomanPSMT" w:hAnsi="TimesNewRomanPSMT" w:cs="TimesNewRomanPSMT"/>
          <w:color w:val="000000"/>
          <w:sz w:val="24"/>
          <w:szCs w:val="24"/>
        </w:rPr>
        <w:t>pueden aplicarse (García, 2009) inmediatamente después de terminada una actividad o minutos antes de comenzar, después de cada etapa de preparación, una semana antes de competir o en cualquier momento de la preparación en que resulte pertinente.</w:t>
      </w:r>
    </w:p>
    <w:p w:rsidR="00F85B49" w:rsidRDefault="00A04825" w:rsidP="0084774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El IEA</w:t>
      </w:r>
      <w:r w:rsidR="0095620C" w:rsidRPr="00A26E08">
        <w:rPr>
          <w:rFonts w:ascii="TimesNewRomanPSMT" w:hAnsi="TimesNewRomanPSMT" w:cs="TimesNewRomanPSMT"/>
          <w:color w:val="000000"/>
          <w:sz w:val="24"/>
          <w:szCs w:val="24"/>
        </w:rPr>
        <w:t xml:space="preserve"> fue validado</w:t>
      </w:r>
      <w:r w:rsidR="00E9323A" w:rsidRPr="00A26E08">
        <w:rPr>
          <w:rFonts w:ascii="TimesNewRomanPSMT" w:hAnsi="TimesNewRomanPSMT" w:cs="TimesNewRomanPSMT"/>
          <w:color w:val="000000"/>
          <w:sz w:val="24"/>
          <w:szCs w:val="24"/>
        </w:rPr>
        <w:t xml:space="preserve"> con el nombre de coeficiente de error autovalorativo</w:t>
      </w:r>
      <w:r w:rsidR="002D3F2C" w:rsidRPr="00A26E08">
        <w:rPr>
          <w:rFonts w:ascii="TimesNewRomanPSMT" w:hAnsi="TimesNewRomanPSMT" w:cs="TimesNewRomanPSMT"/>
          <w:color w:val="000000"/>
          <w:sz w:val="24"/>
          <w:szCs w:val="24"/>
        </w:rPr>
        <w:t xml:space="preserve"> (González, 2001 a)</w:t>
      </w:r>
      <w:r w:rsidR="0095620C" w:rsidRPr="00A26E08">
        <w:rPr>
          <w:rFonts w:ascii="TimesNewRomanPSMT" w:hAnsi="TimesNewRomanPSMT" w:cs="TimesNewRomanPSMT"/>
          <w:color w:val="000000"/>
          <w:sz w:val="24"/>
          <w:szCs w:val="24"/>
        </w:rPr>
        <w:t xml:space="preserve"> para el estudio de deportistas de las modalidades de saltos dentro del atletismo cubano, en</w:t>
      </w:r>
      <w:r w:rsidR="007213E8" w:rsidRPr="00A26E08">
        <w:rPr>
          <w:rFonts w:ascii="TimesNewRomanPSMT" w:hAnsi="TimesNewRomanPSMT" w:cs="TimesNewRomanPSMT"/>
          <w:color w:val="000000"/>
          <w:sz w:val="24"/>
          <w:szCs w:val="24"/>
        </w:rPr>
        <w:t xml:space="preserve"> la década de los años 90 del pasado siglo</w:t>
      </w:r>
      <w:r w:rsidR="009C5490" w:rsidRPr="00A26E08">
        <w:rPr>
          <w:rFonts w:ascii="TimesNewRomanPSMT" w:hAnsi="TimesNewRomanPSMT" w:cs="TimesNewRomanPSMT"/>
          <w:color w:val="000000"/>
          <w:sz w:val="24"/>
          <w:szCs w:val="24"/>
        </w:rPr>
        <w:t>,</w:t>
      </w:r>
      <w:r w:rsidR="004B2B8D" w:rsidRPr="00A26E08">
        <w:rPr>
          <w:rFonts w:ascii="TimesNewRomanPSMT" w:hAnsi="TimesNewRomanPSMT" w:cs="TimesNewRomanPSMT"/>
          <w:color w:val="000000"/>
          <w:sz w:val="24"/>
          <w:szCs w:val="24"/>
        </w:rPr>
        <w:t xml:space="preserve"> en que </w:t>
      </w:r>
      <w:r w:rsidR="00F85B49">
        <w:rPr>
          <w:rFonts w:ascii="TimesNewRomanPSMT" w:hAnsi="TimesNewRomanPSMT" w:cs="TimesNewRomanPSMT"/>
          <w:color w:val="000000"/>
          <w:sz w:val="24"/>
          <w:szCs w:val="24"/>
        </w:rPr>
        <w:t xml:space="preserve">este equipo </w:t>
      </w:r>
      <w:r w:rsidR="004B2B8D" w:rsidRPr="00A26E08">
        <w:rPr>
          <w:rFonts w:ascii="TimesNewRomanPSMT" w:hAnsi="TimesNewRomanPSMT" w:cs="TimesNewRomanPSMT"/>
          <w:color w:val="000000"/>
          <w:sz w:val="24"/>
          <w:szCs w:val="24"/>
        </w:rPr>
        <w:t>obtuvo</w:t>
      </w:r>
      <w:r w:rsidR="00BC765A" w:rsidRPr="00A26E08">
        <w:rPr>
          <w:rFonts w:ascii="TimesNewRomanPSMT" w:hAnsi="TimesNewRomanPSMT" w:cs="TimesNewRomanPSMT"/>
          <w:color w:val="000000"/>
          <w:sz w:val="24"/>
          <w:szCs w:val="24"/>
        </w:rPr>
        <w:t xml:space="preserve"> </w:t>
      </w:r>
      <w:r w:rsidR="007213E8" w:rsidRPr="00A26E08">
        <w:rPr>
          <w:rFonts w:ascii="TimesNewRomanPSMT" w:hAnsi="TimesNewRomanPSMT" w:cs="TimesNewRomanPSMT"/>
          <w:color w:val="000000"/>
          <w:sz w:val="24"/>
          <w:szCs w:val="24"/>
        </w:rPr>
        <w:t>extraordinarios</w:t>
      </w:r>
      <w:r w:rsidR="00BC765A" w:rsidRPr="00A26E08">
        <w:rPr>
          <w:rFonts w:ascii="TimesNewRomanPSMT" w:hAnsi="TimesNewRomanPSMT" w:cs="TimesNewRomanPSMT"/>
          <w:color w:val="000000"/>
          <w:sz w:val="24"/>
          <w:szCs w:val="24"/>
        </w:rPr>
        <w:t xml:space="preserve"> </w:t>
      </w:r>
      <w:r w:rsidR="0095620C" w:rsidRPr="00A26E08">
        <w:rPr>
          <w:rFonts w:ascii="TimesNewRomanPSMT" w:hAnsi="TimesNewRomanPSMT" w:cs="TimesNewRomanPSMT"/>
          <w:color w:val="000000"/>
          <w:sz w:val="24"/>
          <w:szCs w:val="24"/>
        </w:rPr>
        <w:t>resultados internacionales</w:t>
      </w:r>
      <w:r w:rsidR="002D3F2C" w:rsidRPr="00A26E08">
        <w:rPr>
          <w:rFonts w:ascii="TimesNewRomanPSMT" w:hAnsi="TimesNewRomanPSMT" w:cs="TimesNewRomanPSMT"/>
          <w:color w:val="000000"/>
          <w:sz w:val="24"/>
          <w:szCs w:val="24"/>
        </w:rPr>
        <w:t>. El contenido sobre el que se interrogaba a atletas y entrenadores, se relacion</w:t>
      </w:r>
      <w:r w:rsidRPr="00A26E08">
        <w:rPr>
          <w:rFonts w:ascii="TimesNewRomanPSMT" w:hAnsi="TimesNewRomanPSMT" w:cs="TimesNewRomanPSMT"/>
          <w:color w:val="000000"/>
          <w:sz w:val="24"/>
          <w:szCs w:val="24"/>
        </w:rPr>
        <w:t>ó</w:t>
      </w:r>
      <w:r w:rsidR="002D3F2C" w:rsidRPr="00A26E08">
        <w:rPr>
          <w:rFonts w:ascii="TimesNewRomanPSMT" w:hAnsi="TimesNewRomanPSMT" w:cs="TimesNewRomanPSMT"/>
          <w:color w:val="000000"/>
          <w:sz w:val="24"/>
          <w:szCs w:val="24"/>
        </w:rPr>
        <w:t xml:space="preserve"> con la calidad de la ejecución técnica de los saltos</w:t>
      </w:r>
      <w:r w:rsidR="00EE4424" w:rsidRPr="00A26E08">
        <w:rPr>
          <w:rFonts w:ascii="TimesNewRomanPSMT" w:hAnsi="TimesNewRomanPSMT" w:cs="TimesNewRomanPSMT"/>
          <w:color w:val="000000"/>
          <w:sz w:val="24"/>
          <w:szCs w:val="24"/>
        </w:rPr>
        <w:t xml:space="preserve"> en sus diferentes segmentos del movimiento</w:t>
      </w:r>
      <w:r w:rsidR="002D3F2C" w:rsidRPr="00A26E08">
        <w:rPr>
          <w:rFonts w:ascii="TimesNewRomanPSMT" w:hAnsi="TimesNewRomanPSMT" w:cs="TimesNewRomanPSMT"/>
          <w:color w:val="000000"/>
          <w:sz w:val="24"/>
          <w:szCs w:val="24"/>
        </w:rPr>
        <w:t>, aspecto determinante para el éxito de los mismos. El procedimiento se desarrolló con fines esencialmente prácticos, desde una perspectiva diagnóstica del proceso psicológico</w:t>
      </w:r>
      <w:r w:rsidR="00855267" w:rsidRPr="00A26E08">
        <w:rPr>
          <w:rFonts w:ascii="TimesNewRomanPSMT" w:hAnsi="TimesNewRomanPSMT" w:cs="TimesNewRomanPSMT"/>
          <w:color w:val="000000"/>
          <w:sz w:val="24"/>
          <w:szCs w:val="24"/>
        </w:rPr>
        <w:t>,</w:t>
      </w:r>
      <w:r w:rsidR="002D3F2C" w:rsidRPr="00A26E08">
        <w:rPr>
          <w:rFonts w:ascii="TimesNewRomanPSMT" w:hAnsi="TimesNewRomanPSMT" w:cs="TimesNewRomanPSMT"/>
          <w:color w:val="000000"/>
          <w:sz w:val="24"/>
          <w:szCs w:val="24"/>
        </w:rPr>
        <w:t xml:space="preserve"> </w:t>
      </w:r>
      <w:r w:rsidR="00855267" w:rsidRPr="00A26E08">
        <w:rPr>
          <w:rFonts w:ascii="TimesNewRomanPSMT" w:hAnsi="TimesNewRomanPSMT" w:cs="TimesNewRomanPSMT"/>
          <w:color w:val="000000"/>
          <w:sz w:val="24"/>
          <w:szCs w:val="24"/>
        </w:rPr>
        <w:t>relativo</w:t>
      </w:r>
      <w:r w:rsidR="002D3F2C" w:rsidRPr="00A26E08">
        <w:rPr>
          <w:rFonts w:ascii="TimesNewRomanPSMT" w:hAnsi="TimesNewRomanPSMT" w:cs="TimesNewRomanPSMT"/>
          <w:color w:val="000000"/>
          <w:sz w:val="24"/>
          <w:szCs w:val="24"/>
        </w:rPr>
        <w:t xml:space="preserve"> a la ejecución </w:t>
      </w:r>
      <w:r w:rsidR="00806A10" w:rsidRPr="00A26E08">
        <w:rPr>
          <w:rFonts w:ascii="TimesNewRomanPSMT" w:hAnsi="TimesNewRomanPSMT" w:cs="TimesNewRomanPSMT"/>
          <w:color w:val="000000"/>
          <w:sz w:val="24"/>
          <w:szCs w:val="24"/>
        </w:rPr>
        <w:t xml:space="preserve">detallada </w:t>
      </w:r>
      <w:r w:rsidR="002D3F2C" w:rsidRPr="00A26E08">
        <w:rPr>
          <w:rFonts w:ascii="TimesNewRomanPSMT" w:hAnsi="TimesNewRomanPSMT" w:cs="TimesNewRomanPSMT"/>
          <w:color w:val="000000"/>
          <w:sz w:val="24"/>
          <w:szCs w:val="24"/>
        </w:rPr>
        <w:t>de los salt</w:t>
      </w:r>
      <w:r w:rsidR="00E51DD3" w:rsidRPr="00A26E08">
        <w:rPr>
          <w:rFonts w:ascii="TimesNewRomanPSMT" w:hAnsi="TimesNewRomanPSMT" w:cs="TimesNewRomanPSMT"/>
          <w:color w:val="000000"/>
          <w:sz w:val="24"/>
          <w:szCs w:val="24"/>
        </w:rPr>
        <w:t>o</w:t>
      </w:r>
      <w:r w:rsidR="002D3F2C" w:rsidRPr="00A26E08">
        <w:rPr>
          <w:rFonts w:ascii="TimesNewRomanPSMT" w:hAnsi="TimesNewRomanPSMT" w:cs="TimesNewRomanPSMT"/>
          <w:color w:val="000000"/>
          <w:sz w:val="24"/>
          <w:szCs w:val="24"/>
        </w:rPr>
        <w:t>s. Posteriormente,</w:t>
      </w:r>
      <w:r w:rsidRPr="00A26E08">
        <w:rPr>
          <w:rFonts w:ascii="TimesNewRomanPSMT" w:hAnsi="TimesNewRomanPSMT" w:cs="TimesNewRomanPSMT"/>
          <w:color w:val="000000"/>
          <w:sz w:val="24"/>
          <w:szCs w:val="24"/>
        </w:rPr>
        <w:t xml:space="preserve"> f</w:t>
      </w:r>
      <w:r w:rsidR="002D3F2C" w:rsidRPr="00A26E08">
        <w:rPr>
          <w:rFonts w:ascii="TimesNewRomanPSMT" w:hAnsi="TimesNewRomanPSMT" w:cs="TimesNewRomanPSMT"/>
          <w:color w:val="000000"/>
          <w:sz w:val="24"/>
          <w:szCs w:val="24"/>
        </w:rPr>
        <w:t xml:space="preserve">ueron confeccionadas las </w:t>
      </w:r>
      <w:r w:rsidR="004C143B" w:rsidRPr="00A26E08">
        <w:rPr>
          <w:rFonts w:ascii="TimesNewRomanPSMT" w:hAnsi="TimesNewRomanPSMT" w:cs="TimesNewRomanPSMT"/>
          <w:color w:val="000000"/>
          <w:sz w:val="24"/>
          <w:szCs w:val="24"/>
        </w:rPr>
        <w:t xml:space="preserve">Escalas de </w:t>
      </w:r>
      <w:r w:rsidR="002D3F2C" w:rsidRPr="00A26E08">
        <w:rPr>
          <w:rFonts w:ascii="TimesNewRomanPSMT" w:hAnsi="TimesNewRomanPSMT" w:cs="TimesNewRomanPSMT"/>
          <w:color w:val="000000"/>
          <w:sz w:val="24"/>
          <w:szCs w:val="24"/>
        </w:rPr>
        <w:t>A</w:t>
      </w:r>
      <w:r w:rsidR="004C143B" w:rsidRPr="00A26E08">
        <w:rPr>
          <w:rFonts w:ascii="TimesNewRomanPSMT" w:hAnsi="TimesNewRomanPSMT" w:cs="TimesNewRomanPSMT"/>
          <w:color w:val="000000"/>
          <w:sz w:val="24"/>
          <w:szCs w:val="24"/>
        </w:rPr>
        <w:t xml:space="preserve">utovaloración característica de </w:t>
      </w:r>
      <w:r w:rsidR="00E51DD3" w:rsidRPr="00A26E08">
        <w:rPr>
          <w:rFonts w:ascii="TimesNewRomanPSMT" w:hAnsi="TimesNewRomanPSMT" w:cs="TimesNewRomanPSMT"/>
          <w:color w:val="000000"/>
          <w:sz w:val="24"/>
          <w:szCs w:val="24"/>
        </w:rPr>
        <w:t>c</w:t>
      </w:r>
      <w:r w:rsidR="004C143B" w:rsidRPr="00A26E08">
        <w:rPr>
          <w:rFonts w:ascii="TimesNewRomanPSMT" w:hAnsi="TimesNewRomanPSMT" w:cs="TimesNewRomanPSMT"/>
          <w:color w:val="000000"/>
          <w:sz w:val="24"/>
          <w:szCs w:val="24"/>
        </w:rPr>
        <w:t xml:space="preserve">ualidades de </w:t>
      </w:r>
      <w:r w:rsidR="00E51DD3" w:rsidRPr="00A26E08">
        <w:rPr>
          <w:rFonts w:ascii="TimesNewRomanPSMT" w:hAnsi="TimesNewRomanPSMT" w:cs="TimesNewRomanPSMT"/>
          <w:color w:val="000000"/>
          <w:sz w:val="24"/>
          <w:szCs w:val="24"/>
        </w:rPr>
        <w:t>r</w:t>
      </w:r>
      <w:r w:rsidR="004C143B" w:rsidRPr="00A26E08">
        <w:rPr>
          <w:rFonts w:ascii="TimesNewRomanPSMT" w:hAnsi="TimesNewRomanPSMT" w:cs="TimesNewRomanPSMT"/>
          <w:color w:val="000000"/>
          <w:sz w:val="24"/>
          <w:szCs w:val="24"/>
        </w:rPr>
        <w:t xml:space="preserve">endimiento en deportes de combate </w:t>
      </w:r>
      <w:r w:rsidR="002D3F2C" w:rsidRPr="00A26E08">
        <w:rPr>
          <w:rFonts w:ascii="TimesNewRomanPSMT" w:hAnsi="TimesNewRomanPSMT" w:cs="TimesNewRomanPSMT"/>
          <w:color w:val="000000"/>
          <w:sz w:val="24"/>
          <w:szCs w:val="24"/>
        </w:rPr>
        <w:t>(</w:t>
      </w:r>
      <w:r w:rsidR="004C143B" w:rsidRPr="00A26E08">
        <w:rPr>
          <w:rFonts w:ascii="TimesNewRomanPSMT" w:hAnsi="TimesNewRomanPSMT" w:cs="TimesNewRomanPSMT"/>
          <w:color w:val="000000"/>
          <w:sz w:val="24"/>
          <w:szCs w:val="24"/>
        </w:rPr>
        <w:t xml:space="preserve">Del Monte, 2010), </w:t>
      </w:r>
      <w:r w:rsidR="00855267" w:rsidRPr="00A26E08">
        <w:rPr>
          <w:rFonts w:ascii="TimesNewRomanPSMT" w:hAnsi="TimesNewRomanPSMT" w:cs="TimesNewRomanPSMT"/>
          <w:color w:val="000000"/>
          <w:sz w:val="24"/>
          <w:szCs w:val="24"/>
        </w:rPr>
        <w:t>que abarcaron</w:t>
      </w:r>
      <w:r w:rsidR="002D3F2C" w:rsidRPr="00A26E08">
        <w:rPr>
          <w:rFonts w:ascii="TimesNewRomanPSMT" w:hAnsi="TimesNewRomanPSMT" w:cs="TimesNewRomanPSMT"/>
          <w:color w:val="000000"/>
          <w:sz w:val="24"/>
          <w:szCs w:val="24"/>
        </w:rPr>
        <w:t xml:space="preserve"> las modalidades de boxeo, judo, esgrima, taekwondo y luchas olímpicas. Est</w:t>
      </w:r>
      <w:r w:rsidRPr="00A26E08">
        <w:rPr>
          <w:rFonts w:ascii="TimesNewRomanPSMT" w:hAnsi="TimesNewRomanPSMT" w:cs="TimesNewRomanPSMT"/>
          <w:color w:val="000000"/>
          <w:sz w:val="24"/>
          <w:szCs w:val="24"/>
        </w:rPr>
        <w:t>o</w:t>
      </w:r>
      <w:r w:rsidR="002D3F2C" w:rsidRPr="00A26E08">
        <w:rPr>
          <w:rFonts w:ascii="TimesNewRomanPSMT" w:hAnsi="TimesNewRomanPSMT" w:cs="TimesNewRomanPSMT"/>
          <w:color w:val="000000"/>
          <w:sz w:val="24"/>
          <w:szCs w:val="24"/>
        </w:rPr>
        <w:t>s</w:t>
      </w:r>
      <w:r w:rsidRPr="00A26E08">
        <w:rPr>
          <w:rFonts w:ascii="TimesNewRomanPSMT" w:hAnsi="TimesNewRomanPSMT" w:cs="TimesNewRomanPSMT"/>
          <w:color w:val="000000"/>
          <w:sz w:val="24"/>
          <w:szCs w:val="24"/>
        </w:rPr>
        <w:t>,</w:t>
      </w:r>
      <w:r w:rsidR="002D3F2C" w:rsidRPr="00A26E08">
        <w:rPr>
          <w:rFonts w:ascii="TimesNewRomanPSMT" w:hAnsi="TimesNewRomanPSMT" w:cs="TimesNewRomanPSMT"/>
          <w:color w:val="000000"/>
          <w:sz w:val="24"/>
          <w:szCs w:val="24"/>
        </w:rPr>
        <w:t xml:space="preserve"> constituyeron procedimientos de papel y lápiz, cuya organización y diseño de las dimensiones y sus ítems, tuvieron su origen en el análisis de las </w:t>
      </w:r>
      <w:r w:rsidRPr="00A26E08">
        <w:rPr>
          <w:rFonts w:ascii="TimesNewRomanPSMT" w:hAnsi="TimesNewRomanPSMT" w:cs="TimesNewRomanPSMT"/>
          <w:color w:val="000000"/>
          <w:sz w:val="24"/>
          <w:szCs w:val="24"/>
        </w:rPr>
        <w:t>tipologías de la preparación deportiva</w:t>
      </w:r>
      <w:r w:rsidR="002D3F2C" w:rsidRPr="00A26E08">
        <w:rPr>
          <w:rFonts w:ascii="TimesNewRomanPSMT" w:hAnsi="TimesNewRomanPSMT" w:cs="TimesNewRomanPSMT"/>
          <w:color w:val="000000"/>
          <w:sz w:val="24"/>
          <w:szCs w:val="24"/>
        </w:rPr>
        <w:t xml:space="preserve"> de cada una de estas disciplinas. </w:t>
      </w:r>
      <w:r w:rsidR="009B6227" w:rsidRPr="00A26E08">
        <w:rPr>
          <w:rFonts w:ascii="TimesNewRomanPSMT" w:hAnsi="TimesNewRomanPSMT" w:cs="TimesNewRomanPSMT"/>
          <w:color w:val="000000"/>
          <w:sz w:val="24"/>
          <w:szCs w:val="24"/>
        </w:rPr>
        <w:t xml:space="preserve">Es, precisamente, la adecuación </w:t>
      </w:r>
      <w:r w:rsidR="009B6227" w:rsidRPr="00A26E08">
        <w:rPr>
          <w:rFonts w:ascii="TimesNewRomanPSMT" w:hAnsi="TimesNewRomanPSMT" w:cs="TimesNewRomanPSMT"/>
          <w:color w:val="000000"/>
          <w:sz w:val="24"/>
          <w:szCs w:val="24"/>
        </w:rPr>
        <w:lastRenderedPageBreak/>
        <w:t>de las autovaloraciones parciales relacionadas con el desempeño táctico durante los sparrings, el contenido evaluativo de la PAAB</w:t>
      </w:r>
      <w:r w:rsidR="00806A10" w:rsidRPr="00A26E08">
        <w:rPr>
          <w:rFonts w:ascii="TimesNewRomanPSMT" w:hAnsi="TimesNewRomanPSMT" w:cs="TimesNewRomanPSMT"/>
          <w:color w:val="000000"/>
          <w:sz w:val="24"/>
          <w:szCs w:val="24"/>
        </w:rPr>
        <w:t xml:space="preserve">. </w:t>
      </w:r>
    </w:p>
    <w:p w:rsidR="007640BB" w:rsidRPr="00A26E08" w:rsidRDefault="00806A10"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Su aplicación</w:t>
      </w:r>
      <w:r w:rsidR="009B6227" w:rsidRPr="00A26E08">
        <w:rPr>
          <w:rFonts w:ascii="TimesNewRomanPSMT" w:hAnsi="TimesNewRomanPSMT" w:cs="TimesNewRomanPSMT"/>
          <w:color w:val="000000"/>
          <w:sz w:val="24"/>
          <w:szCs w:val="24"/>
        </w:rPr>
        <w:t xml:space="preserve"> permite determinar un IEA, como resultado del contraste entre al juicio autovalorativo del boxeador al final de cada asalto de los </w:t>
      </w:r>
      <w:r w:rsidR="00621DD0" w:rsidRPr="00A26E08">
        <w:rPr>
          <w:rFonts w:ascii="TimesNewRomanPSMT" w:hAnsi="TimesNewRomanPSMT" w:cs="TimesNewRomanPSMT"/>
          <w:color w:val="000000"/>
          <w:sz w:val="24"/>
          <w:szCs w:val="24"/>
        </w:rPr>
        <w:t xml:space="preserve">entrenamientos libres con guantes (ELCG) o </w:t>
      </w:r>
      <w:r w:rsidR="009B6227" w:rsidRPr="00A26E08">
        <w:rPr>
          <w:rFonts w:ascii="TimesNewRomanPSMT" w:hAnsi="TimesNewRomanPSMT" w:cs="TimesNewRomanPSMT"/>
          <w:color w:val="000000"/>
          <w:sz w:val="24"/>
          <w:szCs w:val="24"/>
        </w:rPr>
        <w:t xml:space="preserve">sparrings, y la evaluación que emite un grupo de expertos acerca de la misma ejecución. Los valores bajos del IEA indican mayor adecuación autovalorativa acerca del desempeño táctico, lo cual crea condiciones para que los boxeadores emitan conductas adaptativas y correctoras </w:t>
      </w:r>
      <w:r w:rsidR="007640BB" w:rsidRPr="00A26E08">
        <w:rPr>
          <w:rFonts w:ascii="TimesNewRomanPSMT" w:hAnsi="TimesNewRomanPSMT" w:cs="TimesNewRomanPSMT"/>
          <w:color w:val="000000"/>
          <w:sz w:val="24"/>
          <w:szCs w:val="24"/>
        </w:rPr>
        <w:t>de</w:t>
      </w:r>
      <w:r w:rsidR="009B6227" w:rsidRPr="00A26E08">
        <w:rPr>
          <w:rFonts w:ascii="TimesNewRomanPSMT" w:hAnsi="TimesNewRomanPSMT" w:cs="TimesNewRomanPSMT"/>
          <w:color w:val="000000"/>
          <w:sz w:val="24"/>
          <w:szCs w:val="24"/>
        </w:rPr>
        <w:t>l desempeño sobre la base del principio del control consciente sobre la actividad.</w:t>
      </w:r>
      <w:r w:rsidR="007640BB" w:rsidRPr="00A26E08">
        <w:rPr>
          <w:rFonts w:ascii="TimesNewRomanPSMT" w:hAnsi="TimesNewRomanPSMT" w:cs="TimesNewRomanPSMT"/>
          <w:color w:val="000000"/>
          <w:sz w:val="24"/>
          <w:szCs w:val="24"/>
        </w:rPr>
        <w:t xml:space="preserve"> </w:t>
      </w:r>
    </w:p>
    <w:p w:rsidR="00F85B49" w:rsidRDefault="00B812C1"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La ausencia de un indicador psicológico directamente relacionado con ejecuciones exitosas en el boxeo, con el cual insertarse en un análisis interdisciplinario acerca del diagnóstico del estado de la preparación, condujo a la necesidad de disponer de </w:t>
      </w:r>
      <w:r w:rsidR="00FA3594" w:rsidRPr="00A26E08">
        <w:rPr>
          <w:rFonts w:ascii="TimesNewRomanPSMT" w:hAnsi="TimesNewRomanPSMT" w:cs="TimesNewRomanPSMT"/>
          <w:color w:val="000000"/>
          <w:sz w:val="24"/>
          <w:szCs w:val="24"/>
        </w:rPr>
        <w:t>un instrumento válido y confiable que capturase medidas específicas del dominio autovalorativo de</w:t>
      </w:r>
      <w:r w:rsidR="00855267" w:rsidRPr="00A26E08">
        <w:rPr>
          <w:rFonts w:ascii="TimesNewRomanPSMT" w:hAnsi="TimesNewRomanPSMT" w:cs="TimesNewRomanPSMT"/>
          <w:color w:val="000000"/>
          <w:sz w:val="24"/>
          <w:szCs w:val="24"/>
        </w:rPr>
        <w:t xml:space="preserve"> boxeadores</w:t>
      </w:r>
      <w:r w:rsidR="00FA3594" w:rsidRPr="00A26E08">
        <w:rPr>
          <w:rFonts w:ascii="TimesNewRomanPSMT" w:hAnsi="TimesNewRomanPSMT" w:cs="TimesNewRomanPSMT"/>
          <w:color w:val="000000"/>
          <w:sz w:val="24"/>
          <w:szCs w:val="24"/>
        </w:rPr>
        <w:t xml:space="preserve"> de alto rendimiento</w:t>
      </w:r>
      <w:r w:rsidR="0095620C" w:rsidRPr="00A26E08">
        <w:rPr>
          <w:rFonts w:ascii="TimesNewRomanPSMT" w:hAnsi="TimesNewRomanPSMT" w:cs="TimesNewRomanPSMT"/>
          <w:color w:val="000000"/>
          <w:sz w:val="24"/>
          <w:szCs w:val="24"/>
        </w:rPr>
        <w:t xml:space="preserve"> en condiciones de terreno, es decir, durante la ejecución de los ELCG</w:t>
      </w:r>
      <w:r w:rsidR="007560B7" w:rsidRPr="00A26E08">
        <w:rPr>
          <w:rFonts w:ascii="TimesNewRomanPSMT" w:hAnsi="TimesNewRomanPSMT" w:cs="TimesNewRomanPSMT"/>
          <w:color w:val="000000"/>
          <w:sz w:val="24"/>
          <w:szCs w:val="24"/>
        </w:rPr>
        <w:t xml:space="preserve">. </w:t>
      </w:r>
    </w:p>
    <w:p w:rsidR="007640BB" w:rsidRPr="00A26E08" w:rsidRDefault="007640BB"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La primera etapa de validación de la </w:t>
      </w:r>
      <w:r w:rsidR="00806A10" w:rsidRPr="00A26E08">
        <w:rPr>
          <w:rFonts w:ascii="TimesNewRomanPSMT" w:hAnsi="TimesNewRomanPSMT" w:cs="TimesNewRomanPSMT"/>
          <w:color w:val="000000"/>
          <w:sz w:val="24"/>
          <w:szCs w:val="24"/>
        </w:rPr>
        <w:t>PAAB</w:t>
      </w:r>
      <w:r w:rsidR="003B3D55" w:rsidRPr="00A26E08">
        <w:rPr>
          <w:rFonts w:ascii="TimesNewRomanPSMT" w:hAnsi="TimesNewRomanPSMT" w:cs="TimesNewRomanPSMT"/>
          <w:color w:val="000000"/>
          <w:sz w:val="24"/>
          <w:szCs w:val="24"/>
        </w:rPr>
        <w:t xml:space="preserve"> </w:t>
      </w:r>
      <w:r w:rsidRPr="00A26E08">
        <w:rPr>
          <w:rFonts w:ascii="TimesNewRomanPSMT" w:hAnsi="TimesNewRomanPSMT" w:cs="TimesNewRomanPSMT"/>
          <w:color w:val="000000"/>
          <w:sz w:val="24"/>
          <w:szCs w:val="24"/>
        </w:rPr>
        <w:t xml:space="preserve">contempló </w:t>
      </w:r>
      <w:r w:rsidR="00806A10" w:rsidRPr="00A26E08">
        <w:rPr>
          <w:rFonts w:ascii="TimesNewRomanPSMT" w:hAnsi="TimesNewRomanPSMT" w:cs="TimesNewRomanPSMT"/>
          <w:color w:val="000000"/>
          <w:sz w:val="24"/>
          <w:szCs w:val="24"/>
        </w:rPr>
        <w:t xml:space="preserve">análisis comparativos no paramétricos de las medianas del IEA entre los dos subgrupos de la muestra (boxeadores </w:t>
      </w:r>
      <w:r w:rsidR="00806A10" w:rsidRPr="00A26E08">
        <w:rPr>
          <w:rFonts w:ascii="TimesNewRomanPSMT" w:hAnsi="TimesNewRomanPSMT" w:cs="TimesNewRomanPSMT"/>
          <w:i/>
          <w:color w:val="000000"/>
          <w:sz w:val="24"/>
          <w:szCs w:val="24"/>
        </w:rPr>
        <w:t>destacados</w:t>
      </w:r>
      <w:r w:rsidR="00806A10" w:rsidRPr="00A26E08">
        <w:rPr>
          <w:rFonts w:ascii="TimesNewRomanPSMT" w:hAnsi="TimesNewRomanPSMT" w:cs="TimesNewRomanPSMT"/>
          <w:color w:val="000000"/>
          <w:sz w:val="24"/>
          <w:szCs w:val="24"/>
        </w:rPr>
        <w:t xml:space="preserve"> y </w:t>
      </w:r>
      <w:r w:rsidR="00806A10" w:rsidRPr="00A26E08">
        <w:rPr>
          <w:rFonts w:ascii="TimesNewRomanPSMT" w:hAnsi="TimesNewRomanPSMT" w:cs="TimesNewRomanPSMT"/>
          <w:i/>
          <w:color w:val="000000"/>
          <w:sz w:val="24"/>
          <w:szCs w:val="24"/>
        </w:rPr>
        <w:t>no destacados</w:t>
      </w:r>
      <w:r w:rsidR="00806A10" w:rsidRPr="00A26E08">
        <w:rPr>
          <w:rFonts w:ascii="TimesNewRomanPSMT" w:hAnsi="TimesNewRomanPSMT" w:cs="TimesNewRomanPSMT"/>
          <w:color w:val="000000"/>
          <w:sz w:val="24"/>
          <w:szCs w:val="24"/>
        </w:rPr>
        <w:t xml:space="preserve">) </w:t>
      </w:r>
      <w:r w:rsidR="00621DD0" w:rsidRPr="00A26E08">
        <w:rPr>
          <w:rFonts w:ascii="TimesNewRomanPSMT" w:hAnsi="TimesNewRomanPSMT" w:cs="TimesNewRomanPSMT"/>
          <w:color w:val="000000"/>
          <w:sz w:val="24"/>
          <w:szCs w:val="24"/>
        </w:rPr>
        <w:t>mediante los que</w:t>
      </w:r>
      <w:r w:rsidR="00806A10" w:rsidRPr="00A26E08">
        <w:rPr>
          <w:rFonts w:ascii="TimesNewRomanPSMT" w:hAnsi="TimesNewRomanPSMT" w:cs="TimesNewRomanPSMT"/>
          <w:color w:val="000000"/>
          <w:sz w:val="24"/>
          <w:szCs w:val="24"/>
        </w:rPr>
        <w:t xml:space="preserve"> se constat</w:t>
      </w:r>
      <w:r w:rsidR="00855267" w:rsidRPr="00A26E08">
        <w:rPr>
          <w:rFonts w:ascii="TimesNewRomanPSMT" w:hAnsi="TimesNewRomanPSMT" w:cs="TimesNewRomanPSMT"/>
          <w:color w:val="000000"/>
          <w:sz w:val="24"/>
          <w:szCs w:val="24"/>
        </w:rPr>
        <w:t>aron</w:t>
      </w:r>
      <w:r w:rsidR="00806A10" w:rsidRPr="00A26E08">
        <w:rPr>
          <w:rFonts w:ascii="TimesNewRomanPSMT" w:hAnsi="TimesNewRomanPSMT" w:cs="TimesNewRomanPSMT"/>
          <w:color w:val="000000"/>
          <w:sz w:val="24"/>
          <w:szCs w:val="24"/>
        </w:rPr>
        <w:t xml:space="preserve"> diferencias muy significativas (p&lt;0.01) de la adecuación de la autovaloración entre ambos. Posteriormente, se realizó un análisis modelado de efectos aleatorios para determinar exactamente </w:t>
      </w:r>
      <w:r w:rsidR="00D55621" w:rsidRPr="00A26E08">
        <w:rPr>
          <w:rFonts w:ascii="TimesNewRomanPSMT" w:hAnsi="TimesNewRomanPSMT" w:cs="TimesNewRomanPSMT"/>
          <w:color w:val="000000"/>
          <w:sz w:val="24"/>
          <w:szCs w:val="24"/>
        </w:rPr>
        <w:t>la contribución de la condición muestral (CM) sobre la varianza del IEA</w:t>
      </w:r>
      <w:r w:rsidR="00F85B49">
        <w:rPr>
          <w:rFonts w:ascii="TimesNewRomanPSMT" w:hAnsi="TimesNewRomanPSMT" w:cs="TimesNewRomanPSMT"/>
          <w:color w:val="000000"/>
          <w:sz w:val="24"/>
          <w:szCs w:val="24"/>
        </w:rPr>
        <w:t>,</w:t>
      </w:r>
      <w:r w:rsidR="00D55621" w:rsidRPr="00A26E08">
        <w:rPr>
          <w:rFonts w:ascii="TimesNewRomanPSMT" w:hAnsi="TimesNewRomanPSMT" w:cs="TimesNewRomanPSMT"/>
          <w:color w:val="000000"/>
          <w:sz w:val="24"/>
          <w:szCs w:val="24"/>
        </w:rPr>
        <w:t xml:space="preserve"> que se debía</w:t>
      </w:r>
      <w:r w:rsidR="00855267" w:rsidRPr="00A26E08">
        <w:rPr>
          <w:rFonts w:ascii="TimesNewRomanPSMT" w:hAnsi="TimesNewRomanPSMT" w:cs="TimesNewRomanPSMT"/>
          <w:color w:val="000000"/>
          <w:sz w:val="24"/>
          <w:szCs w:val="24"/>
        </w:rPr>
        <w:t xml:space="preserve"> a</w:t>
      </w:r>
      <w:r w:rsidR="00D55621" w:rsidRPr="00A26E08">
        <w:rPr>
          <w:rFonts w:ascii="TimesNewRomanPSMT" w:hAnsi="TimesNewRomanPSMT" w:cs="TimesNewRomanPSMT"/>
          <w:color w:val="000000"/>
          <w:sz w:val="24"/>
          <w:szCs w:val="24"/>
        </w:rPr>
        <w:t xml:space="preserve"> diferencias entre boxeadores. Con este paso se excluyó del análisis de la varianza, el efecto de interacción con los mesociclos de preparación </w:t>
      </w:r>
      <w:r w:rsidR="00F85B49">
        <w:rPr>
          <w:rFonts w:ascii="TimesNewRomanPSMT" w:hAnsi="TimesNewRomanPSMT" w:cs="TimesNewRomanPSMT"/>
          <w:color w:val="000000"/>
          <w:sz w:val="24"/>
          <w:szCs w:val="24"/>
        </w:rPr>
        <w:t xml:space="preserve">(MP) </w:t>
      </w:r>
      <w:r w:rsidR="00D55621" w:rsidRPr="00A26E08">
        <w:rPr>
          <w:rFonts w:ascii="TimesNewRomanPSMT" w:hAnsi="TimesNewRomanPSMT" w:cs="TimesNewRomanPSMT"/>
          <w:color w:val="000000"/>
          <w:sz w:val="24"/>
          <w:szCs w:val="24"/>
        </w:rPr>
        <w:t xml:space="preserve">y una posible contaminación inferencial producto de factores como número dispar de mediciones entre las etapas, o el efecto favorecedor al producirse un salto de una de ellas a la subsiguiente. </w:t>
      </w:r>
      <w:r w:rsidRPr="00A26E08">
        <w:rPr>
          <w:rFonts w:ascii="TimesNewRomanPSMT" w:hAnsi="TimesNewRomanPSMT" w:cs="TimesNewRomanPSMT"/>
          <w:color w:val="000000"/>
          <w:sz w:val="24"/>
          <w:szCs w:val="24"/>
        </w:rPr>
        <w:t>L</w:t>
      </w:r>
      <w:r w:rsidR="00D55621" w:rsidRPr="00A26E08">
        <w:rPr>
          <w:rFonts w:ascii="TimesNewRomanPSMT" w:hAnsi="TimesNewRomanPSMT" w:cs="TimesNewRomanPSMT"/>
          <w:color w:val="000000"/>
          <w:sz w:val="24"/>
          <w:szCs w:val="24"/>
        </w:rPr>
        <w:t>os porcentajes explicativos de varianza</w:t>
      </w:r>
      <w:r w:rsidRPr="00A26E08">
        <w:rPr>
          <w:rFonts w:ascii="TimesNewRomanPSMT" w:hAnsi="TimesNewRomanPSMT" w:cs="TimesNewRomanPSMT"/>
          <w:color w:val="000000"/>
          <w:sz w:val="24"/>
          <w:szCs w:val="24"/>
        </w:rPr>
        <w:t>s</w:t>
      </w:r>
      <w:r w:rsidR="00D55621" w:rsidRPr="00A26E08">
        <w:rPr>
          <w:rFonts w:ascii="TimesNewRomanPSMT" w:hAnsi="TimesNewRomanPSMT" w:cs="TimesNewRomanPSMT"/>
          <w:color w:val="000000"/>
          <w:sz w:val="24"/>
          <w:szCs w:val="24"/>
        </w:rPr>
        <w:t xml:space="preserve"> y la elevada significación estadística al agregar la CM, como variable explicativa del IEA, </w:t>
      </w:r>
      <w:r w:rsidR="00621DD0" w:rsidRPr="00A26E08">
        <w:rPr>
          <w:rFonts w:ascii="TimesNewRomanPSMT" w:hAnsi="TimesNewRomanPSMT" w:cs="TimesNewRomanPSMT"/>
          <w:color w:val="000000"/>
          <w:sz w:val="24"/>
          <w:szCs w:val="24"/>
        </w:rPr>
        <w:t>cumplieron el propósito de comprobar si la PAAB constituye</w:t>
      </w:r>
      <w:r w:rsidR="00D55621" w:rsidRPr="00A26E08">
        <w:rPr>
          <w:rFonts w:ascii="TimesNewRomanPSMT" w:hAnsi="TimesNewRomanPSMT" w:cs="TimesNewRomanPSMT"/>
          <w:color w:val="000000"/>
          <w:sz w:val="24"/>
          <w:szCs w:val="24"/>
        </w:rPr>
        <w:t xml:space="preserve"> una herramienta válida para su</w:t>
      </w:r>
      <w:r w:rsidRPr="00A26E08">
        <w:rPr>
          <w:rFonts w:ascii="TimesNewRomanPSMT" w:hAnsi="TimesNewRomanPSMT" w:cs="TimesNewRomanPSMT"/>
          <w:color w:val="000000"/>
          <w:sz w:val="24"/>
          <w:szCs w:val="24"/>
        </w:rPr>
        <w:t xml:space="preserve"> uso </w:t>
      </w:r>
      <w:r w:rsidR="00816582" w:rsidRPr="00A26E08">
        <w:rPr>
          <w:rFonts w:ascii="TimesNewRomanPSMT" w:hAnsi="TimesNewRomanPSMT" w:cs="TimesNewRomanPSMT"/>
          <w:color w:val="000000"/>
          <w:sz w:val="24"/>
          <w:szCs w:val="24"/>
        </w:rPr>
        <w:t xml:space="preserve">con boxeadores cubanos de alto rendimiento. </w:t>
      </w:r>
    </w:p>
    <w:p w:rsidR="00816582" w:rsidRPr="00A26E08" w:rsidRDefault="00816582"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La modelación de las variables explicativas</w:t>
      </w:r>
      <w:r w:rsidR="00F85B49">
        <w:rPr>
          <w:rFonts w:ascii="TimesNewRomanPSMT" w:hAnsi="TimesNewRomanPSMT" w:cs="TimesNewRomanPSMT"/>
          <w:color w:val="000000"/>
          <w:sz w:val="24"/>
          <w:szCs w:val="24"/>
        </w:rPr>
        <w:t xml:space="preserve"> </w:t>
      </w:r>
      <w:r w:rsidRPr="00A26E08">
        <w:rPr>
          <w:rFonts w:ascii="TimesNewRomanPSMT" w:hAnsi="TimesNewRomanPSMT" w:cs="TimesNewRomanPSMT"/>
          <w:color w:val="000000"/>
          <w:sz w:val="24"/>
          <w:szCs w:val="24"/>
        </w:rPr>
        <w:t>permitió establecer intervalos de predicción del IEA en función de la CM exhibida por los participantes y de</w:t>
      </w:r>
      <w:r w:rsidR="00EA3407">
        <w:rPr>
          <w:rFonts w:ascii="TimesNewRomanPSMT" w:hAnsi="TimesNewRomanPSMT" w:cs="TimesNewRomanPSMT"/>
          <w:color w:val="000000"/>
          <w:sz w:val="24"/>
          <w:szCs w:val="24"/>
        </w:rPr>
        <w:t xml:space="preserve">l MP </w:t>
      </w:r>
      <w:r w:rsidRPr="00A26E08">
        <w:rPr>
          <w:rFonts w:ascii="TimesNewRomanPSMT" w:hAnsi="TimesNewRomanPSMT" w:cs="TimesNewRomanPSMT"/>
          <w:color w:val="000000"/>
          <w:sz w:val="24"/>
          <w:szCs w:val="24"/>
        </w:rPr>
        <w:t xml:space="preserve">por el que transita </w:t>
      </w:r>
      <w:r w:rsidR="006A4D01" w:rsidRPr="00A26E08">
        <w:rPr>
          <w:rFonts w:ascii="TimesNewRomanPSMT" w:hAnsi="TimesNewRomanPSMT" w:cs="TimesNewRomanPSMT"/>
          <w:color w:val="000000"/>
          <w:sz w:val="24"/>
          <w:szCs w:val="24"/>
        </w:rPr>
        <w:t>el</w:t>
      </w:r>
      <w:r w:rsidRPr="00A26E08">
        <w:rPr>
          <w:rFonts w:ascii="TimesNewRomanPSMT" w:hAnsi="TimesNewRomanPSMT" w:cs="TimesNewRomanPSMT"/>
          <w:color w:val="000000"/>
          <w:sz w:val="24"/>
          <w:szCs w:val="24"/>
        </w:rPr>
        <w:t xml:space="preserve"> entrenamiento</w:t>
      </w:r>
      <w:r w:rsidR="006A4D01" w:rsidRPr="00A26E08">
        <w:rPr>
          <w:rFonts w:ascii="TimesNewRomanPSMT" w:hAnsi="TimesNewRomanPSMT" w:cs="TimesNewRomanPSMT"/>
          <w:color w:val="000000"/>
          <w:sz w:val="24"/>
          <w:szCs w:val="24"/>
        </w:rPr>
        <w:t xml:space="preserve"> deportivo de los boxeadores</w:t>
      </w:r>
      <w:r w:rsidR="007640BB" w:rsidRPr="00A26E08">
        <w:rPr>
          <w:rFonts w:ascii="TimesNewRomanPSMT" w:hAnsi="TimesNewRomanPSMT" w:cs="TimesNewRomanPSMT"/>
          <w:color w:val="000000"/>
          <w:sz w:val="24"/>
          <w:szCs w:val="24"/>
        </w:rPr>
        <w:t>.</w:t>
      </w:r>
      <w:r w:rsidR="006A4D01" w:rsidRPr="00A26E08">
        <w:rPr>
          <w:rFonts w:ascii="TimesNewRomanPSMT" w:hAnsi="TimesNewRomanPSMT" w:cs="TimesNewRomanPSMT"/>
          <w:color w:val="000000"/>
          <w:sz w:val="24"/>
          <w:szCs w:val="24"/>
        </w:rPr>
        <w:t xml:space="preserve"> Un comportamiento reiterado e inusualmente alto del IEA, o cambios en su signo (positivo o negativo) pueden estar indicando dificultades con </w:t>
      </w:r>
      <w:r w:rsidR="00E92D91" w:rsidRPr="00A26E08">
        <w:rPr>
          <w:rFonts w:ascii="TimesNewRomanPSMT" w:hAnsi="TimesNewRomanPSMT" w:cs="TimesNewRomanPSMT"/>
          <w:color w:val="000000"/>
          <w:sz w:val="24"/>
          <w:szCs w:val="24"/>
        </w:rPr>
        <w:t>la asimilación de los contenidos del entrenamiento, y demandar acciones correctoras de sus direcciones principales.</w:t>
      </w:r>
      <w:r w:rsidR="007640BB" w:rsidRPr="00A26E08">
        <w:rPr>
          <w:rFonts w:ascii="TimesNewRomanPSMT" w:hAnsi="TimesNewRomanPSMT" w:cs="TimesNewRomanPSMT"/>
          <w:color w:val="000000"/>
          <w:sz w:val="24"/>
          <w:szCs w:val="24"/>
        </w:rPr>
        <w:t xml:space="preserve"> </w:t>
      </w:r>
    </w:p>
    <w:p w:rsidR="00B85F94" w:rsidRPr="00A26E08" w:rsidRDefault="007640BB"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L</w:t>
      </w:r>
      <w:r w:rsidR="00FE3EF8" w:rsidRPr="00A26E08">
        <w:rPr>
          <w:rFonts w:ascii="TimesNewRomanPSMT" w:hAnsi="TimesNewRomanPSMT" w:cs="TimesNewRomanPSMT"/>
          <w:color w:val="000000"/>
          <w:sz w:val="24"/>
          <w:szCs w:val="24"/>
        </w:rPr>
        <w:t>as propiedades psicométricas</w:t>
      </w:r>
      <w:r w:rsidR="00E92D91" w:rsidRPr="00A26E08">
        <w:rPr>
          <w:rFonts w:ascii="TimesNewRomanPSMT" w:hAnsi="TimesNewRomanPSMT" w:cs="TimesNewRomanPSMT"/>
          <w:color w:val="000000"/>
          <w:sz w:val="24"/>
          <w:szCs w:val="24"/>
        </w:rPr>
        <w:t xml:space="preserve"> de la PAAB</w:t>
      </w:r>
      <w:r w:rsidRPr="00A26E08">
        <w:rPr>
          <w:rFonts w:ascii="TimesNewRomanPSMT" w:hAnsi="TimesNewRomanPSMT" w:cs="TimesNewRomanPSMT"/>
          <w:color w:val="000000"/>
          <w:sz w:val="24"/>
          <w:szCs w:val="24"/>
        </w:rPr>
        <w:t xml:space="preserve"> </w:t>
      </w:r>
      <w:r w:rsidR="00E92D91" w:rsidRPr="00A26E08">
        <w:rPr>
          <w:rFonts w:ascii="TimesNewRomanPSMT" w:hAnsi="TimesNewRomanPSMT" w:cs="TimesNewRomanPSMT"/>
          <w:color w:val="000000"/>
          <w:sz w:val="24"/>
          <w:szCs w:val="24"/>
        </w:rPr>
        <w:t>fueron debidamente examinad</w:t>
      </w:r>
      <w:r w:rsidR="00FE3EF8" w:rsidRPr="00A26E08">
        <w:rPr>
          <w:rFonts w:ascii="TimesNewRomanPSMT" w:hAnsi="TimesNewRomanPSMT" w:cs="TimesNewRomanPSMT"/>
          <w:color w:val="000000"/>
          <w:sz w:val="24"/>
          <w:szCs w:val="24"/>
        </w:rPr>
        <w:t>a</w:t>
      </w:r>
      <w:r w:rsidR="00E92D91" w:rsidRPr="00A26E08">
        <w:rPr>
          <w:rFonts w:ascii="TimesNewRomanPSMT" w:hAnsi="TimesNewRomanPSMT" w:cs="TimesNewRomanPSMT"/>
          <w:color w:val="000000"/>
          <w:sz w:val="24"/>
          <w:szCs w:val="24"/>
        </w:rPr>
        <w:t xml:space="preserve">s (DeVellis, 2017) para su aplicación con boxeadores cubanos de alto </w:t>
      </w:r>
      <w:r w:rsidR="00E92D91" w:rsidRPr="00A26E08">
        <w:rPr>
          <w:rFonts w:ascii="TimesNewRomanPSMT" w:hAnsi="TimesNewRomanPSMT" w:cs="TimesNewRomanPSMT"/>
          <w:i/>
          <w:color w:val="000000"/>
          <w:sz w:val="24"/>
          <w:szCs w:val="24"/>
        </w:rPr>
        <w:t>performance</w:t>
      </w:r>
      <w:r w:rsidRPr="00A26E08">
        <w:rPr>
          <w:rFonts w:ascii="TimesNewRomanPSMT" w:hAnsi="TimesNewRomanPSMT" w:cs="TimesNewRomanPSMT"/>
          <w:color w:val="000000"/>
          <w:sz w:val="24"/>
          <w:szCs w:val="24"/>
        </w:rPr>
        <w:t xml:space="preserve">. </w:t>
      </w:r>
    </w:p>
    <w:p w:rsidR="007640BB" w:rsidRPr="00A26E08" w:rsidRDefault="007640BB" w:rsidP="0012124A">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sidRPr="00A26E08">
        <w:rPr>
          <w:rFonts w:ascii="TimesNewRomanPS-BoldMT" w:hAnsi="TimesNewRomanPS-BoldMT" w:cs="TimesNewRomanPS-BoldMT"/>
          <w:b/>
          <w:bCs/>
          <w:color w:val="000000"/>
          <w:sz w:val="24"/>
          <w:szCs w:val="24"/>
        </w:rPr>
        <w:t>MÉTODO</w:t>
      </w:r>
    </w:p>
    <w:p w:rsidR="007640BB" w:rsidRPr="0012124A" w:rsidRDefault="007640BB" w:rsidP="0084774F">
      <w:pPr>
        <w:autoSpaceDE w:val="0"/>
        <w:autoSpaceDN w:val="0"/>
        <w:adjustRightInd w:val="0"/>
        <w:spacing w:after="0" w:line="240" w:lineRule="auto"/>
        <w:jc w:val="both"/>
        <w:rPr>
          <w:rFonts w:ascii="TimesNewRomanPS-ItalicMT" w:hAnsi="TimesNewRomanPS-ItalicMT" w:cs="TimesNewRomanPS-ItalicMT"/>
          <w:b/>
          <w:iCs/>
          <w:color w:val="000000"/>
          <w:sz w:val="24"/>
          <w:szCs w:val="24"/>
        </w:rPr>
      </w:pPr>
      <w:r w:rsidRPr="0012124A">
        <w:rPr>
          <w:rFonts w:ascii="TimesNewRomanPS-ItalicMT" w:hAnsi="TimesNewRomanPS-ItalicMT" w:cs="TimesNewRomanPS-ItalicMT"/>
          <w:b/>
          <w:iCs/>
          <w:color w:val="000000"/>
          <w:sz w:val="24"/>
          <w:szCs w:val="24"/>
        </w:rPr>
        <w:t>Participantes</w:t>
      </w:r>
    </w:p>
    <w:p w:rsidR="00656B5A" w:rsidRPr="00A26E08" w:rsidRDefault="00656B5A"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El universo de estudio lo componen los 36 boxeadores que integran la preselección nacional cubana de este deporte. Se seleccionó una muestra intencional de casos extremos opuestos (Hernández, Fernández, y Baptista, 201</w:t>
      </w:r>
      <w:r w:rsidR="00B85F94" w:rsidRPr="00A26E08">
        <w:rPr>
          <w:rFonts w:ascii="TimesNewRomanPSMT" w:hAnsi="TimesNewRomanPSMT" w:cs="TimesNewRomanPSMT"/>
          <w:color w:val="000000"/>
          <w:sz w:val="24"/>
          <w:szCs w:val="24"/>
        </w:rPr>
        <w:t>4</w:t>
      </w:r>
      <w:r w:rsidRPr="00A26E08">
        <w:rPr>
          <w:rFonts w:ascii="TimesNewRomanPSMT" w:hAnsi="TimesNewRomanPSMT" w:cs="TimesNewRomanPSMT"/>
          <w:color w:val="000000"/>
          <w:sz w:val="24"/>
          <w:szCs w:val="24"/>
        </w:rPr>
        <w:t>) de la variable rendimiento deportivo, o muestra bipolar de rendimiento. Se trata de los mejores boxeadores y de sus homólogos menos destacados del equipo.</w:t>
      </w:r>
      <w:r w:rsidR="000C00FA" w:rsidRPr="00A26E08">
        <w:rPr>
          <w:rFonts w:ascii="TimesNewRomanPSMT" w:hAnsi="TimesNewRomanPSMT" w:cs="TimesNewRomanPSMT"/>
          <w:color w:val="000000"/>
          <w:sz w:val="24"/>
          <w:szCs w:val="24"/>
        </w:rPr>
        <w:t xml:space="preserve"> </w:t>
      </w:r>
      <w:r w:rsidR="007640BB" w:rsidRPr="00A26E08">
        <w:rPr>
          <w:rFonts w:ascii="TimesNewRomanPSMT" w:hAnsi="TimesNewRomanPSMT" w:cs="TimesNewRomanPSMT"/>
          <w:color w:val="000000"/>
          <w:sz w:val="24"/>
          <w:szCs w:val="24"/>
        </w:rPr>
        <w:t xml:space="preserve">Participaron del estudio </w:t>
      </w:r>
      <w:r w:rsidRPr="00A26E08">
        <w:rPr>
          <w:rFonts w:ascii="TimesNewRomanPSMT" w:hAnsi="TimesNewRomanPSMT" w:cs="TimesNewRomanPSMT"/>
          <w:color w:val="000000"/>
          <w:sz w:val="24"/>
          <w:szCs w:val="24"/>
        </w:rPr>
        <w:t xml:space="preserve">29 boxeadores de sexo masculino, divididos en dos grupos: 10 atletas </w:t>
      </w:r>
      <w:r w:rsidRPr="00A26E08">
        <w:rPr>
          <w:rFonts w:ascii="TimesNewRomanPSMT" w:hAnsi="TimesNewRomanPSMT" w:cs="TimesNewRomanPSMT"/>
          <w:i/>
          <w:color w:val="000000"/>
          <w:sz w:val="24"/>
          <w:szCs w:val="24"/>
        </w:rPr>
        <w:t>destacados</w:t>
      </w:r>
      <w:r w:rsidRPr="00A26E08">
        <w:rPr>
          <w:rFonts w:ascii="TimesNewRomanPSMT" w:hAnsi="TimesNewRomanPSMT" w:cs="TimesNewRomanPSMT"/>
          <w:color w:val="000000"/>
          <w:sz w:val="24"/>
          <w:szCs w:val="24"/>
        </w:rPr>
        <w:t xml:space="preserve"> (un representante por</w:t>
      </w:r>
      <w:r w:rsidR="00426182">
        <w:rPr>
          <w:rFonts w:ascii="TimesNewRomanPSMT" w:hAnsi="TimesNewRomanPSMT" w:cs="TimesNewRomanPSMT"/>
          <w:color w:val="000000"/>
          <w:sz w:val="24"/>
          <w:szCs w:val="24"/>
        </w:rPr>
        <w:t xml:space="preserve"> cada una de las 10</w:t>
      </w:r>
      <w:r w:rsidRPr="00A26E08">
        <w:rPr>
          <w:rFonts w:ascii="TimesNewRomanPSMT" w:hAnsi="TimesNewRomanPSMT" w:cs="TimesNewRomanPSMT"/>
          <w:color w:val="000000"/>
          <w:sz w:val="24"/>
          <w:szCs w:val="24"/>
        </w:rPr>
        <w:t xml:space="preserve"> categoría</w:t>
      </w:r>
      <w:r w:rsidR="00426182">
        <w:rPr>
          <w:rFonts w:ascii="TimesNewRomanPSMT" w:hAnsi="TimesNewRomanPSMT" w:cs="TimesNewRomanPSMT"/>
          <w:color w:val="000000"/>
          <w:sz w:val="24"/>
          <w:szCs w:val="24"/>
        </w:rPr>
        <w:t>s</w:t>
      </w:r>
      <w:r w:rsidRPr="00A26E08">
        <w:rPr>
          <w:rFonts w:ascii="TimesNewRomanPSMT" w:hAnsi="TimesNewRomanPSMT" w:cs="TimesNewRomanPSMT"/>
          <w:color w:val="000000"/>
          <w:sz w:val="24"/>
          <w:szCs w:val="24"/>
        </w:rPr>
        <w:t xml:space="preserve"> de peso corporal) y 19 </w:t>
      </w:r>
      <w:r w:rsidRPr="00A26E08">
        <w:rPr>
          <w:rFonts w:ascii="TimesNewRomanPSMT" w:hAnsi="TimesNewRomanPSMT" w:cs="TimesNewRomanPSMT"/>
          <w:i/>
          <w:color w:val="000000"/>
          <w:sz w:val="24"/>
          <w:szCs w:val="24"/>
        </w:rPr>
        <w:t>no destacados</w:t>
      </w:r>
      <w:r w:rsidRPr="00A26E08">
        <w:rPr>
          <w:rFonts w:ascii="TimesNewRomanPSMT" w:hAnsi="TimesNewRomanPSMT" w:cs="TimesNewRomanPSMT"/>
          <w:color w:val="000000"/>
          <w:sz w:val="24"/>
          <w:szCs w:val="24"/>
        </w:rPr>
        <w:t xml:space="preserve">. Cuentan con </w:t>
      </w:r>
      <w:r w:rsidR="000C00FA" w:rsidRPr="00A26E08">
        <w:rPr>
          <w:rFonts w:ascii="TimesNewRomanPSMT" w:hAnsi="TimesNewRomanPSMT" w:cs="TimesNewRomanPSMT"/>
          <w:color w:val="000000"/>
          <w:sz w:val="24"/>
          <w:szCs w:val="24"/>
        </w:rPr>
        <w:t xml:space="preserve">edades entre 19 y </w:t>
      </w:r>
      <w:r w:rsidR="00A54AB2" w:rsidRPr="00A26E08">
        <w:rPr>
          <w:rFonts w:ascii="TimesNewRomanPSMT" w:hAnsi="TimesNewRomanPSMT" w:cs="TimesNewRomanPSMT"/>
          <w:color w:val="000000"/>
          <w:sz w:val="24"/>
          <w:szCs w:val="24"/>
        </w:rPr>
        <w:t>28</w:t>
      </w:r>
      <w:r w:rsidR="000C00FA" w:rsidRPr="00A26E08">
        <w:rPr>
          <w:rFonts w:ascii="TimesNewRomanPSMT" w:hAnsi="TimesNewRomanPSMT" w:cs="TimesNewRomanPSMT"/>
          <w:color w:val="000000"/>
          <w:sz w:val="24"/>
          <w:szCs w:val="24"/>
        </w:rPr>
        <w:t xml:space="preserve"> años (e</w:t>
      </w:r>
      <w:r w:rsidRPr="00A26E08">
        <w:rPr>
          <w:rFonts w:ascii="TimesNewRomanPSMT" w:hAnsi="TimesNewRomanPSMT" w:cs="TimesNewRomanPSMT"/>
          <w:color w:val="000000"/>
          <w:sz w:val="24"/>
          <w:szCs w:val="24"/>
        </w:rPr>
        <w:t>dad</w:t>
      </w:r>
      <w:r w:rsidR="000C00FA" w:rsidRPr="00A26E08">
        <w:rPr>
          <w:rFonts w:ascii="TimesNewRomanPSMT" w:hAnsi="TimesNewRomanPSMT" w:cs="TimesNewRomanPSMT"/>
          <w:color w:val="000000"/>
          <w:sz w:val="24"/>
          <w:szCs w:val="24"/>
        </w:rPr>
        <w:t xml:space="preserve"> cronológica promedio</w:t>
      </w:r>
      <w:r w:rsidRPr="00A26E08">
        <w:rPr>
          <w:rFonts w:ascii="TimesNewRomanPSMT" w:hAnsi="TimesNewRomanPSMT" w:cs="TimesNewRomanPSMT"/>
          <w:color w:val="000000"/>
          <w:sz w:val="24"/>
          <w:szCs w:val="24"/>
        </w:rPr>
        <w:t xml:space="preserve"> de 24,</w:t>
      </w:r>
      <w:r w:rsidR="000C00FA" w:rsidRPr="00A26E08">
        <w:rPr>
          <w:rFonts w:ascii="TimesNewRomanPSMT" w:hAnsi="TimesNewRomanPSMT" w:cs="TimesNewRomanPSMT"/>
          <w:color w:val="000000"/>
          <w:sz w:val="24"/>
          <w:szCs w:val="24"/>
        </w:rPr>
        <w:t>5</w:t>
      </w:r>
      <w:r w:rsidRPr="00A26E08">
        <w:rPr>
          <w:rFonts w:ascii="TimesNewRomanPSMT" w:hAnsi="TimesNewRomanPSMT" w:cs="TimesNewRomanPSMT"/>
          <w:color w:val="000000"/>
          <w:sz w:val="24"/>
          <w:szCs w:val="24"/>
        </w:rPr>
        <w:t xml:space="preserve"> y </w:t>
      </w:r>
      <w:r w:rsidR="000C00FA" w:rsidRPr="00A26E08">
        <w:rPr>
          <w:rFonts w:ascii="TimesNewRomanPSMT" w:hAnsi="TimesNewRomanPSMT" w:cs="TimesNewRomanPSMT"/>
          <w:color w:val="000000"/>
          <w:sz w:val="24"/>
          <w:szCs w:val="24"/>
        </w:rPr>
        <w:t>edad deportiva promedio de 14</w:t>
      </w:r>
      <w:r w:rsidRPr="00A26E08">
        <w:rPr>
          <w:rFonts w:ascii="TimesNewRomanPSMT" w:hAnsi="TimesNewRomanPSMT" w:cs="TimesNewRomanPSMT"/>
          <w:color w:val="000000"/>
          <w:sz w:val="24"/>
          <w:szCs w:val="24"/>
        </w:rPr>
        <w:t>,</w:t>
      </w:r>
      <w:r w:rsidR="000C00FA" w:rsidRPr="00A26E08">
        <w:rPr>
          <w:rFonts w:ascii="TimesNewRomanPSMT" w:hAnsi="TimesNewRomanPSMT" w:cs="TimesNewRomanPSMT"/>
          <w:color w:val="000000"/>
          <w:sz w:val="24"/>
          <w:szCs w:val="24"/>
        </w:rPr>
        <w:t>05</w:t>
      </w:r>
      <w:r w:rsidRPr="00A26E08">
        <w:rPr>
          <w:rFonts w:ascii="TimesNewRomanPSMT" w:hAnsi="TimesNewRomanPSMT" w:cs="TimesNewRomanPSMT"/>
          <w:color w:val="000000"/>
          <w:sz w:val="24"/>
          <w:szCs w:val="24"/>
        </w:rPr>
        <w:t xml:space="preserve"> años</w:t>
      </w:r>
      <w:r w:rsidR="000C00FA" w:rsidRPr="00A26E08">
        <w:rPr>
          <w:rFonts w:ascii="TimesNewRomanPSMT" w:hAnsi="TimesNewRomanPSMT" w:cs="TimesNewRomanPSMT"/>
          <w:color w:val="000000"/>
          <w:sz w:val="24"/>
          <w:szCs w:val="24"/>
        </w:rPr>
        <w:t>)</w:t>
      </w:r>
      <w:r w:rsidRPr="00A26E08">
        <w:rPr>
          <w:rFonts w:ascii="TimesNewRomanPSMT" w:hAnsi="TimesNewRomanPSMT" w:cs="TimesNewRomanPSMT"/>
          <w:color w:val="000000"/>
          <w:sz w:val="24"/>
          <w:szCs w:val="24"/>
        </w:rPr>
        <w:t xml:space="preserve">. </w:t>
      </w:r>
      <w:r w:rsidR="000C71BD">
        <w:rPr>
          <w:rFonts w:ascii="TimesNewRomanPSMT" w:hAnsi="TimesNewRomanPSMT" w:cs="TimesNewRomanPSMT"/>
          <w:color w:val="000000"/>
          <w:sz w:val="24"/>
          <w:szCs w:val="24"/>
        </w:rPr>
        <w:t xml:space="preserve">Representan a doce de las catorce </w:t>
      </w:r>
      <w:r w:rsidRPr="00A26E08">
        <w:rPr>
          <w:rFonts w:ascii="TimesNewRomanPSMT" w:hAnsi="TimesNewRomanPSMT" w:cs="TimesNewRomanPSMT"/>
          <w:color w:val="000000"/>
          <w:sz w:val="24"/>
          <w:szCs w:val="24"/>
        </w:rPr>
        <w:t xml:space="preserve">provincias </w:t>
      </w:r>
      <w:r w:rsidR="000C71BD">
        <w:rPr>
          <w:rFonts w:ascii="TimesNewRomanPSMT" w:hAnsi="TimesNewRomanPSMT" w:cs="TimesNewRomanPSMT"/>
          <w:color w:val="000000"/>
          <w:sz w:val="24"/>
          <w:szCs w:val="24"/>
        </w:rPr>
        <w:t>cubanas</w:t>
      </w:r>
      <w:r w:rsidR="009179DA" w:rsidRPr="00A26E08">
        <w:rPr>
          <w:rFonts w:ascii="TimesNewRomanPSMT" w:hAnsi="TimesNewRomanPSMT" w:cs="TimesNewRomanPSMT"/>
          <w:color w:val="000000"/>
          <w:sz w:val="24"/>
          <w:szCs w:val="24"/>
        </w:rPr>
        <w:t>.</w:t>
      </w:r>
      <w:r w:rsidRPr="00A26E08">
        <w:rPr>
          <w:rFonts w:ascii="TimesNewRomanPSMT" w:hAnsi="TimesNewRomanPSMT" w:cs="TimesNewRomanPSMT"/>
          <w:color w:val="000000"/>
          <w:sz w:val="24"/>
          <w:szCs w:val="24"/>
        </w:rPr>
        <w:t xml:space="preserve"> </w:t>
      </w:r>
    </w:p>
    <w:p w:rsidR="00E02A06" w:rsidRPr="00A26E08" w:rsidRDefault="00426182"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A varios de los participantes destacados, quienes son los mismos en todas las evaluaciones de la investigación, corresponde más de un homólogo no destacado, durante </w:t>
      </w:r>
      <w:r w:rsidRPr="00A26E08">
        <w:rPr>
          <w:rFonts w:ascii="TimesNewRomanPSMT" w:hAnsi="TimesNewRomanPSMT" w:cs="TimesNewRomanPSMT"/>
          <w:color w:val="000000"/>
          <w:sz w:val="24"/>
          <w:szCs w:val="24"/>
        </w:rPr>
        <w:lastRenderedPageBreak/>
        <w:t xml:space="preserve">los cuatro años de la recogida de los datos. </w:t>
      </w:r>
      <w:r w:rsidR="000A0EA8" w:rsidRPr="00A26E08">
        <w:rPr>
          <w:rFonts w:ascii="TimesNewRomanPSMT" w:hAnsi="TimesNewRomanPSMT" w:cs="TimesNewRomanPSMT"/>
          <w:color w:val="000000"/>
          <w:sz w:val="24"/>
          <w:szCs w:val="24"/>
        </w:rPr>
        <w:t xml:space="preserve">El grupo de los </w:t>
      </w:r>
      <w:r w:rsidR="000A0EA8" w:rsidRPr="00A26E08">
        <w:rPr>
          <w:rFonts w:ascii="TimesNewRomanPSMT" w:hAnsi="TimesNewRomanPSMT" w:cs="TimesNewRomanPSMT"/>
          <w:i/>
          <w:color w:val="000000"/>
          <w:sz w:val="24"/>
          <w:szCs w:val="24"/>
        </w:rPr>
        <w:t>no destacados</w:t>
      </w:r>
      <w:r w:rsidR="00656B5A" w:rsidRPr="00A26E08">
        <w:rPr>
          <w:rFonts w:ascii="TimesNewRomanPSMT" w:hAnsi="TimesNewRomanPSMT" w:cs="TimesNewRomanPSMT"/>
          <w:color w:val="000000"/>
          <w:sz w:val="24"/>
          <w:szCs w:val="24"/>
        </w:rPr>
        <w:t xml:space="preserve"> sufrió mayor oscilación de sus participantes, al tratarse de los boxeadores menos aventajados</w:t>
      </w:r>
      <w:r w:rsidR="000A0EA8" w:rsidRPr="00A26E08">
        <w:rPr>
          <w:rFonts w:ascii="TimesNewRomanPSMT" w:hAnsi="TimesNewRomanPSMT" w:cs="TimesNewRomanPSMT"/>
          <w:color w:val="000000"/>
          <w:sz w:val="24"/>
          <w:szCs w:val="24"/>
        </w:rPr>
        <w:t xml:space="preserve"> </w:t>
      </w:r>
      <w:r w:rsidR="00A54AB2" w:rsidRPr="00A26E08">
        <w:rPr>
          <w:rFonts w:ascii="TimesNewRomanPSMT" w:hAnsi="TimesNewRomanPSMT" w:cs="TimesNewRomanPSMT"/>
          <w:color w:val="000000"/>
          <w:sz w:val="24"/>
          <w:szCs w:val="24"/>
        </w:rPr>
        <w:t>de la selección</w:t>
      </w:r>
      <w:r w:rsidR="007768F9" w:rsidRPr="00A26E08">
        <w:rPr>
          <w:rFonts w:ascii="TimesNewRomanPSMT" w:hAnsi="TimesNewRomanPSMT" w:cs="TimesNewRomanPSMT"/>
          <w:color w:val="000000"/>
          <w:sz w:val="24"/>
          <w:szCs w:val="24"/>
        </w:rPr>
        <w:t xml:space="preserve"> </w:t>
      </w:r>
      <w:r w:rsidR="000A0EA8" w:rsidRPr="00A26E08">
        <w:rPr>
          <w:rFonts w:ascii="TimesNewRomanPSMT" w:hAnsi="TimesNewRomanPSMT" w:cs="TimesNewRomanPSMT"/>
          <w:color w:val="000000"/>
          <w:sz w:val="24"/>
          <w:szCs w:val="24"/>
        </w:rPr>
        <w:t>nacional</w:t>
      </w:r>
      <w:r w:rsidR="00656B5A" w:rsidRPr="00A26E08">
        <w:rPr>
          <w:rFonts w:ascii="TimesNewRomanPSMT" w:hAnsi="TimesNewRomanPSMT" w:cs="TimesNewRomanPSMT"/>
          <w:color w:val="000000"/>
          <w:sz w:val="24"/>
          <w:szCs w:val="24"/>
        </w:rPr>
        <w:t>, quienes fueron sustituidos por otros con mayor potencial en un proceso de renovación semestral de la matrícula del equipo. Necesariamente variaron algunos boxeadores, pero fueron incorporados otros que cumplían exactamente la misma condición para pertenecer al grupo</w:t>
      </w:r>
      <w:r w:rsidR="00E02A06" w:rsidRPr="00A26E08">
        <w:rPr>
          <w:rFonts w:ascii="TimesNewRomanPSMT" w:hAnsi="TimesNewRomanPSMT" w:cs="TimesNewRomanPSMT"/>
          <w:color w:val="000000"/>
          <w:sz w:val="24"/>
          <w:szCs w:val="24"/>
        </w:rPr>
        <w:t>, teniendo en cuenta que se utilizó un diseño no experimental longitudinal de panel (Hernández, Fernández, y Baptista, 201</w:t>
      </w:r>
      <w:r w:rsidR="00B85F94" w:rsidRPr="00A26E08">
        <w:rPr>
          <w:rFonts w:ascii="TimesNewRomanPSMT" w:hAnsi="TimesNewRomanPSMT" w:cs="TimesNewRomanPSMT"/>
          <w:color w:val="000000"/>
          <w:sz w:val="24"/>
          <w:szCs w:val="24"/>
        </w:rPr>
        <w:t>4</w:t>
      </w:r>
      <w:r w:rsidR="00E02A06" w:rsidRPr="00A26E08">
        <w:rPr>
          <w:rFonts w:ascii="TimesNewRomanPSMT" w:hAnsi="TimesNewRomanPSMT" w:cs="TimesNewRomanPSMT"/>
          <w:color w:val="000000"/>
          <w:sz w:val="24"/>
          <w:szCs w:val="24"/>
        </w:rPr>
        <w:t xml:space="preserve">). </w:t>
      </w:r>
    </w:p>
    <w:p w:rsidR="007640BB" w:rsidRPr="0012124A" w:rsidRDefault="000A0EA8" w:rsidP="0084774F">
      <w:pPr>
        <w:autoSpaceDE w:val="0"/>
        <w:autoSpaceDN w:val="0"/>
        <w:adjustRightInd w:val="0"/>
        <w:spacing w:after="0" w:line="240" w:lineRule="auto"/>
        <w:jc w:val="both"/>
        <w:rPr>
          <w:rFonts w:ascii="TimesNewRomanPS-ItalicMT" w:hAnsi="TimesNewRomanPS-ItalicMT" w:cs="TimesNewRomanPS-ItalicMT"/>
          <w:b/>
          <w:i/>
          <w:iCs/>
          <w:color w:val="000000"/>
          <w:sz w:val="24"/>
          <w:szCs w:val="24"/>
        </w:rPr>
      </w:pPr>
      <w:r w:rsidRPr="0012124A">
        <w:rPr>
          <w:rFonts w:ascii="TimesNewRomanPS-ItalicMT" w:hAnsi="TimesNewRomanPS-ItalicMT" w:cs="TimesNewRomanPS-ItalicMT"/>
          <w:b/>
          <w:i/>
          <w:iCs/>
          <w:color w:val="000000"/>
          <w:sz w:val="24"/>
          <w:szCs w:val="24"/>
        </w:rPr>
        <w:t>Diseño de la PAAB</w:t>
      </w:r>
    </w:p>
    <w:p w:rsidR="000A0EA8" w:rsidRPr="00A26E08" w:rsidRDefault="000A0EA8"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Un estudio piloto fue realizado para administrar la PAAB a los boxeadores, para someter a revisión la consigna, las condiciones de prueba, los procedimientos y los roles de los evaluadores participantes (González, 201</w:t>
      </w:r>
      <w:r w:rsidR="00E35D91" w:rsidRPr="00A26E08">
        <w:rPr>
          <w:rFonts w:ascii="TimesNewRomanPSMT" w:hAnsi="TimesNewRomanPSMT" w:cs="TimesNewRomanPSMT"/>
          <w:color w:val="000000"/>
          <w:sz w:val="24"/>
          <w:szCs w:val="24"/>
        </w:rPr>
        <w:t>6</w:t>
      </w:r>
      <w:r w:rsidRPr="00A26E08">
        <w:rPr>
          <w:rFonts w:ascii="TimesNewRomanPSMT" w:hAnsi="TimesNewRomanPSMT" w:cs="TimesNewRomanPSMT"/>
          <w:color w:val="000000"/>
          <w:sz w:val="24"/>
          <w:szCs w:val="24"/>
        </w:rPr>
        <w:t>; Hernández, Fernández, y Baptista, 201</w:t>
      </w:r>
      <w:r w:rsidR="00B85F94" w:rsidRPr="00A26E08">
        <w:rPr>
          <w:rFonts w:ascii="TimesNewRomanPSMT" w:hAnsi="TimesNewRomanPSMT" w:cs="TimesNewRomanPSMT"/>
          <w:color w:val="000000"/>
          <w:sz w:val="24"/>
          <w:szCs w:val="24"/>
        </w:rPr>
        <w:t>4) y se concluyó el diseño secuencial de la PAAB en tres fases</w:t>
      </w:r>
      <w:r w:rsidRPr="00A26E08">
        <w:rPr>
          <w:rFonts w:ascii="TimesNewRomanPSMT" w:hAnsi="TimesNewRomanPSMT" w:cs="TimesNewRomanPSMT"/>
          <w:color w:val="000000"/>
          <w:sz w:val="24"/>
          <w:szCs w:val="24"/>
        </w:rPr>
        <w:t xml:space="preserve">. Esta aplicación comprobó si los boxeadores comprendían las instrucciones para dar respuesta a la prueba y </w:t>
      </w:r>
      <w:r w:rsidR="00546881" w:rsidRPr="00A26E08">
        <w:rPr>
          <w:rFonts w:ascii="TimesNewRomanPSMT" w:hAnsi="TimesNewRomanPSMT" w:cs="TimesNewRomanPSMT"/>
          <w:color w:val="000000"/>
          <w:sz w:val="24"/>
          <w:szCs w:val="24"/>
        </w:rPr>
        <w:t>la</w:t>
      </w:r>
      <w:r w:rsidRPr="00A26E08">
        <w:rPr>
          <w:rFonts w:ascii="TimesNewRomanPSMT" w:hAnsi="TimesNewRomanPSMT" w:cs="TimesNewRomanPSMT"/>
          <w:color w:val="000000"/>
          <w:sz w:val="24"/>
          <w:szCs w:val="24"/>
        </w:rPr>
        <w:t xml:space="preserve"> forma en que estaban redactadas las escalas. Para este pilotaje fueron </w:t>
      </w:r>
      <w:r w:rsidR="00E32FCB" w:rsidRPr="00A26E08">
        <w:rPr>
          <w:rFonts w:ascii="TimesNewRomanPSMT" w:hAnsi="TimesNewRomanPSMT" w:cs="TimesNewRomanPSMT"/>
          <w:color w:val="000000"/>
          <w:sz w:val="24"/>
          <w:szCs w:val="24"/>
        </w:rPr>
        <w:t>reclutados</w:t>
      </w:r>
      <w:r w:rsidRPr="00A26E08">
        <w:rPr>
          <w:rFonts w:ascii="TimesNewRomanPSMT" w:hAnsi="TimesNewRomanPSMT" w:cs="TimesNewRomanPSMT"/>
          <w:color w:val="000000"/>
          <w:sz w:val="24"/>
          <w:szCs w:val="24"/>
        </w:rPr>
        <w:t xml:space="preserve"> al azar 25 boxeadores (universo compuesto por 36 miembros del equipo nacional) del sexo masculino, con una media de edad 23,4 años y 13,5 años de vida deportiva. Participaron, además, </w:t>
      </w:r>
      <w:r w:rsidR="00D51055">
        <w:rPr>
          <w:rFonts w:ascii="TimesNewRomanPSMT" w:hAnsi="TimesNewRomanPSMT" w:cs="TimesNewRomanPSMT"/>
          <w:color w:val="000000"/>
          <w:sz w:val="24"/>
          <w:szCs w:val="24"/>
        </w:rPr>
        <w:t>8</w:t>
      </w:r>
      <w:r w:rsidRPr="00A26E08">
        <w:rPr>
          <w:rFonts w:ascii="TimesNewRomanPSMT" w:hAnsi="TimesNewRomanPSMT" w:cs="TimesNewRomanPSMT"/>
          <w:color w:val="000000"/>
          <w:sz w:val="24"/>
          <w:szCs w:val="24"/>
        </w:rPr>
        <w:t xml:space="preserve"> entrenadores, el jefe del colectivo técnico nacional y el jefe de la comisión técnica, en el rol de expertos del deporte.</w:t>
      </w:r>
    </w:p>
    <w:p w:rsidR="000A0EA8" w:rsidRPr="00A26E08" w:rsidRDefault="000A0EA8"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Los participantes fueron evaluados durante los años 2011 y 2012, en cada mesociclo de entrenamiento de los períodos preparatorios para el Campeonato Mundial de Bakú y Juegos Olímpicos de Londres, respectivamente. La PAAB se aplicó en las sesiones planificadas de ELCG de tres asaltos cada uno. Se determinó </w:t>
      </w:r>
      <w:r w:rsidR="00E32FCB" w:rsidRPr="00A26E08">
        <w:rPr>
          <w:rFonts w:ascii="TimesNewRomanPSMT" w:hAnsi="TimesNewRomanPSMT" w:cs="TimesNewRomanPSMT"/>
          <w:color w:val="000000"/>
          <w:sz w:val="24"/>
          <w:szCs w:val="24"/>
        </w:rPr>
        <w:t xml:space="preserve">que </w:t>
      </w:r>
      <w:r w:rsidRPr="00A26E08">
        <w:rPr>
          <w:rFonts w:ascii="TimesNewRomanPSMT" w:hAnsi="TimesNewRomanPSMT" w:cs="TimesNewRomanPSMT"/>
          <w:color w:val="000000"/>
          <w:sz w:val="24"/>
          <w:szCs w:val="24"/>
        </w:rPr>
        <w:t xml:space="preserve">el contenido evaluativo de la </w:t>
      </w:r>
      <w:r w:rsidR="00E32FCB" w:rsidRPr="00A26E08">
        <w:rPr>
          <w:rFonts w:ascii="TimesNewRomanPSMT" w:hAnsi="TimesNewRomanPSMT" w:cs="TimesNewRomanPSMT"/>
          <w:color w:val="000000"/>
          <w:sz w:val="24"/>
          <w:szCs w:val="24"/>
        </w:rPr>
        <w:t>PAAB fuese el desempeño táctico de los púgiles</w:t>
      </w:r>
      <w:r w:rsidRPr="00A26E08">
        <w:rPr>
          <w:rFonts w:ascii="TimesNewRomanPSMT" w:hAnsi="TimesNewRomanPSMT" w:cs="TimesNewRomanPSMT"/>
          <w:color w:val="000000"/>
          <w:sz w:val="24"/>
          <w:szCs w:val="24"/>
        </w:rPr>
        <w:t xml:space="preserve">, se </w:t>
      </w:r>
      <w:r w:rsidR="00E32FCB" w:rsidRPr="00A26E08">
        <w:rPr>
          <w:rFonts w:ascii="TimesNewRomanPSMT" w:hAnsi="TimesNewRomanPSMT" w:cs="TimesNewRomanPSMT"/>
          <w:color w:val="000000"/>
          <w:sz w:val="24"/>
          <w:szCs w:val="24"/>
        </w:rPr>
        <w:t>estableció</w:t>
      </w:r>
      <w:r w:rsidRPr="00A26E08">
        <w:rPr>
          <w:rFonts w:ascii="TimesNewRomanPSMT" w:hAnsi="TimesNewRomanPSMT" w:cs="TimesNewRomanPSMT"/>
          <w:color w:val="000000"/>
          <w:sz w:val="24"/>
          <w:szCs w:val="24"/>
        </w:rPr>
        <w:t xml:space="preserve"> la consigna</w:t>
      </w:r>
      <w:r w:rsidR="00B85F94" w:rsidRPr="00A26E08">
        <w:rPr>
          <w:rFonts w:ascii="TimesNewRomanPSMT" w:hAnsi="TimesNewRomanPSMT" w:cs="TimesNewRomanPSMT"/>
          <w:color w:val="000000"/>
          <w:sz w:val="24"/>
          <w:szCs w:val="24"/>
        </w:rPr>
        <w:t xml:space="preserve"> y</w:t>
      </w:r>
      <w:r w:rsidRPr="00A26E08">
        <w:rPr>
          <w:rFonts w:ascii="TimesNewRomanPSMT" w:hAnsi="TimesNewRomanPSMT" w:cs="TimesNewRomanPSMT"/>
          <w:color w:val="000000"/>
          <w:sz w:val="24"/>
          <w:szCs w:val="24"/>
        </w:rPr>
        <w:t xml:space="preserve"> la variable relacionada con el estado físico</w:t>
      </w:r>
      <w:r w:rsidR="00D51055">
        <w:rPr>
          <w:rFonts w:ascii="TimesNewRomanPSMT" w:hAnsi="TimesNewRomanPSMT" w:cs="TimesNewRomanPSMT"/>
          <w:color w:val="000000"/>
          <w:sz w:val="24"/>
          <w:szCs w:val="24"/>
        </w:rPr>
        <w:t>, y se determinó el procedimiento de aplicación.</w:t>
      </w:r>
      <w:r w:rsidR="00E32FCB" w:rsidRPr="00A26E08">
        <w:rPr>
          <w:rFonts w:ascii="TimesNewRomanPSMT" w:hAnsi="TimesNewRomanPSMT" w:cs="TimesNewRomanPSMT"/>
          <w:color w:val="000000"/>
          <w:sz w:val="24"/>
          <w:szCs w:val="24"/>
        </w:rPr>
        <w:t xml:space="preserve"> </w:t>
      </w:r>
    </w:p>
    <w:p w:rsidR="007640BB" w:rsidRPr="0012124A" w:rsidRDefault="007640BB" w:rsidP="0084774F">
      <w:pPr>
        <w:autoSpaceDE w:val="0"/>
        <w:autoSpaceDN w:val="0"/>
        <w:adjustRightInd w:val="0"/>
        <w:spacing w:after="0" w:line="240" w:lineRule="auto"/>
        <w:jc w:val="both"/>
        <w:rPr>
          <w:rFonts w:ascii="TimesNewRomanPS-ItalicMT" w:hAnsi="TimesNewRomanPS-ItalicMT" w:cs="TimesNewRomanPS-ItalicMT"/>
          <w:b/>
          <w:iCs/>
          <w:color w:val="000000"/>
          <w:sz w:val="24"/>
          <w:szCs w:val="24"/>
        </w:rPr>
      </w:pPr>
      <w:r w:rsidRPr="0012124A">
        <w:rPr>
          <w:rFonts w:ascii="TimesNewRomanPS-ItalicMT" w:hAnsi="TimesNewRomanPS-ItalicMT" w:cs="TimesNewRomanPS-ItalicMT"/>
          <w:b/>
          <w:iCs/>
          <w:color w:val="000000"/>
          <w:sz w:val="24"/>
          <w:szCs w:val="24"/>
        </w:rPr>
        <w:t>Procedimiento</w:t>
      </w:r>
    </w:p>
    <w:p w:rsidR="00E32FCB" w:rsidRPr="00A26E08" w:rsidRDefault="007640BB"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El presente estudio </w:t>
      </w:r>
      <w:r w:rsidR="00E32FCB" w:rsidRPr="00A26E08">
        <w:rPr>
          <w:rFonts w:ascii="TimesNewRomanPSMT" w:hAnsi="TimesNewRomanPSMT" w:cs="TimesNewRomanPSMT"/>
          <w:color w:val="000000"/>
          <w:sz w:val="24"/>
          <w:szCs w:val="24"/>
        </w:rPr>
        <w:t xml:space="preserve">proporcionó la información suficiente sobre sus procedimientos y objetivos a los participantes potenciales, con lo cual </w:t>
      </w:r>
      <w:r w:rsidRPr="00A26E08">
        <w:rPr>
          <w:rFonts w:ascii="TimesNewRomanPSMT" w:hAnsi="TimesNewRomanPSMT" w:cs="TimesNewRomanPSMT"/>
          <w:color w:val="000000"/>
          <w:sz w:val="24"/>
          <w:szCs w:val="24"/>
        </w:rPr>
        <w:t xml:space="preserve">recibió </w:t>
      </w:r>
      <w:r w:rsidR="00E32FCB" w:rsidRPr="00A26E08">
        <w:rPr>
          <w:rFonts w:ascii="TimesNewRomanPSMT" w:hAnsi="TimesNewRomanPSMT" w:cs="TimesNewRomanPSMT"/>
          <w:color w:val="000000"/>
          <w:sz w:val="24"/>
          <w:szCs w:val="24"/>
        </w:rPr>
        <w:t>el consentimiento informado</w:t>
      </w:r>
      <w:r w:rsidRPr="00A26E08">
        <w:rPr>
          <w:rFonts w:ascii="TimesNewRomanPSMT" w:hAnsi="TimesNewRomanPSMT" w:cs="TimesNewRomanPSMT"/>
          <w:color w:val="000000"/>
          <w:sz w:val="24"/>
          <w:szCs w:val="24"/>
        </w:rPr>
        <w:t xml:space="preserve"> de</w:t>
      </w:r>
      <w:r w:rsidR="00E32FCB" w:rsidRPr="00A26E08">
        <w:rPr>
          <w:rFonts w:ascii="TimesNewRomanPSMT" w:hAnsi="TimesNewRomanPSMT" w:cs="TimesNewRomanPSMT"/>
          <w:color w:val="000000"/>
          <w:sz w:val="24"/>
          <w:szCs w:val="24"/>
        </w:rPr>
        <w:t xml:space="preserve"> la Federación Cubana de Boxeo, jefe y miembros del</w:t>
      </w:r>
      <w:r w:rsidRPr="00A26E08">
        <w:rPr>
          <w:rFonts w:ascii="TimesNewRomanPSMT" w:hAnsi="TimesNewRomanPSMT" w:cs="TimesNewRomanPSMT"/>
          <w:color w:val="000000"/>
          <w:sz w:val="24"/>
          <w:szCs w:val="24"/>
        </w:rPr>
        <w:t xml:space="preserve"> </w:t>
      </w:r>
      <w:r w:rsidR="00E32FCB" w:rsidRPr="00A26E08">
        <w:rPr>
          <w:rFonts w:ascii="TimesNewRomanPSMT" w:hAnsi="TimesNewRomanPSMT" w:cs="TimesNewRomanPSMT"/>
          <w:color w:val="000000"/>
          <w:sz w:val="24"/>
          <w:szCs w:val="24"/>
        </w:rPr>
        <w:t xml:space="preserve">colectivo técnico nacional del deporte, y boxeadores del equipo nacional cubano. </w:t>
      </w:r>
    </w:p>
    <w:p w:rsidR="00E32FCB" w:rsidRPr="00A26E08" w:rsidRDefault="00E32FCB"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Las sesiones de evaluación se organizaron en tres momentos diferentes de recogida de los datos: al inicio (fase I), durante (fase II) y al final (fase III) del entrenamiento libre con guantes (ELCG). El ELCG es una actividad de entrenamiento del boxeo que reproduce con la mayor exactitud posible las condiciones de un combate competitivo, sin llegar a serlo. Se trata de una pelea de entrenamiento con tres o cinco asaltos, jueces para determinar un ganador, un árbitro sobre el ring, y presencia de público (en número variable); siendo objeto de evaluación del colectivo técnico, con fines de decidir -incluso- la participación en competencias internacionales de un boxeador. Por lo tanto, el ELCG reúne las exigencias típicas de la ejecución especial del boxeo, y garantiza la implicación motivacional del atleta. Durante esta actividad, la más cercana -en contenido y forma- a la competencia, fueron estudiadas las autovaloraciones parciales de rendimiento que toman parte en la regulación de las acciones combativas.</w:t>
      </w:r>
    </w:p>
    <w:p w:rsidR="00E32FCB" w:rsidRPr="00A26E08" w:rsidRDefault="00E32FCB"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La designación de expertos del deporte para valorar los contenidos ofensivos, defensivos y de contraataque, permitió establecer un criterio </w:t>
      </w:r>
      <w:r w:rsidR="005E4798" w:rsidRPr="00A26E08">
        <w:rPr>
          <w:rFonts w:ascii="TimesNewRomanPSMT" w:hAnsi="TimesNewRomanPSMT" w:cs="TimesNewRomanPSMT"/>
          <w:color w:val="000000"/>
          <w:sz w:val="24"/>
          <w:szCs w:val="24"/>
        </w:rPr>
        <w:t>de referencia</w:t>
      </w:r>
      <w:r w:rsidR="00145C80" w:rsidRPr="00A26E08">
        <w:rPr>
          <w:rFonts w:ascii="TimesNewRomanPSMT" w:hAnsi="TimesNewRomanPSMT" w:cs="TimesNewRomanPSMT"/>
          <w:color w:val="000000"/>
          <w:sz w:val="24"/>
          <w:szCs w:val="24"/>
        </w:rPr>
        <w:t>,</w:t>
      </w:r>
      <w:r w:rsidRPr="00A26E08">
        <w:rPr>
          <w:rFonts w:ascii="TimesNewRomanPSMT" w:hAnsi="TimesNewRomanPSMT" w:cs="TimesNewRomanPSMT"/>
          <w:color w:val="000000"/>
          <w:sz w:val="24"/>
          <w:szCs w:val="24"/>
        </w:rPr>
        <w:t xml:space="preserve"> “objetivo”</w:t>
      </w:r>
      <w:r w:rsidR="00145C80" w:rsidRPr="00A26E08">
        <w:rPr>
          <w:rFonts w:ascii="TimesNewRomanPSMT" w:hAnsi="TimesNewRomanPSMT" w:cs="TimesNewRomanPSMT"/>
          <w:color w:val="000000"/>
          <w:sz w:val="24"/>
          <w:szCs w:val="24"/>
        </w:rPr>
        <w:t>,</w:t>
      </w:r>
      <w:r w:rsidRPr="00A26E08">
        <w:rPr>
          <w:rFonts w:ascii="TimesNewRomanPSMT" w:hAnsi="TimesNewRomanPSMT" w:cs="TimesNewRomanPSMT"/>
          <w:color w:val="000000"/>
          <w:sz w:val="24"/>
          <w:szCs w:val="24"/>
        </w:rPr>
        <w:t xml:space="preserve"> para contrastar las autoevaluaciones de los boxeadores. Se minimizó en todo lo posible la contaminación de los datos con el factor subjetivo. </w:t>
      </w:r>
    </w:p>
    <w:p w:rsidR="00E32FCB" w:rsidRPr="00A26E08" w:rsidRDefault="00E32FCB"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En primer lugar, se logró que durante los años en que tuvo lugar la investigación el grupo de expertos designados fuese el mismo, integrado por tres entrenadores (incluyendo al jefe del colectivo técnico), un metodólogo nacional y el jefe de la comisión </w:t>
      </w:r>
      <w:r w:rsidRPr="00A26E08">
        <w:rPr>
          <w:rFonts w:ascii="TimesNewRomanPSMT" w:hAnsi="TimesNewRomanPSMT" w:cs="TimesNewRomanPSMT"/>
          <w:color w:val="000000"/>
          <w:sz w:val="24"/>
          <w:szCs w:val="24"/>
        </w:rPr>
        <w:lastRenderedPageBreak/>
        <w:t xml:space="preserve">técnica. Una segunda medida de control consistió en la exclusión del criterio de alguno de los entrenadores expertos, cuando el evaluado era su propio alumno. </w:t>
      </w:r>
    </w:p>
    <w:p w:rsidR="00E32FCB"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L</w:t>
      </w:r>
      <w:r w:rsidR="00E32FCB" w:rsidRPr="00A26E08">
        <w:rPr>
          <w:rFonts w:ascii="TimesNewRomanPSMT" w:hAnsi="TimesNewRomanPSMT" w:cs="TimesNewRomanPSMT"/>
          <w:color w:val="000000"/>
          <w:sz w:val="24"/>
          <w:szCs w:val="24"/>
        </w:rPr>
        <w:t>os criterios para seleccionar los expertos fueron tomados de Del Monte (2010): a) ser miembro de la dirección de alto rendimiento del INDER, b) ser jefe de entrenadores de la preselección nacional de boxeo, c) ser parte del colectivo técnico de la preselección nacional y graduado de la especialidad de boxeo. Se agregaron los requisitos d), haber trabajado en la formación de medallistas mundiales y olímpicos del deporte; e) experiencia de trabajo con la preselección nacional de quince años o más. De tal manera, se contó con niveles de calificación profesional y experiencia muy elevados en los expertos, garantizando una alta credibilidad de sus valoraciones.</w:t>
      </w:r>
    </w:p>
    <w:p w:rsidR="0012124A" w:rsidRDefault="0012124A" w:rsidP="0084774F">
      <w:pPr>
        <w:autoSpaceDE w:val="0"/>
        <w:autoSpaceDN w:val="0"/>
        <w:adjustRightInd w:val="0"/>
        <w:spacing w:after="0" w:line="240" w:lineRule="auto"/>
        <w:jc w:val="both"/>
        <w:rPr>
          <w:rFonts w:ascii="TimesNewRomanPSMT" w:hAnsi="TimesNewRomanPSMT" w:cs="TimesNewRomanPSMT"/>
          <w:color w:val="000000"/>
          <w:sz w:val="24"/>
          <w:szCs w:val="24"/>
        </w:rPr>
      </w:pPr>
    </w:p>
    <w:p w:rsidR="002324FE" w:rsidRPr="00A26E08" w:rsidRDefault="002324FE" w:rsidP="0084774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Fase I: Recogida de datos antes de la calistenia</w:t>
      </w:r>
      <w:r w:rsidR="002A3EE6" w:rsidRPr="00A26E08">
        <w:rPr>
          <w:rFonts w:ascii="TimesNewRomanPSMT" w:hAnsi="TimesNewRomanPSMT" w:cs="TimesNewRomanPSMT"/>
          <w:color w:val="000000"/>
          <w:sz w:val="24"/>
          <w:szCs w:val="24"/>
        </w:rPr>
        <w:t>.</w:t>
      </w:r>
    </w:p>
    <w:p w:rsidR="002324FE"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Las aplicaciones de PAAB comenzaron con la información que se le brindó a cada boxeador acerca del proceso de evaluación que estaba por comenzar y la solicitud de su consentimiento. A continuación, se les presentaron dos escalas Likert, una de estimación de la recuperación percibida con respecto a la sesión de entrenamiento anterior, y otra, de estimación de la disposición hacia la sesión que estaba a punto de comenzar. Con ello se identificaron estados físicos disminuidos antes de comenzar los ELCG, así como afectaciones en la disposición y actitud hacia ellos.</w:t>
      </w:r>
    </w:p>
    <w:p w:rsidR="002324FE"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a) Escala de recuperación percibida: consta de una escala Likert de cinco niveles donde 1 es “muy mala” recuperación, 2 es “mala”, 3 es “moderada”, 4 es “buena” y 5 es “muy buena” recuperación de la sesión anterior de entrenamiento.</w:t>
      </w:r>
    </w:p>
    <w:p w:rsidR="002324FE"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b) Escala de disposición percibida: consta de una escala Likert de cinco niveles donde 1 es “muy baja” disposición, 2 es “baja”, 3 es “moderada”, 4 es “alta” y 5 es “muy alta” disposición hacia el ELCG.</w:t>
      </w:r>
    </w:p>
    <w:p w:rsidR="002324FE"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La evaluación de los boxeadores en alguna de estas variables en nivel 3 o inferior a este, condujo a una indagación adicional en las que se expusieron posibles causas de carácter fisiológico o psicológico que explicaran el dato aportado, y sus resultados en esa sesión no fueron incorporados a la base de datos. Su aplicación se realizó de manera individual para cada boxeador antes de subir al ring y la obtención de los dos valores demoró un tiempo mínimo de 10 segundos y máximo de 15. Permitió establecer rapport con los participantes antes de iniciar el procedimiento evaluativo.</w:t>
      </w:r>
    </w:p>
    <w:p w:rsidR="00CD4A77" w:rsidRPr="00A26E08" w:rsidRDefault="002324FE" w:rsidP="0084774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Inmediatamente después se les presentó la consigna de la prueba a los participantes</w:t>
      </w:r>
      <w:r w:rsidR="00CD4A77" w:rsidRPr="00A26E08">
        <w:rPr>
          <w:rFonts w:ascii="TimesNewRomanPSMT" w:hAnsi="TimesNewRomanPSMT" w:cs="TimesNewRomanPSMT"/>
          <w:color w:val="000000"/>
          <w:sz w:val="24"/>
          <w:szCs w:val="24"/>
        </w:rPr>
        <w:t>.</w:t>
      </w:r>
    </w:p>
    <w:p w:rsidR="0012124A" w:rsidRDefault="0012124A" w:rsidP="0084774F">
      <w:pPr>
        <w:autoSpaceDE w:val="0"/>
        <w:autoSpaceDN w:val="0"/>
        <w:adjustRightInd w:val="0"/>
        <w:spacing w:after="0" w:line="240" w:lineRule="auto"/>
        <w:jc w:val="both"/>
        <w:rPr>
          <w:rFonts w:ascii="TimesNewRomanPSMT" w:hAnsi="TimesNewRomanPSMT" w:cs="TimesNewRomanPSMT"/>
          <w:color w:val="000000"/>
          <w:sz w:val="24"/>
          <w:szCs w:val="24"/>
        </w:rPr>
      </w:pPr>
    </w:p>
    <w:p w:rsidR="002324FE" w:rsidRPr="00A26E08" w:rsidRDefault="002324FE" w:rsidP="0084774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Fase II: Recogida de datos durante el ELCG</w:t>
      </w:r>
      <w:r w:rsidR="002A3EE6" w:rsidRPr="00A26E08">
        <w:rPr>
          <w:rFonts w:ascii="TimesNewRomanPSMT" w:hAnsi="TimesNewRomanPSMT" w:cs="TimesNewRomanPSMT"/>
          <w:color w:val="000000"/>
          <w:sz w:val="24"/>
          <w:szCs w:val="24"/>
        </w:rPr>
        <w:t>.</w:t>
      </w:r>
    </w:p>
    <w:p w:rsidR="002324FE"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Al final de cada asalto de combate, se les solicitó a los boxeadores tres autoevaluaciones: de la ejecución ofensiva, de la defensiva y de contraataque que acababan de realizar. Concomitantemente, los expertos emitieron la valoración externa acerca de la ejecución de los mencionados aspectos</w:t>
      </w:r>
      <w:r w:rsidR="00D51055">
        <w:rPr>
          <w:rFonts w:ascii="TimesNewRomanPSMT" w:hAnsi="TimesNewRomanPSMT" w:cs="TimesNewRomanPSMT"/>
          <w:color w:val="000000"/>
          <w:sz w:val="24"/>
          <w:szCs w:val="24"/>
        </w:rPr>
        <w:t xml:space="preserve">, para calcular </w:t>
      </w:r>
      <w:r w:rsidRPr="00A26E08">
        <w:rPr>
          <w:rFonts w:ascii="TimesNewRomanPSMT" w:hAnsi="TimesNewRomanPSMT" w:cs="TimesNewRomanPSMT"/>
          <w:color w:val="000000"/>
          <w:sz w:val="24"/>
          <w:szCs w:val="24"/>
        </w:rPr>
        <w:t>los valores del IEA.</w:t>
      </w:r>
    </w:p>
    <w:p w:rsidR="002324FE" w:rsidRPr="00A26E08" w:rsidRDefault="002324FE" w:rsidP="0084774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Los boxeadores emitieron sus autoevaluaciones verbalmente, de manera directa y en voz baja al evaluador, en presencia de la escala. El tiempo consumido para retirarse los guantes de boxeo, imposibilitó la utilización de las manos para transmitir un código gestual o hacer anotaciones sobre una hoja de respuesta. </w:t>
      </w:r>
      <w:r w:rsidR="00C637AF">
        <w:rPr>
          <w:rFonts w:ascii="TimesNewRomanPSMT" w:hAnsi="TimesNewRomanPSMT" w:cs="TimesNewRomanPSMT"/>
          <w:color w:val="000000"/>
          <w:sz w:val="24"/>
          <w:szCs w:val="24"/>
        </w:rPr>
        <w:t>Ninguno de los interrogados (boxeador o expertos) conoc</w:t>
      </w:r>
      <w:r w:rsidR="00DD4E7F">
        <w:rPr>
          <w:rFonts w:ascii="TimesNewRomanPSMT" w:hAnsi="TimesNewRomanPSMT" w:cs="TimesNewRomanPSMT"/>
          <w:color w:val="000000"/>
          <w:sz w:val="24"/>
          <w:szCs w:val="24"/>
        </w:rPr>
        <w:t>ió</w:t>
      </w:r>
      <w:r w:rsidR="00C637AF">
        <w:rPr>
          <w:rFonts w:ascii="TimesNewRomanPSMT" w:hAnsi="TimesNewRomanPSMT" w:cs="TimesNewRomanPSMT"/>
          <w:color w:val="000000"/>
          <w:sz w:val="24"/>
          <w:szCs w:val="24"/>
        </w:rPr>
        <w:t xml:space="preserve"> la respuesta </w:t>
      </w:r>
      <w:r w:rsidR="00DD4E7F">
        <w:rPr>
          <w:rFonts w:ascii="TimesNewRomanPSMT" w:hAnsi="TimesNewRomanPSMT" w:cs="TimesNewRomanPSMT"/>
          <w:color w:val="000000"/>
          <w:sz w:val="24"/>
          <w:szCs w:val="24"/>
        </w:rPr>
        <w:t>emitida por</w:t>
      </w:r>
      <w:r w:rsidR="00C637AF">
        <w:rPr>
          <w:rFonts w:ascii="TimesNewRomanPSMT" w:hAnsi="TimesNewRomanPSMT" w:cs="TimesNewRomanPSMT"/>
          <w:color w:val="000000"/>
          <w:sz w:val="24"/>
          <w:szCs w:val="24"/>
        </w:rPr>
        <w:t xml:space="preserve"> los restantes.</w:t>
      </w:r>
    </w:p>
    <w:p w:rsidR="002324FE"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El acto de evaluación en la esquina del ring cumplió con la suficiente fluidez para permitir que los atletas regresaran al próximo asalto de combate sin interferencias en su recuperación física, ni en la retroalimentación táctica que le brindaron sus entrenadores. </w:t>
      </w:r>
    </w:p>
    <w:p w:rsidR="0012124A" w:rsidRDefault="0012124A" w:rsidP="0084774F">
      <w:pPr>
        <w:autoSpaceDE w:val="0"/>
        <w:autoSpaceDN w:val="0"/>
        <w:adjustRightInd w:val="0"/>
        <w:spacing w:after="0" w:line="240" w:lineRule="auto"/>
        <w:jc w:val="both"/>
        <w:rPr>
          <w:rFonts w:ascii="TimesNewRomanPSMT" w:hAnsi="TimesNewRomanPSMT" w:cs="TimesNewRomanPSMT"/>
          <w:color w:val="000000"/>
          <w:sz w:val="24"/>
          <w:szCs w:val="24"/>
        </w:rPr>
      </w:pPr>
    </w:p>
    <w:p w:rsidR="002324FE" w:rsidRPr="00A26E08" w:rsidRDefault="002324FE" w:rsidP="0084774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Fase III: Recogida de datos después del ELCG:</w:t>
      </w:r>
    </w:p>
    <w:p w:rsidR="002324FE"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lastRenderedPageBreak/>
        <w:t>Al término del ELCG, se aplicó una breve entrevista semiestructurada que fungió como actividad de cierre de las sesiones de evaluación. Esta permitió obtener información cualitativa acerca de la adecuación autovalorativa mediante la exploración de varios de sus aspectos específicos, y constituyó un procedimiento de triangulación con los resultados cuantitativos obtenidos. Consta de una pregunta cerrada, tres abie</w:t>
      </w:r>
      <w:r w:rsidR="00C637AF">
        <w:rPr>
          <w:rFonts w:ascii="TimesNewRomanPSMT" w:hAnsi="TimesNewRomanPSMT" w:cs="TimesNewRomanPSMT"/>
          <w:color w:val="000000"/>
          <w:sz w:val="24"/>
          <w:szCs w:val="24"/>
        </w:rPr>
        <w:t>r</w:t>
      </w:r>
      <w:r w:rsidRPr="00A26E08">
        <w:rPr>
          <w:rFonts w:ascii="TimesNewRomanPSMT" w:hAnsi="TimesNewRomanPSMT" w:cs="TimesNewRomanPSMT"/>
          <w:color w:val="000000"/>
          <w:sz w:val="24"/>
          <w:szCs w:val="24"/>
        </w:rPr>
        <w:t>tas y un ítem dicotómico acerca del estado físico del deportista. Este último, se utilizó para descartar los datos de los boxeadores que reportaran un estado de avanzada fatiga o de desfallecimiento durante el combate.</w:t>
      </w:r>
    </w:p>
    <w:p w:rsidR="002324FE" w:rsidRPr="00A26E08" w:rsidRDefault="002324F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Los indicadores para evaluar las respuestas a la entrevista son: número de argumentos autovalorativos, vínculo afectivo con los mismos y originalidad en su planteamiento; coherencia entre el análisis que hace el sujeto de lo ocurrido en el combate recién finalizado y las estrategias tácticas que proyecta para futuras actuaciones.</w:t>
      </w:r>
    </w:p>
    <w:p w:rsidR="002324FE" w:rsidRPr="00A26E08" w:rsidRDefault="002324FE" w:rsidP="0084774F">
      <w:pPr>
        <w:autoSpaceDE w:val="0"/>
        <w:autoSpaceDN w:val="0"/>
        <w:adjustRightInd w:val="0"/>
        <w:spacing w:after="0" w:line="240" w:lineRule="auto"/>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 xml:space="preserve">La investigación se desarrolló entre los años 2013 y 2017. Se realizaron 1444 observaciones de índices de error autovalorativo durante mesociclos de acumulación (A), de transformación (T) y de realización (R), que componen </w:t>
      </w:r>
      <w:r w:rsidR="00021785" w:rsidRPr="00A26E08">
        <w:rPr>
          <w:rFonts w:ascii="TimesNewRomanPSMT" w:hAnsi="TimesNewRomanPSMT" w:cs="TimesNewRomanPSMT"/>
          <w:color w:val="000000"/>
          <w:sz w:val="24"/>
          <w:szCs w:val="24"/>
        </w:rPr>
        <w:t>la</w:t>
      </w:r>
      <w:r w:rsidRPr="00A26E08">
        <w:rPr>
          <w:rFonts w:ascii="TimesNewRomanPSMT" w:hAnsi="TimesNewRomanPSMT" w:cs="TimesNewRomanPSMT"/>
          <w:color w:val="000000"/>
          <w:sz w:val="24"/>
          <w:szCs w:val="24"/>
        </w:rPr>
        <w:t xml:space="preserve"> periodización del plan de entrenamiento aprobado por la dirección de Alto Rendimiento </w:t>
      </w:r>
      <w:r w:rsidR="001A1C41" w:rsidRPr="00A26E08">
        <w:rPr>
          <w:rFonts w:ascii="TimesNewRomanPSMT" w:hAnsi="TimesNewRomanPSMT" w:cs="TimesNewRomanPSMT"/>
          <w:color w:val="000000"/>
          <w:sz w:val="24"/>
          <w:szCs w:val="24"/>
        </w:rPr>
        <w:t>Deportivo</w:t>
      </w:r>
      <w:r w:rsidRPr="00A26E08">
        <w:rPr>
          <w:rFonts w:ascii="TimesNewRomanPSMT" w:hAnsi="TimesNewRomanPSMT" w:cs="TimesNewRomanPSMT"/>
          <w:color w:val="000000"/>
          <w:sz w:val="24"/>
          <w:szCs w:val="24"/>
        </w:rPr>
        <w:t xml:space="preserve">, correspondiente a la preparación de la preselección nacional cubana que participó en </w:t>
      </w:r>
      <w:r w:rsidR="001A1C41" w:rsidRPr="00A26E08">
        <w:rPr>
          <w:rFonts w:ascii="TimesNewRomanPSMT" w:hAnsi="TimesNewRomanPSMT" w:cs="TimesNewRomanPSMT"/>
          <w:color w:val="000000"/>
          <w:sz w:val="24"/>
          <w:szCs w:val="24"/>
        </w:rPr>
        <w:t xml:space="preserve">los </w:t>
      </w:r>
      <w:r w:rsidRPr="00A26E08">
        <w:rPr>
          <w:rFonts w:ascii="TimesNewRomanPSMT" w:hAnsi="TimesNewRomanPSMT" w:cs="TimesNewRomanPSMT"/>
          <w:color w:val="000000"/>
          <w:sz w:val="24"/>
          <w:szCs w:val="24"/>
        </w:rPr>
        <w:t>Campeonato</w:t>
      </w:r>
      <w:r w:rsidR="001A1C41" w:rsidRPr="00A26E08">
        <w:rPr>
          <w:rFonts w:ascii="TimesNewRomanPSMT" w:hAnsi="TimesNewRomanPSMT" w:cs="TimesNewRomanPSMT"/>
          <w:color w:val="000000"/>
          <w:sz w:val="24"/>
          <w:szCs w:val="24"/>
        </w:rPr>
        <w:t>s</w:t>
      </w:r>
      <w:r w:rsidRPr="00A26E08">
        <w:rPr>
          <w:rFonts w:ascii="TimesNewRomanPSMT" w:hAnsi="TimesNewRomanPSMT" w:cs="TimesNewRomanPSMT"/>
          <w:color w:val="000000"/>
          <w:sz w:val="24"/>
          <w:szCs w:val="24"/>
        </w:rPr>
        <w:t xml:space="preserve"> Mundial</w:t>
      </w:r>
      <w:r w:rsidR="001A1C41" w:rsidRPr="00A26E08">
        <w:rPr>
          <w:rFonts w:ascii="TimesNewRomanPSMT" w:hAnsi="TimesNewRomanPSMT" w:cs="TimesNewRomanPSMT"/>
          <w:color w:val="000000"/>
          <w:sz w:val="24"/>
          <w:szCs w:val="24"/>
        </w:rPr>
        <w:t>es</w:t>
      </w:r>
      <w:r w:rsidRPr="00A26E08">
        <w:rPr>
          <w:rFonts w:ascii="TimesNewRomanPSMT" w:hAnsi="TimesNewRomanPSMT" w:cs="TimesNewRomanPSMT"/>
          <w:color w:val="000000"/>
          <w:sz w:val="24"/>
          <w:szCs w:val="24"/>
        </w:rPr>
        <w:t xml:space="preserve"> de Kazajistán (2013), Quatar (2015), </w:t>
      </w:r>
      <w:r w:rsidR="001A1C41" w:rsidRPr="00A26E08">
        <w:rPr>
          <w:rFonts w:ascii="TimesNewRomanPSMT" w:hAnsi="TimesNewRomanPSMT" w:cs="TimesNewRomanPSMT"/>
          <w:color w:val="000000"/>
          <w:sz w:val="24"/>
          <w:szCs w:val="24"/>
        </w:rPr>
        <w:t xml:space="preserve">Alemania (2017), y los </w:t>
      </w:r>
      <w:r w:rsidRPr="00A26E08">
        <w:rPr>
          <w:rFonts w:ascii="TimesNewRomanPSMT" w:hAnsi="TimesNewRomanPSMT" w:cs="TimesNewRomanPSMT"/>
          <w:color w:val="000000"/>
          <w:sz w:val="24"/>
          <w:szCs w:val="24"/>
        </w:rPr>
        <w:t>Juegos Olímpicos de Brasil (2016).</w:t>
      </w:r>
    </w:p>
    <w:p w:rsidR="007640BB" w:rsidRPr="0012124A" w:rsidRDefault="007640BB" w:rsidP="0084774F">
      <w:pPr>
        <w:autoSpaceDE w:val="0"/>
        <w:autoSpaceDN w:val="0"/>
        <w:adjustRightInd w:val="0"/>
        <w:spacing w:after="0" w:line="240" w:lineRule="auto"/>
        <w:jc w:val="both"/>
        <w:rPr>
          <w:rFonts w:ascii="TimesNewRomanPS-ItalicMT" w:hAnsi="TimesNewRomanPS-ItalicMT" w:cs="TimesNewRomanPS-ItalicMT"/>
          <w:b/>
          <w:iCs/>
          <w:color w:val="000000"/>
          <w:sz w:val="24"/>
          <w:szCs w:val="24"/>
        </w:rPr>
      </w:pPr>
      <w:r w:rsidRPr="0012124A">
        <w:rPr>
          <w:rFonts w:ascii="TimesNewRomanPS-ItalicMT" w:hAnsi="TimesNewRomanPS-ItalicMT" w:cs="TimesNewRomanPS-ItalicMT"/>
          <w:b/>
          <w:iCs/>
          <w:color w:val="000000"/>
          <w:sz w:val="24"/>
          <w:szCs w:val="24"/>
        </w:rPr>
        <w:t>Análisis estadístico</w:t>
      </w:r>
    </w:p>
    <w:p w:rsidR="00134AD7" w:rsidRDefault="00021785" w:rsidP="0012124A">
      <w:pPr>
        <w:autoSpaceDE w:val="0"/>
        <w:autoSpaceDN w:val="0"/>
        <w:adjustRightInd w:val="0"/>
        <w:spacing w:after="0" w:line="240" w:lineRule="auto"/>
        <w:ind w:firstLine="708"/>
        <w:jc w:val="both"/>
        <w:rPr>
          <w:rFonts w:ascii="Times New Roman" w:eastAsia="Calibri" w:hAnsi="Times New Roman" w:cs="Times New Roman"/>
          <w:bCs/>
          <w:sz w:val="24"/>
          <w:szCs w:val="24"/>
        </w:rPr>
      </w:pPr>
      <w:r w:rsidRPr="00A26E08">
        <w:rPr>
          <w:rFonts w:ascii="TimesNewRomanPSMT" w:hAnsi="TimesNewRomanPSMT" w:cs="TimesNewRomanPSMT"/>
          <w:color w:val="000000"/>
          <w:sz w:val="24"/>
          <w:szCs w:val="24"/>
        </w:rPr>
        <w:t>Se utilizó el software S</w:t>
      </w:r>
      <w:r w:rsidR="00C637AF">
        <w:rPr>
          <w:rFonts w:ascii="TimesNewRomanPSMT" w:hAnsi="TimesNewRomanPSMT" w:cs="TimesNewRomanPSMT"/>
          <w:color w:val="000000"/>
          <w:sz w:val="24"/>
          <w:szCs w:val="24"/>
        </w:rPr>
        <w:t>PSS (versión 20)</w:t>
      </w:r>
      <w:r w:rsidRPr="00A26E08">
        <w:rPr>
          <w:rFonts w:ascii="TimesNewRomanPSMT" w:hAnsi="TimesNewRomanPSMT" w:cs="TimesNewRomanPSMT"/>
          <w:color w:val="000000"/>
          <w:sz w:val="24"/>
          <w:szCs w:val="24"/>
        </w:rPr>
        <w:t xml:space="preserve"> para el análisis estadístico descriptivo y las pruebas de hipótesis. </w:t>
      </w:r>
      <w:r w:rsidR="003B2141" w:rsidRPr="003B2141">
        <w:rPr>
          <w:rFonts w:ascii="Times New Roman" w:eastAsia="Calibri" w:hAnsi="Times New Roman" w:cs="Times New Roman"/>
          <w:bCs/>
          <w:sz w:val="24"/>
          <w:szCs w:val="24"/>
        </w:rPr>
        <w:t>Se verificó la distribución normal y la homogeneidad de varianza de los datos, mediante la prueba de Kolmogorov-Smirnov y la de Levene, respectivamente</w:t>
      </w:r>
      <w:r w:rsidR="003B2141">
        <w:rPr>
          <w:rFonts w:ascii="Times New Roman" w:eastAsia="Calibri" w:hAnsi="Times New Roman" w:cs="Times New Roman"/>
          <w:bCs/>
          <w:sz w:val="24"/>
          <w:szCs w:val="24"/>
        </w:rPr>
        <w:t>.</w:t>
      </w:r>
      <w:r w:rsidR="003B2141" w:rsidRPr="003B2141">
        <w:rPr>
          <w:rFonts w:ascii="Times New Roman" w:eastAsia="Calibri" w:hAnsi="Times New Roman" w:cs="Times New Roman"/>
          <w:bCs/>
          <w:sz w:val="24"/>
          <w:szCs w:val="24"/>
        </w:rPr>
        <w:t xml:space="preserve"> </w:t>
      </w:r>
      <w:r w:rsidR="00BF56D4" w:rsidRPr="00A26E08">
        <w:rPr>
          <w:rFonts w:ascii="Times New Roman" w:eastAsia="Calibri" w:hAnsi="Times New Roman" w:cs="Times New Roman"/>
          <w:bCs/>
          <w:sz w:val="24"/>
          <w:szCs w:val="24"/>
        </w:rPr>
        <w:t xml:space="preserve">La constatación de que los valores del IEA por condición muestral y por mesociclos de preparación no cumplían con el supuesto de homogeneidad de varianzas, sugirió el uso de métodos no paramétricos para los análisis cuantitativos. </w:t>
      </w:r>
      <w:r w:rsidR="003B2141" w:rsidRPr="003B2141">
        <w:rPr>
          <w:rFonts w:ascii="Times New Roman" w:eastAsia="Calibri" w:hAnsi="Times New Roman" w:cs="Times New Roman"/>
          <w:bCs/>
          <w:sz w:val="24"/>
          <w:szCs w:val="24"/>
        </w:rPr>
        <w:t xml:space="preserve">Para comparar los IEA entre </w:t>
      </w:r>
      <w:r w:rsidR="00C637AF" w:rsidRPr="003B2141">
        <w:rPr>
          <w:rFonts w:ascii="Times New Roman" w:eastAsia="Calibri" w:hAnsi="Times New Roman" w:cs="Times New Roman"/>
          <w:bCs/>
          <w:sz w:val="24"/>
          <w:szCs w:val="24"/>
        </w:rPr>
        <w:t>los subgrupos</w:t>
      </w:r>
      <w:r w:rsidR="003B2141" w:rsidRPr="003B2141">
        <w:rPr>
          <w:rFonts w:ascii="Times New Roman" w:eastAsia="Calibri" w:hAnsi="Times New Roman" w:cs="Times New Roman"/>
          <w:bCs/>
          <w:sz w:val="24"/>
          <w:szCs w:val="24"/>
        </w:rPr>
        <w:t xml:space="preserve"> de boxeadores según la condición muestral (destacados y no destacados) se utilizó la prueba U de Mann-Whitney.</w:t>
      </w:r>
      <w:r w:rsidR="00BF56D4" w:rsidRPr="00A26E08">
        <w:rPr>
          <w:rFonts w:ascii="Times New Roman" w:eastAsia="Calibri" w:hAnsi="Times New Roman" w:cs="Times New Roman"/>
          <w:bCs/>
          <w:sz w:val="24"/>
          <w:szCs w:val="24"/>
        </w:rPr>
        <w:t xml:space="preserve"> La comparación entre l</w:t>
      </w:r>
      <w:r w:rsidR="00646FBD">
        <w:rPr>
          <w:rFonts w:ascii="Times New Roman" w:eastAsia="Calibri" w:hAnsi="Times New Roman" w:cs="Times New Roman"/>
          <w:bCs/>
          <w:sz w:val="24"/>
          <w:szCs w:val="24"/>
        </w:rPr>
        <w:t>os</w:t>
      </w:r>
      <w:r w:rsidR="00BF56D4" w:rsidRPr="00A26E08">
        <w:rPr>
          <w:rFonts w:ascii="Times New Roman" w:eastAsia="Calibri" w:hAnsi="Times New Roman" w:cs="Times New Roman"/>
          <w:bCs/>
          <w:sz w:val="24"/>
          <w:szCs w:val="24"/>
        </w:rPr>
        <w:t xml:space="preserve"> </w:t>
      </w:r>
      <w:r w:rsidR="00646FBD">
        <w:rPr>
          <w:rFonts w:ascii="Times New Roman" w:eastAsia="Calibri" w:hAnsi="Times New Roman" w:cs="Times New Roman"/>
          <w:bCs/>
          <w:sz w:val="24"/>
          <w:szCs w:val="24"/>
        </w:rPr>
        <w:t>mesociclos</w:t>
      </w:r>
      <w:r w:rsidR="00BF56D4" w:rsidRPr="00A26E08">
        <w:rPr>
          <w:rFonts w:ascii="Times New Roman" w:eastAsia="Calibri" w:hAnsi="Times New Roman" w:cs="Times New Roman"/>
          <w:bCs/>
          <w:sz w:val="24"/>
          <w:szCs w:val="24"/>
        </w:rPr>
        <w:t xml:space="preserve"> de la preparación</w:t>
      </w:r>
      <w:r w:rsidR="00646FBD">
        <w:rPr>
          <w:rFonts w:ascii="Times New Roman" w:eastAsia="Calibri" w:hAnsi="Times New Roman" w:cs="Times New Roman"/>
          <w:bCs/>
          <w:sz w:val="24"/>
          <w:szCs w:val="24"/>
        </w:rPr>
        <w:t xml:space="preserve"> </w:t>
      </w:r>
      <w:r w:rsidR="00646FBD" w:rsidRPr="00646FBD">
        <w:rPr>
          <w:rFonts w:ascii="Times New Roman" w:eastAsia="Calibri" w:hAnsi="Times New Roman" w:cs="Times New Roman"/>
          <w:bCs/>
          <w:sz w:val="24"/>
          <w:szCs w:val="24"/>
        </w:rPr>
        <w:t>(A, T y R)</w:t>
      </w:r>
      <w:r w:rsidR="00BF56D4" w:rsidRPr="00A26E08">
        <w:rPr>
          <w:rFonts w:ascii="Times New Roman" w:eastAsia="Calibri" w:hAnsi="Times New Roman" w:cs="Times New Roman"/>
          <w:bCs/>
          <w:sz w:val="24"/>
          <w:szCs w:val="24"/>
        </w:rPr>
        <w:t xml:space="preserve"> se llevó a cabo empleando la prueba Kruskal-Wallis</w:t>
      </w:r>
      <w:r w:rsidR="00646FBD">
        <w:rPr>
          <w:rFonts w:ascii="Times New Roman" w:eastAsia="Calibri" w:hAnsi="Times New Roman" w:cs="Times New Roman"/>
          <w:bCs/>
          <w:sz w:val="24"/>
          <w:szCs w:val="24"/>
        </w:rPr>
        <w:t>.</w:t>
      </w:r>
      <w:r w:rsidR="00646FBD" w:rsidRPr="00646FBD">
        <w:t xml:space="preserve"> </w:t>
      </w:r>
      <w:r w:rsidR="00646FBD" w:rsidRPr="00646FBD">
        <w:rPr>
          <w:rFonts w:ascii="Times New Roman" w:eastAsia="Calibri" w:hAnsi="Times New Roman" w:cs="Times New Roman"/>
          <w:bCs/>
          <w:sz w:val="24"/>
          <w:szCs w:val="24"/>
        </w:rPr>
        <w:t>La significación estadística de las pruebas pos-hoc</w:t>
      </w:r>
      <w:r w:rsidR="00BF56D4" w:rsidRPr="00A26E08">
        <w:rPr>
          <w:rFonts w:ascii="Times New Roman" w:eastAsia="Calibri" w:hAnsi="Times New Roman" w:cs="Times New Roman"/>
          <w:bCs/>
          <w:sz w:val="24"/>
          <w:szCs w:val="24"/>
        </w:rPr>
        <w:t xml:space="preserve"> </w:t>
      </w:r>
      <w:r w:rsidR="00134AD7" w:rsidRPr="00134AD7">
        <w:rPr>
          <w:rFonts w:ascii="Times New Roman" w:eastAsia="Calibri" w:hAnsi="Times New Roman" w:cs="Times New Roman"/>
          <w:bCs/>
          <w:sz w:val="24"/>
          <w:szCs w:val="24"/>
        </w:rPr>
        <w:t>sobre cada par de mesociclo de entrenamiento</w:t>
      </w:r>
      <w:r w:rsidR="00134AD7">
        <w:rPr>
          <w:rFonts w:ascii="Times New Roman" w:eastAsia="Calibri" w:hAnsi="Times New Roman" w:cs="Times New Roman"/>
          <w:bCs/>
          <w:sz w:val="24"/>
          <w:szCs w:val="24"/>
        </w:rPr>
        <w:t xml:space="preserve"> </w:t>
      </w:r>
      <w:r w:rsidR="00134AD7" w:rsidRPr="00134AD7">
        <w:rPr>
          <w:rFonts w:ascii="Times New Roman" w:eastAsia="Calibri" w:hAnsi="Times New Roman" w:cs="Times New Roman"/>
          <w:bCs/>
          <w:sz w:val="24"/>
          <w:szCs w:val="24"/>
        </w:rPr>
        <w:t xml:space="preserve">se definió </w:t>
      </w:r>
      <w:r w:rsidR="0062765E" w:rsidRPr="00134AD7">
        <w:rPr>
          <w:rFonts w:ascii="Times New Roman" w:eastAsia="Calibri" w:hAnsi="Times New Roman" w:cs="Times New Roman"/>
          <w:bCs/>
          <w:sz w:val="24"/>
          <w:szCs w:val="24"/>
        </w:rPr>
        <w:t>como p</w:t>
      </w:r>
      <w:r w:rsidR="00134AD7" w:rsidRPr="00134AD7">
        <w:rPr>
          <w:rFonts w:ascii="Times New Roman" w:eastAsia="Calibri" w:hAnsi="Times New Roman" w:cs="Times New Roman"/>
          <w:bCs/>
          <w:sz w:val="24"/>
          <w:szCs w:val="24"/>
        </w:rPr>
        <w:t xml:space="preserve"> &lt; 0,05 antes de aplicar las correcciones Bonferroni para corregir las comparaciones múltiples (p = 0,05 / k, donde k es igual al número de comparaciones). </w:t>
      </w:r>
    </w:p>
    <w:p w:rsidR="0062765E" w:rsidRDefault="0062765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62765E">
        <w:rPr>
          <w:rFonts w:ascii="TimesNewRomanPSMT" w:hAnsi="TimesNewRomanPSMT" w:cs="TimesNewRomanPSMT"/>
          <w:color w:val="000000"/>
          <w:sz w:val="24"/>
          <w:szCs w:val="24"/>
        </w:rPr>
        <w:t xml:space="preserve">Para explorar la estabilidad temporal de las mediciones </w:t>
      </w:r>
      <w:r w:rsidR="00BA6512">
        <w:rPr>
          <w:rFonts w:ascii="TimesNewRomanPSMT" w:hAnsi="TimesNewRomanPSMT" w:cs="TimesNewRomanPSMT"/>
          <w:color w:val="000000"/>
          <w:sz w:val="24"/>
          <w:szCs w:val="24"/>
        </w:rPr>
        <w:t xml:space="preserve">que obtenidas mediante </w:t>
      </w:r>
      <w:r w:rsidRPr="0062765E">
        <w:rPr>
          <w:rFonts w:ascii="TimesNewRomanPSMT" w:hAnsi="TimesNewRomanPSMT" w:cs="TimesNewRomanPSMT"/>
          <w:color w:val="000000"/>
          <w:sz w:val="24"/>
          <w:szCs w:val="24"/>
        </w:rPr>
        <w:t>la PAAB, se ajustó un modelo de regresión lineal simple para cada uno de los boxeadores, donde el IEA se model</w:t>
      </w:r>
      <w:r w:rsidR="004604D1">
        <w:rPr>
          <w:rFonts w:ascii="TimesNewRomanPSMT" w:hAnsi="TimesNewRomanPSMT" w:cs="TimesNewRomanPSMT"/>
          <w:color w:val="000000"/>
          <w:sz w:val="24"/>
          <w:szCs w:val="24"/>
        </w:rPr>
        <w:t>ó</w:t>
      </w:r>
      <w:r w:rsidRPr="0062765E">
        <w:rPr>
          <w:rFonts w:ascii="TimesNewRomanPSMT" w:hAnsi="TimesNewRomanPSMT" w:cs="TimesNewRomanPSMT"/>
          <w:color w:val="000000"/>
          <w:sz w:val="24"/>
          <w:szCs w:val="24"/>
        </w:rPr>
        <w:t xml:space="preserve"> como una función del tiempo (medido en asaltos), condicionado a la etapa de entrenamiento. Durante un mismo mesociclo de preparación, cabe esperar que si no existen factores exógenos que afecten el desempeño del boxeador, ya sea destacado o no destacado, el IEA no debe mostrar diferencias significativas de una </w:t>
      </w:r>
      <w:r w:rsidR="004604D1">
        <w:rPr>
          <w:rFonts w:ascii="TimesNewRomanPSMT" w:hAnsi="TimesNewRomanPSMT" w:cs="TimesNewRomanPSMT"/>
          <w:color w:val="000000"/>
          <w:sz w:val="24"/>
          <w:szCs w:val="24"/>
        </w:rPr>
        <w:t>medición</w:t>
      </w:r>
      <w:r w:rsidRPr="0062765E">
        <w:rPr>
          <w:rFonts w:ascii="TimesNewRomanPSMT" w:hAnsi="TimesNewRomanPSMT" w:cs="TimesNewRomanPSMT"/>
          <w:color w:val="000000"/>
          <w:sz w:val="24"/>
          <w:szCs w:val="24"/>
        </w:rPr>
        <w:t xml:space="preserve"> a </w:t>
      </w:r>
      <w:r w:rsidR="004604D1">
        <w:rPr>
          <w:rFonts w:ascii="TimesNewRomanPSMT" w:hAnsi="TimesNewRomanPSMT" w:cs="TimesNewRomanPSMT"/>
          <w:color w:val="000000"/>
          <w:sz w:val="24"/>
          <w:szCs w:val="24"/>
        </w:rPr>
        <w:t>o</w:t>
      </w:r>
      <w:r w:rsidRPr="0062765E">
        <w:rPr>
          <w:rFonts w:ascii="TimesNewRomanPSMT" w:hAnsi="TimesNewRomanPSMT" w:cs="TimesNewRomanPSMT"/>
          <w:color w:val="000000"/>
          <w:sz w:val="24"/>
          <w:szCs w:val="24"/>
        </w:rPr>
        <w:t xml:space="preserve">tra, ya que responden a contenidos homogéneos del entrenamiento. Sin embargo, se espera una significativa tasa de cambio en el IEA promedio de cada atleta al transitar de un mesociclo al siguiente, especialmente para los atletas destacados. </w:t>
      </w:r>
    </w:p>
    <w:p w:rsidR="0062765E" w:rsidRDefault="0062765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62765E">
        <w:rPr>
          <w:rFonts w:ascii="TimesNewRomanPSMT" w:hAnsi="TimesNewRomanPSMT" w:cs="TimesNewRomanPSMT"/>
          <w:color w:val="000000"/>
          <w:sz w:val="24"/>
          <w:szCs w:val="24"/>
        </w:rPr>
        <w:t xml:space="preserve">Con vistas a describir el comportamiento de la respuesta media del IEA entre los mesociclos de preparación y comparar ésta entre los grupos de boxeadores destacados y no destacados, dada la naturaleza jerárquica de los datos, </w:t>
      </w:r>
      <w:r w:rsidR="004604D1">
        <w:rPr>
          <w:rFonts w:ascii="TimesNewRomanPSMT" w:hAnsi="TimesNewRomanPSMT" w:cs="TimesNewRomanPSMT"/>
          <w:color w:val="000000"/>
          <w:sz w:val="24"/>
          <w:szCs w:val="24"/>
        </w:rPr>
        <w:t>se utilizaron</w:t>
      </w:r>
      <w:r w:rsidRPr="0062765E">
        <w:rPr>
          <w:rFonts w:ascii="TimesNewRomanPSMT" w:hAnsi="TimesNewRomanPSMT" w:cs="TimesNewRomanPSMT"/>
          <w:color w:val="000000"/>
          <w:sz w:val="24"/>
          <w:szCs w:val="24"/>
        </w:rPr>
        <w:t xml:space="preserve"> modelos de efectos aleatorios o modelos multinivel</w:t>
      </w:r>
      <w:r w:rsidR="004604D1">
        <w:rPr>
          <w:rFonts w:ascii="TimesNewRomanPSMT" w:hAnsi="TimesNewRomanPSMT" w:cs="TimesNewRomanPSMT"/>
          <w:color w:val="000000"/>
          <w:sz w:val="24"/>
          <w:szCs w:val="24"/>
        </w:rPr>
        <w:t xml:space="preserve"> </w:t>
      </w:r>
      <w:r w:rsidR="004604D1" w:rsidRPr="004604D1">
        <w:rPr>
          <w:rFonts w:ascii="TimesNewRomanPSMT" w:hAnsi="TimesNewRomanPSMT" w:cs="TimesNewRomanPSMT"/>
          <w:color w:val="000000"/>
          <w:sz w:val="24"/>
          <w:szCs w:val="24"/>
        </w:rPr>
        <w:t>(Nezlek, 2012; Peugh, 2010; Snijders, &amp; Bosker, 2012)</w:t>
      </w:r>
      <w:r w:rsidRPr="004604D1">
        <w:rPr>
          <w:rFonts w:ascii="TimesNewRomanPSMT" w:hAnsi="TimesNewRomanPSMT" w:cs="TimesNewRomanPSMT"/>
          <w:color w:val="000000"/>
          <w:sz w:val="24"/>
          <w:szCs w:val="24"/>
        </w:rPr>
        <w:t>.</w:t>
      </w:r>
      <w:r w:rsidRPr="0062765E">
        <w:rPr>
          <w:rFonts w:ascii="TimesNewRomanPSMT" w:hAnsi="TimesNewRomanPSMT" w:cs="TimesNewRomanPSMT"/>
          <w:color w:val="000000"/>
          <w:sz w:val="24"/>
          <w:szCs w:val="24"/>
        </w:rPr>
        <w:t xml:space="preserve"> Estos modelos no solo ofrecen estimaciones de los efectos de la condición muestral y del mesociclo de preparación sobre el IEA, sino que también permiten una descripción de las diferencias entre los boxeadores. Los supuestos de normalidad, homogeneidad e independencia de los componentes de la varianza intra y entre</w:t>
      </w:r>
      <w:r w:rsidR="004604D1">
        <w:rPr>
          <w:rFonts w:ascii="TimesNewRomanPSMT" w:hAnsi="TimesNewRomanPSMT" w:cs="TimesNewRomanPSMT"/>
          <w:color w:val="000000"/>
          <w:sz w:val="24"/>
          <w:szCs w:val="24"/>
        </w:rPr>
        <w:t xml:space="preserve"> </w:t>
      </w:r>
      <w:r w:rsidRPr="0062765E">
        <w:rPr>
          <w:rFonts w:ascii="TimesNewRomanPSMT" w:hAnsi="TimesNewRomanPSMT" w:cs="TimesNewRomanPSMT"/>
          <w:color w:val="000000"/>
          <w:sz w:val="24"/>
          <w:szCs w:val="24"/>
        </w:rPr>
        <w:t xml:space="preserve">sujetos se exploraron </w:t>
      </w:r>
      <w:r w:rsidRPr="0062765E">
        <w:rPr>
          <w:rFonts w:ascii="TimesNewRomanPSMT" w:hAnsi="TimesNewRomanPSMT" w:cs="TimesNewRomanPSMT"/>
          <w:color w:val="000000"/>
          <w:sz w:val="24"/>
          <w:szCs w:val="24"/>
        </w:rPr>
        <w:lastRenderedPageBreak/>
        <w:t>visualmente a través de gráficos. Las inferencias se basan en la log-verosimilitud de modelos anidados.</w:t>
      </w:r>
    </w:p>
    <w:p w:rsidR="007640BB" w:rsidRPr="00A26E08" w:rsidRDefault="007640BB" w:rsidP="0012124A">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sidRPr="00A26E08">
        <w:rPr>
          <w:rFonts w:ascii="TimesNewRomanPS-BoldMT" w:hAnsi="TimesNewRomanPS-BoldMT" w:cs="TimesNewRomanPS-BoldMT"/>
          <w:b/>
          <w:bCs/>
          <w:color w:val="000000"/>
          <w:sz w:val="24"/>
          <w:szCs w:val="24"/>
        </w:rPr>
        <w:t>RESULTADOS</w:t>
      </w:r>
    </w:p>
    <w:p w:rsidR="00426182" w:rsidRDefault="00D32A3B"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D32A3B">
        <w:rPr>
          <w:rFonts w:ascii="Times New Roman" w:eastAsia="Calibri" w:hAnsi="Times New Roman" w:cs="Times New Roman"/>
          <w:sz w:val="24"/>
          <w:szCs w:val="24"/>
        </w:rPr>
        <w:t xml:space="preserve">En la Tabla </w:t>
      </w:r>
      <w:r w:rsidR="004604D1">
        <w:rPr>
          <w:rFonts w:ascii="Times New Roman" w:eastAsia="Calibri" w:hAnsi="Times New Roman" w:cs="Times New Roman"/>
          <w:sz w:val="24"/>
          <w:szCs w:val="24"/>
        </w:rPr>
        <w:t>No.</w:t>
      </w:r>
      <w:r w:rsidRPr="00D32A3B">
        <w:rPr>
          <w:rFonts w:ascii="Times New Roman" w:eastAsia="Calibri" w:hAnsi="Times New Roman" w:cs="Times New Roman"/>
          <w:sz w:val="24"/>
          <w:szCs w:val="24"/>
        </w:rPr>
        <w:t>1 se muestra un resumen de estadísticos que describen las características básicas de los datos según su condición muestral</w:t>
      </w:r>
      <w:r w:rsidR="004604D1">
        <w:rPr>
          <w:rFonts w:ascii="Times New Roman" w:eastAsia="Calibri" w:hAnsi="Times New Roman" w:cs="Times New Roman"/>
          <w:sz w:val="24"/>
          <w:szCs w:val="24"/>
        </w:rPr>
        <w:t xml:space="preserve"> y los resultados de la prueba de hipótesis</w:t>
      </w:r>
      <w:r w:rsidRPr="00D32A3B">
        <w:rPr>
          <w:rFonts w:ascii="Times New Roman" w:eastAsia="Calibri" w:hAnsi="Times New Roman" w:cs="Times New Roman"/>
          <w:sz w:val="24"/>
          <w:szCs w:val="24"/>
        </w:rPr>
        <w:t>. En esta investigación se evidenci</w:t>
      </w:r>
      <w:r w:rsidR="004604D1">
        <w:rPr>
          <w:rFonts w:ascii="Times New Roman" w:eastAsia="Calibri" w:hAnsi="Times New Roman" w:cs="Times New Roman"/>
          <w:sz w:val="24"/>
          <w:szCs w:val="24"/>
        </w:rPr>
        <w:t>ó</w:t>
      </w:r>
      <w:r w:rsidRPr="00D32A3B">
        <w:rPr>
          <w:rFonts w:ascii="Times New Roman" w:eastAsia="Calibri" w:hAnsi="Times New Roman" w:cs="Times New Roman"/>
          <w:sz w:val="24"/>
          <w:szCs w:val="24"/>
        </w:rPr>
        <w:t xml:space="preserve"> que los </w:t>
      </w:r>
      <w:r>
        <w:rPr>
          <w:rFonts w:ascii="Times New Roman" w:eastAsia="Calibri" w:hAnsi="Times New Roman" w:cs="Times New Roman"/>
          <w:sz w:val="24"/>
          <w:szCs w:val="24"/>
        </w:rPr>
        <w:t>participantes</w:t>
      </w:r>
      <w:r w:rsidRPr="00D32A3B">
        <w:rPr>
          <w:rFonts w:ascii="Times New Roman" w:eastAsia="Calibri" w:hAnsi="Times New Roman" w:cs="Times New Roman"/>
          <w:sz w:val="24"/>
          <w:szCs w:val="24"/>
        </w:rPr>
        <w:t xml:space="preserve"> del subgrupo de boxeadores </w:t>
      </w:r>
      <w:r w:rsidRPr="004604D1">
        <w:rPr>
          <w:rFonts w:ascii="Times New Roman" w:eastAsia="Calibri" w:hAnsi="Times New Roman" w:cs="Times New Roman"/>
          <w:sz w:val="24"/>
          <w:szCs w:val="24"/>
        </w:rPr>
        <w:t>destacados</w:t>
      </w:r>
      <w:r w:rsidRPr="00D32A3B">
        <w:rPr>
          <w:rFonts w:ascii="Times New Roman" w:eastAsia="Calibri" w:hAnsi="Times New Roman" w:cs="Times New Roman"/>
          <w:sz w:val="24"/>
          <w:szCs w:val="24"/>
        </w:rPr>
        <w:t xml:space="preserve"> </w:t>
      </w:r>
      <w:r>
        <w:rPr>
          <w:rFonts w:ascii="Times New Roman" w:eastAsia="Calibri" w:hAnsi="Times New Roman" w:cs="Times New Roman"/>
          <w:sz w:val="24"/>
          <w:szCs w:val="24"/>
        </w:rPr>
        <w:t>ob</w:t>
      </w:r>
      <w:r w:rsidRPr="00D32A3B">
        <w:rPr>
          <w:rFonts w:ascii="Times New Roman" w:eastAsia="Calibri" w:hAnsi="Times New Roman" w:cs="Times New Roman"/>
          <w:sz w:val="24"/>
          <w:szCs w:val="24"/>
        </w:rPr>
        <w:t xml:space="preserve">tuvieron valores significativamente más bajos (p&lt;0,05) que los no destacados. Además, se observa una mayor variabilidad de los valores del IEA entre los </w:t>
      </w:r>
      <w:r w:rsidR="004604D1">
        <w:rPr>
          <w:rFonts w:ascii="Times New Roman" w:eastAsia="Calibri" w:hAnsi="Times New Roman" w:cs="Times New Roman"/>
          <w:sz w:val="24"/>
          <w:szCs w:val="24"/>
        </w:rPr>
        <w:t>estos últimos</w:t>
      </w:r>
      <w:r w:rsidRPr="00D32A3B">
        <w:rPr>
          <w:rFonts w:ascii="Times New Roman" w:eastAsia="Calibri" w:hAnsi="Times New Roman" w:cs="Times New Roman"/>
          <w:sz w:val="24"/>
          <w:szCs w:val="24"/>
        </w:rPr>
        <w:t>.</w:t>
      </w:r>
    </w:p>
    <w:p w:rsidR="00D32A3B" w:rsidRPr="00426182" w:rsidRDefault="00D32A3B" w:rsidP="00426182">
      <w:pPr>
        <w:autoSpaceDE w:val="0"/>
        <w:autoSpaceDN w:val="0"/>
        <w:adjustRightInd w:val="0"/>
        <w:spacing w:after="0" w:line="240" w:lineRule="auto"/>
        <w:jc w:val="both"/>
        <w:rPr>
          <w:rFonts w:ascii="Times New Roman" w:eastAsia="Calibri" w:hAnsi="Times New Roman" w:cs="Times New Roman"/>
          <w:sz w:val="24"/>
          <w:szCs w:val="24"/>
        </w:rPr>
      </w:pPr>
    </w:p>
    <w:p w:rsidR="0012124A" w:rsidRPr="0012124A" w:rsidRDefault="00426182" w:rsidP="00426182">
      <w:pPr>
        <w:keepNext/>
        <w:spacing w:after="200" w:line="240" w:lineRule="auto"/>
        <w:rPr>
          <w:rFonts w:ascii="Times New Roman" w:eastAsia="Calibri" w:hAnsi="Times New Roman" w:cs="Times New Roman"/>
          <w:bCs/>
          <w:sz w:val="20"/>
          <w:szCs w:val="20"/>
        </w:rPr>
      </w:pPr>
      <w:r w:rsidRPr="0012124A">
        <w:rPr>
          <w:rFonts w:ascii="Times New Roman" w:eastAsia="Calibri" w:hAnsi="Times New Roman" w:cs="Times New Roman"/>
          <w:bCs/>
          <w:sz w:val="20"/>
          <w:szCs w:val="20"/>
        </w:rPr>
        <w:t xml:space="preserve">Tabla </w:t>
      </w:r>
      <w:r w:rsidRPr="0012124A">
        <w:rPr>
          <w:rFonts w:ascii="Times New Roman" w:eastAsia="Calibri" w:hAnsi="Times New Roman" w:cs="Times New Roman"/>
          <w:bCs/>
          <w:sz w:val="20"/>
          <w:szCs w:val="20"/>
        </w:rPr>
        <w:fldChar w:fldCharType="begin"/>
      </w:r>
      <w:r w:rsidRPr="0012124A">
        <w:rPr>
          <w:rFonts w:ascii="Times New Roman" w:eastAsia="Calibri" w:hAnsi="Times New Roman" w:cs="Times New Roman"/>
          <w:bCs/>
          <w:sz w:val="20"/>
          <w:szCs w:val="20"/>
        </w:rPr>
        <w:instrText xml:space="preserve"> SEQ Tabla \* ARABIC </w:instrText>
      </w:r>
      <w:r w:rsidRPr="0012124A">
        <w:rPr>
          <w:rFonts w:ascii="Times New Roman" w:eastAsia="Calibri" w:hAnsi="Times New Roman" w:cs="Times New Roman"/>
          <w:bCs/>
          <w:sz w:val="20"/>
          <w:szCs w:val="20"/>
        </w:rPr>
        <w:fldChar w:fldCharType="separate"/>
      </w:r>
      <w:r w:rsidRPr="0012124A">
        <w:rPr>
          <w:rFonts w:ascii="Times New Roman" w:eastAsia="Calibri" w:hAnsi="Times New Roman" w:cs="Times New Roman"/>
          <w:bCs/>
          <w:noProof/>
          <w:sz w:val="20"/>
          <w:szCs w:val="20"/>
        </w:rPr>
        <w:t>1</w:t>
      </w:r>
      <w:r w:rsidRPr="0012124A">
        <w:rPr>
          <w:rFonts w:ascii="Times New Roman" w:eastAsia="Calibri" w:hAnsi="Times New Roman" w:cs="Times New Roman"/>
          <w:bCs/>
          <w:sz w:val="20"/>
          <w:szCs w:val="20"/>
        </w:rPr>
        <w:fldChar w:fldCharType="end"/>
      </w:r>
      <w:r w:rsidRPr="0012124A">
        <w:rPr>
          <w:rFonts w:ascii="Times New Roman" w:eastAsia="Calibri" w:hAnsi="Times New Roman" w:cs="Times New Roman"/>
          <w:bCs/>
          <w:sz w:val="20"/>
          <w:szCs w:val="20"/>
        </w:rPr>
        <w:t xml:space="preserve"> </w:t>
      </w:r>
    </w:p>
    <w:p w:rsidR="00426182" w:rsidRPr="0012124A" w:rsidRDefault="00426182" w:rsidP="00426182">
      <w:pPr>
        <w:keepNext/>
        <w:spacing w:after="200" w:line="240" w:lineRule="auto"/>
        <w:rPr>
          <w:rFonts w:ascii="Times New Roman" w:eastAsia="Calibri" w:hAnsi="Times New Roman" w:cs="Times New Roman"/>
          <w:bCs/>
          <w:i/>
          <w:sz w:val="20"/>
          <w:szCs w:val="20"/>
        </w:rPr>
      </w:pPr>
      <w:r w:rsidRPr="0012124A">
        <w:rPr>
          <w:rFonts w:ascii="Times New Roman" w:eastAsia="Calibri" w:hAnsi="Times New Roman" w:cs="Times New Roman"/>
          <w:bCs/>
          <w:i/>
          <w:sz w:val="20"/>
          <w:szCs w:val="20"/>
        </w:rPr>
        <w:t>Estadísticos descriptivos del IEA para los subgrupos de boxeadores destacados y no destacados</w:t>
      </w:r>
    </w:p>
    <w:tbl>
      <w:tblPr>
        <w:tblStyle w:val="Tablaconcuadrcula21"/>
        <w:tblW w:w="8471" w:type="dxa"/>
        <w:tblLayout w:type="fixed"/>
        <w:tblLook w:val="04A0" w:firstRow="1" w:lastRow="0" w:firstColumn="1" w:lastColumn="0" w:noHBand="0" w:noVBand="1"/>
      </w:tblPr>
      <w:tblGrid>
        <w:gridCol w:w="1413"/>
        <w:gridCol w:w="641"/>
        <w:gridCol w:w="1027"/>
        <w:gridCol w:w="899"/>
        <w:gridCol w:w="898"/>
        <w:gridCol w:w="898"/>
        <w:gridCol w:w="1027"/>
        <w:gridCol w:w="770"/>
        <w:gridCol w:w="898"/>
      </w:tblGrid>
      <w:tr w:rsidR="00426182" w:rsidRPr="00426182" w:rsidTr="0062765E">
        <w:trPr>
          <w:trHeight w:val="444"/>
        </w:trPr>
        <w:tc>
          <w:tcPr>
            <w:tcW w:w="1413" w:type="dxa"/>
            <w:tcBorders>
              <w:left w:val="nil"/>
              <w:bottom w:val="single" w:sz="4" w:space="0" w:color="000000"/>
              <w:right w:val="nil"/>
            </w:tcBorders>
            <w:noWrap/>
            <w:vAlign w:val="center"/>
            <w:hideMark/>
          </w:tcPr>
          <w:p w:rsidR="00426182" w:rsidRPr="00426182" w:rsidRDefault="00426182" w:rsidP="00426182">
            <w:pPr>
              <w:rPr>
                <w:rFonts w:ascii="Times New Roman" w:hAnsi="Times New Roman" w:cs="Times New Roman"/>
                <w:sz w:val="20"/>
                <w:szCs w:val="20"/>
                <w:lang w:eastAsia="es-ES"/>
              </w:rPr>
            </w:pPr>
            <w:r w:rsidRPr="00426182">
              <w:rPr>
                <w:rFonts w:ascii="Times New Roman" w:hAnsi="Times New Roman" w:cs="Times New Roman"/>
                <w:sz w:val="20"/>
                <w:szCs w:val="20"/>
                <w:lang w:eastAsia="es-ES"/>
              </w:rPr>
              <w:t>Subgrupo</w:t>
            </w:r>
          </w:p>
        </w:tc>
        <w:tc>
          <w:tcPr>
            <w:tcW w:w="641" w:type="dxa"/>
            <w:tcBorders>
              <w:left w:val="nil"/>
              <w:bottom w:val="single" w:sz="4" w:space="0" w:color="000000"/>
              <w:right w:val="nil"/>
            </w:tcBorders>
            <w:noWrap/>
            <w:vAlign w:val="center"/>
            <w:hideMark/>
          </w:tcPr>
          <w:p w:rsidR="00426182" w:rsidRPr="00426182" w:rsidRDefault="00426182" w:rsidP="00426182">
            <w:pPr>
              <w:jc w:val="cente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N</w:t>
            </w:r>
          </w:p>
        </w:tc>
        <w:tc>
          <w:tcPr>
            <w:tcW w:w="1027" w:type="dxa"/>
            <w:tcBorders>
              <w:left w:val="nil"/>
              <w:bottom w:val="single" w:sz="4" w:space="0" w:color="000000"/>
              <w:right w:val="nil"/>
            </w:tcBorders>
            <w:vAlign w:val="center"/>
          </w:tcPr>
          <w:p w:rsidR="00426182" w:rsidRPr="00426182" w:rsidRDefault="00426182" w:rsidP="00426182">
            <w:pPr>
              <w:jc w:val="cente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Media</w:t>
            </w:r>
          </w:p>
        </w:tc>
        <w:tc>
          <w:tcPr>
            <w:tcW w:w="899" w:type="dxa"/>
            <w:tcBorders>
              <w:left w:val="nil"/>
              <w:bottom w:val="single" w:sz="4" w:space="0" w:color="000000"/>
              <w:right w:val="nil"/>
            </w:tcBorders>
            <w:noWrap/>
            <w:vAlign w:val="center"/>
            <w:hideMark/>
          </w:tcPr>
          <w:p w:rsidR="00426182" w:rsidRPr="00426182" w:rsidRDefault="00426182" w:rsidP="00426182">
            <w:pPr>
              <w:jc w:val="cente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Median</w:t>
            </w:r>
          </w:p>
        </w:tc>
        <w:tc>
          <w:tcPr>
            <w:tcW w:w="898" w:type="dxa"/>
            <w:tcBorders>
              <w:left w:val="nil"/>
              <w:bottom w:val="single" w:sz="4" w:space="0" w:color="000000"/>
              <w:right w:val="nil"/>
            </w:tcBorders>
            <w:noWrap/>
            <w:vAlign w:val="center"/>
            <w:hideMark/>
          </w:tcPr>
          <w:p w:rsidR="00426182" w:rsidRPr="00426182" w:rsidRDefault="00426182" w:rsidP="00426182">
            <w:pPr>
              <w:jc w:val="cente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Mínimo</w:t>
            </w:r>
          </w:p>
        </w:tc>
        <w:tc>
          <w:tcPr>
            <w:tcW w:w="898" w:type="dxa"/>
            <w:tcBorders>
              <w:left w:val="nil"/>
              <w:bottom w:val="single" w:sz="4" w:space="0" w:color="000000"/>
              <w:right w:val="nil"/>
            </w:tcBorders>
            <w:noWrap/>
            <w:vAlign w:val="center"/>
            <w:hideMark/>
          </w:tcPr>
          <w:p w:rsidR="00426182" w:rsidRPr="00426182" w:rsidRDefault="00426182" w:rsidP="00426182">
            <w:pPr>
              <w:jc w:val="cente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Máximo</w:t>
            </w:r>
          </w:p>
        </w:tc>
        <w:tc>
          <w:tcPr>
            <w:tcW w:w="1027" w:type="dxa"/>
            <w:tcBorders>
              <w:left w:val="nil"/>
              <w:bottom w:val="single" w:sz="4" w:space="0" w:color="000000"/>
              <w:right w:val="nil"/>
            </w:tcBorders>
            <w:noWrap/>
            <w:vAlign w:val="center"/>
            <w:hideMark/>
          </w:tcPr>
          <w:p w:rsidR="00426182" w:rsidRPr="00426182" w:rsidRDefault="00426182" w:rsidP="00426182">
            <w:pPr>
              <w:jc w:val="center"/>
              <w:rPr>
                <w:rFonts w:ascii="Times New Roman" w:hAnsi="Times New Roman" w:cs="Times New Roman"/>
                <w:bCs/>
                <w:sz w:val="20"/>
                <w:szCs w:val="20"/>
                <w:vertAlign w:val="superscript"/>
                <w:lang w:eastAsia="es-ES"/>
              </w:rPr>
            </w:pPr>
            <w:r w:rsidRPr="00426182">
              <w:rPr>
                <w:rFonts w:ascii="Times New Roman" w:hAnsi="Times New Roman" w:cs="Times New Roman"/>
                <w:bCs/>
                <w:sz w:val="20"/>
                <w:szCs w:val="20"/>
                <w:lang w:eastAsia="es-ES"/>
              </w:rPr>
              <w:t>1</w:t>
            </w:r>
            <w:r w:rsidRPr="00426182">
              <w:rPr>
                <w:rFonts w:ascii="Times New Roman" w:hAnsi="Times New Roman" w:cs="Times New Roman"/>
                <w:bCs/>
                <w:sz w:val="20"/>
                <w:szCs w:val="20"/>
                <w:vertAlign w:val="superscript"/>
                <w:lang w:eastAsia="es-ES"/>
              </w:rPr>
              <w:t xml:space="preserve">er </w:t>
            </w:r>
          </w:p>
          <w:p w:rsidR="00426182" w:rsidRPr="00426182" w:rsidRDefault="00426182" w:rsidP="00426182">
            <w:pPr>
              <w:jc w:val="cente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Cuartil</w:t>
            </w:r>
          </w:p>
        </w:tc>
        <w:tc>
          <w:tcPr>
            <w:tcW w:w="770" w:type="dxa"/>
            <w:tcBorders>
              <w:left w:val="nil"/>
              <w:bottom w:val="single" w:sz="4" w:space="0" w:color="000000"/>
              <w:right w:val="nil"/>
            </w:tcBorders>
            <w:noWrap/>
            <w:vAlign w:val="center"/>
            <w:hideMark/>
          </w:tcPr>
          <w:p w:rsidR="00426182" w:rsidRPr="00426182" w:rsidRDefault="00426182" w:rsidP="00426182">
            <w:pPr>
              <w:jc w:val="cente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3</w:t>
            </w:r>
            <w:r w:rsidRPr="00426182">
              <w:rPr>
                <w:rFonts w:ascii="Times New Roman" w:hAnsi="Times New Roman" w:cs="Times New Roman"/>
                <w:bCs/>
                <w:sz w:val="20"/>
                <w:szCs w:val="20"/>
                <w:vertAlign w:val="superscript"/>
                <w:lang w:eastAsia="es-ES"/>
              </w:rPr>
              <w:t>er</w:t>
            </w:r>
            <w:r w:rsidRPr="00426182">
              <w:rPr>
                <w:rFonts w:ascii="Times New Roman" w:hAnsi="Times New Roman" w:cs="Times New Roman"/>
                <w:bCs/>
                <w:sz w:val="20"/>
                <w:szCs w:val="20"/>
                <w:lang w:eastAsia="es-ES"/>
              </w:rPr>
              <w:t xml:space="preserve"> Cuartil</w:t>
            </w:r>
          </w:p>
        </w:tc>
        <w:tc>
          <w:tcPr>
            <w:tcW w:w="898" w:type="dxa"/>
            <w:tcBorders>
              <w:left w:val="nil"/>
              <w:bottom w:val="single" w:sz="4" w:space="0" w:color="000000"/>
              <w:right w:val="nil"/>
            </w:tcBorders>
            <w:vAlign w:val="center"/>
          </w:tcPr>
          <w:p w:rsidR="00426182" w:rsidRPr="00426182" w:rsidRDefault="00426182" w:rsidP="00426182">
            <w:pPr>
              <w:jc w:val="center"/>
              <w:rPr>
                <w:rFonts w:ascii="Times New Roman" w:hAnsi="Times New Roman" w:cs="Times New Roman"/>
                <w:bCs/>
                <w:sz w:val="20"/>
                <w:szCs w:val="20"/>
                <w:vertAlign w:val="superscript"/>
                <w:lang w:eastAsia="es-ES"/>
              </w:rPr>
            </w:pPr>
            <w:r w:rsidRPr="00426182">
              <w:rPr>
                <w:rFonts w:ascii="Times New Roman" w:hAnsi="Times New Roman" w:cs="Times New Roman"/>
                <w:bCs/>
                <w:sz w:val="20"/>
                <w:szCs w:val="20"/>
                <w:lang w:eastAsia="es-ES"/>
              </w:rPr>
              <w:t>D.E</w:t>
            </w:r>
            <w:r w:rsidRPr="00426182">
              <w:rPr>
                <w:rFonts w:ascii="Times New Roman" w:hAnsi="Times New Roman" w:cs="Times New Roman"/>
                <w:bCs/>
                <w:sz w:val="16"/>
                <w:szCs w:val="16"/>
                <w:vertAlign w:val="superscript"/>
                <w:lang w:eastAsia="es-ES"/>
              </w:rPr>
              <w:t>1</w:t>
            </w:r>
          </w:p>
        </w:tc>
      </w:tr>
      <w:tr w:rsidR="00426182" w:rsidRPr="00426182" w:rsidTr="0062765E">
        <w:trPr>
          <w:trHeight w:val="444"/>
        </w:trPr>
        <w:tc>
          <w:tcPr>
            <w:tcW w:w="1413" w:type="dxa"/>
            <w:tcBorders>
              <w:left w:val="nil"/>
              <w:bottom w:val="nil"/>
              <w:right w:val="nil"/>
            </w:tcBorders>
            <w:noWrap/>
            <w:vAlign w:val="center"/>
            <w:hideMark/>
          </w:tcPr>
          <w:p w:rsidR="00426182" w:rsidRPr="00426182" w:rsidRDefault="00426182" w:rsidP="00426182">
            <w:pP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Destacados</w:t>
            </w:r>
          </w:p>
        </w:tc>
        <w:tc>
          <w:tcPr>
            <w:tcW w:w="641" w:type="dxa"/>
            <w:tcBorders>
              <w:left w:val="nil"/>
              <w:bottom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911</w:t>
            </w:r>
          </w:p>
        </w:tc>
        <w:tc>
          <w:tcPr>
            <w:tcW w:w="1027" w:type="dxa"/>
            <w:tcBorders>
              <w:left w:val="nil"/>
              <w:bottom w:val="nil"/>
              <w:right w:val="nil"/>
            </w:tcBorders>
            <w:vAlign w:val="center"/>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rPr>
              <w:t>0,357</w:t>
            </w:r>
          </w:p>
        </w:tc>
        <w:tc>
          <w:tcPr>
            <w:tcW w:w="899" w:type="dxa"/>
            <w:tcBorders>
              <w:left w:val="nil"/>
              <w:bottom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0,3</w:t>
            </w:r>
          </w:p>
        </w:tc>
        <w:tc>
          <w:tcPr>
            <w:tcW w:w="898" w:type="dxa"/>
            <w:tcBorders>
              <w:left w:val="nil"/>
              <w:bottom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0,0</w:t>
            </w:r>
          </w:p>
        </w:tc>
        <w:tc>
          <w:tcPr>
            <w:tcW w:w="898" w:type="dxa"/>
            <w:tcBorders>
              <w:left w:val="nil"/>
              <w:bottom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1,2</w:t>
            </w:r>
          </w:p>
        </w:tc>
        <w:tc>
          <w:tcPr>
            <w:tcW w:w="1027" w:type="dxa"/>
            <w:tcBorders>
              <w:left w:val="nil"/>
              <w:bottom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0,2</w:t>
            </w:r>
          </w:p>
        </w:tc>
        <w:tc>
          <w:tcPr>
            <w:tcW w:w="770" w:type="dxa"/>
            <w:tcBorders>
              <w:left w:val="nil"/>
              <w:bottom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0,5</w:t>
            </w:r>
          </w:p>
        </w:tc>
        <w:tc>
          <w:tcPr>
            <w:tcW w:w="898" w:type="dxa"/>
            <w:tcBorders>
              <w:left w:val="nil"/>
              <w:bottom w:val="nil"/>
              <w:right w:val="nil"/>
            </w:tcBorders>
            <w:vAlign w:val="center"/>
          </w:tcPr>
          <w:p w:rsidR="00426182" w:rsidRPr="00426182" w:rsidRDefault="00426182" w:rsidP="00426182">
            <w:pPr>
              <w:jc w:val="center"/>
              <w:rPr>
                <w:rFonts w:ascii="Times New Roman" w:hAnsi="Times New Roman" w:cs="Times New Roman"/>
                <w:lang w:eastAsia="es-ES"/>
              </w:rPr>
            </w:pPr>
            <w:r w:rsidRPr="00426182">
              <w:rPr>
                <w:rFonts w:ascii="Times New Roman" w:hAnsi="Times New Roman" w:cs="Times New Roman"/>
              </w:rPr>
              <w:t>0,222</w:t>
            </w:r>
          </w:p>
        </w:tc>
      </w:tr>
      <w:tr w:rsidR="00426182" w:rsidRPr="00426182" w:rsidTr="0062765E">
        <w:trPr>
          <w:trHeight w:val="444"/>
        </w:trPr>
        <w:tc>
          <w:tcPr>
            <w:tcW w:w="1413" w:type="dxa"/>
            <w:tcBorders>
              <w:top w:val="nil"/>
              <w:left w:val="nil"/>
              <w:right w:val="nil"/>
            </w:tcBorders>
            <w:noWrap/>
            <w:vAlign w:val="center"/>
            <w:hideMark/>
          </w:tcPr>
          <w:p w:rsidR="00426182" w:rsidRPr="00426182" w:rsidRDefault="00426182" w:rsidP="00426182">
            <w:pPr>
              <w:rPr>
                <w:rFonts w:ascii="Times New Roman" w:hAnsi="Times New Roman" w:cs="Times New Roman"/>
                <w:bCs/>
                <w:sz w:val="20"/>
                <w:szCs w:val="20"/>
                <w:lang w:eastAsia="es-ES"/>
              </w:rPr>
            </w:pPr>
            <w:r w:rsidRPr="00426182">
              <w:rPr>
                <w:rFonts w:ascii="Times New Roman" w:hAnsi="Times New Roman" w:cs="Times New Roman"/>
                <w:bCs/>
                <w:sz w:val="20"/>
                <w:szCs w:val="20"/>
                <w:lang w:eastAsia="es-ES"/>
              </w:rPr>
              <w:t>No destacados</w:t>
            </w:r>
          </w:p>
        </w:tc>
        <w:tc>
          <w:tcPr>
            <w:tcW w:w="641" w:type="dxa"/>
            <w:tcBorders>
              <w:top w:val="nil"/>
              <w:left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533</w:t>
            </w:r>
          </w:p>
        </w:tc>
        <w:tc>
          <w:tcPr>
            <w:tcW w:w="1027" w:type="dxa"/>
            <w:tcBorders>
              <w:top w:val="nil"/>
              <w:left w:val="nil"/>
              <w:right w:val="nil"/>
            </w:tcBorders>
            <w:vAlign w:val="center"/>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rPr>
              <w:t>0,521</w:t>
            </w:r>
          </w:p>
        </w:tc>
        <w:tc>
          <w:tcPr>
            <w:tcW w:w="899" w:type="dxa"/>
            <w:tcBorders>
              <w:top w:val="nil"/>
              <w:left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0,5</w:t>
            </w:r>
          </w:p>
        </w:tc>
        <w:tc>
          <w:tcPr>
            <w:tcW w:w="898" w:type="dxa"/>
            <w:tcBorders>
              <w:top w:val="nil"/>
              <w:left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0,0</w:t>
            </w:r>
          </w:p>
        </w:tc>
        <w:tc>
          <w:tcPr>
            <w:tcW w:w="898" w:type="dxa"/>
            <w:tcBorders>
              <w:top w:val="nil"/>
              <w:left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1,5</w:t>
            </w:r>
          </w:p>
        </w:tc>
        <w:tc>
          <w:tcPr>
            <w:tcW w:w="1027" w:type="dxa"/>
            <w:tcBorders>
              <w:top w:val="nil"/>
              <w:left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0,3</w:t>
            </w:r>
          </w:p>
        </w:tc>
        <w:tc>
          <w:tcPr>
            <w:tcW w:w="770" w:type="dxa"/>
            <w:tcBorders>
              <w:top w:val="nil"/>
              <w:left w:val="nil"/>
              <w:right w:val="nil"/>
            </w:tcBorders>
            <w:noWrap/>
            <w:vAlign w:val="center"/>
            <w:hideMark/>
          </w:tcPr>
          <w:p w:rsidR="00426182" w:rsidRPr="00426182" w:rsidRDefault="00426182" w:rsidP="00426182">
            <w:pPr>
              <w:jc w:val="center"/>
              <w:rPr>
                <w:rFonts w:ascii="Times New Roman" w:hAnsi="Times New Roman" w:cs="Times New Roman"/>
                <w:sz w:val="20"/>
                <w:szCs w:val="20"/>
                <w:lang w:eastAsia="es-ES"/>
              </w:rPr>
            </w:pPr>
            <w:r w:rsidRPr="00426182">
              <w:rPr>
                <w:rFonts w:ascii="Times New Roman" w:hAnsi="Times New Roman" w:cs="Times New Roman"/>
                <w:sz w:val="20"/>
                <w:szCs w:val="20"/>
                <w:lang w:eastAsia="es-ES"/>
              </w:rPr>
              <w:t>0,7</w:t>
            </w:r>
          </w:p>
        </w:tc>
        <w:tc>
          <w:tcPr>
            <w:tcW w:w="898" w:type="dxa"/>
            <w:tcBorders>
              <w:top w:val="nil"/>
              <w:left w:val="nil"/>
              <w:right w:val="nil"/>
            </w:tcBorders>
            <w:vAlign w:val="center"/>
          </w:tcPr>
          <w:p w:rsidR="00426182" w:rsidRPr="00426182" w:rsidRDefault="00426182" w:rsidP="00426182">
            <w:pPr>
              <w:jc w:val="center"/>
              <w:rPr>
                <w:rFonts w:ascii="Times New Roman" w:hAnsi="Times New Roman" w:cs="Times New Roman"/>
                <w:lang w:eastAsia="es-ES"/>
              </w:rPr>
            </w:pPr>
            <w:r w:rsidRPr="00426182">
              <w:rPr>
                <w:rFonts w:ascii="Times New Roman" w:hAnsi="Times New Roman" w:cs="Times New Roman"/>
              </w:rPr>
              <w:t>0,304</w:t>
            </w:r>
          </w:p>
        </w:tc>
      </w:tr>
    </w:tbl>
    <w:p w:rsidR="00426182" w:rsidRPr="00426182" w:rsidRDefault="00426182" w:rsidP="00426182">
      <w:pPr>
        <w:autoSpaceDE w:val="0"/>
        <w:autoSpaceDN w:val="0"/>
        <w:adjustRightInd w:val="0"/>
        <w:spacing w:after="0" w:line="240" w:lineRule="auto"/>
        <w:jc w:val="both"/>
        <w:rPr>
          <w:rFonts w:ascii="Times New Roman" w:eastAsia="Calibri" w:hAnsi="Times New Roman" w:cs="Times New Roman"/>
          <w:sz w:val="20"/>
          <w:szCs w:val="20"/>
        </w:rPr>
      </w:pPr>
    </w:p>
    <w:p w:rsidR="00426182" w:rsidRPr="00426182" w:rsidRDefault="00426182" w:rsidP="00426182">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426182">
        <w:rPr>
          <w:rFonts w:ascii="Times New Roman" w:eastAsia="Calibri" w:hAnsi="Times New Roman" w:cs="Times New Roman"/>
          <w:sz w:val="20"/>
          <w:szCs w:val="20"/>
        </w:rPr>
        <w:t xml:space="preserve">Prueba </w:t>
      </w:r>
      <w:r w:rsidRPr="00426182">
        <w:rPr>
          <w:rFonts w:ascii="Times New Roman" w:eastAsia="Calibri" w:hAnsi="Times New Roman" w:cs="Times New Roman"/>
          <w:bCs/>
          <w:sz w:val="20"/>
          <w:szCs w:val="20"/>
        </w:rPr>
        <w:t>U de Mann-Whitney</w:t>
      </w:r>
      <w:r w:rsidRPr="00426182">
        <w:rPr>
          <w:rFonts w:ascii="Times New Roman" w:eastAsia="Calibri" w:hAnsi="Times New Roman" w:cs="Times New Roman"/>
          <w:sz w:val="20"/>
          <w:szCs w:val="20"/>
        </w:rPr>
        <w:t xml:space="preserve"> (Z= </w:t>
      </w:r>
      <w:r w:rsidRPr="00426182">
        <w:rPr>
          <w:rFonts w:ascii="Times New Roman" w:eastAsia="Times New Roman" w:hAnsi="Times New Roman" w:cs="Times New Roman"/>
          <w:sz w:val="20"/>
          <w:szCs w:val="20"/>
          <w:lang w:eastAsia="es-ES"/>
        </w:rPr>
        <w:t xml:space="preserve">-10,2172, p=0,0), </w:t>
      </w:r>
    </w:p>
    <w:p w:rsidR="00426182" w:rsidRPr="00426182" w:rsidRDefault="00426182" w:rsidP="00426182">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426182">
        <w:rPr>
          <w:rFonts w:ascii="Times New Roman" w:eastAsia="Times New Roman" w:hAnsi="Times New Roman" w:cs="Times New Roman"/>
          <w:sz w:val="16"/>
          <w:szCs w:val="16"/>
          <w:vertAlign w:val="superscript"/>
          <w:lang w:eastAsia="es-ES"/>
        </w:rPr>
        <w:t>1</w:t>
      </w:r>
      <w:r w:rsidRPr="00426182">
        <w:rPr>
          <w:rFonts w:ascii="Times New Roman" w:eastAsia="Times New Roman" w:hAnsi="Times New Roman" w:cs="Times New Roman"/>
          <w:sz w:val="20"/>
          <w:szCs w:val="20"/>
          <w:lang w:eastAsia="es-ES"/>
        </w:rPr>
        <w:t>D.E (desviación estándar)</w:t>
      </w:r>
    </w:p>
    <w:p w:rsidR="00426182" w:rsidRDefault="00426182" w:rsidP="00426182">
      <w:pPr>
        <w:autoSpaceDE w:val="0"/>
        <w:autoSpaceDN w:val="0"/>
        <w:adjustRightInd w:val="0"/>
        <w:spacing w:after="0" w:line="240" w:lineRule="auto"/>
        <w:jc w:val="both"/>
        <w:rPr>
          <w:rFonts w:ascii="Times New Roman" w:eastAsia="Calibri" w:hAnsi="Times New Roman" w:cs="Times New Roman"/>
          <w:sz w:val="24"/>
          <w:szCs w:val="24"/>
        </w:rPr>
      </w:pPr>
    </w:p>
    <w:p w:rsidR="00A240FD" w:rsidRPr="00A26E08" w:rsidRDefault="00A240FD"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La presencia de una elevada adecuación autovalorativa en boxeadores campeones del mundo y la significativamente menor adecuación en sus homólogos </w:t>
      </w:r>
      <w:r w:rsidRPr="004604D1">
        <w:rPr>
          <w:rFonts w:ascii="Times New Roman" w:eastAsia="Calibri" w:hAnsi="Times New Roman" w:cs="Times New Roman"/>
          <w:i/>
          <w:sz w:val="24"/>
          <w:szCs w:val="24"/>
        </w:rPr>
        <w:t>no destacados</w:t>
      </w:r>
      <w:r w:rsidRPr="00A26E08">
        <w:rPr>
          <w:rFonts w:ascii="Times New Roman" w:eastAsia="Calibri" w:hAnsi="Times New Roman" w:cs="Times New Roman"/>
          <w:sz w:val="24"/>
          <w:szCs w:val="24"/>
        </w:rPr>
        <w:t xml:space="preserve"> (apenas medallistas en torneos locales), dota a la PAAB de pertinencia y valor metodológico en el campo de los estudios sobre el control psicológico aplicado al boxeo, y destaca a las autovaloraciones parciales de rendimiento como objeto a tener en cuenta en la preparación psicológica del boxeador en este nivel de la pirámide de rendimiento. </w:t>
      </w:r>
      <w:r w:rsidR="005D61FE" w:rsidRPr="00A26E08">
        <w:rPr>
          <w:rFonts w:ascii="Times New Roman" w:eastAsia="Calibri" w:hAnsi="Times New Roman" w:cs="Times New Roman"/>
          <w:sz w:val="24"/>
          <w:szCs w:val="24"/>
        </w:rPr>
        <w:t>Estos r</w:t>
      </w:r>
      <w:r w:rsidRPr="00A26E08">
        <w:rPr>
          <w:rFonts w:ascii="Times New Roman" w:eastAsia="Calibri" w:hAnsi="Times New Roman" w:cs="Times New Roman"/>
          <w:sz w:val="24"/>
          <w:szCs w:val="24"/>
        </w:rPr>
        <w:t xml:space="preserve">esultados </w:t>
      </w:r>
      <w:r w:rsidR="005D61FE" w:rsidRPr="00A26E08">
        <w:rPr>
          <w:rFonts w:ascii="Times New Roman" w:eastAsia="Calibri" w:hAnsi="Times New Roman" w:cs="Times New Roman"/>
          <w:sz w:val="24"/>
          <w:szCs w:val="24"/>
        </w:rPr>
        <w:t>coinciden con los reportados -en condiciones de ter</w:t>
      </w:r>
      <w:r w:rsidRPr="00A26E08">
        <w:rPr>
          <w:rFonts w:ascii="Times New Roman" w:eastAsia="Calibri" w:hAnsi="Times New Roman" w:cs="Times New Roman"/>
          <w:sz w:val="24"/>
          <w:szCs w:val="24"/>
        </w:rPr>
        <w:t>reno</w:t>
      </w:r>
      <w:r w:rsidR="005D61FE" w:rsidRPr="00A26E08">
        <w:rPr>
          <w:rFonts w:ascii="Times New Roman" w:eastAsia="Calibri" w:hAnsi="Times New Roman" w:cs="Times New Roman"/>
          <w:sz w:val="24"/>
          <w:szCs w:val="24"/>
        </w:rPr>
        <w:t>-</w:t>
      </w:r>
      <w:r w:rsidRPr="00A26E08">
        <w:rPr>
          <w:rFonts w:ascii="Times New Roman" w:eastAsia="Calibri" w:hAnsi="Times New Roman" w:cs="Times New Roman"/>
          <w:sz w:val="24"/>
          <w:szCs w:val="24"/>
        </w:rPr>
        <w:t xml:space="preserve"> </w:t>
      </w:r>
      <w:r w:rsidR="00143B38" w:rsidRPr="00A26E08">
        <w:rPr>
          <w:rFonts w:ascii="Times New Roman" w:eastAsia="Calibri" w:hAnsi="Times New Roman" w:cs="Times New Roman"/>
          <w:sz w:val="24"/>
          <w:szCs w:val="24"/>
        </w:rPr>
        <w:t>por</w:t>
      </w:r>
      <w:r w:rsidRPr="00A26E08">
        <w:rPr>
          <w:rFonts w:ascii="Times New Roman" w:eastAsia="Calibri" w:hAnsi="Times New Roman" w:cs="Times New Roman"/>
          <w:sz w:val="24"/>
          <w:szCs w:val="24"/>
        </w:rPr>
        <w:t xml:space="preserve"> saltadores</w:t>
      </w:r>
      <w:r w:rsidR="005D61FE" w:rsidRPr="00A26E08">
        <w:rPr>
          <w:rFonts w:ascii="Times New Roman" w:eastAsia="Calibri" w:hAnsi="Times New Roman" w:cs="Times New Roman"/>
          <w:sz w:val="24"/>
          <w:szCs w:val="24"/>
        </w:rPr>
        <w:t xml:space="preserve"> de atletismo (</w:t>
      </w:r>
      <w:r w:rsidRPr="00A26E08">
        <w:rPr>
          <w:rFonts w:ascii="Times New Roman" w:eastAsia="Calibri" w:hAnsi="Times New Roman" w:cs="Times New Roman"/>
          <w:sz w:val="24"/>
          <w:szCs w:val="24"/>
        </w:rPr>
        <w:t>González, 2001 a)</w:t>
      </w:r>
      <w:r w:rsidR="005D61FE" w:rsidRPr="00A26E08">
        <w:rPr>
          <w:rFonts w:ascii="Times New Roman" w:eastAsia="Calibri" w:hAnsi="Times New Roman" w:cs="Times New Roman"/>
          <w:sz w:val="24"/>
          <w:szCs w:val="24"/>
        </w:rPr>
        <w:t>, pero situando como contenido autovalorativo -en nuestro caso- el desempeño táctico</w:t>
      </w:r>
      <w:r w:rsidR="00994D4F" w:rsidRPr="00A26E08">
        <w:rPr>
          <w:rFonts w:ascii="Times New Roman" w:eastAsia="Calibri" w:hAnsi="Times New Roman" w:cs="Times New Roman"/>
          <w:sz w:val="24"/>
          <w:szCs w:val="24"/>
        </w:rPr>
        <w:t>, en lugar de la ejecución técnica</w:t>
      </w:r>
      <w:r w:rsidR="005D61FE" w:rsidRPr="00A26E08">
        <w:rPr>
          <w:rFonts w:ascii="Times New Roman" w:eastAsia="Calibri" w:hAnsi="Times New Roman" w:cs="Times New Roman"/>
          <w:sz w:val="24"/>
          <w:szCs w:val="24"/>
        </w:rPr>
        <w:t xml:space="preserve">.  </w:t>
      </w:r>
    </w:p>
    <w:p w:rsidR="00A240FD" w:rsidRPr="00A26E08" w:rsidRDefault="00A240FD"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A través de la entrevista de cierre de la PAAB y de observaciones de desempeño, se confirmó la capacidad de los multicampeones de identificar rápidamente y con suficiente adecuación</w:t>
      </w:r>
      <w:r w:rsidR="00994D4F" w:rsidRPr="00A26E08">
        <w:rPr>
          <w:rFonts w:ascii="Times New Roman" w:eastAsia="Calibri" w:hAnsi="Times New Roman" w:cs="Times New Roman"/>
          <w:sz w:val="24"/>
          <w:szCs w:val="24"/>
        </w:rPr>
        <w:t>,</w:t>
      </w:r>
      <w:r w:rsidRPr="00A26E08">
        <w:rPr>
          <w:rFonts w:ascii="Times New Roman" w:eastAsia="Calibri" w:hAnsi="Times New Roman" w:cs="Times New Roman"/>
          <w:sz w:val="24"/>
          <w:szCs w:val="24"/>
        </w:rPr>
        <w:t xml:space="preserve"> las acciones exitosas de los contrarios. Sus auto reportes de desempeño </w:t>
      </w:r>
      <w:r w:rsidR="00ED6792">
        <w:rPr>
          <w:rFonts w:ascii="Times New Roman" w:eastAsia="Calibri" w:hAnsi="Times New Roman" w:cs="Times New Roman"/>
          <w:sz w:val="24"/>
          <w:szCs w:val="24"/>
        </w:rPr>
        <w:t>fueron</w:t>
      </w:r>
      <w:r w:rsidRPr="00A26E08">
        <w:rPr>
          <w:rFonts w:ascii="Times New Roman" w:eastAsia="Calibri" w:hAnsi="Times New Roman" w:cs="Times New Roman"/>
          <w:sz w:val="24"/>
          <w:szCs w:val="24"/>
        </w:rPr>
        <w:t xml:space="preserve"> muy detallados y coherentes con las autoevaluaciones emitidas durante los ELCG, al punto de referirse a acciones muy específicas que tuvieron lugar durante el combate.</w:t>
      </w:r>
    </w:p>
    <w:p w:rsidR="003C1DBE" w:rsidRPr="00A26E08" w:rsidRDefault="003C1DB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MT" w:hAnsi="TimesNewRomanPSMT" w:cs="TimesNewRomanPSMT"/>
          <w:color w:val="000000"/>
          <w:sz w:val="24"/>
          <w:szCs w:val="24"/>
        </w:rPr>
        <w:t>Una vez demostrada la importancia del estudio autovalorativo en el boxeo, se observó si los valores del IEA se modifica</w:t>
      </w:r>
      <w:r w:rsidR="00B10CA0" w:rsidRPr="00A26E08">
        <w:rPr>
          <w:rFonts w:ascii="TimesNewRomanPSMT" w:hAnsi="TimesNewRomanPSMT" w:cs="TimesNewRomanPSMT"/>
          <w:color w:val="000000"/>
          <w:sz w:val="24"/>
          <w:szCs w:val="24"/>
        </w:rPr>
        <w:t xml:space="preserve">ron con el tránsito de un período del entrenamiento al siguiente, para ambos subgrupos muestrales. Fue necesario comprobar si los procesos autovalorativos se encuentran suficientemente relacionados con los contenidos del entrenamiento como para convertirse en un indicador de su </w:t>
      </w:r>
      <w:r w:rsidR="007673A1">
        <w:rPr>
          <w:rFonts w:ascii="TimesNewRomanPSMT" w:hAnsi="TimesNewRomanPSMT" w:cs="TimesNewRomanPSMT"/>
          <w:color w:val="000000"/>
          <w:sz w:val="24"/>
          <w:szCs w:val="24"/>
        </w:rPr>
        <w:t>correcta</w:t>
      </w:r>
      <w:r w:rsidR="00B10CA0" w:rsidRPr="00A26E08">
        <w:rPr>
          <w:rFonts w:ascii="TimesNewRomanPSMT" w:hAnsi="TimesNewRomanPSMT" w:cs="TimesNewRomanPSMT"/>
          <w:color w:val="000000"/>
          <w:sz w:val="24"/>
          <w:szCs w:val="24"/>
        </w:rPr>
        <w:t xml:space="preserve"> apropiación por parte de los participantes</w:t>
      </w:r>
      <w:r w:rsidR="00994D4F" w:rsidRPr="00A26E08">
        <w:rPr>
          <w:rFonts w:ascii="TimesNewRomanPSMT" w:hAnsi="TimesNewRomanPSMT" w:cs="TimesNewRomanPSMT"/>
          <w:color w:val="000000"/>
          <w:sz w:val="24"/>
          <w:szCs w:val="24"/>
        </w:rPr>
        <w:t>, y de su futura obtención y estabilización de la forma deportiva (Issuri</w:t>
      </w:r>
      <w:r w:rsidR="00CF0E9D" w:rsidRPr="00A26E08">
        <w:rPr>
          <w:rFonts w:ascii="TimesNewRomanPSMT" w:hAnsi="TimesNewRomanPSMT" w:cs="TimesNewRomanPSMT"/>
          <w:color w:val="000000"/>
          <w:sz w:val="24"/>
          <w:szCs w:val="24"/>
        </w:rPr>
        <w:t>n</w:t>
      </w:r>
      <w:r w:rsidR="00994D4F" w:rsidRPr="00A26E08">
        <w:rPr>
          <w:rFonts w:ascii="TimesNewRomanPSMT" w:hAnsi="TimesNewRomanPSMT" w:cs="TimesNewRomanPSMT"/>
          <w:color w:val="000000"/>
          <w:sz w:val="24"/>
          <w:szCs w:val="24"/>
        </w:rPr>
        <w:t>, 2012; Matveev, 1983).</w:t>
      </w:r>
    </w:p>
    <w:p w:rsidR="00965F13" w:rsidRPr="00A26E08" w:rsidRDefault="00426182" w:rsidP="0012124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s-ES"/>
        </w:rPr>
      </w:pPr>
      <w:r w:rsidRPr="00426182">
        <w:rPr>
          <w:rFonts w:ascii="Times New Roman" w:eastAsia="Calibri" w:hAnsi="Times New Roman" w:cs="Times New Roman"/>
          <w:sz w:val="24"/>
          <w:szCs w:val="24"/>
        </w:rPr>
        <w:t xml:space="preserve">La Tabla </w:t>
      </w:r>
      <w:r w:rsidR="007E22D4">
        <w:rPr>
          <w:rFonts w:ascii="Times New Roman" w:eastAsia="Calibri" w:hAnsi="Times New Roman" w:cs="Times New Roman"/>
          <w:sz w:val="24"/>
          <w:szCs w:val="24"/>
        </w:rPr>
        <w:t>No.</w:t>
      </w:r>
      <w:r w:rsidRPr="00426182">
        <w:rPr>
          <w:rFonts w:ascii="Times New Roman" w:eastAsia="Calibri" w:hAnsi="Times New Roman" w:cs="Times New Roman"/>
          <w:sz w:val="24"/>
          <w:szCs w:val="24"/>
        </w:rPr>
        <w:t>2 muestra un resumen de estadísticos descriptivos de la variable IEA en los diferentes mesociclos</w:t>
      </w:r>
      <w:r>
        <w:rPr>
          <w:rFonts w:ascii="Times New Roman" w:eastAsia="Calibri" w:hAnsi="Times New Roman" w:cs="Times New Roman"/>
          <w:sz w:val="24"/>
          <w:szCs w:val="24"/>
        </w:rPr>
        <w:t xml:space="preserve"> </w:t>
      </w:r>
      <w:r w:rsidR="009664BC">
        <w:rPr>
          <w:rFonts w:ascii="Times New Roman" w:eastAsia="Calibri" w:hAnsi="Times New Roman" w:cs="Times New Roman"/>
          <w:sz w:val="24"/>
          <w:szCs w:val="24"/>
        </w:rPr>
        <w:t>y la prueba de hipótesis qu</w:t>
      </w:r>
      <w:r w:rsidRPr="00426182">
        <w:rPr>
          <w:rFonts w:ascii="Times New Roman" w:eastAsia="Calibri" w:hAnsi="Times New Roman" w:cs="Times New Roman"/>
          <w:sz w:val="24"/>
          <w:szCs w:val="24"/>
        </w:rPr>
        <w:t>e comprobó que el mesociclo de preparación por el que transita el boxeador influye en la adecuación del proceso autovalorativo (p&lt;0,05). El IEA es significativamente mayor durante el mesociclo A que durante los mesociclos T y R.</w:t>
      </w:r>
    </w:p>
    <w:p w:rsidR="0012124A" w:rsidRPr="0012124A" w:rsidRDefault="007E22D4" w:rsidP="007E22D4">
      <w:pPr>
        <w:keepNext/>
        <w:spacing w:after="200" w:line="240" w:lineRule="auto"/>
        <w:rPr>
          <w:rFonts w:ascii="Times New Roman" w:eastAsia="Calibri" w:hAnsi="Times New Roman" w:cs="Times New Roman"/>
          <w:bCs/>
          <w:sz w:val="24"/>
          <w:szCs w:val="24"/>
        </w:rPr>
      </w:pPr>
      <w:r w:rsidRPr="0012124A">
        <w:rPr>
          <w:rFonts w:ascii="Times New Roman" w:eastAsia="Calibri" w:hAnsi="Times New Roman" w:cs="Times New Roman"/>
          <w:bCs/>
          <w:sz w:val="24"/>
          <w:szCs w:val="24"/>
        </w:rPr>
        <w:lastRenderedPageBreak/>
        <w:t>Tabla</w:t>
      </w:r>
      <w:r w:rsidR="0012124A">
        <w:rPr>
          <w:rFonts w:ascii="Times New Roman" w:eastAsia="Calibri" w:hAnsi="Times New Roman" w:cs="Times New Roman"/>
          <w:bCs/>
          <w:sz w:val="24"/>
          <w:szCs w:val="24"/>
        </w:rPr>
        <w:t xml:space="preserve"> </w:t>
      </w:r>
      <w:r w:rsidRPr="0012124A">
        <w:rPr>
          <w:rFonts w:ascii="Times New Roman" w:eastAsia="Calibri" w:hAnsi="Times New Roman" w:cs="Times New Roman"/>
          <w:bCs/>
          <w:sz w:val="24"/>
          <w:szCs w:val="24"/>
        </w:rPr>
        <w:fldChar w:fldCharType="begin"/>
      </w:r>
      <w:r w:rsidRPr="0012124A">
        <w:rPr>
          <w:rFonts w:ascii="Times New Roman" w:eastAsia="Calibri" w:hAnsi="Times New Roman" w:cs="Times New Roman"/>
          <w:bCs/>
          <w:sz w:val="24"/>
          <w:szCs w:val="24"/>
        </w:rPr>
        <w:instrText xml:space="preserve"> SEQ Tabla \* ARABIC </w:instrText>
      </w:r>
      <w:r w:rsidRPr="0012124A">
        <w:rPr>
          <w:rFonts w:ascii="Times New Roman" w:eastAsia="Calibri" w:hAnsi="Times New Roman" w:cs="Times New Roman"/>
          <w:bCs/>
          <w:sz w:val="24"/>
          <w:szCs w:val="24"/>
        </w:rPr>
        <w:fldChar w:fldCharType="separate"/>
      </w:r>
      <w:r w:rsidRPr="0012124A">
        <w:rPr>
          <w:rFonts w:ascii="Times New Roman" w:eastAsia="Calibri" w:hAnsi="Times New Roman" w:cs="Times New Roman"/>
          <w:bCs/>
          <w:noProof/>
          <w:sz w:val="24"/>
          <w:szCs w:val="24"/>
        </w:rPr>
        <w:t>2</w:t>
      </w:r>
      <w:r w:rsidRPr="0012124A">
        <w:rPr>
          <w:rFonts w:ascii="Times New Roman" w:eastAsia="Calibri" w:hAnsi="Times New Roman" w:cs="Times New Roman"/>
          <w:bCs/>
          <w:sz w:val="24"/>
          <w:szCs w:val="24"/>
        </w:rPr>
        <w:fldChar w:fldCharType="end"/>
      </w:r>
    </w:p>
    <w:p w:rsidR="007E22D4" w:rsidRPr="0012124A" w:rsidRDefault="007E22D4" w:rsidP="007E22D4">
      <w:pPr>
        <w:keepNext/>
        <w:spacing w:after="200" w:line="240" w:lineRule="auto"/>
        <w:rPr>
          <w:rFonts w:ascii="Times New Roman" w:eastAsia="Calibri" w:hAnsi="Times New Roman" w:cs="Times New Roman"/>
          <w:bCs/>
          <w:i/>
          <w:sz w:val="24"/>
          <w:szCs w:val="24"/>
        </w:rPr>
      </w:pPr>
      <w:r w:rsidRPr="0012124A">
        <w:rPr>
          <w:rFonts w:ascii="Times New Roman" w:eastAsia="Calibri" w:hAnsi="Times New Roman" w:cs="Times New Roman"/>
          <w:bCs/>
          <w:i/>
          <w:sz w:val="24"/>
          <w:szCs w:val="24"/>
        </w:rPr>
        <w:t xml:space="preserve"> Estadísticos descriptivos del EA en cada mesociclo de preparación</w:t>
      </w:r>
    </w:p>
    <w:tbl>
      <w:tblPr>
        <w:tblStyle w:val="Tablaconcuadrcula21"/>
        <w:tblW w:w="8489" w:type="dxa"/>
        <w:tblLayout w:type="fixed"/>
        <w:tblLook w:val="04A0" w:firstRow="1" w:lastRow="0" w:firstColumn="1" w:lastColumn="0" w:noHBand="0" w:noVBand="1"/>
      </w:tblPr>
      <w:tblGrid>
        <w:gridCol w:w="1416"/>
        <w:gridCol w:w="642"/>
        <w:gridCol w:w="1029"/>
        <w:gridCol w:w="901"/>
        <w:gridCol w:w="900"/>
        <w:gridCol w:w="900"/>
        <w:gridCol w:w="1029"/>
        <w:gridCol w:w="772"/>
        <w:gridCol w:w="900"/>
      </w:tblGrid>
      <w:tr w:rsidR="007E22D4" w:rsidRPr="007E22D4" w:rsidTr="007E22D4">
        <w:trPr>
          <w:trHeight w:val="404"/>
        </w:trPr>
        <w:tc>
          <w:tcPr>
            <w:tcW w:w="1416" w:type="dxa"/>
            <w:tcBorders>
              <w:left w:val="nil"/>
              <w:bottom w:val="single" w:sz="4" w:space="0" w:color="000000"/>
              <w:right w:val="nil"/>
            </w:tcBorders>
            <w:noWrap/>
            <w:vAlign w:val="center"/>
            <w:hideMark/>
          </w:tcPr>
          <w:p w:rsidR="007E22D4" w:rsidRPr="007E22D4" w:rsidRDefault="007E22D4" w:rsidP="007E22D4">
            <w:pPr>
              <w:rPr>
                <w:rFonts w:ascii="Times New Roman" w:hAnsi="Times New Roman" w:cs="Times New Roman"/>
                <w:sz w:val="20"/>
                <w:szCs w:val="20"/>
                <w:lang w:eastAsia="es-ES"/>
              </w:rPr>
            </w:pPr>
            <w:r w:rsidRPr="007E22D4">
              <w:rPr>
                <w:rFonts w:ascii="Times New Roman" w:hAnsi="Times New Roman" w:cs="Times New Roman"/>
                <w:sz w:val="20"/>
                <w:szCs w:val="20"/>
                <w:lang w:eastAsia="es-ES"/>
              </w:rPr>
              <w:t>Mesociclo de</w:t>
            </w:r>
          </w:p>
          <w:p w:rsidR="007E22D4" w:rsidRPr="007E22D4" w:rsidRDefault="007E22D4" w:rsidP="007E22D4">
            <w:pPr>
              <w:rPr>
                <w:rFonts w:ascii="Times New Roman" w:hAnsi="Times New Roman" w:cs="Times New Roman"/>
                <w:sz w:val="20"/>
                <w:szCs w:val="20"/>
                <w:lang w:eastAsia="es-ES"/>
              </w:rPr>
            </w:pPr>
            <w:r w:rsidRPr="007E22D4">
              <w:rPr>
                <w:rFonts w:ascii="Times New Roman" w:hAnsi="Times New Roman" w:cs="Times New Roman"/>
                <w:sz w:val="20"/>
                <w:szCs w:val="20"/>
                <w:lang w:eastAsia="es-ES"/>
              </w:rPr>
              <w:t>Preparación</w:t>
            </w:r>
          </w:p>
        </w:tc>
        <w:tc>
          <w:tcPr>
            <w:tcW w:w="642" w:type="dxa"/>
            <w:tcBorders>
              <w:left w:val="nil"/>
              <w:bottom w:val="single" w:sz="4" w:space="0" w:color="000000"/>
              <w:right w:val="nil"/>
            </w:tcBorders>
            <w:noWrap/>
            <w:vAlign w:val="center"/>
            <w:hideMark/>
          </w:tcPr>
          <w:p w:rsidR="007E22D4" w:rsidRPr="007E22D4" w:rsidRDefault="007E22D4" w:rsidP="007E22D4">
            <w:pPr>
              <w:jc w:val="cente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N</w:t>
            </w:r>
          </w:p>
        </w:tc>
        <w:tc>
          <w:tcPr>
            <w:tcW w:w="1029" w:type="dxa"/>
            <w:tcBorders>
              <w:left w:val="nil"/>
              <w:bottom w:val="single" w:sz="4" w:space="0" w:color="000000"/>
              <w:right w:val="nil"/>
            </w:tcBorders>
            <w:vAlign w:val="center"/>
          </w:tcPr>
          <w:p w:rsidR="007E22D4" w:rsidRPr="007E22D4" w:rsidRDefault="007E22D4" w:rsidP="007E22D4">
            <w:pPr>
              <w:jc w:val="cente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Media</w:t>
            </w:r>
          </w:p>
        </w:tc>
        <w:tc>
          <w:tcPr>
            <w:tcW w:w="901" w:type="dxa"/>
            <w:tcBorders>
              <w:left w:val="nil"/>
              <w:bottom w:val="single" w:sz="4" w:space="0" w:color="000000"/>
              <w:right w:val="nil"/>
            </w:tcBorders>
            <w:noWrap/>
            <w:vAlign w:val="center"/>
            <w:hideMark/>
          </w:tcPr>
          <w:p w:rsidR="007E22D4" w:rsidRPr="007E22D4" w:rsidRDefault="007E22D4" w:rsidP="007E22D4">
            <w:pPr>
              <w:jc w:val="cente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Median</w:t>
            </w:r>
          </w:p>
        </w:tc>
        <w:tc>
          <w:tcPr>
            <w:tcW w:w="900" w:type="dxa"/>
            <w:tcBorders>
              <w:left w:val="nil"/>
              <w:bottom w:val="single" w:sz="4" w:space="0" w:color="000000"/>
              <w:right w:val="nil"/>
            </w:tcBorders>
            <w:noWrap/>
            <w:vAlign w:val="center"/>
            <w:hideMark/>
          </w:tcPr>
          <w:p w:rsidR="007E22D4" w:rsidRPr="007E22D4" w:rsidRDefault="007E22D4" w:rsidP="007E22D4">
            <w:pPr>
              <w:jc w:val="cente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Mínimo</w:t>
            </w:r>
          </w:p>
        </w:tc>
        <w:tc>
          <w:tcPr>
            <w:tcW w:w="900" w:type="dxa"/>
            <w:tcBorders>
              <w:left w:val="nil"/>
              <w:bottom w:val="single" w:sz="4" w:space="0" w:color="000000"/>
              <w:right w:val="nil"/>
            </w:tcBorders>
            <w:noWrap/>
            <w:vAlign w:val="center"/>
            <w:hideMark/>
          </w:tcPr>
          <w:p w:rsidR="007E22D4" w:rsidRPr="007E22D4" w:rsidRDefault="007E22D4" w:rsidP="007E22D4">
            <w:pPr>
              <w:jc w:val="cente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Máximo</w:t>
            </w:r>
          </w:p>
        </w:tc>
        <w:tc>
          <w:tcPr>
            <w:tcW w:w="1029" w:type="dxa"/>
            <w:tcBorders>
              <w:left w:val="nil"/>
              <w:bottom w:val="single" w:sz="4" w:space="0" w:color="000000"/>
              <w:right w:val="nil"/>
            </w:tcBorders>
            <w:noWrap/>
            <w:vAlign w:val="center"/>
            <w:hideMark/>
          </w:tcPr>
          <w:p w:rsidR="007E22D4" w:rsidRPr="007E22D4" w:rsidRDefault="007E22D4" w:rsidP="007E22D4">
            <w:pPr>
              <w:jc w:val="center"/>
              <w:rPr>
                <w:rFonts w:ascii="Times New Roman" w:hAnsi="Times New Roman" w:cs="Times New Roman"/>
                <w:bCs/>
                <w:sz w:val="20"/>
                <w:szCs w:val="20"/>
                <w:vertAlign w:val="superscript"/>
                <w:lang w:eastAsia="es-ES"/>
              </w:rPr>
            </w:pPr>
            <w:r w:rsidRPr="007E22D4">
              <w:rPr>
                <w:rFonts w:ascii="Times New Roman" w:hAnsi="Times New Roman" w:cs="Times New Roman"/>
                <w:bCs/>
                <w:sz w:val="20"/>
                <w:szCs w:val="20"/>
                <w:lang w:eastAsia="es-ES"/>
              </w:rPr>
              <w:t>1</w:t>
            </w:r>
            <w:r w:rsidRPr="007E22D4">
              <w:rPr>
                <w:rFonts w:ascii="Times New Roman" w:hAnsi="Times New Roman" w:cs="Times New Roman"/>
                <w:bCs/>
                <w:sz w:val="20"/>
                <w:szCs w:val="20"/>
                <w:vertAlign w:val="superscript"/>
                <w:lang w:eastAsia="es-ES"/>
              </w:rPr>
              <w:t xml:space="preserve">er </w:t>
            </w:r>
          </w:p>
          <w:p w:rsidR="007E22D4" w:rsidRPr="007E22D4" w:rsidRDefault="007E22D4" w:rsidP="007E22D4">
            <w:pPr>
              <w:jc w:val="cente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Cuartil</w:t>
            </w:r>
          </w:p>
        </w:tc>
        <w:tc>
          <w:tcPr>
            <w:tcW w:w="772" w:type="dxa"/>
            <w:tcBorders>
              <w:left w:val="nil"/>
              <w:bottom w:val="single" w:sz="4" w:space="0" w:color="000000"/>
              <w:right w:val="nil"/>
            </w:tcBorders>
            <w:noWrap/>
            <w:vAlign w:val="center"/>
            <w:hideMark/>
          </w:tcPr>
          <w:p w:rsidR="007E22D4" w:rsidRPr="007E22D4" w:rsidRDefault="007E22D4" w:rsidP="007E22D4">
            <w:pPr>
              <w:jc w:val="cente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3</w:t>
            </w:r>
            <w:r w:rsidRPr="007E22D4">
              <w:rPr>
                <w:rFonts w:ascii="Times New Roman" w:hAnsi="Times New Roman" w:cs="Times New Roman"/>
                <w:bCs/>
                <w:sz w:val="20"/>
                <w:szCs w:val="20"/>
                <w:vertAlign w:val="superscript"/>
                <w:lang w:eastAsia="es-ES"/>
              </w:rPr>
              <w:t>er</w:t>
            </w:r>
            <w:r w:rsidRPr="007E22D4">
              <w:rPr>
                <w:rFonts w:ascii="Times New Roman" w:hAnsi="Times New Roman" w:cs="Times New Roman"/>
                <w:bCs/>
                <w:sz w:val="20"/>
                <w:szCs w:val="20"/>
                <w:lang w:eastAsia="es-ES"/>
              </w:rPr>
              <w:t xml:space="preserve"> Cuartil</w:t>
            </w:r>
          </w:p>
        </w:tc>
        <w:tc>
          <w:tcPr>
            <w:tcW w:w="900" w:type="dxa"/>
            <w:tcBorders>
              <w:left w:val="nil"/>
              <w:bottom w:val="single" w:sz="4" w:space="0" w:color="000000"/>
              <w:right w:val="nil"/>
            </w:tcBorders>
            <w:vAlign w:val="center"/>
          </w:tcPr>
          <w:p w:rsidR="007E22D4" w:rsidRPr="007E22D4" w:rsidRDefault="007E22D4" w:rsidP="007E22D4">
            <w:pPr>
              <w:jc w:val="cente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D.E</w:t>
            </w:r>
          </w:p>
        </w:tc>
      </w:tr>
      <w:tr w:rsidR="007E22D4" w:rsidRPr="007E22D4" w:rsidTr="007E22D4">
        <w:trPr>
          <w:trHeight w:val="404"/>
        </w:trPr>
        <w:tc>
          <w:tcPr>
            <w:tcW w:w="1416" w:type="dxa"/>
            <w:tcBorders>
              <w:left w:val="nil"/>
              <w:bottom w:val="nil"/>
              <w:right w:val="nil"/>
            </w:tcBorders>
            <w:noWrap/>
            <w:vAlign w:val="center"/>
            <w:hideMark/>
          </w:tcPr>
          <w:p w:rsidR="007E22D4" w:rsidRPr="007E22D4" w:rsidRDefault="007E22D4" w:rsidP="007E22D4">
            <w:pP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Etapa A</w:t>
            </w:r>
          </w:p>
        </w:tc>
        <w:tc>
          <w:tcPr>
            <w:tcW w:w="642" w:type="dxa"/>
            <w:tcBorders>
              <w:top w:val="outset" w:sz="6" w:space="0" w:color="auto"/>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749</w:t>
            </w:r>
          </w:p>
        </w:tc>
        <w:tc>
          <w:tcPr>
            <w:tcW w:w="1029" w:type="dxa"/>
            <w:tcBorders>
              <w:top w:val="outset" w:sz="6" w:space="0" w:color="auto"/>
              <w:left w:val="nil"/>
              <w:bottom w:val="nil"/>
              <w:right w:val="nil"/>
            </w:tcBorders>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0,482</w:t>
            </w:r>
          </w:p>
        </w:tc>
        <w:tc>
          <w:tcPr>
            <w:tcW w:w="901" w:type="dxa"/>
            <w:tcBorders>
              <w:top w:val="outset" w:sz="6" w:space="0" w:color="auto"/>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0,5</w:t>
            </w:r>
          </w:p>
        </w:tc>
        <w:tc>
          <w:tcPr>
            <w:tcW w:w="900" w:type="dxa"/>
            <w:tcBorders>
              <w:top w:val="outset" w:sz="6" w:space="0" w:color="auto"/>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0,0</w:t>
            </w:r>
          </w:p>
        </w:tc>
        <w:tc>
          <w:tcPr>
            <w:tcW w:w="900" w:type="dxa"/>
            <w:tcBorders>
              <w:top w:val="outset" w:sz="6" w:space="0" w:color="auto"/>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1,5</w:t>
            </w:r>
          </w:p>
        </w:tc>
        <w:tc>
          <w:tcPr>
            <w:tcW w:w="1029" w:type="dxa"/>
            <w:tcBorders>
              <w:top w:val="outset" w:sz="6" w:space="0" w:color="auto"/>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0,3</w:t>
            </w:r>
          </w:p>
        </w:tc>
        <w:tc>
          <w:tcPr>
            <w:tcW w:w="772" w:type="dxa"/>
            <w:tcBorders>
              <w:top w:val="outset" w:sz="6" w:space="0" w:color="auto"/>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0,5</w:t>
            </w:r>
          </w:p>
        </w:tc>
        <w:tc>
          <w:tcPr>
            <w:tcW w:w="900" w:type="dxa"/>
            <w:tcBorders>
              <w:top w:val="outset" w:sz="6" w:space="0" w:color="auto"/>
              <w:left w:val="nil"/>
              <w:bottom w:val="nil"/>
              <w:right w:val="nil"/>
            </w:tcBorders>
            <w:vAlign w:val="center"/>
          </w:tcPr>
          <w:p w:rsidR="007E22D4" w:rsidRPr="007E22D4" w:rsidRDefault="007E22D4" w:rsidP="007E22D4">
            <w:pPr>
              <w:jc w:val="center"/>
              <w:rPr>
                <w:rFonts w:ascii="Times New Roman" w:hAnsi="Times New Roman" w:cs="Times New Roman"/>
                <w:lang w:eastAsia="es-ES"/>
              </w:rPr>
            </w:pPr>
            <w:r w:rsidRPr="007E22D4">
              <w:rPr>
                <w:rFonts w:ascii="Arial" w:hAnsi="Arial" w:cs="Arial"/>
                <w:sz w:val="20"/>
                <w:szCs w:val="20"/>
              </w:rPr>
              <w:t>0,261</w:t>
            </w:r>
          </w:p>
        </w:tc>
      </w:tr>
      <w:tr w:rsidR="007E22D4" w:rsidRPr="007E22D4" w:rsidTr="007E22D4">
        <w:trPr>
          <w:trHeight w:val="404"/>
        </w:trPr>
        <w:tc>
          <w:tcPr>
            <w:tcW w:w="1416" w:type="dxa"/>
            <w:tcBorders>
              <w:top w:val="nil"/>
              <w:left w:val="nil"/>
              <w:bottom w:val="nil"/>
              <w:right w:val="nil"/>
            </w:tcBorders>
            <w:noWrap/>
            <w:vAlign w:val="center"/>
          </w:tcPr>
          <w:p w:rsidR="007E22D4" w:rsidRPr="007E22D4" w:rsidRDefault="007E22D4" w:rsidP="007E22D4">
            <w:pP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Etapa T</w:t>
            </w:r>
          </w:p>
        </w:tc>
        <w:tc>
          <w:tcPr>
            <w:tcW w:w="642" w:type="dxa"/>
            <w:tcBorders>
              <w:top w:val="nil"/>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643</w:t>
            </w:r>
          </w:p>
        </w:tc>
        <w:tc>
          <w:tcPr>
            <w:tcW w:w="1029" w:type="dxa"/>
            <w:tcBorders>
              <w:top w:val="nil"/>
              <w:left w:val="nil"/>
              <w:bottom w:val="nil"/>
              <w:right w:val="nil"/>
            </w:tcBorders>
            <w:vAlign w:val="center"/>
          </w:tcPr>
          <w:p w:rsidR="007E22D4" w:rsidRPr="007E22D4" w:rsidRDefault="007E22D4" w:rsidP="007E22D4">
            <w:pPr>
              <w:jc w:val="center"/>
              <w:rPr>
                <w:rFonts w:ascii="Times New Roman" w:hAnsi="Times New Roman" w:cs="Times New Roman"/>
                <w:sz w:val="20"/>
                <w:szCs w:val="20"/>
              </w:rPr>
            </w:pPr>
            <w:r w:rsidRPr="007E22D4">
              <w:rPr>
                <w:rFonts w:ascii="Arial" w:hAnsi="Arial" w:cs="Arial"/>
                <w:sz w:val="20"/>
                <w:szCs w:val="20"/>
              </w:rPr>
              <w:t>0,349</w:t>
            </w:r>
          </w:p>
        </w:tc>
        <w:tc>
          <w:tcPr>
            <w:tcW w:w="901" w:type="dxa"/>
            <w:tcBorders>
              <w:top w:val="nil"/>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0,3</w:t>
            </w:r>
          </w:p>
        </w:tc>
        <w:tc>
          <w:tcPr>
            <w:tcW w:w="900" w:type="dxa"/>
            <w:tcBorders>
              <w:top w:val="nil"/>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0,00</w:t>
            </w:r>
          </w:p>
        </w:tc>
        <w:tc>
          <w:tcPr>
            <w:tcW w:w="900" w:type="dxa"/>
            <w:tcBorders>
              <w:top w:val="nil"/>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1,5</w:t>
            </w:r>
          </w:p>
        </w:tc>
        <w:tc>
          <w:tcPr>
            <w:tcW w:w="1029" w:type="dxa"/>
            <w:tcBorders>
              <w:top w:val="nil"/>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0,2</w:t>
            </w:r>
          </w:p>
        </w:tc>
        <w:tc>
          <w:tcPr>
            <w:tcW w:w="772" w:type="dxa"/>
            <w:tcBorders>
              <w:top w:val="nil"/>
              <w:left w:val="nil"/>
              <w:bottom w:val="nil"/>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0,5</w:t>
            </w:r>
          </w:p>
        </w:tc>
        <w:tc>
          <w:tcPr>
            <w:tcW w:w="900" w:type="dxa"/>
            <w:tcBorders>
              <w:top w:val="nil"/>
              <w:left w:val="nil"/>
              <w:bottom w:val="nil"/>
              <w:right w:val="nil"/>
            </w:tcBorders>
            <w:vAlign w:val="center"/>
          </w:tcPr>
          <w:p w:rsidR="007E22D4" w:rsidRPr="007E22D4" w:rsidRDefault="007E22D4" w:rsidP="007E22D4">
            <w:pPr>
              <w:jc w:val="center"/>
              <w:rPr>
                <w:rFonts w:ascii="Times New Roman" w:hAnsi="Times New Roman" w:cs="Times New Roman"/>
              </w:rPr>
            </w:pPr>
            <w:r w:rsidRPr="007E22D4">
              <w:rPr>
                <w:rFonts w:ascii="Arial" w:hAnsi="Arial" w:cs="Arial"/>
                <w:sz w:val="20"/>
                <w:szCs w:val="20"/>
              </w:rPr>
              <w:t>0,259</w:t>
            </w:r>
          </w:p>
        </w:tc>
      </w:tr>
      <w:tr w:rsidR="007E22D4" w:rsidRPr="007E22D4" w:rsidTr="007E22D4">
        <w:trPr>
          <w:trHeight w:val="404"/>
        </w:trPr>
        <w:tc>
          <w:tcPr>
            <w:tcW w:w="1416" w:type="dxa"/>
            <w:tcBorders>
              <w:top w:val="nil"/>
              <w:left w:val="nil"/>
              <w:right w:val="nil"/>
            </w:tcBorders>
            <w:noWrap/>
            <w:vAlign w:val="center"/>
            <w:hideMark/>
          </w:tcPr>
          <w:p w:rsidR="007E22D4" w:rsidRPr="007E22D4" w:rsidRDefault="007E22D4" w:rsidP="007E22D4">
            <w:pPr>
              <w:rPr>
                <w:rFonts w:ascii="Times New Roman" w:hAnsi="Times New Roman" w:cs="Times New Roman"/>
                <w:bCs/>
                <w:sz w:val="20"/>
                <w:szCs w:val="20"/>
                <w:lang w:eastAsia="es-ES"/>
              </w:rPr>
            </w:pPr>
            <w:r w:rsidRPr="007E22D4">
              <w:rPr>
                <w:rFonts w:ascii="Times New Roman" w:hAnsi="Times New Roman" w:cs="Times New Roman"/>
                <w:bCs/>
                <w:sz w:val="20"/>
                <w:szCs w:val="20"/>
                <w:lang w:eastAsia="es-ES"/>
              </w:rPr>
              <w:t>Etapa R</w:t>
            </w:r>
          </w:p>
        </w:tc>
        <w:tc>
          <w:tcPr>
            <w:tcW w:w="642" w:type="dxa"/>
            <w:tcBorders>
              <w:top w:val="nil"/>
              <w:left w:val="nil"/>
              <w:bottom w:val="outset" w:sz="6" w:space="0" w:color="auto"/>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52</w:t>
            </w:r>
          </w:p>
        </w:tc>
        <w:tc>
          <w:tcPr>
            <w:tcW w:w="1029" w:type="dxa"/>
            <w:tcBorders>
              <w:top w:val="nil"/>
              <w:left w:val="nil"/>
              <w:bottom w:val="outset" w:sz="6" w:space="0" w:color="auto"/>
              <w:right w:val="nil"/>
            </w:tcBorders>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0,329</w:t>
            </w:r>
          </w:p>
        </w:tc>
        <w:tc>
          <w:tcPr>
            <w:tcW w:w="901" w:type="dxa"/>
            <w:tcBorders>
              <w:top w:val="nil"/>
              <w:left w:val="nil"/>
              <w:bottom w:val="outset" w:sz="6" w:space="0" w:color="auto"/>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0,3</w:t>
            </w:r>
          </w:p>
        </w:tc>
        <w:tc>
          <w:tcPr>
            <w:tcW w:w="900" w:type="dxa"/>
            <w:tcBorders>
              <w:top w:val="nil"/>
              <w:left w:val="nil"/>
              <w:bottom w:val="outset" w:sz="6" w:space="0" w:color="auto"/>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0,00</w:t>
            </w:r>
          </w:p>
        </w:tc>
        <w:tc>
          <w:tcPr>
            <w:tcW w:w="900" w:type="dxa"/>
            <w:tcBorders>
              <w:top w:val="nil"/>
              <w:left w:val="nil"/>
              <w:bottom w:val="outset" w:sz="6" w:space="0" w:color="auto"/>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1,0</w:t>
            </w:r>
          </w:p>
        </w:tc>
        <w:tc>
          <w:tcPr>
            <w:tcW w:w="1029" w:type="dxa"/>
            <w:tcBorders>
              <w:top w:val="nil"/>
              <w:left w:val="nil"/>
              <w:bottom w:val="outset" w:sz="6" w:space="0" w:color="auto"/>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0,2</w:t>
            </w:r>
          </w:p>
        </w:tc>
        <w:tc>
          <w:tcPr>
            <w:tcW w:w="772" w:type="dxa"/>
            <w:tcBorders>
              <w:top w:val="nil"/>
              <w:left w:val="nil"/>
              <w:bottom w:val="outset" w:sz="6" w:space="0" w:color="auto"/>
              <w:right w:val="nil"/>
            </w:tcBorders>
            <w:noWrap/>
            <w:vAlign w:val="center"/>
          </w:tcPr>
          <w:p w:rsidR="007E22D4" w:rsidRPr="007E22D4" w:rsidRDefault="007E22D4" w:rsidP="007E22D4">
            <w:pPr>
              <w:jc w:val="center"/>
              <w:rPr>
                <w:rFonts w:ascii="Times New Roman" w:hAnsi="Times New Roman" w:cs="Times New Roman"/>
                <w:sz w:val="20"/>
                <w:szCs w:val="20"/>
                <w:lang w:eastAsia="es-ES"/>
              </w:rPr>
            </w:pPr>
            <w:r w:rsidRPr="007E22D4">
              <w:rPr>
                <w:rFonts w:ascii="Arial" w:hAnsi="Arial" w:cs="Arial"/>
                <w:sz w:val="20"/>
                <w:szCs w:val="20"/>
              </w:rPr>
              <w:t>0,5</w:t>
            </w:r>
          </w:p>
        </w:tc>
        <w:tc>
          <w:tcPr>
            <w:tcW w:w="900" w:type="dxa"/>
            <w:tcBorders>
              <w:top w:val="nil"/>
              <w:left w:val="nil"/>
              <w:bottom w:val="outset" w:sz="6" w:space="0" w:color="auto"/>
              <w:right w:val="nil"/>
            </w:tcBorders>
            <w:vAlign w:val="center"/>
          </w:tcPr>
          <w:p w:rsidR="007E22D4" w:rsidRPr="007E22D4" w:rsidRDefault="007E22D4" w:rsidP="007E22D4">
            <w:pPr>
              <w:jc w:val="center"/>
              <w:rPr>
                <w:rFonts w:ascii="Times New Roman" w:hAnsi="Times New Roman" w:cs="Times New Roman"/>
                <w:lang w:eastAsia="es-ES"/>
              </w:rPr>
            </w:pPr>
            <w:r w:rsidRPr="007E22D4">
              <w:rPr>
                <w:rFonts w:ascii="Arial" w:hAnsi="Arial" w:cs="Arial"/>
                <w:sz w:val="20"/>
                <w:szCs w:val="20"/>
              </w:rPr>
              <w:t>0,208</w:t>
            </w:r>
          </w:p>
        </w:tc>
      </w:tr>
    </w:tbl>
    <w:p w:rsidR="007E22D4" w:rsidRPr="007E22D4" w:rsidRDefault="007E22D4" w:rsidP="007E22D4">
      <w:pPr>
        <w:autoSpaceDE w:val="0"/>
        <w:autoSpaceDN w:val="0"/>
        <w:adjustRightInd w:val="0"/>
        <w:spacing w:after="0" w:line="240" w:lineRule="auto"/>
        <w:jc w:val="both"/>
        <w:rPr>
          <w:rFonts w:ascii="Arial" w:eastAsia="Times New Roman" w:hAnsi="Arial" w:cs="Arial"/>
          <w:sz w:val="20"/>
          <w:szCs w:val="20"/>
          <w:lang w:val="en-US" w:eastAsia="es-ES"/>
        </w:rPr>
      </w:pPr>
    </w:p>
    <w:p w:rsidR="007E22D4" w:rsidRPr="007E22D4" w:rsidRDefault="007E22D4" w:rsidP="007E22D4">
      <w:pPr>
        <w:autoSpaceDE w:val="0"/>
        <w:autoSpaceDN w:val="0"/>
        <w:adjustRightInd w:val="0"/>
        <w:spacing w:after="0" w:line="240" w:lineRule="auto"/>
        <w:jc w:val="both"/>
        <w:rPr>
          <w:rFonts w:ascii="Times New Roman" w:eastAsia="Times New Roman" w:hAnsi="Times New Roman" w:cs="Times New Roman"/>
          <w:sz w:val="20"/>
          <w:szCs w:val="20"/>
          <w:lang w:val="en-US" w:eastAsia="es-ES"/>
        </w:rPr>
      </w:pPr>
      <w:r w:rsidRPr="007E22D4">
        <w:rPr>
          <w:rFonts w:ascii="Times New Roman" w:eastAsia="Times New Roman" w:hAnsi="Times New Roman" w:cs="Times New Roman"/>
          <w:sz w:val="20"/>
          <w:szCs w:val="20"/>
          <w:lang w:val="en-US" w:eastAsia="es-ES"/>
        </w:rPr>
        <w:t>Prueba Kruskal-Wallis: H (2, N= 1444) =110,5919 p =0,000</w:t>
      </w:r>
    </w:p>
    <w:p w:rsidR="007E22D4" w:rsidRPr="007E22D4" w:rsidRDefault="007E22D4" w:rsidP="007E22D4">
      <w:pPr>
        <w:autoSpaceDE w:val="0"/>
        <w:autoSpaceDN w:val="0"/>
        <w:adjustRightInd w:val="0"/>
        <w:spacing w:after="0" w:line="240" w:lineRule="auto"/>
        <w:jc w:val="both"/>
        <w:rPr>
          <w:rFonts w:ascii="Times New Roman" w:eastAsia="Times New Roman" w:hAnsi="Times New Roman" w:cs="Times New Roman"/>
          <w:sz w:val="20"/>
          <w:szCs w:val="20"/>
          <w:lang w:eastAsia="es-ES"/>
        </w:rPr>
      </w:pPr>
      <w:r w:rsidRPr="007E22D4">
        <w:rPr>
          <w:rFonts w:ascii="Times New Roman" w:eastAsia="Times New Roman" w:hAnsi="Times New Roman" w:cs="Times New Roman"/>
          <w:sz w:val="20"/>
          <w:szCs w:val="20"/>
          <w:vertAlign w:val="superscript"/>
          <w:lang w:eastAsia="es-ES"/>
        </w:rPr>
        <w:t>1</w:t>
      </w:r>
      <w:r w:rsidRPr="007E22D4">
        <w:rPr>
          <w:rFonts w:ascii="Times New Roman" w:eastAsia="Times New Roman" w:hAnsi="Times New Roman" w:cs="Times New Roman"/>
          <w:sz w:val="20"/>
          <w:szCs w:val="20"/>
          <w:lang w:eastAsia="es-ES"/>
        </w:rPr>
        <w:t>D.E (desviación estándar)</w:t>
      </w:r>
    </w:p>
    <w:p w:rsidR="00325E89" w:rsidRPr="00A26E08" w:rsidRDefault="00325E89" w:rsidP="0084774F">
      <w:pPr>
        <w:autoSpaceDE w:val="0"/>
        <w:autoSpaceDN w:val="0"/>
        <w:adjustRightInd w:val="0"/>
        <w:spacing w:after="0" w:line="240" w:lineRule="auto"/>
        <w:jc w:val="both"/>
        <w:rPr>
          <w:rFonts w:ascii="Times New Roman" w:eastAsia="Times New Roman" w:hAnsi="Times New Roman" w:cs="Times New Roman"/>
          <w:sz w:val="24"/>
          <w:szCs w:val="24"/>
          <w:lang w:eastAsia="es-ES"/>
        </w:rPr>
      </w:pPr>
    </w:p>
    <w:p w:rsidR="00DD059F" w:rsidRPr="00A26E08" w:rsidRDefault="00DD059F" w:rsidP="0012124A">
      <w:pPr>
        <w:autoSpaceDE w:val="0"/>
        <w:autoSpaceDN w:val="0"/>
        <w:adjustRightInd w:val="0"/>
        <w:spacing w:after="0" w:line="240" w:lineRule="auto"/>
        <w:ind w:firstLine="708"/>
        <w:jc w:val="both"/>
        <w:rPr>
          <w:rFonts w:ascii="Times New Roman" w:eastAsia="Times New Roman" w:hAnsi="Times New Roman" w:cs="Times New Roman"/>
          <w:sz w:val="24"/>
          <w:szCs w:val="24"/>
          <w:lang w:eastAsia="es-ES"/>
        </w:rPr>
      </w:pPr>
      <w:r w:rsidRPr="00A26E08">
        <w:rPr>
          <w:rFonts w:ascii="Times New Roman" w:eastAsia="Times New Roman" w:hAnsi="Times New Roman" w:cs="Times New Roman"/>
          <w:sz w:val="24"/>
          <w:szCs w:val="24"/>
          <w:lang w:eastAsia="es-ES"/>
        </w:rPr>
        <w:t>Est</w:t>
      </w:r>
      <w:r w:rsidR="00965F13" w:rsidRPr="00A26E08">
        <w:rPr>
          <w:rFonts w:ascii="Times New Roman" w:eastAsia="Times New Roman" w:hAnsi="Times New Roman" w:cs="Times New Roman"/>
          <w:sz w:val="24"/>
          <w:szCs w:val="24"/>
          <w:lang w:eastAsia="es-ES"/>
        </w:rPr>
        <w:t>e</w:t>
      </w:r>
      <w:r w:rsidRPr="00A26E08">
        <w:rPr>
          <w:rFonts w:ascii="Times New Roman" w:eastAsia="Times New Roman" w:hAnsi="Times New Roman" w:cs="Times New Roman"/>
          <w:sz w:val="24"/>
          <w:szCs w:val="24"/>
          <w:lang w:eastAsia="es-ES"/>
        </w:rPr>
        <w:t xml:space="preserve"> hallazgo tiene importantes connotaciones, pues sugiere que las autovaloraciones parciales de rendimiento, en lugar de alcanzar su máximo potencial en vísperas de la competencia fundamental, preservan una adecuación lograda a finales del mesociclo precedente.</w:t>
      </w:r>
      <w:r w:rsidR="00965F13" w:rsidRPr="00A26E08">
        <w:rPr>
          <w:rFonts w:ascii="Times New Roman" w:eastAsia="Times New Roman" w:hAnsi="Times New Roman" w:cs="Times New Roman"/>
          <w:sz w:val="24"/>
          <w:szCs w:val="24"/>
          <w:lang w:eastAsia="es-ES"/>
        </w:rPr>
        <w:t xml:space="preserve"> Lo anterior, difiere de los resultados encontrados en algunas investigaciones (</w:t>
      </w:r>
      <w:r w:rsidR="00D509BF" w:rsidRPr="00A26E08">
        <w:rPr>
          <w:rFonts w:ascii="Times New Roman" w:eastAsia="Times New Roman" w:hAnsi="Times New Roman" w:cs="Times New Roman"/>
          <w:sz w:val="24"/>
          <w:szCs w:val="24"/>
          <w:lang w:eastAsia="es-ES"/>
        </w:rPr>
        <w:t xml:space="preserve">Barrios, 2011; </w:t>
      </w:r>
      <w:r w:rsidR="00965F13" w:rsidRPr="00A26E08">
        <w:rPr>
          <w:rFonts w:ascii="Times New Roman" w:eastAsia="Times New Roman" w:hAnsi="Times New Roman" w:cs="Times New Roman"/>
          <w:sz w:val="24"/>
          <w:szCs w:val="24"/>
          <w:lang w:eastAsia="es-ES"/>
        </w:rPr>
        <w:t>Del Monte, 2010; González, L., 2001 a, c</w:t>
      </w:r>
      <w:r w:rsidR="00D509BF" w:rsidRPr="00A26E08">
        <w:rPr>
          <w:rFonts w:ascii="Times New Roman" w:eastAsia="Times New Roman" w:hAnsi="Times New Roman" w:cs="Times New Roman"/>
          <w:sz w:val="24"/>
          <w:szCs w:val="24"/>
          <w:lang w:eastAsia="es-ES"/>
        </w:rPr>
        <w:t>; Suárez, 2015</w:t>
      </w:r>
      <w:r w:rsidR="00965F13" w:rsidRPr="00A26E08">
        <w:rPr>
          <w:rFonts w:ascii="Times New Roman" w:eastAsia="Times New Roman" w:hAnsi="Times New Roman" w:cs="Times New Roman"/>
          <w:sz w:val="24"/>
          <w:szCs w:val="24"/>
          <w:lang w:eastAsia="es-ES"/>
        </w:rPr>
        <w:t>) que constituyen referentes de esta tesis, motivo por el cual serán necesarios otros análisis para discutir la varianza del IEA, teniendo en cuenta los mesociclos de preparación.</w:t>
      </w:r>
    </w:p>
    <w:p w:rsidR="00CF0E9D" w:rsidRPr="00A26E08" w:rsidRDefault="00CF0E9D" w:rsidP="0084774F">
      <w:pPr>
        <w:autoSpaceDE w:val="0"/>
        <w:autoSpaceDN w:val="0"/>
        <w:adjustRightInd w:val="0"/>
        <w:spacing w:after="0" w:line="240" w:lineRule="auto"/>
        <w:jc w:val="both"/>
        <w:rPr>
          <w:rFonts w:ascii="TimesNewRomanPSMT" w:hAnsi="TimesNewRomanPSMT" w:cs="TimesNewRomanPSMT"/>
          <w:i/>
          <w:color w:val="000000"/>
          <w:sz w:val="24"/>
          <w:szCs w:val="24"/>
        </w:rPr>
      </w:pPr>
    </w:p>
    <w:p w:rsidR="00CE0EC5" w:rsidRPr="0012124A" w:rsidRDefault="00CE0EC5" w:rsidP="0084774F">
      <w:pPr>
        <w:autoSpaceDE w:val="0"/>
        <w:autoSpaceDN w:val="0"/>
        <w:adjustRightInd w:val="0"/>
        <w:spacing w:after="0" w:line="240" w:lineRule="auto"/>
        <w:jc w:val="both"/>
        <w:rPr>
          <w:rFonts w:ascii="TimesNewRomanPSMT" w:hAnsi="TimesNewRomanPSMT" w:cs="TimesNewRomanPSMT"/>
          <w:b/>
          <w:color w:val="000000"/>
          <w:sz w:val="24"/>
          <w:szCs w:val="24"/>
        </w:rPr>
      </w:pPr>
      <w:r w:rsidRPr="0012124A">
        <w:rPr>
          <w:rFonts w:ascii="TimesNewRomanPSMT" w:hAnsi="TimesNewRomanPSMT" w:cs="TimesNewRomanPSMT"/>
          <w:b/>
          <w:color w:val="000000"/>
          <w:sz w:val="24"/>
          <w:szCs w:val="24"/>
        </w:rPr>
        <w:t>Análisis de validez de la PAAB.</w:t>
      </w:r>
    </w:p>
    <w:p w:rsidR="0086739E" w:rsidRDefault="00D32A3B"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D32A3B">
        <w:rPr>
          <w:rFonts w:ascii="TimesNewRomanPSMT" w:hAnsi="TimesNewRomanPSMT" w:cs="TimesNewRomanPSMT"/>
          <w:color w:val="000000"/>
          <w:sz w:val="24"/>
          <w:szCs w:val="24"/>
        </w:rPr>
        <w:t xml:space="preserve">Los tres modelos ajustados se muestran en la tabla </w:t>
      </w:r>
      <w:r>
        <w:rPr>
          <w:rFonts w:ascii="TimesNewRomanPSMT" w:hAnsi="TimesNewRomanPSMT" w:cs="TimesNewRomanPSMT"/>
          <w:color w:val="000000"/>
          <w:sz w:val="24"/>
          <w:szCs w:val="24"/>
        </w:rPr>
        <w:t>No.</w:t>
      </w:r>
      <w:r w:rsidRPr="00D32A3B">
        <w:rPr>
          <w:rFonts w:ascii="TimesNewRomanPSMT" w:hAnsi="TimesNewRomanPSMT" w:cs="TimesNewRomanPSMT"/>
          <w:color w:val="000000"/>
          <w:sz w:val="24"/>
          <w:szCs w:val="24"/>
        </w:rPr>
        <w:t xml:space="preserve">3, con las estimaciones de los parámetros asociados en la </w:t>
      </w:r>
      <w:r>
        <w:rPr>
          <w:rFonts w:ascii="TimesNewRomanPSMT" w:hAnsi="TimesNewRomanPSMT" w:cs="TimesNewRomanPSMT"/>
          <w:color w:val="000000"/>
          <w:sz w:val="24"/>
          <w:szCs w:val="24"/>
        </w:rPr>
        <w:t>t</w:t>
      </w:r>
      <w:r w:rsidRPr="00D32A3B">
        <w:rPr>
          <w:rFonts w:ascii="TimesNewRomanPSMT" w:hAnsi="TimesNewRomanPSMT" w:cs="TimesNewRomanPSMT"/>
          <w:color w:val="000000"/>
          <w:sz w:val="24"/>
          <w:szCs w:val="24"/>
        </w:rPr>
        <w:t xml:space="preserve">abla </w:t>
      </w:r>
      <w:r>
        <w:rPr>
          <w:rFonts w:ascii="TimesNewRomanPSMT" w:hAnsi="TimesNewRomanPSMT" w:cs="TimesNewRomanPSMT"/>
          <w:color w:val="000000"/>
          <w:sz w:val="24"/>
          <w:szCs w:val="24"/>
        </w:rPr>
        <w:t>No.</w:t>
      </w:r>
      <w:r w:rsidRPr="00D32A3B">
        <w:rPr>
          <w:rFonts w:ascii="TimesNewRomanPSMT" w:hAnsi="TimesNewRomanPSMT" w:cs="TimesNewRomanPSMT"/>
          <w:color w:val="000000"/>
          <w:sz w:val="24"/>
          <w:szCs w:val="24"/>
        </w:rPr>
        <w:t>4.</w:t>
      </w:r>
      <w:r w:rsidR="00CE0EC5" w:rsidRPr="00A26E08">
        <w:rPr>
          <w:rFonts w:ascii="TimesNewRomanPSMT" w:hAnsi="TimesNewRomanPSMT" w:cs="TimesNewRomanPSMT"/>
          <w:color w:val="000000"/>
          <w:sz w:val="24"/>
          <w:szCs w:val="24"/>
        </w:rPr>
        <w:t xml:space="preserve"> </w:t>
      </w:r>
      <w:r w:rsidRPr="00D32A3B">
        <w:rPr>
          <w:rFonts w:ascii="TimesNewRomanPSMT" w:hAnsi="TimesNewRomanPSMT" w:cs="TimesNewRomanPSMT"/>
          <w:color w:val="000000"/>
          <w:sz w:val="24"/>
          <w:szCs w:val="24"/>
        </w:rPr>
        <w:t xml:space="preserve">De acuerdo a las estimaciones del modelo A (conocido como modelo nulo), los valores </w:t>
      </w:r>
      <w:r w:rsidR="0086739E" w:rsidRPr="00D32A3B">
        <w:rPr>
          <w:rFonts w:ascii="TimesNewRomanPSMT" w:hAnsi="TimesNewRomanPSMT" w:cs="TimesNewRomanPSMT"/>
          <w:color w:val="000000"/>
          <w:sz w:val="24"/>
          <w:szCs w:val="24"/>
        </w:rPr>
        <w:t>del IEA</w:t>
      </w:r>
      <w:r w:rsidRPr="00D32A3B">
        <w:rPr>
          <w:rFonts w:ascii="TimesNewRomanPSMT" w:hAnsi="TimesNewRomanPSMT" w:cs="TimesNewRomanPSMT"/>
          <w:color w:val="000000"/>
          <w:sz w:val="24"/>
          <w:szCs w:val="24"/>
        </w:rPr>
        <w:t xml:space="preserve"> para los diferentes boxeadores se distribuyen alrededor de la media general (0,472) con una varianza estimada (0,011), estadísticamente significativa.</w:t>
      </w:r>
      <w:r w:rsidRPr="00A26E08">
        <w:rPr>
          <w:rFonts w:ascii="TimesNewRomanPSMT" w:hAnsi="TimesNewRomanPSMT" w:cs="TimesNewRomanPSMT"/>
          <w:color w:val="000000"/>
          <w:sz w:val="24"/>
          <w:szCs w:val="24"/>
        </w:rPr>
        <w:t xml:space="preserve"> </w:t>
      </w:r>
      <w:r w:rsidR="00CE0EC5" w:rsidRPr="00A26E08">
        <w:rPr>
          <w:rFonts w:ascii="TimesNewRomanPSMT" w:hAnsi="TimesNewRomanPSMT" w:cs="TimesNewRomanPSMT"/>
          <w:color w:val="000000"/>
          <w:sz w:val="24"/>
          <w:szCs w:val="24"/>
        </w:rPr>
        <w:t>E</w:t>
      </w:r>
      <w:r w:rsidR="0086739E">
        <w:rPr>
          <w:rFonts w:ascii="TimesNewRomanPSMT" w:hAnsi="TimesNewRomanPSMT" w:cs="TimesNewRomanPSMT"/>
          <w:color w:val="000000"/>
          <w:sz w:val="24"/>
          <w:szCs w:val="24"/>
        </w:rPr>
        <w:t>n e</w:t>
      </w:r>
      <w:r w:rsidR="00CE0EC5" w:rsidRPr="00A26E08">
        <w:rPr>
          <w:rFonts w:ascii="TimesNewRomanPSMT" w:hAnsi="TimesNewRomanPSMT" w:cs="TimesNewRomanPSMT"/>
          <w:color w:val="000000"/>
          <w:sz w:val="24"/>
          <w:szCs w:val="24"/>
        </w:rPr>
        <w:t xml:space="preserve">l segundo </w:t>
      </w:r>
      <w:r w:rsidR="0086739E">
        <w:rPr>
          <w:rFonts w:ascii="TimesNewRomanPSMT" w:hAnsi="TimesNewRomanPSMT" w:cs="TimesNewRomanPSMT"/>
          <w:color w:val="000000"/>
          <w:sz w:val="24"/>
          <w:szCs w:val="24"/>
        </w:rPr>
        <w:t xml:space="preserve">modelo </w:t>
      </w:r>
      <w:r w:rsidR="00CE0EC5" w:rsidRPr="00A26E08">
        <w:rPr>
          <w:rFonts w:ascii="TimesNewRomanPSMT" w:hAnsi="TimesNewRomanPSMT" w:cs="TimesNewRomanPSMT"/>
          <w:color w:val="000000"/>
          <w:sz w:val="24"/>
          <w:szCs w:val="24"/>
        </w:rPr>
        <w:t>(</w:t>
      </w:r>
      <w:r w:rsidR="0086739E">
        <w:rPr>
          <w:rFonts w:ascii="TimesNewRomanPSMT" w:hAnsi="TimesNewRomanPSMT" w:cs="TimesNewRomanPSMT"/>
          <w:color w:val="000000"/>
          <w:sz w:val="24"/>
          <w:szCs w:val="24"/>
        </w:rPr>
        <w:t xml:space="preserve">modelo </w:t>
      </w:r>
      <w:r w:rsidR="00CE0EC5" w:rsidRPr="00A26E08">
        <w:rPr>
          <w:rFonts w:ascii="TimesNewRomanPSMT" w:hAnsi="TimesNewRomanPSMT" w:cs="TimesNewRomanPSMT"/>
          <w:color w:val="000000"/>
          <w:sz w:val="24"/>
          <w:szCs w:val="24"/>
        </w:rPr>
        <w:t>B</w:t>
      </w:r>
      <w:r w:rsidR="0086739E">
        <w:rPr>
          <w:rFonts w:ascii="TimesNewRomanPSMT" w:hAnsi="TimesNewRomanPSMT" w:cs="TimesNewRomanPSMT"/>
          <w:color w:val="000000"/>
          <w:sz w:val="24"/>
          <w:szCs w:val="24"/>
        </w:rPr>
        <w:t>, tabla No.3</w:t>
      </w:r>
      <w:r w:rsidR="00CE0EC5" w:rsidRPr="00A26E08">
        <w:rPr>
          <w:rFonts w:ascii="TimesNewRomanPSMT" w:hAnsi="TimesNewRomanPSMT" w:cs="TimesNewRomanPSMT"/>
          <w:color w:val="000000"/>
          <w:sz w:val="24"/>
          <w:szCs w:val="24"/>
        </w:rPr>
        <w:t>),</w:t>
      </w:r>
      <w:r w:rsidR="0086739E">
        <w:rPr>
          <w:rFonts w:ascii="TimesNewRomanPSMT" w:hAnsi="TimesNewRomanPSMT" w:cs="TimesNewRomanPSMT"/>
          <w:color w:val="000000"/>
          <w:sz w:val="24"/>
          <w:szCs w:val="24"/>
        </w:rPr>
        <w:t xml:space="preserve"> se</w:t>
      </w:r>
      <w:r w:rsidR="00CE0EC5" w:rsidRPr="00A26E08">
        <w:rPr>
          <w:rFonts w:ascii="TimesNewRomanPSMT" w:hAnsi="TimesNewRomanPSMT" w:cs="TimesNewRomanPSMT"/>
          <w:color w:val="000000"/>
          <w:sz w:val="24"/>
          <w:szCs w:val="24"/>
        </w:rPr>
        <w:t xml:space="preserve"> agreg</w:t>
      </w:r>
      <w:r w:rsidR="00485DAB" w:rsidRPr="00A26E08">
        <w:rPr>
          <w:rFonts w:ascii="TimesNewRomanPSMT" w:hAnsi="TimesNewRomanPSMT" w:cs="TimesNewRomanPSMT"/>
          <w:color w:val="000000"/>
          <w:sz w:val="24"/>
          <w:szCs w:val="24"/>
        </w:rPr>
        <w:t>ó</w:t>
      </w:r>
      <w:r w:rsidR="00CE0EC5" w:rsidRPr="00A26E08">
        <w:rPr>
          <w:rFonts w:ascii="TimesNewRomanPSMT" w:hAnsi="TimesNewRomanPSMT" w:cs="TimesNewRomanPSMT"/>
          <w:color w:val="000000"/>
          <w:sz w:val="24"/>
          <w:szCs w:val="24"/>
        </w:rPr>
        <w:t xml:space="preserve"> el efecto </w:t>
      </w:r>
      <w:r w:rsidR="0086739E">
        <w:rPr>
          <w:rFonts w:ascii="TimesNewRomanPSMT" w:hAnsi="TimesNewRomanPSMT" w:cs="TimesNewRomanPSMT"/>
          <w:color w:val="000000"/>
          <w:sz w:val="24"/>
          <w:szCs w:val="24"/>
        </w:rPr>
        <w:t>del mesociclo de preparación (M</w:t>
      </w:r>
      <w:r w:rsidR="00CE0EC5" w:rsidRPr="00A26E08">
        <w:rPr>
          <w:rFonts w:ascii="TimesNewRomanPSMT" w:hAnsi="TimesNewRomanPSMT" w:cs="TimesNewRomanPSMT"/>
          <w:color w:val="000000"/>
          <w:sz w:val="24"/>
          <w:szCs w:val="24"/>
        </w:rPr>
        <w:t>P</w:t>
      </w:r>
      <w:r w:rsidR="0086739E">
        <w:rPr>
          <w:rFonts w:ascii="TimesNewRomanPSMT" w:hAnsi="TimesNewRomanPSMT" w:cs="TimesNewRomanPSMT"/>
          <w:color w:val="000000"/>
          <w:sz w:val="24"/>
          <w:szCs w:val="24"/>
        </w:rPr>
        <w:t>)</w:t>
      </w:r>
      <w:r w:rsidR="00CE0EC5" w:rsidRPr="00A26E08">
        <w:rPr>
          <w:rFonts w:ascii="TimesNewRomanPSMT" w:hAnsi="TimesNewRomanPSMT" w:cs="TimesNewRomanPSMT"/>
          <w:color w:val="000000"/>
          <w:sz w:val="24"/>
          <w:szCs w:val="24"/>
        </w:rPr>
        <w:t xml:space="preserve"> sobre el IEA. Desde el punto de vista metodológico los tres mesociclos (A, T y R) poseen una identidad diferenciada, que comporta contenidos y medios de entrenamiento que los distinguen (Issurin, 2012). Sin embargo, teniendo en cuenta el pequeño número de observaciones realizadas durante el meso R,</w:t>
      </w:r>
      <w:r w:rsidR="00077CDE" w:rsidRPr="00A26E08">
        <w:rPr>
          <w:rFonts w:ascii="TimesNewRomanPSMT" w:hAnsi="TimesNewRomanPSMT" w:cs="TimesNewRomanPSMT"/>
          <w:color w:val="000000"/>
          <w:sz w:val="24"/>
          <w:szCs w:val="24"/>
        </w:rPr>
        <w:t xml:space="preserve"> y la similitud que posee con los valores del IEA durante el meso T,</w:t>
      </w:r>
      <w:r w:rsidR="00CE0EC5" w:rsidRPr="00A26E08">
        <w:rPr>
          <w:rFonts w:ascii="TimesNewRomanPSMT" w:hAnsi="TimesNewRomanPSMT" w:cs="TimesNewRomanPSMT"/>
          <w:color w:val="000000"/>
          <w:sz w:val="24"/>
          <w:szCs w:val="24"/>
        </w:rPr>
        <w:t xml:space="preserve"> </w:t>
      </w:r>
      <w:r w:rsidR="00077CDE" w:rsidRPr="00A26E08">
        <w:rPr>
          <w:rFonts w:ascii="TimesNewRomanPSMT" w:hAnsi="TimesNewRomanPSMT" w:cs="TimesNewRomanPSMT"/>
          <w:color w:val="000000"/>
          <w:sz w:val="24"/>
          <w:szCs w:val="24"/>
        </w:rPr>
        <w:t>se</w:t>
      </w:r>
      <w:r w:rsidR="0086739E">
        <w:rPr>
          <w:rFonts w:ascii="TimesNewRomanPSMT" w:hAnsi="TimesNewRomanPSMT" w:cs="TimesNewRomanPSMT"/>
          <w:color w:val="000000"/>
          <w:sz w:val="24"/>
          <w:szCs w:val="24"/>
        </w:rPr>
        <w:t xml:space="preserve"> decidió unir</w:t>
      </w:r>
      <w:r w:rsidR="00077CDE" w:rsidRPr="00A26E08">
        <w:rPr>
          <w:rFonts w:ascii="TimesNewRomanPSMT" w:hAnsi="TimesNewRomanPSMT" w:cs="TimesNewRomanPSMT"/>
          <w:color w:val="000000"/>
          <w:sz w:val="24"/>
          <w:szCs w:val="24"/>
        </w:rPr>
        <w:t xml:space="preserve"> </w:t>
      </w:r>
      <w:r w:rsidR="00CE0EC5" w:rsidRPr="00A26E08">
        <w:rPr>
          <w:rFonts w:ascii="TimesNewRomanPSMT" w:hAnsi="TimesNewRomanPSMT" w:cs="TimesNewRomanPSMT"/>
          <w:color w:val="000000"/>
          <w:sz w:val="24"/>
          <w:szCs w:val="24"/>
        </w:rPr>
        <w:t>(mesociclo T-R)</w:t>
      </w:r>
      <w:r w:rsidR="0086739E">
        <w:rPr>
          <w:rFonts w:ascii="TimesNewRomanPSMT" w:hAnsi="TimesNewRomanPSMT" w:cs="TimesNewRomanPSMT"/>
          <w:color w:val="000000"/>
          <w:sz w:val="24"/>
          <w:szCs w:val="24"/>
        </w:rPr>
        <w:t xml:space="preserve"> </w:t>
      </w:r>
      <w:r w:rsidR="0086739E" w:rsidRPr="0086739E">
        <w:rPr>
          <w:rFonts w:ascii="TimesNewRomanPSMT" w:hAnsi="TimesNewRomanPSMT" w:cs="TimesNewRomanPSMT"/>
          <w:color w:val="000000"/>
          <w:sz w:val="24"/>
          <w:szCs w:val="24"/>
        </w:rPr>
        <w:t>las observaciones de ambos mesociclos en una única categoría. El meso A se tomó como referencia.</w:t>
      </w:r>
      <w:r w:rsidR="0086739E">
        <w:rPr>
          <w:rFonts w:ascii="TimesNewRomanPSMT" w:hAnsi="TimesNewRomanPSMT" w:cs="TimesNewRomanPSMT"/>
          <w:color w:val="000000"/>
          <w:sz w:val="24"/>
          <w:szCs w:val="24"/>
        </w:rPr>
        <w:t xml:space="preserve"> </w:t>
      </w:r>
    </w:p>
    <w:p w:rsidR="0086739E" w:rsidRDefault="0086739E"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86739E">
        <w:rPr>
          <w:rFonts w:ascii="TimesNewRomanPSMT" w:hAnsi="TimesNewRomanPSMT" w:cs="TimesNewRomanPSMT"/>
          <w:color w:val="000000"/>
          <w:sz w:val="24"/>
          <w:szCs w:val="24"/>
        </w:rPr>
        <w:t>Existe una fuerte evidencia del efecto asociado al mesociclo, ya que el cambio del modelo (A) al (B) en la log-verosimilitud (162,922 a 57,741= 105,121), comparada con una distribución chi-cuadrado con 1 grado de libertad, es significativo. Se estima que la media del IEA en el meso A es de 0,536 y que los boxeadores exhiben un decrecimiento promedio de -0,135 cuando se pasa a las subsiguientes etapas (T y R). Estas estimaciones son significativamente (p&lt;0,05) diferente</w:t>
      </w:r>
      <w:r>
        <w:rPr>
          <w:rFonts w:ascii="TimesNewRomanPSMT" w:hAnsi="TimesNewRomanPSMT" w:cs="TimesNewRomanPSMT"/>
          <w:color w:val="000000"/>
          <w:sz w:val="24"/>
          <w:szCs w:val="24"/>
        </w:rPr>
        <w:t>s</w:t>
      </w:r>
      <w:r w:rsidRPr="0086739E">
        <w:rPr>
          <w:rFonts w:ascii="TimesNewRomanPSMT" w:hAnsi="TimesNewRomanPSMT" w:cs="TimesNewRomanPSMT"/>
          <w:color w:val="000000"/>
          <w:sz w:val="24"/>
          <w:szCs w:val="24"/>
        </w:rPr>
        <w:t xml:space="preserve"> de cero.</w:t>
      </w:r>
    </w:p>
    <w:p w:rsidR="00077CDE" w:rsidRPr="00A26E08" w:rsidRDefault="00077CDE" w:rsidP="0084774F">
      <w:pPr>
        <w:autoSpaceDE w:val="0"/>
        <w:autoSpaceDN w:val="0"/>
        <w:adjustRightInd w:val="0"/>
        <w:spacing w:after="0" w:line="240" w:lineRule="auto"/>
        <w:jc w:val="both"/>
        <w:rPr>
          <w:rFonts w:ascii="TimesNewRomanPSMT" w:hAnsi="TimesNewRomanPSMT" w:cs="TimesNewRomanPSMT"/>
          <w:color w:val="000000"/>
          <w:sz w:val="24"/>
          <w:szCs w:val="24"/>
        </w:rPr>
      </w:pPr>
    </w:p>
    <w:p w:rsidR="0012124A" w:rsidRDefault="0012124A" w:rsidP="003B2141">
      <w:pPr>
        <w:keepNext/>
        <w:spacing w:after="200" w:line="240" w:lineRule="auto"/>
        <w:rPr>
          <w:rFonts w:ascii="Times New Roman" w:eastAsia="Calibri" w:hAnsi="Times New Roman" w:cs="Times New Roman"/>
          <w:bCs/>
          <w:sz w:val="24"/>
          <w:szCs w:val="24"/>
        </w:rPr>
      </w:pPr>
    </w:p>
    <w:p w:rsidR="0012124A" w:rsidRPr="0012124A" w:rsidRDefault="003B2141" w:rsidP="003B2141">
      <w:pPr>
        <w:keepNext/>
        <w:spacing w:after="200" w:line="240" w:lineRule="auto"/>
        <w:rPr>
          <w:rFonts w:ascii="Times New Roman" w:eastAsia="Calibri" w:hAnsi="Times New Roman" w:cs="Times New Roman"/>
          <w:bCs/>
          <w:sz w:val="24"/>
          <w:szCs w:val="24"/>
        </w:rPr>
      </w:pPr>
      <w:r w:rsidRPr="0012124A">
        <w:rPr>
          <w:rFonts w:ascii="Times New Roman" w:eastAsia="Calibri" w:hAnsi="Times New Roman" w:cs="Times New Roman"/>
          <w:bCs/>
          <w:sz w:val="24"/>
          <w:szCs w:val="24"/>
        </w:rPr>
        <w:t xml:space="preserve">Tabla </w:t>
      </w:r>
      <w:r w:rsidRPr="0012124A">
        <w:rPr>
          <w:rFonts w:ascii="Times New Roman" w:eastAsia="Calibri" w:hAnsi="Times New Roman" w:cs="Times New Roman"/>
          <w:bCs/>
          <w:sz w:val="24"/>
          <w:szCs w:val="24"/>
        </w:rPr>
        <w:fldChar w:fldCharType="begin"/>
      </w:r>
      <w:r w:rsidRPr="0012124A">
        <w:rPr>
          <w:rFonts w:ascii="Times New Roman" w:eastAsia="Calibri" w:hAnsi="Times New Roman" w:cs="Times New Roman"/>
          <w:bCs/>
          <w:sz w:val="24"/>
          <w:szCs w:val="24"/>
        </w:rPr>
        <w:instrText xml:space="preserve"> SEQ Tabla \* ARABIC </w:instrText>
      </w:r>
      <w:r w:rsidRPr="0012124A">
        <w:rPr>
          <w:rFonts w:ascii="Times New Roman" w:eastAsia="Calibri" w:hAnsi="Times New Roman" w:cs="Times New Roman"/>
          <w:bCs/>
          <w:sz w:val="24"/>
          <w:szCs w:val="24"/>
        </w:rPr>
        <w:fldChar w:fldCharType="separate"/>
      </w:r>
      <w:r w:rsidRPr="0012124A">
        <w:rPr>
          <w:rFonts w:ascii="Times New Roman" w:eastAsia="Calibri" w:hAnsi="Times New Roman" w:cs="Times New Roman"/>
          <w:bCs/>
          <w:noProof/>
          <w:sz w:val="24"/>
          <w:szCs w:val="24"/>
        </w:rPr>
        <w:t>3</w:t>
      </w:r>
      <w:r w:rsidRPr="0012124A">
        <w:rPr>
          <w:rFonts w:ascii="Times New Roman" w:eastAsia="Calibri" w:hAnsi="Times New Roman" w:cs="Times New Roman"/>
          <w:bCs/>
          <w:noProof/>
          <w:sz w:val="24"/>
          <w:szCs w:val="24"/>
        </w:rPr>
        <w:fldChar w:fldCharType="end"/>
      </w:r>
    </w:p>
    <w:p w:rsidR="003B2141" w:rsidRPr="0012124A" w:rsidRDefault="003B2141" w:rsidP="003B2141">
      <w:pPr>
        <w:keepNext/>
        <w:spacing w:after="200" w:line="240" w:lineRule="auto"/>
        <w:rPr>
          <w:rFonts w:ascii="Times New Roman" w:eastAsia="Calibri" w:hAnsi="Times New Roman" w:cs="Times New Roman"/>
          <w:bCs/>
          <w:i/>
          <w:sz w:val="24"/>
          <w:szCs w:val="24"/>
        </w:rPr>
      </w:pPr>
      <w:r w:rsidRPr="0012124A">
        <w:rPr>
          <w:rFonts w:ascii="Times New Roman" w:eastAsia="Calibri" w:hAnsi="Times New Roman" w:cs="Times New Roman"/>
          <w:bCs/>
          <w:i/>
          <w:sz w:val="24"/>
          <w:szCs w:val="24"/>
        </w:rPr>
        <w:t xml:space="preserve"> Resumen de los modelos mixtos para la variable respuesta IEA</w:t>
      </w:r>
    </w:p>
    <w:tbl>
      <w:tblPr>
        <w:tblStyle w:val="TableGrid"/>
        <w:tblW w:w="0" w:type="auto"/>
        <w:tblLook w:val="04A0" w:firstRow="1" w:lastRow="0" w:firstColumn="1" w:lastColumn="0" w:noHBand="0" w:noVBand="1"/>
      </w:tblPr>
      <w:tblGrid>
        <w:gridCol w:w="562"/>
        <w:gridCol w:w="4962"/>
        <w:gridCol w:w="1559"/>
        <w:gridCol w:w="1411"/>
      </w:tblGrid>
      <w:tr w:rsidR="003B2141" w:rsidRPr="003B2141" w:rsidTr="003B2141">
        <w:tc>
          <w:tcPr>
            <w:tcW w:w="562" w:type="dxa"/>
            <w:tcBorders>
              <w:left w:val="nil"/>
              <w:bottom w:val="single" w:sz="4" w:space="0" w:color="auto"/>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p>
        </w:tc>
        <w:tc>
          <w:tcPr>
            <w:tcW w:w="4962" w:type="dxa"/>
            <w:tcBorders>
              <w:left w:val="nil"/>
              <w:bottom w:val="single" w:sz="4" w:space="0" w:color="auto"/>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Modelo</w:t>
            </w:r>
          </w:p>
        </w:tc>
        <w:tc>
          <w:tcPr>
            <w:tcW w:w="1559" w:type="dxa"/>
            <w:tcBorders>
              <w:left w:val="nil"/>
              <w:bottom w:val="single" w:sz="4" w:space="0" w:color="auto"/>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-2log-verosimilitud</w:t>
            </w:r>
          </w:p>
        </w:tc>
        <w:tc>
          <w:tcPr>
            <w:tcW w:w="1411" w:type="dxa"/>
            <w:tcBorders>
              <w:left w:val="nil"/>
              <w:bottom w:val="single" w:sz="4" w:space="0" w:color="auto"/>
              <w:right w:val="nil"/>
            </w:tcBorders>
            <w:vAlign w:val="center"/>
          </w:tcPr>
          <w:p w:rsidR="003B2141" w:rsidRPr="003B2141" w:rsidRDefault="003B2141" w:rsidP="003B2141">
            <w:pPr>
              <w:autoSpaceDE w:val="0"/>
              <w:autoSpaceDN w:val="0"/>
              <w:adjustRightInd w:val="0"/>
              <w:jc w:val="right"/>
              <w:rPr>
                <w:rFonts w:ascii="Times New Roman" w:eastAsia="Calibri" w:hAnsi="Times New Roman" w:cs="Times New Roman"/>
                <w:sz w:val="24"/>
                <w:szCs w:val="24"/>
              </w:rPr>
            </w:pPr>
            <w:r w:rsidRPr="003B2141">
              <w:rPr>
                <w:rFonts w:ascii="Times New Roman" w:eastAsia="Calibri" w:hAnsi="Times New Roman" w:cs="Times New Roman"/>
                <w:sz w:val="24"/>
                <w:szCs w:val="24"/>
              </w:rPr>
              <w:t>No. de parámetros</w:t>
            </w:r>
          </w:p>
          <w:p w:rsidR="003B2141" w:rsidRPr="003B2141" w:rsidRDefault="003B2141" w:rsidP="003B2141">
            <w:pPr>
              <w:autoSpaceDE w:val="0"/>
              <w:autoSpaceDN w:val="0"/>
              <w:adjustRightInd w:val="0"/>
              <w:jc w:val="right"/>
              <w:rPr>
                <w:rFonts w:ascii="Times New Roman" w:eastAsia="Calibri" w:hAnsi="Times New Roman" w:cs="Times New Roman"/>
                <w:sz w:val="24"/>
                <w:szCs w:val="24"/>
              </w:rPr>
            </w:pPr>
            <w:r w:rsidRPr="003B2141">
              <w:rPr>
                <w:rFonts w:ascii="Times New Roman" w:eastAsia="Calibri" w:hAnsi="Times New Roman" w:cs="Times New Roman"/>
                <w:sz w:val="24"/>
                <w:szCs w:val="24"/>
              </w:rPr>
              <w:t>estimados</w:t>
            </w:r>
          </w:p>
        </w:tc>
      </w:tr>
      <w:tr w:rsidR="003B2141" w:rsidRPr="003B2141" w:rsidTr="003B2141">
        <w:trPr>
          <w:trHeight w:val="454"/>
        </w:trPr>
        <w:tc>
          <w:tcPr>
            <w:tcW w:w="562" w:type="dxa"/>
            <w:tcBorders>
              <w:left w:val="nil"/>
              <w:bottom w:val="nil"/>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lastRenderedPageBreak/>
              <w:t>A</w:t>
            </w:r>
          </w:p>
        </w:tc>
        <w:tc>
          <w:tcPr>
            <w:tcW w:w="4962" w:type="dxa"/>
            <w:tcBorders>
              <w:left w:val="nil"/>
              <w:bottom w:val="nil"/>
              <w:right w:val="nil"/>
            </w:tcBorders>
            <w:vAlign w:val="center"/>
          </w:tcPr>
          <w:p w:rsidR="003B2141" w:rsidRPr="003B2141" w:rsidRDefault="0012124A" w:rsidP="003B2141">
            <w:pPr>
              <w:autoSpaceDE w:val="0"/>
              <w:autoSpaceDN w:val="0"/>
              <w:adjustRightInd w:val="0"/>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IEA</m:t>
                    </m:r>
                  </m:e>
                  <m:sub>
                    <m:r>
                      <w:rPr>
                        <w:rFonts w:ascii="Cambria Math" w:eastAsia="Calibri" w:hAnsi="Cambria Math" w:cs="Times New Roman"/>
                        <w:sz w:val="24"/>
                        <w:szCs w:val="24"/>
                      </w:rPr>
                      <m:t>ij</m:t>
                    </m:r>
                  </m:sub>
                </m:sSub>
                <m:r>
                  <w:rPr>
                    <w:rFonts w:ascii="Cambria Math" w:eastAsia="Calibri" w:hAnsi="Cambria Math" w:cs="Times New Roman"/>
                    <w:sz w:val="24"/>
                    <w:szCs w:val="24"/>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u</m:t>
                    </m:r>
                  </m:e>
                  <m:sub>
                    <m:r>
                      <w:rPr>
                        <w:rFonts w:ascii="Cambria Math" w:eastAsia="Times New Roman" w:hAnsi="Cambria Math" w:cs="Times New Roman"/>
                        <w:sz w:val="24"/>
                        <w:szCs w:val="24"/>
                      </w:rPr>
                      <m:t>0</m:t>
                    </m:r>
                    <m:r>
                      <w:rPr>
                        <w:rFonts w:ascii="Cambria Math" w:eastAsia="Times New Roman" w:hAnsi="Cambria Math" w:cs="Times New Roman"/>
                        <w:sz w:val="24"/>
                        <w:szCs w:val="24"/>
                        <w:lang w:val="en-US"/>
                      </w:rPr>
                      <m:t>j</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ij</m:t>
                    </m:r>
                  </m:sub>
                </m:sSub>
              </m:oMath>
            </m:oMathPara>
          </w:p>
        </w:tc>
        <w:tc>
          <w:tcPr>
            <w:tcW w:w="1559" w:type="dxa"/>
            <w:tcBorders>
              <w:left w:val="nil"/>
              <w:bottom w:val="nil"/>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162,922</w:t>
            </w:r>
          </w:p>
        </w:tc>
        <w:tc>
          <w:tcPr>
            <w:tcW w:w="1411" w:type="dxa"/>
            <w:tcBorders>
              <w:left w:val="nil"/>
              <w:bottom w:val="nil"/>
              <w:right w:val="nil"/>
            </w:tcBorders>
            <w:vAlign w:val="center"/>
          </w:tcPr>
          <w:p w:rsidR="003B2141" w:rsidRPr="003B2141" w:rsidRDefault="003B2141" w:rsidP="003B2141">
            <w:pPr>
              <w:autoSpaceDE w:val="0"/>
              <w:autoSpaceDN w:val="0"/>
              <w:adjustRightInd w:val="0"/>
              <w:jc w:val="center"/>
              <w:rPr>
                <w:rFonts w:ascii="Times New Roman" w:eastAsia="Calibri" w:hAnsi="Times New Roman" w:cs="Times New Roman"/>
                <w:sz w:val="24"/>
                <w:szCs w:val="24"/>
              </w:rPr>
            </w:pPr>
            <w:r w:rsidRPr="003B2141">
              <w:rPr>
                <w:rFonts w:ascii="Times New Roman" w:eastAsia="Calibri" w:hAnsi="Times New Roman" w:cs="Times New Roman"/>
                <w:sz w:val="24"/>
                <w:szCs w:val="24"/>
              </w:rPr>
              <w:t>3</w:t>
            </w:r>
          </w:p>
        </w:tc>
      </w:tr>
      <w:tr w:rsidR="003B2141" w:rsidRPr="003B2141" w:rsidTr="003B2141">
        <w:trPr>
          <w:trHeight w:val="454"/>
        </w:trPr>
        <w:tc>
          <w:tcPr>
            <w:tcW w:w="562" w:type="dxa"/>
            <w:tcBorders>
              <w:top w:val="nil"/>
              <w:left w:val="nil"/>
              <w:bottom w:val="nil"/>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B</w:t>
            </w:r>
          </w:p>
        </w:tc>
        <w:tc>
          <w:tcPr>
            <w:tcW w:w="4962" w:type="dxa"/>
            <w:tcBorders>
              <w:top w:val="nil"/>
              <w:left w:val="nil"/>
              <w:bottom w:val="nil"/>
              <w:right w:val="nil"/>
            </w:tcBorders>
            <w:vAlign w:val="center"/>
          </w:tcPr>
          <w:p w:rsidR="003B2141" w:rsidRPr="003B2141" w:rsidRDefault="0012124A" w:rsidP="003B2141">
            <w:pPr>
              <w:autoSpaceDE w:val="0"/>
              <w:autoSpaceDN w:val="0"/>
              <w:adjustRightInd w:val="0"/>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IEA</m:t>
                    </m:r>
                  </m:e>
                  <m:sub>
                    <m:r>
                      <w:rPr>
                        <w:rFonts w:ascii="Cambria Math" w:eastAsia="Calibri" w:hAnsi="Cambria Math" w:cs="Times New Roman"/>
                        <w:sz w:val="24"/>
                        <w:szCs w:val="24"/>
                      </w:rPr>
                      <m:t>ij</m:t>
                    </m:r>
                  </m:sub>
                </m:sSub>
                <m:r>
                  <w:rPr>
                    <w:rFonts w:ascii="Cambria Math" w:eastAsia="Calibri" w:hAnsi="Cambria Math" w:cs="Times New Roman"/>
                    <w:sz w:val="24"/>
                    <w:szCs w:val="24"/>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lang w:val="en-US"/>
                      </w:rPr>
                    </m:ctrlPr>
                  </m:sSub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10</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MP</m:t>
                        </m:r>
                      </m:e>
                      <m:sub>
                        <m:r>
                          <w:rPr>
                            <w:rFonts w:ascii="Cambria Math" w:eastAsia="Calibri" w:hAnsi="Cambria Math" w:cs="Times New Roman"/>
                            <w:sz w:val="24"/>
                            <w:szCs w:val="24"/>
                          </w:rPr>
                          <m:t>ij</m:t>
                        </m:r>
                      </m:sub>
                    </m:sSub>
                    <m:r>
                      <w:rPr>
                        <w:rFonts w:ascii="Cambria Math" w:eastAsia="Times New Roman" w:hAnsi="Cambria Math" w:cs="Times New Roman"/>
                        <w:sz w:val="24"/>
                        <w:szCs w:val="24"/>
                        <w:lang w:val="en-US"/>
                      </w:rPr>
                      <m:t>+u</m:t>
                    </m:r>
                  </m:e>
                  <m:sub>
                    <m:r>
                      <w:rPr>
                        <w:rFonts w:ascii="Cambria Math" w:eastAsia="Times New Roman" w:hAnsi="Cambria Math" w:cs="Times New Roman"/>
                        <w:sz w:val="24"/>
                        <w:szCs w:val="24"/>
                      </w:rPr>
                      <m:t>0</m:t>
                    </m:r>
                    <m:r>
                      <w:rPr>
                        <w:rFonts w:ascii="Cambria Math" w:eastAsia="Times New Roman" w:hAnsi="Cambria Math" w:cs="Times New Roman"/>
                        <w:sz w:val="24"/>
                        <w:szCs w:val="24"/>
                        <w:lang w:val="en-US"/>
                      </w:rPr>
                      <m:t>j</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ij</m:t>
                    </m:r>
                  </m:sub>
                </m:sSub>
              </m:oMath>
            </m:oMathPara>
          </w:p>
        </w:tc>
        <w:tc>
          <w:tcPr>
            <w:tcW w:w="1559" w:type="dxa"/>
            <w:tcBorders>
              <w:top w:val="nil"/>
              <w:left w:val="nil"/>
              <w:bottom w:val="nil"/>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57,741</w:t>
            </w:r>
          </w:p>
        </w:tc>
        <w:tc>
          <w:tcPr>
            <w:tcW w:w="1411" w:type="dxa"/>
            <w:tcBorders>
              <w:top w:val="nil"/>
              <w:left w:val="nil"/>
              <w:bottom w:val="nil"/>
              <w:right w:val="nil"/>
            </w:tcBorders>
            <w:vAlign w:val="center"/>
          </w:tcPr>
          <w:p w:rsidR="003B2141" w:rsidRPr="003B2141" w:rsidRDefault="003B2141" w:rsidP="003B2141">
            <w:pPr>
              <w:autoSpaceDE w:val="0"/>
              <w:autoSpaceDN w:val="0"/>
              <w:adjustRightInd w:val="0"/>
              <w:jc w:val="center"/>
              <w:rPr>
                <w:rFonts w:ascii="Times New Roman" w:eastAsia="Calibri" w:hAnsi="Times New Roman" w:cs="Times New Roman"/>
                <w:sz w:val="24"/>
                <w:szCs w:val="24"/>
              </w:rPr>
            </w:pPr>
            <w:r w:rsidRPr="003B2141">
              <w:rPr>
                <w:rFonts w:ascii="Times New Roman" w:eastAsia="Calibri" w:hAnsi="Times New Roman" w:cs="Times New Roman"/>
                <w:sz w:val="24"/>
                <w:szCs w:val="24"/>
              </w:rPr>
              <w:t>4</w:t>
            </w:r>
          </w:p>
        </w:tc>
      </w:tr>
      <w:tr w:rsidR="003B2141" w:rsidRPr="003B2141" w:rsidTr="003B2141">
        <w:trPr>
          <w:trHeight w:val="454"/>
        </w:trPr>
        <w:tc>
          <w:tcPr>
            <w:tcW w:w="562" w:type="dxa"/>
            <w:tcBorders>
              <w:top w:val="nil"/>
              <w:left w:val="nil"/>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C</w:t>
            </w:r>
          </w:p>
        </w:tc>
        <w:tc>
          <w:tcPr>
            <w:tcW w:w="4962" w:type="dxa"/>
            <w:tcBorders>
              <w:top w:val="nil"/>
              <w:left w:val="nil"/>
              <w:right w:val="nil"/>
            </w:tcBorders>
            <w:vAlign w:val="center"/>
          </w:tcPr>
          <w:p w:rsidR="003B2141" w:rsidRPr="003B2141" w:rsidRDefault="0012124A" w:rsidP="003B2141">
            <w:pPr>
              <w:autoSpaceDE w:val="0"/>
              <w:autoSpaceDN w:val="0"/>
              <w:adjustRightInd w:val="0"/>
              <w:jc w:val="both"/>
              <w:rPr>
                <w:rFonts w:ascii="Times New Roman" w:eastAsia="Calibri" w:hAnsi="Times New Roman" w:cs="Times New Roman"/>
                <w:sz w:val="24"/>
                <w:szCs w:val="24"/>
              </w:rPr>
            </w:pPr>
            <m:oMathPara>
              <m:oMathParaPr>
                <m:jc m:val="left"/>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IEA</m:t>
                    </m:r>
                  </m:e>
                  <m:sub>
                    <m:r>
                      <w:rPr>
                        <w:rFonts w:ascii="Cambria Math" w:eastAsia="Calibri" w:hAnsi="Cambria Math" w:cs="Times New Roman"/>
                        <w:sz w:val="24"/>
                        <w:szCs w:val="24"/>
                      </w:rPr>
                      <m:t>ij</m:t>
                    </m:r>
                  </m:sub>
                </m:sSub>
                <m:r>
                  <w:rPr>
                    <w:rFonts w:ascii="Cambria Math" w:eastAsia="Calibri" w:hAnsi="Cambria Math" w:cs="Times New Roman"/>
                    <w:sz w:val="24"/>
                    <w:szCs w:val="24"/>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lang w:val="en-US"/>
                      </w:rPr>
                    </m:ctrlPr>
                  </m:sSubPr>
                  <m:e>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10</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MP</m:t>
                        </m:r>
                      </m:e>
                      <m:sub>
                        <m:r>
                          <w:rPr>
                            <w:rFonts w:ascii="Cambria Math" w:eastAsia="Calibri" w:hAnsi="Cambria Math" w:cs="Times New Roman"/>
                            <w:sz w:val="24"/>
                            <w:szCs w:val="24"/>
                          </w:rPr>
                          <m:t>ij</m:t>
                        </m:r>
                      </m:sub>
                    </m:sSub>
                    <m:r>
                      <w:rPr>
                        <w:rFonts w:ascii="Cambria Math" w:eastAsia="Times New Roman" w:hAnsi="Cambria Math" w:cs="Times New Roman"/>
                        <w:sz w:val="24"/>
                        <w:szCs w:val="24"/>
                        <w:lang w:val="en-US"/>
                      </w:rPr>
                      <m:t>+</m:t>
                    </m:r>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01</m:t>
                        </m:r>
                      </m:sub>
                    </m:sSub>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CM</m:t>
                        </m:r>
                      </m:e>
                      <m:sub>
                        <m:r>
                          <w:rPr>
                            <w:rFonts w:ascii="Cambria Math" w:eastAsia="Times New Roman" w:hAnsi="Cambria Math" w:cs="Times New Roman"/>
                            <w:sz w:val="24"/>
                            <w:szCs w:val="24"/>
                            <w:lang w:val="en-US"/>
                          </w:rPr>
                          <m:t>j</m:t>
                        </m:r>
                      </m:sub>
                    </m:sSub>
                    <m:r>
                      <w:rPr>
                        <w:rFonts w:ascii="Cambria Math" w:eastAsia="Times New Roman" w:hAnsi="Cambria Math" w:cs="Times New Roman"/>
                        <w:sz w:val="24"/>
                        <w:szCs w:val="24"/>
                        <w:lang w:val="en-US"/>
                      </w:rPr>
                      <m:t>+u</m:t>
                    </m:r>
                  </m:e>
                  <m:sub>
                    <m:r>
                      <w:rPr>
                        <w:rFonts w:ascii="Cambria Math" w:eastAsia="Times New Roman" w:hAnsi="Cambria Math" w:cs="Times New Roman"/>
                        <w:sz w:val="24"/>
                        <w:szCs w:val="24"/>
                      </w:rPr>
                      <m:t>0</m:t>
                    </m:r>
                    <m:r>
                      <w:rPr>
                        <w:rFonts w:ascii="Cambria Math" w:eastAsia="Times New Roman" w:hAnsi="Cambria Math" w:cs="Times New Roman"/>
                        <w:sz w:val="24"/>
                        <w:szCs w:val="24"/>
                        <w:lang w:val="en-US"/>
                      </w:rPr>
                      <m:t>j</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lang w:val="en-US"/>
                      </w:rPr>
                    </m:ctrlPr>
                  </m:sSubPr>
                  <m:e>
                    <m:r>
                      <w:rPr>
                        <w:rFonts w:ascii="Cambria Math" w:eastAsia="Calibri" w:hAnsi="Cambria Math" w:cs="Times New Roman"/>
                        <w:sz w:val="24"/>
                        <w:szCs w:val="24"/>
                        <w:lang w:val="en-US"/>
                      </w:rPr>
                      <m:t>e</m:t>
                    </m:r>
                  </m:e>
                  <m:sub>
                    <m:r>
                      <w:rPr>
                        <w:rFonts w:ascii="Cambria Math" w:eastAsia="Calibri" w:hAnsi="Cambria Math" w:cs="Times New Roman"/>
                        <w:sz w:val="24"/>
                        <w:szCs w:val="24"/>
                        <w:lang w:val="en-US"/>
                      </w:rPr>
                      <m:t>ij</m:t>
                    </m:r>
                  </m:sub>
                </m:sSub>
              </m:oMath>
            </m:oMathPara>
          </w:p>
        </w:tc>
        <w:tc>
          <w:tcPr>
            <w:tcW w:w="1559" w:type="dxa"/>
            <w:tcBorders>
              <w:top w:val="nil"/>
              <w:left w:val="nil"/>
              <w:right w:val="nil"/>
            </w:tcBorders>
            <w:vAlign w:val="center"/>
          </w:tcPr>
          <w:p w:rsidR="003B2141" w:rsidRPr="003B2141" w:rsidRDefault="003B2141" w:rsidP="003B2141">
            <w:pPr>
              <w:autoSpaceDE w:val="0"/>
              <w:autoSpaceDN w:val="0"/>
              <w:adjustRightInd w:val="0"/>
              <w:jc w:val="both"/>
              <w:rPr>
                <w:rFonts w:ascii="Times New Roman" w:eastAsia="Calibri" w:hAnsi="Times New Roman" w:cs="Times New Roman"/>
                <w:sz w:val="24"/>
                <w:szCs w:val="24"/>
              </w:rPr>
            </w:pPr>
            <w:r w:rsidRPr="003B2141">
              <w:rPr>
                <w:rFonts w:ascii="Times New Roman" w:eastAsia="Calibri" w:hAnsi="Times New Roman" w:cs="Times New Roman"/>
                <w:sz w:val="24"/>
                <w:szCs w:val="24"/>
              </w:rPr>
              <w:t>30,252</w:t>
            </w:r>
          </w:p>
        </w:tc>
        <w:tc>
          <w:tcPr>
            <w:tcW w:w="1411" w:type="dxa"/>
            <w:tcBorders>
              <w:top w:val="nil"/>
              <w:left w:val="nil"/>
              <w:right w:val="nil"/>
            </w:tcBorders>
            <w:vAlign w:val="center"/>
          </w:tcPr>
          <w:p w:rsidR="003B2141" w:rsidRPr="003B2141" w:rsidRDefault="003B2141" w:rsidP="003B2141">
            <w:pPr>
              <w:autoSpaceDE w:val="0"/>
              <w:autoSpaceDN w:val="0"/>
              <w:adjustRightInd w:val="0"/>
              <w:jc w:val="center"/>
              <w:rPr>
                <w:rFonts w:ascii="Times New Roman" w:eastAsia="Calibri" w:hAnsi="Times New Roman" w:cs="Times New Roman"/>
                <w:sz w:val="24"/>
                <w:szCs w:val="24"/>
              </w:rPr>
            </w:pPr>
            <w:r w:rsidRPr="003B2141">
              <w:rPr>
                <w:rFonts w:ascii="Times New Roman" w:eastAsia="Calibri" w:hAnsi="Times New Roman" w:cs="Times New Roman"/>
                <w:sz w:val="24"/>
                <w:szCs w:val="24"/>
              </w:rPr>
              <w:t>5</w:t>
            </w:r>
          </w:p>
        </w:tc>
      </w:tr>
    </w:tbl>
    <w:p w:rsidR="003B2141" w:rsidRPr="003B2141" w:rsidRDefault="003B2141" w:rsidP="003B2141">
      <w:pPr>
        <w:autoSpaceDE w:val="0"/>
        <w:autoSpaceDN w:val="0"/>
        <w:adjustRightInd w:val="0"/>
        <w:spacing w:after="0" w:line="240" w:lineRule="atLeast"/>
        <w:jc w:val="both"/>
        <w:rPr>
          <w:rFonts w:ascii="Times New Roman" w:eastAsia="Calibri" w:hAnsi="Times New Roman" w:cs="Times New Roman"/>
          <w:color w:val="000000"/>
          <w:sz w:val="24"/>
          <w:szCs w:val="24"/>
        </w:rPr>
      </w:pPr>
    </w:p>
    <w:p w:rsidR="003B2141" w:rsidRPr="003B2141" w:rsidRDefault="0012124A" w:rsidP="003B2141">
      <w:pPr>
        <w:keepNext/>
        <w:spacing w:after="200" w:line="240" w:lineRule="auto"/>
        <w:jc w:val="both"/>
        <w:rPr>
          <w:rFonts w:ascii="Times New Roman" w:eastAsia="Calibri" w:hAnsi="Times New Roman" w:cs="Times New Roman"/>
          <w:bCs/>
          <w:color w:val="FF0000"/>
          <w:sz w:val="24"/>
          <w:szCs w:val="24"/>
        </w:rPr>
      </w:pPr>
      <m:oMath>
        <m:sSub>
          <m:sSubPr>
            <m:ctrlPr>
              <w:rPr>
                <w:rFonts w:ascii="Cambria Math" w:eastAsia="Calibri" w:hAnsi="Cambria Math" w:cs="Times New Roman"/>
                <w:b/>
                <w:bCs/>
                <w:i/>
                <w:sz w:val="24"/>
                <w:szCs w:val="24"/>
              </w:rPr>
            </m:ctrlPr>
          </m:sSubPr>
          <m:e>
            <m:r>
              <m:rPr>
                <m:sty m:val="bi"/>
              </m:rPr>
              <w:rPr>
                <w:rFonts w:ascii="Cambria Math" w:eastAsia="Calibri" w:hAnsi="Cambria Math" w:cs="Times New Roman"/>
                <w:sz w:val="24"/>
                <w:szCs w:val="24"/>
              </w:rPr>
              <m:t>IEA</m:t>
            </m:r>
          </m:e>
          <m:sub>
            <m:r>
              <m:rPr>
                <m:sty m:val="bi"/>
              </m:rPr>
              <w:rPr>
                <w:rFonts w:ascii="Cambria Math" w:eastAsia="Calibri" w:hAnsi="Cambria Math" w:cs="Times New Roman"/>
                <w:sz w:val="24"/>
                <w:szCs w:val="24"/>
              </w:rPr>
              <m:t>ij</m:t>
            </m:r>
          </m:sub>
        </m:sSub>
      </m:oMath>
      <w:r w:rsidR="003B2141" w:rsidRPr="003B2141">
        <w:rPr>
          <w:rFonts w:ascii="Times New Roman" w:eastAsia="Times New Roman" w:hAnsi="Times New Roman" w:cs="Times New Roman"/>
          <w:b/>
          <w:bCs/>
          <w:sz w:val="24"/>
          <w:szCs w:val="24"/>
        </w:rPr>
        <w:t xml:space="preserve"> </w:t>
      </w:r>
      <w:r w:rsidR="003B2141" w:rsidRPr="003B2141">
        <w:rPr>
          <w:rFonts w:ascii="Times New Roman" w:eastAsia="Times New Roman" w:hAnsi="Times New Roman" w:cs="Times New Roman"/>
          <w:bCs/>
          <w:sz w:val="24"/>
          <w:szCs w:val="24"/>
        </w:rPr>
        <w:t xml:space="preserve">es el IEA en la ocasión j para el boxeador i, </w:t>
      </w:r>
      <m:oMath>
        <m:sSub>
          <m:sSubPr>
            <m:ctrlPr>
              <w:rPr>
                <w:rFonts w:ascii="Cambria Math" w:eastAsia="Calibri" w:hAnsi="Cambria Math" w:cs="Times New Roman"/>
                <w:bCs/>
                <w:i/>
                <w:sz w:val="24"/>
                <w:szCs w:val="24"/>
              </w:rPr>
            </m:ctrlPr>
          </m:sSubPr>
          <m:e>
            <m:r>
              <m:rPr>
                <m:sty m:val="bi"/>
              </m:rPr>
              <w:rPr>
                <w:rFonts w:ascii="Cambria Math" w:eastAsia="Calibri" w:hAnsi="Cambria Math" w:cs="Times New Roman"/>
                <w:sz w:val="24"/>
                <w:szCs w:val="24"/>
              </w:rPr>
              <m:t>MP</m:t>
            </m:r>
          </m:e>
          <m:sub>
            <m:r>
              <m:rPr>
                <m:sty m:val="bi"/>
              </m:rPr>
              <w:rPr>
                <w:rFonts w:ascii="Cambria Math" w:eastAsia="Calibri" w:hAnsi="Cambria Math" w:cs="Times New Roman"/>
                <w:sz w:val="24"/>
                <w:szCs w:val="24"/>
              </w:rPr>
              <m:t>ij</m:t>
            </m:r>
          </m:sub>
        </m:sSub>
      </m:oMath>
      <w:r w:rsidR="003B2141" w:rsidRPr="003B2141">
        <w:rPr>
          <w:rFonts w:ascii="Times New Roman" w:eastAsia="Times New Roman" w:hAnsi="Times New Roman" w:cs="Times New Roman"/>
          <w:bCs/>
          <w:sz w:val="24"/>
          <w:szCs w:val="24"/>
        </w:rPr>
        <w:t xml:space="preserve"> es el mesociclo de prepración en la ocasión j para el boxeador i (codificado como cero para meso A y como 1 para el meso T-R), </w:t>
      </w:r>
      <m:oMath>
        <m:sSub>
          <m:sSubPr>
            <m:ctrlPr>
              <w:rPr>
                <w:rFonts w:ascii="Cambria Math" w:eastAsia="Times New Roman" w:hAnsi="Cambria Math" w:cs="Times New Roman"/>
                <w:bCs/>
                <w:i/>
                <w:sz w:val="24"/>
                <w:szCs w:val="24"/>
                <w:lang w:val="en-US"/>
              </w:rPr>
            </m:ctrlPr>
          </m:sSubPr>
          <m:e>
            <m:r>
              <m:rPr>
                <m:sty m:val="bi"/>
              </m:rPr>
              <w:rPr>
                <w:rFonts w:ascii="Cambria Math" w:eastAsia="Times New Roman" w:hAnsi="Cambria Math" w:cs="Times New Roman"/>
                <w:sz w:val="24"/>
                <w:szCs w:val="24"/>
                <w:lang w:val="en-US"/>
              </w:rPr>
              <m:t>CM</m:t>
            </m:r>
          </m:e>
          <m:sub>
            <m:r>
              <m:rPr>
                <m:sty m:val="bi"/>
              </m:rPr>
              <w:rPr>
                <w:rFonts w:ascii="Cambria Math" w:eastAsia="Times New Roman" w:hAnsi="Cambria Math" w:cs="Times New Roman"/>
                <w:sz w:val="24"/>
                <w:szCs w:val="24"/>
                <w:lang w:val="en-US"/>
              </w:rPr>
              <m:t>j</m:t>
            </m:r>
          </m:sub>
        </m:sSub>
      </m:oMath>
      <w:r w:rsidR="003B2141" w:rsidRPr="003B2141">
        <w:rPr>
          <w:rFonts w:ascii="Times New Roman" w:eastAsia="Times New Roman" w:hAnsi="Times New Roman" w:cs="Times New Roman"/>
          <w:bCs/>
          <w:sz w:val="24"/>
          <w:szCs w:val="24"/>
        </w:rPr>
        <w:t xml:space="preserve"> es la condición muestral del boxeador j (codificado como 0 para los destacados y 1 para los no destacados. </w:t>
      </w:r>
      <m:oMath>
        <m:sSub>
          <m:sSubPr>
            <m:ctrlPr>
              <w:rPr>
                <w:rFonts w:ascii="Cambria Math" w:eastAsia="Times New Roman" w:hAnsi="Cambria Math" w:cs="Times New Roman"/>
                <w:b/>
                <w:bCs/>
                <w:i/>
                <w:sz w:val="24"/>
                <w:szCs w:val="24"/>
                <w:lang w:val="en-US"/>
              </w:rPr>
            </m:ctrlPr>
          </m:sSubPr>
          <m:e>
            <m:r>
              <m:rPr>
                <m:sty m:val="bi"/>
              </m:rPr>
              <w:rPr>
                <w:rFonts w:ascii="Cambria Math" w:eastAsia="Times New Roman" w:hAnsi="Cambria Math" w:cs="Times New Roman"/>
                <w:sz w:val="24"/>
                <w:szCs w:val="24"/>
                <w:lang w:val="en-US"/>
              </w:rPr>
              <m:t>u</m:t>
            </m:r>
          </m:e>
          <m:sub>
            <m:r>
              <m:rPr>
                <m:sty m:val="bi"/>
              </m:rPr>
              <w:rPr>
                <w:rFonts w:ascii="Cambria Math" w:eastAsia="Times New Roman" w:hAnsi="Cambria Math" w:cs="Times New Roman"/>
                <w:sz w:val="24"/>
                <w:szCs w:val="24"/>
              </w:rPr>
              <m:t>0</m:t>
            </m:r>
            <m:r>
              <m:rPr>
                <m:sty m:val="bi"/>
              </m:rPr>
              <w:rPr>
                <w:rFonts w:ascii="Cambria Math" w:eastAsia="Times New Roman" w:hAnsi="Cambria Math" w:cs="Times New Roman"/>
                <w:sz w:val="24"/>
                <w:szCs w:val="24"/>
                <w:lang w:val="en-US"/>
              </w:rPr>
              <m:t>j</m:t>
            </m:r>
          </m:sub>
        </m:sSub>
      </m:oMath>
      <w:r w:rsidR="003B2141" w:rsidRPr="003B2141">
        <w:rPr>
          <w:rFonts w:ascii="Times New Roman" w:eastAsia="Times New Roman" w:hAnsi="Times New Roman" w:cs="Times New Roman"/>
          <w:b/>
          <w:bCs/>
          <w:sz w:val="24"/>
          <w:szCs w:val="24"/>
        </w:rPr>
        <w:t xml:space="preserve">  </w:t>
      </w:r>
      <w:r w:rsidR="003B2141" w:rsidRPr="003B2141">
        <w:rPr>
          <w:rFonts w:ascii="Times New Roman" w:eastAsia="Times New Roman" w:hAnsi="Times New Roman" w:cs="Times New Roman"/>
          <w:bCs/>
          <w:sz w:val="24"/>
          <w:szCs w:val="24"/>
        </w:rPr>
        <w:t xml:space="preserve">son errores aleatorios representando la distribución de interceptos para diferentes sujetos.  La variación intra-sujetos se representa por </w:t>
      </w:r>
      <m:oMath>
        <m:sSub>
          <m:sSubPr>
            <m:ctrlPr>
              <w:rPr>
                <w:rFonts w:ascii="Cambria Math" w:eastAsia="Calibri" w:hAnsi="Cambria Math" w:cs="Times New Roman"/>
                <w:b/>
                <w:bCs/>
                <w:i/>
                <w:sz w:val="24"/>
                <w:szCs w:val="24"/>
                <w:lang w:val="en-US"/>
              </w:rPr>
            </m:ctrlPr>
          </m:sSubPr>
          <m:e>
            <m:r>
              <m:rPr>
                <m:sty m:val="bi"/>
              </m:rPr>
              <w:rPr>
                <w:rFonts w:ascii="Cambria Math" w:eastAsia="Calibri" w:hAnsi="Cambria Math" w:cs="Times New Roman"/>
                <w:sz w:val="24"/>
                <w:szCs w:val="24"/>
                <w:lang w:val="en-US"/>
              </w:rPr>
              <m:t>e</m:t>
            </m:r>
          </m:e>
          <m:sub>
            <m:r>
              <m:rPr>
                <m:sty m:val="bi"/>
              </m:rPr>
              <w:rPr>
                <w:rFonts w:ascii="Cambria Math" w:eastAsia="Calibri" w:hAnsi="Cambria Math" w:cs="Times New Roman"/>
                <w:sz w:val="24"/>
                <w:szCs w:val="24"/>
                <w:lang w:val="en-US"/>
              </w:rPr>
              <m:t>ij</m:t>
            </m:r>
          </m:sub>
        </m:sSub>
      </m:oMath>
      <w:r w:rsidR="003B2141" w:rsidRPr="003B2141">
        <w:rPr>
          <w:rFonts w:ascii="Times New Roman" w:eastAsia="Times New Roman" w:hAnsi="Times New Roman" w:cs="Times New Roman"/>
          <w:b/>
          <w:bCs/>
          <w:sz w:val="24"/>
          <w:szCs w:val="24"/>
        </w:rPr>
        <w:t xml:space="preserve">. </w:t>
      </w:r>
      <w:r w:rsidR="003B2141" w:rsidRPr="003B2141">
        <w:rPr>
          <w:rFonts w:ascii="Times New Roman" w:eastAsia="Times New Roman" w:hAnsi="Times New Roman" w:cs="Times New Roman"/>
          <w:b/>
          <w:bCs/>
          <w:color w:val="FF0000"/>
          <w:sz w:val="24"/>
          <w:szCs w:val="24"/>
        </w:rPr>
        <w:t xml:space="preserve"> </w:t>
      </w:r>
    </w:p>
    <w:p w:rsidR="0012124A" w:rsidRPr="0012124A" w:rsidRDefault="003B2141" w:rsidP="003B2141">
      <w:pPr>
        <w:keepNext/>
        <w:spacing w:after="200" w:line="240" w:lineRule="auto"/>
        <w:rPr>
          <w:rFonts w:ascii="Times New Roman" w:eastAsia="Calibri" w:hAnsi="Times New Roman" w:cs="Times New Roman"/>
          <w:bCs/>
          <w:sz w:val="24"/>
          <w:szCs w:val="24"/>
        </w:rPr>
      </w:pPr>
      <w:r w:rsidRPr="0012124A">
        <w:rPr>
          <w:rFonts w:ascii="Times New Roman" w:eastAsia="Calibri" w:hAnsi="Times New Roman" w:cs="Times New Roman"/>
          <w:bCs/>
          <w:sz w:val="24"/>
          <w:szCs w:val="24"/>
        </w:rPr>
        <w:t xml:space="preserve">Tabla </w:t>
      </w:r>
      <w:r w:rsidRPr="0012124A">
        <w:rPr>
          <w:rFonts w:ascii="Times New Roman" w:eastAsia="Calibri" w:hAnsi="Times New Roman" w:cs="Times New Roman"/>
          <w:bCs/>
          <w:sz w:val="24"/>
          <w:szCs w:val="24"/>
        </w:rPr>
        <w:fldChar w:fldCharType="begin"/>
      </w:r>
      <w:r w:rsidRPr="0012124A">
        <w:rPr>
          <w:rFonts w:ascii="Times New Roman" w:eastAsia="Calibri" w:hAnsi="Times New Roman" w:cs="Times New Roman"/>
          <w:bCs/>
          <w:sz w:val="24"/>
          <w:szCs w:val="24"/>
        </w:rPr>
        <w:instrText xml:space="preserve"> SEQ Tabla \* ARABIC </w:instrText>
      </w:r>
      <w:r w:rsidRPr="0012124A">
        <w:rPr>
          <w:rFonts w:ascii="Times New Roman" w:eastAsia="Calibri" w:hAnsi="Times New Roman" w:cs="Times New Roman"/>
          <w:bCs/>
          <w:sz w:val="24"/>
          <w:szCs w:val="24"/>
        </w:rPr>
        <w:fldChar w:fldCharType="separate"/>
      </w:r>
      <w:r w:rsidRPr="0012124A">
        <w:rPr>
          <w:rFonts w:ascii="Times New Roman" w:eastAsia="Calibri" w:hAnsi="Times New Roman" w:cs="Times New Roman"/>
          <w:bCs/>
          <w:noProof/>
          <w:sz w:val="24"/>
          <w:szCs w:val="24"/>
        </w:rPr>
        <w:t>4</w:t>
      </w:r>
      <w:r w:rsidRPr="0012124A">
        <w:rPr>
          <w:rFonts w:ascii="Times New Roman" w:eastAsia="Calibri" w:hAnsi="Times New Roman" w:cs="Times New Roman"/>
          <w:bCs/>
          <w:noProof/>
          <w:sz w:val="24"/>
          <w:szCs w:val="24"/>
        </w:rPr>
        <w:fldChar w:fldCharType="end"/>
      </w:r>
    </w:p>
    <w:p w:rsidR="003B2141" w:rsidRPr="0012124A" w:rsidRDefault="003B2141" w:rsidP="003B2141">
      <w:pPr>
        <w:keepNext/>
        <w:spacing w:after="200" w:line="240" w:lineRule="auto"/>
        <w:rPr>
          <w:rFonts w:ascii="Times New Roman" w:eastAsia="Calibri" w:hAnsi="Times New Roman" w:cs="Times New Roman"/>
          <w:bCs/>
          <w:i/>
          <w:sz w:val="24"/>
          <w:szCs w:val="24"/>
        </w:rPr>
      </w:pPr>
      <w:r w:rsidRPr="0012124A">
        <w:rPr>
          <w:rFonts w:ascii="Times New Roman" w:eastAsia="Calibri" w:hAnsi="Times New Roman" w:cs="Times New Roman"/>
          <w:bCs/>
          <w:i/>
          <w:sz w:val="24"/>
          <w:szCs w:val="24"/>
        </w:rPr>
        <w:t xml:space="preserve">Estimaciones de los parámetros (errores estándar) para los modelos de la Tabla </w:t>
      </w:r>
      <w:r w:rsidR="0086739E" w:rsidRPr="0012124A">
        <w:rPr>
          <w:rFonts w:ascii="Times New Roman" w:eastAsia="Calibri" w:hAnsi="Times New Roman" w:cs="Times New Roman"/>
          <w:bCs/>
          <w:i/>
          <w:sz w:val="24"/>
          <w:szCs w:val="24"/>
        </w:rPr>
        <w:t>No.3.</w:t>
      </w:r>
    </w:p>
    <w:tbl>
      <w:tblPr>
        <w:tblStyle w:val="Tablaconcuadrculaclara1"/>
        <w:tblW w:w="0" w:type="auto"/>
        <w:tblLook w:val="04A0" w:firstRow="1" w:lastRow="0" w:firstColumn="1" w:lastColumn="0" w:noHBand="0" w:noVBand="1"/>
      </w:tblPr>
      <w:tblGrid>
        <w:gridCol w:w="2263"/>
        <w:gridCol w:w="1983"/>
        <w:gridCol w:w="2124"/>
        <w:gridCol w:w="2124"/>
      </w:tblGrid>
      <w:tr w:rsidR="003B2141" w:rsidRPr="003B2141" w:rsidTr="003B2141">
        <w:trPr>
          <w:trHeight w:val="284"/>
        </w:trPr>
        <w:tc>
          <w:tcPr>
            <w:tcW w:w="2263" w:type="dxa"/>
            <w:tcBorders>
              <w:top w:val="single" w:sz="4" w:space="0" w:color="auto"/>
              <w:left w:val="nil"/>
              <w:bottom w:val="nil"/>
              <w:right w:val="nil"/>
            </w:tcBorders>
          </w:tcPr>
          <w:p w:rsidR="003B2141" w:rsidRPr="003B2141" w:rsidRDefault="003B2141" w:rsidP="003B2141">
            <w:pPr>
              <w:rPr>
                <w:rFonts w:ascii="Times New Roman" w:eastAsia="Calibri" w:hAnsi="Times New Roman" w:cs="Times New Roman"/>
                <w:sz w:val="24"/>
                <w:szCs w:val="24"/>
              </w:rPr>
            </w:pPr>
          </w:p>
        </w:tc>
        <w:tc>
          <w:tcPr>
            <w:tcW w:w="6231" w:type="dxa"/>
            <w:gridSpan w:val="3"/>
            <w:tcBorders>
              <w:top w:val="single" w:sz="4" w:space="0" w:color="auto"/>
              <w:left w:val="nil"/>
              <w:bottom w:val="nil"/>
              <w:right w:val="nil"/>
            </w:tcBorders>
          </w:tcPr>
          <w:p w:rsidR="003B2141" w:rsidRPr="003B2141" w:rsidRDefault="003B2141" w:rsidP="003B2141">
            <w:pPr>
              <w:jc w:val="center"/>
              <w:rPr>
                <w:rFonts w:ascii="Times New Roman" w:eastAsia="Calibri" w:hAnsi="Times New Roman" w:cs="Times New Roman"/>
                <w:sz w:val="24"/>
                <w:szCs w:val="24"/>
              </w:rPr>
            </w:pPr>
            <w:r w:rsidRPr="003B2141">
              <w:rPr>
                <w:rFonts w:ascii="Times New Roman" w:eastAsia="Calibri" w:hAnsi="Times New Roman" w:cs="Times New Roman"/>
                <w:sz w:val="24"/>
                <w:szCs w:val="24"/>
              </w:rPr>
              <w:t>Modelos para el IEA</w:t>
            </w:r>
          </w:p>
        </w:tc>
      </w:tr>
      <w:tr w:rsidR="003B2141" w:rsidRPr="003B2141" w:rsidTr="003B2141">
        <w:trPr>
          <w:trHeight w:val="284"/>
        </w:trPr>
        <w:tc>
          <w:tcPr>
            <w:tcW w:w="2263" w:type="dxa"/>
            <w:tcBorders>
              <w:top w:val="nil"/>
              <w:left w:val="nil"/>
              <w:bottom w:val="single" w:sz="4" w:space="0" w:color="auto"/>
              <w:right w:val="nil"/>
            </w:tcBorders>
          </w:tcPr>
          <w:p w:rsidR="003B2141" w:rsidRPr="003B2141" w:rsidRDefault="003B2141" w:rsidP="003B2141">
            <w:pPr>
              <w:rPr>
                <w:rFonts w:ascii="Times New Roman" w:eastAsia="Calibri" w:hAnsi="Times New Roman" w:cs="Times New Roman"/>
                <w:sz w:val="24"/>
                <w:szCs w:val="24"/>
              </w:rPr>
            </w:pPr>
          </w:p>
        </w:tc>
        <w:tc>
          <w:tcPr>
            <w:tcW w:w="1983" w:type="dxa"/>
            <w:tcBorders>
              <w:top w:val="nil"/>
              <w:left w:val="nil"/>
              <w:bottom w:val="single" w:sz="4" w:space="0" w:color="auto"/>
              <w:right w:val="nil"/>
            </w:tcBorders>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A</w:t>
            </w:r>
          </w:p>
        </w:tc>
        <w:tc>
          <w:tcPr>
            <w:tcW w:w="2124" w:type="dxa"/>
            <w:tcBorders>
              <w:top w:val="nil"/>
              <w:left w:val="nil"/>
              <w:bottom w:val="single" w:sz="4" w:space="0" w:color="auto"/>
              <w:right w:val="nil"/>
            </w:tcBorders>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B</w:t>
            </w:r>
          </w:p>
        </w:tc>
        <w:tc>
          <w:tcPr>
            <w:tcW w:w="2124" w:type="dxa"/>
            <w:tcBorders>
              <w:top w:val="nil"/>
              <w:left w:val="nil"/>
              <w:bottom w:val="single" w:sz="4" w:space="0" w:color="auto"/>
              <w:right w:val="nil"/>
            </w:tcBorders>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C</w:t>
            </w:r>
          </w:p>
        </w:tc>
      </w:tr>
      <w:tr w:rsidR="003B2141" w:rsidRPr="003B2141" w:rsidTr="003B2141">
        <w:trPr>
          <w:trHeight w:val="340"/>
        </w:trPr>
        <w:tc>
          <w:tcPr>
            <w:tcW w:w="2263" w:type="dxa"/>
            <w:tcBorders>
              <w:top w:val="single" w:sz="4" w:space="0" w:color="auto"/>
              <w:left w:val="nil"/>
              <w:bottom w:val="nil"/>
              <w:right w:val="nil"/>
            </w:tcBorders>
            <w:vAlign w:val="center"/>
          </w:tcPr>
          <w:p w:rsidR="003B2141" w:rsidRPr="003B2141" w:rsidRDefault="003B2141" w:rsidP="003B2141">
            <w:pPr>
              <w:rPr>
                <w:rFonts w:ascii="Times New Roman" w:eastAsia="Calibri" w:hAnsi="Times New Roman" w:cs="Times New Roman"/>
                <w:i/>
                <w:sz w:val="24"/>
                <w:szCs w:val="24"/>
              </w:rPr>
            </w:pPr>
            <w:r w:rsidRPr="003B2141">
              <w:rPr>
                <w:rFonts w:ascii="Times New Roman" w:eastAsia="Calibri" w:hAnsi="Times New Roman" w:cs="Times New Roman"/>
                <w:i/>
                <w:sz w:val="24"/>
                <w:szCs w:val="24"/>
              </w:rPr>
              <w:t>Parámetros fijos</w:t>
            </w:r>
          </w:p>
        </w:tc>
        <w:tc>
          <w:tcPr>
            <w:tcW w:w="1983" w:type="dxa"/>
            <w:tcBorders>
              <w:top w:val="single" w:sz="4" w:space="0" w:color="auto"/>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single" w:sz="4" w:space="0" w:color="auto"/>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single" w:sz="4" w:space="0" w:color="auto"/>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r>
      <w:tr w:rsidR="003B2141" w:rsidRPr="003B2141" w:rsidTr="003B2141">
        <w:trPr>
          <w:trHeight w:val="340"/>
        </w:trPr>
        <w:tc>
          <w:tcPr>
            <w:tcW w:w="2263" w:type="dxa"/>
            <w:tcBorders>
              <w:top w:val="nil"/>
              <w:left w:val="nil"/>
              <w:bottom w:val="nil"/>
              <w:right w:val="nil"/>
            </w:tcBorders>
            <w:vAlign w:val="center"/>
          </w:tcPr>
          <w:p w:rsidR="003B2141" w:rsidRPr="003B2141" w:rsidRDefault="0012124A" w:rsidP="003B2141">
            <w:pPr>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00</m:t>
                  </m:r>
                </m:sub>
              </m:sSub>
            </m:oMath>
            <w:r w:rsidR="003B2141" w:rsidRPr="003B2141">
              <w:rPr>
                <w:rFonts w:ascii="Times New Roman" w:eastAsia="Times New Roman" w:hAnsi="Times New Roman" w:cs="Times New Roman"/>
                <w:sz w:val="24"/>
                <w:szCs w:val="24"/>
              </w:rPr>
              <w:t xml:space="preserve"> (constante)</w:t>
            </w:r>
          </w:p>
        </w:tc>
        <w:tc>
          <w:tcPr>
            <w:tcW w:w="1983"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0,472 (0,021)</w:t>
            </w: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0,536 (0,022)</w:t>
            </w: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0,425 (0,019)</w:t>
            </w:r>
          </w:p>
        </w:tc>
      </w:tr>
      <w:tr w:rsidR="003B2141" w:rsidRPr="003B2141" w:rsidTr="003B2141">
        <w:trPr>
          <w:trHeight w:val="340"/>
        </w:trPr>
        <w:tc>
          <w:tcPr>
            <w:tcW w:w="2263" w:type="dxa"/>
            <w:tcBorders>
              <w:top w:val="nil"/>
              <w:left w:val="nil"/>
              <w:bottom w:val="nil"/>
              <w:right w:val="nil"/>
            </w:tcBorders>
            <w:vAlign w:val="center"/>
          </w:tcPr>
          <w:p w:rsidR="003B2141" w:rsidRPr="003B2141" w:rsidRDefault="0012124A" w:rsidP="003B2141">
            <w:pPr>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10</m:t>
                  </m:r>
                </m:sub>
              </m:sSub>
            </m:oMath>
            <w:r w:rsidR="003B2141" w:rsidRPr="003B2141">
              <w:rPr>
                <w:rFonts w:ascii="Times New Roman" w:eastAsia="Times New Roman" w:hAnsi="Times New Roman" w:cs="Times New Roman"/>
                <w:sz w:val="24"/>
                <w:szCs w:val="24"/>
              </w:rPr>
              <w:t xml:space="preserve"> (Etap</w:t>
            </w:r>
            <w:r w:rsidR="003B2141" w:rsidRPr="003B2141">
              <w:rPr>
                <w:rFonts w:ascii="Times New Roman" w:eastAsia="Times New Roman" w:hAnsi="Times New Roman" w:cs="Times New Roman"/>
                <w:sz w:val="24"/>
                <w:szCs w:val="24"/>
                <w:lang w:val="en-US"/>
              </w:rPr>
              <w:t>a TR)</w:t>
            </w:r>
          </w:p>
        </w:tc>
        <w:tc>
          <w:tcPr>
            <w:tcW w:w="1983"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-0,135 (0,013)</w:t>
            </w: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-0,133 (0,013)</w:t>
            </w:r>
          </w:p>
        </w:tc>
      </w:tr>
      <w:tr w:rsidR="003B2141" w:rsidRPr="003B2141" w:rsidTr="003B2141">
        <w:trPr>
          <w:trHeight w:val="340"/>
        </w:trPr>
        <w:tc>
          <w:tcPr>
            <w:tcW w:w="2263" w:type="dxa"/>
            <w:tcBorders>
              <w:top w:val="nil"/>
              <w:left w:val="nil"/>
              <w:bottom w:val="nil"/>
              <w:right w:val="nil"/>
            </w:tcBorders>
            <w:vAlign w:val="center"/>
          </w:tcPr>
          <w:p w:rsidR="003B2141" w:rsidRPr="003B2141" w:rsidRDefault="0012124A" w:rsidP="003B2141">
            <w:pPr>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rPr>
                  </m:ctrlPr>
                </m:sSubPr>
                <m:e>
                  <m:r>
                    <w:rPr>
                      <w:rFonts w:ascii="Cambria Math" w:eastAsia="Times New Roman" w:hAnsi="Cambria Math" w:cs="Times New Roman"/>
                      <w:sz w:val="24"/>
                      <w:szCs w:val="24"/>
                      <w:lang w:val="en-US"/>
                    </w:rPr>
                    <m:t>γ</m:t>
                  </m:r>
                </m:e>
                <m:sub>
                  <m:r>
                    <w:rPr>
                      <w:rFonts w:ascii="Cambria Math" w:eastAsia="Times New Roman" w:hAnsi="Cambria Math" w:cs="Times New Roman"/>
                      <w:sz w:val="24"/>
                      <w:szCs w:val="24"/>
                    </w:rPr>
                    <m:t>01</m:t>
                  </m:r>
                </m:sub>
              </m:sSub>
            </m:oMath>
            <w:r w:rsidR="003B2141" w:rsidRPr="003B2141">
              <w:rPr>
                <w:rFonts w:ascii="Times New Roman" w:eastAsia="Times New Roman" w:hAnsi="Times New Roman" w:cs="Times New Roman"/>
                <w:sz w:val="24"/>
                <w:szCs w:val="24"/>
                <w:lang w:val="en-US"/>
              </w:rPr>
              <w:t xml:space="preserve"> (No Destacados)</w:t>
            </w:r>
          </w:p>
        </w:tc>
        <w:tc>
          <w:tcPr>
            <w:tcW w:w="1983"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 xml:space="preserve"> 0,173 (0,025)</w:t>
            </w:r>
          </w:p>
        </w:tc>
      </w:tr>
      <w:tr w:rsidR="003B2141" w:rsidRPr="003B2141" w:rsidTr="003B2141">
        <w:trPr>
          <w:trHeight w:val="340"/>
        </w:trPr>
        <w:tc>
          <w:tcPr>
            <w:tcW w:w="2263"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i/>
                <w:sz w:val="24"/>
                <w:szCs w:val="24"/>
              </w:rPr>
            </w:pPr>
            <w:r w:rsidRPr="003B2141">
              <w:rPr>
                <w:rFonts w:ascii="Times New Roman" w:eastAsia="Calibri" w:hAnsi="Times New Roman" w:cs="Times New Roman"/>
                <w:i/>
                <w:sz w:val="24"/>
                <w:szCs w:val="24"/>
              </w:rPr>
              <w:t>Parámetro aleatorio</w:t>
            </w:r>
          </w:p>
          <w:p w:rsidR="003B2141" w:rsidRPr="003B2141" w:rsidRDefault="003B2141" w:rsidP="003B2141">
            <w:pPr>
              <w:rPr>
                <w:rFonts w:ascii="Times New Roman" w:eastAsia="Calibri" w:hAnsi="Times New Roman" w:cs="Times New Roman"/>
                <w:i/>
                <w:sz w:val="24"/>
                <w:szCs w:val="24"/>
              </w:rPr>
            </w:pPr>
            <w:r w:rsidRPr="003B2141">
              <w:rPr>
                <w:rFonts w:ascii="Times New Roman" w:eastAsia="Calibri" w:hAnsi="Times New Roman" w:cs="Times New Roman"/>
                <w:i/>
                <w:sz w:val="24"/>
                <w:szCs w:val="24"/>
              </w:rPr>
              <w:t>Nivel-2</w:t>
            </w:r>
          </w:p>
        </w:tc>
        <w:tc>
          <w:tcPr>
            <w:tcW w:w="1983"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r>
      <w:tr w:rsidR="003B2141" w:rsidRPr="003B2141" w:rsidTr="003B2141">
        <w:trPr>
          <w:trHeight w:val="340"/>
        </w:trPr>
        <w:tc>
          <w:tcPr>
            <w:tcW w:w="2263" w:type="dxa"/>
            <w:tcBorders>
              <w:top w:val="nil"/>
              <w:left w:val="nil"/>
              <w:bottom w:val="nil"/>
              <w:right w:val="nil"/>
            </w:tcBorders>
            <w:vAlign w:val="center"/>
          </w:tcPr>
          <w:p w:rsidR="003B2141" w:rsidRPr="003B2141" w:rsidRDefault="0012124A" w:rsidP="003B2141">
            <w:pPr>
              <w:rPr>
                <w:rFonts w:ascii="Times New Roman" w:eastAsia="Calibri" w:hAnsi="Times New Roman" w:cs="Times New Roman"/>
                <w:sz w:val="24"/>
                <w:szCs w:val="24"/>
              </w:rPr>
            </w:pPr>
            <m:oMathPara>
              <m:oMathParaPr>
                <m:jc m:val="left"/>
              </m:oMathPara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σ</m:t>
                    </m:r>
                  </m:e>
                  <m:sub>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u</m:t>
                        </m:r>
                      </m:e>
                      <m:sub>
                        <m:r>
                          <w:rPr>
                            <w:rFonts w:ascii="Cambria Math" w:eastAsia="Times New Roman" w:hAnsi="Cambria Math" w:cs="Times New Roman"/>
                            <w:sz w:val="24"/>
                            <w:szCs w:val="24"/>
                          </w:rPr>
                          <m:t>0</m:t>
                        </m:r>
                      </m:sub>
                    </m:sSub>
                  </m:sub>
                  <m:sup>
                    <m:r>
                      <w:rPr>
                        <w:rFonts w:ascii="Cambria Math" w:eastAsia="Times New Roman" w:hAnsi="Cambria Math" w:cs="Times New Roman"/>
                        <w:sz w:val="24"/>
                        <w:szCs w:val="24"/>
                      </w:rPr>
                      <m:t>2</m:t>
                    </m:r>
                  </m:sup>
                </m:sSubSup>
              </m:oMath>
            </m:oMathPara>
          </w:p>
        </w:tc>
        <w:tc>
          <w:tcPr>
            <w:tcW w:w="1983"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0,011 (0,003)</w:t>
            </w: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0,011 (0,003)</w:t>
            </w: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0,003 (0,001)</w:t>
            </w:r>
          </w:p>
        </w:tc>
      </w:tr>
      <w:tr w:rsidR="003B2141" w:rsidRPr="003B2141" w:rsidTr="003B2141">
        <w:trPr>
          <w:trHeight w:val="340"/>
        </w:trPr>
        <w:tc>
          <w:tcPr>
            <w:tcW w:w="2263"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i/>
                <w:sz w:val="24"/>
                <w:szCs w:val="24"/>
              </w:rPr>
            </w:pPr>
            <w:r w:rsidRPr="003B2141">
              <w:rPr>
                <w:rFonts w:ascii="Times New Roman" w:eastAsia="Calibri" w:hAnsi="Times New Roman" w:cs="Times New Roman"/>
                <w:i/>
                <w:sz w:val="24"/>
                <w:szCs w:val="24"/>
              </w:rPr>
              <w:t>Parámetro aleatorio</w:t>
            </w:r>
          </w:p>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i/>
                <w:sz w:val="24"/>
                <w:szCs w:val="24"/>
              </w:rPr>
              <w:t>Nivel-1</w:t>
            </w:r>
          </w:p>
        </w:tc>
        <w:tc>
          <w:tcPr>
            <w:tcW w:w="1983"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c>
          <w:tcPr>
            <w:tcW w:w="2124" w:type="dxa"/>
            <w:tcBorders>
              <w:top w:val="nil"/>
              <w:left w:val="nil"/>
              <w:bottom w:val="nil"/>
              <w:right w:val="nil"/>
            </w:tcBorders>
            <w:vAlign w:val="center"/>
          </w:tcPr>
          <w:p w:rsidR="003B2141" w:rsidRPr="003B2141" w:rsidRDefault="003B2141" w:rsidP="003B2141">
            <w:pPr>
              <w:rPr>
                <w:rFonts w:ascii="Times New Roman" w:eastAsia="Calibri" w:hAnsi="Times New Roman" w:cs="Times New Roman"/>
                <w:sz w:val="24"/>
                <w:szCs w:val="24"/>
              </w:rPr>
            </w:pPr>
          </w:p>
        </w:tc>
      </w:tr>
      <w:tr w:rsidR="003B2141" w:rsidRPr="003B2141" w:rsidTr="003B2141">
        <w:trPr>
          <w:trHeight w:val="340"/>
        </w:trPr>
        <w:tc>
          <w:tcPr>
            <w:tcW w:w="2263" w:type="dxa"/>
            <w:tcBorders>
              <w:top w:val="nil"/>
              <w:left w:val="nil"/>
              <w:bottom w:val="single" w:sz="4" w:space="0" w:color="auto"/>
              <w:right w:val="nil"/>
            </w:tcBorders>
            <w:vAlign w:val="center"/>
          </w:tcPr>
          <w:p w:rsidR="003B2141" w:rsidRPr="003B2141" w:rsidRDefault="0012124A" w:rsidP="003B2141">
            <w:pPr>
              <w:rPr>
                <w:rFonts w:ascii="Times New Roman" w:eastAsia="Calibri" w:hAnsi="Times New Roman" w:cs="Times New Roman"/>
                <w:sz w:val="24"/>
                <w:szCs w:val="24"/>
              </w:rPr>
            </w:pPr>
            <m:oMathPara>
              <m:oMathParaPr>
                <m:jc m:val="left"/>
              </m:oMathParaP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σ</m:t>
                    </m:r>
                  </m:e>
                  <m:sub>
                    <m:r>
                      <w:rPr>
                        <w:rFonts w:ascii="Cambria Math" w:eastAsia="Calibri" w:hAnsi="Cambria Math" w:cs="Times New Roman"/>
                        <w:sz w:val="24"/>
                        <w:szCs w:val="24"/>
                      </w:rPr>
                      <m:t>e</m:t>
                    </m:r>
                  </m:sub>
                  <m:sup>
                    <m:r>
                      <w:rPr>
                        <w:rFonts w:ascii="Cambria Math" w:eastAsia="Calibri" w:hAnsi="Cambria Math" w:cs="Times New Roman"/>
                        <w:sz w:val="24"/>
                        <w:szCs w:val="24"/>
                      </w:rPr>
                      <m:t>2</m:t>
                    </m:r>
                  </m:sup>
                </m:sSubSup>
              </m:oMath>
            </m:oMathPara>
          </w:p>
        </w:tc>
        <w:tc>
          <w:tcPr>
            <w:tcW w:w="1983" w:type="dxa"/>
            <w:tcBorders>
              <w:top w:val="nil"/>
              <w:left w:val="nil"/>
              <w:bottom w:val="single" w:sz="4" w:space="0" w:color="auto"/>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0,063 (0,002)</w:t>
            </w:r>
          </w:p>
        </w:tc>
        <w:tc>
          <w:tcPr>
            <w:tcW w:w="2124" w:type="dxa"/>
            <w:tcBorders>
              <w:top w:val="nil"/>
              <w:left w:val="nil"/>
              <w:bottom w:val="single" w:sz="4" w:space="0" w:color="auto"/>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0,058 (0,002)</w:t>
            </w:r>
          </w:p>
        </w:tc>
        <w:tc>
          <w:tcPr>
            <w:tcW w:w="2124" w:type="dxa"/>
            <w:tcBorders>
              <w:top w:val="nil"/>
              <w:left w:val="nil"/>
              <w:bottom w:val="single" w:sz="4" w:space="0" w:color="auto"/>
              <w:right w:val="nil"/>
            </w:tcBorders>
            <w:vAlign w:val="center"/>
          </w:tcPr>
          <w:p w:rsidR="003B2141" w:rsidRPr="003B2141" w:rsidRDefault="003B2141" w:rsidP="003B2141">
            <w:pPr>
              <w:rPr>
                <w:rFonts w:ascii="Times New Roman" w:eastAsia="Calibri" w:hAnsi="Times New Roman" w:cs="Times New Roman"/>
                <w:sz w:val="24"/>
                <w:szCs w:val="24"/>
              </w:rPr>
            </w:pPr>
            <w:r w:rsidRPr="003B2141">
              <w:rPr>
                <w:rFonts w:ascii="Times New Roman" w:eastAsia="Calibri" w:hAnsi="Times New Roman" w:cs="Times New Roman"/>
                <w:sz w:val="24"/>
                <w:szCs w:val="24"/>
              </w:rPr>
              <w:t>0,059 (0,002)</w:t>
            </w:r>
          </w:p>
        </w:tc>
      </w:tr>
    </w:tbl>
    <w:p w:rsidR="00077CDE" w:rsidRPr="00A26E08" w:rsidRDefault="00077CDE" w:rsidP="0084774F">
      <w:pPr>
        <w:autoSpaceDE w:val="0"/>
        <w:autoSpaceDN w:val="0"/>
        <w:adjustRightInd w:val="0"/>
        <w:spacing w:after="0" w:line="240" w:lineRule="auto"/>
        <w:jc w:val="both"/>
        <w:rPr>
          <w:rFonts w:ascii="TimesNewRomanPSMT" w:hAnsi="TimesNewRomanPSMT" w:cs="TimesNewRomanPSMT"/>
          <w:color w:val="000000"/>
          <w:sz w:val="24"/>
          <w:szCs w:val="24"/>
        </w:rPr>
      </w:pPr>
    </w:p>
    <w:p w:rsidR="003C1DBE" w:rsidRPr="00A26E08" w:rsidRDefault="003C1DBE" w:rsidP="0084774F">
      <w:pPr>
        <w:autoSpaceDE w:val="0"/>
        <w:autoSpaceDN w:val="0"/>
        <w:adjustRightInd w:val="0"/>
        <w:spacing w:after="0" w:line="240" w:lineRule="auto"/>
        <w:jc w:val="both"/>
        <w:rPr>
          <w:rFonts w:ascii="TimesNewRomanPSMT" w:hAnsi="TimesNewRomanPSMT" w:cs="TimesNewRomanPSMT"/>
          <w:color w:val="000000"/>
          <w:sz w:val="24"/>
          <w:szCs w:val="24"/>
        </w:rPr>
      </w:pPr>
    </w:p>
    <w:p w:rsidR="0086739E" w:rsidRDefault="0086739E" w:rsidP="0012124A">
      <w:pPr>
        <w:spacing w:after="0" w:line="240" w:lineRule="auto"/>
        <w:ind w:firstLine="708"/>
        <w:jc w:val="both"/>
        <w:rPr>
          <w:rFonts w:ascii="Times New Roman" w:eastAsia="Calibri" w:hAnsi="Times New Roman" w:cs="Times New Roman"/>
          <w:sz w:val="24"/>
          <w:szCs w:val="24"/>
        </w:rPr>
      </w:pPr>
      <w:r w:rsidRPr="0086739E">
        <w:rPr>
          <w:rFonts w:ascii="Times New Roman" w:eastAsia="Calibri" w:hAnsi="Times New Roman" w:cs="Times New Roman"/>
          <w:sz w:val="24"/>
          <w:szCs w:val="24"/>
        </w:rPr>
        <w:t xml:space="preserve">En el modelo C se investigó el efecto de la condición muestral (CM) de los boxeadores como un predictor del IEA, una vez controlado el MP. La condición de </w:t>
      </w:r>
      <w:r w:rsidRPr="007673A1">
        <w:rPr>
          <w:rFonts w:ascii="Times New Roman" w:eastAsia="Calibri" w:hAnsi="Times New Roman" w:cs="Times New Roman"/>
          <w:i/>
          <w:sz w:val="24"/>
          <w:szCs w:val="24"/>
        </w:rPr>
        <w:t>destacado</w:t>
      </w:r>
      <w:r w:rsidRPr="0086739E">
        <w:rPr>
          <w:rFonts w:ascii="Times New Roman" w:eastAsia="Calibri" w:hAnsi="Times New Roman" w:cs="Times New Roman"/>
          <w:sz w:val="24"/>
          <w:szCs w:val="24"/>
        </w:rPr>
        <w:t xml:space="preserve"> se tomó como categoría de referencia</w:t>
      </w:r>
      <w:r w:rsidR="007673A1">
        <w:rPr>
          <w:rFonts w:ascii="Times New Roman" w:eastAsia="Calibri" w:hAnsi="Times New Roman" w:cs="Times New Roman"/>
          <w:sz w:val="24"/>
          <w:szCs w:val="24"/>
        </w:rPr>
        <w:t>.</w:t>
      </w:r>
      <w:r w:rsidRPr="0086739E">
        <w:rPr>
          <w:rFonts w:ascii="Times New Roman" w:eastAsia="Calibri" w:hAnsi="Times New Roman" w:cs="Times New Roman"/>
          <w:sz w:val="24"/>
          <w:szCs w:val="24"/>
        </w:rPr>
        <w:t xml:space="preserve"> La inclusión en el modelo de la covariable CM se acompaña también de un cambio importante en la log-verosimilitud (tabla </w:t>
      </w:r>
      <w:r>
        <w:rPr>
          <w:rFonts w:ascii="Times New Roman" w:eastAsia="Calibri" w:hAnsi="Times New Roman" w:cs="Times New Roman"/>
          <w:sz w:val="24"/>
          <w:szCs w:val="24"/>
        </w:rPr>
        <w:t>No.</w:t>
      </w:r>
      <w:r w:rsidRPr="0086739E">
        <w:rPr>
          <w:rFonts w:ascii="Times New Roman" w:eastAsia="Calibri" w:hAnsi="Times New Roman" w:cs="Times New Roman"/>
          <w:sz w:val="24"/>
          <w:szCs w:val="24"/>
        </w:rPr>
        <w:t xml:space="preserve">3), y esto es esperado ya que la variación entre-sujetos del IEA se puede explicar en una proporción importante por la condición </w:t>
      </w:r>
      <w:r w:rsidR="007673A1" w:rsidRPr="0086739E">
        <w:rPr>
          <w:rFonts w:ascii="Times New Roman" w:eastAsia="Calibri" w:hAnsi="Times New Roman" w:cs="Times New Roman"/>
          <w:sz w:val="24"/>
          <w:szCs w:val="24"/>
        </w:rPr>
        <w:t>muestral, como</w:t>
      </w:r>
      <w:r w:rsidRPr="0086739E">
        <w:rPr>
          <w:rFonts w:ascii="Times New Roman" w:eastAsia="Calibri" w:hAnsi="Times New Roman" w:cs="Times New Roman"/>
          <w:sz w:val="24"/>
          <w:szCs w:val="24"/>
        </w:rPr>
        <w:t xml:space="preserve"> se muestra (tabla </w:t>
      </w:r>
      <w:r>
        <w:rPr>
          <w:rFonts w:ascii="Times New Roman" w:eastAsia="Calibri" w:hAnsi="Times New Roman" w:cs="Times New Roman"/>
          <w:sz w:val="24"/>
          <w:szCs w:val="24"/>
        </w:rPr>
        <w:t>No.</w:t>
      </w:r>
      <w:r w:rsidRPr="0086739E">
        <w:rPr>
          <w:rFonts w:ascii="Times New Roman" w:eastAsia="Calibri" w:hAnsi="Times New Roman" w:cs="Times New Roman"/>
          <w:sz w:val="24"/>
          <w:szCs w:val="24"/>
        </w:rPr>
        <w:t xml:space="preserve">4) por el cambio en la varianza entre-sujeto estimada (de 0,011 a 0,003). </w:t>
      </w:r>
    </w:p>
    <w:p w:rsidR="00084E1C" w:rsidRPr="00A26E08" w:rsidRDefault="00084E1C"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La condición muestral (ser </w:t>
      </w:r>
      <w:r w:rsidRPr="00A26E08">
        <w:rPr>
          <w:rFonts w:ascii="Times New Roman" w:eastAsia="Calibri" w:hAnsi="Times New Roman" w:cs="Times New Roman"/>
          <w:i/>
          <w:sz w:val="24"/>
          <w:szCs w:val="24"/>
        </w:rPr>
        <w:t>destacado</w:t>
      </w:r>
      <w:r w:rsidRPr="00A26E08">
        <w:rPr>
          <w:rFonts w:ascii="Times New Roman" w:eastAsia="Calibri" w:hAnsi="Times New Roman" w:cs="Times New Roman"/>
          <w:sz w:val="24"/>
          <w:szCs w:val="24"/>
        </w:rPr>
        <w:t xml:space="preserve"> o </w:t>
      </w:r>
      <w:r w:rsidRPr="00A26E08">
        <w:rPr>
          <w:rFonts w:ascii="Times New Roman" w:eastAsia="Calibri" w:hAnsi="Times New Roman" w:cs="Times New Roman"/>
          <w:i/>
          <w:sz w:val="24"/>
          <w:szCs w:val="24"/>
        </w:rPr>
        <w:t>no destacado</w:t>
      </w:r>
      <w:r w:rsidRPr="00A26E08">
        <w:rPr>
          <w:rFonts w:ascii="Times New Roman" w:eastAsia="Calibri" w:hAnsi="Times New Roman" w:cs="Times New Roman"/>
          <w:sz w:val="24"/>
          <w:szCs w:val="24"/>
        </w:rPr>
        <w:t xml:space="preserve">) es capaz de explicar casi toda la variabilidad que hay entre los boxeadores, razón por la cual, no resulta pertinente la inclusión de otra variable con ese fin. </w:t>
      </w:r>
    </w:p>
    <w:p w:rsidR="00084E1C" w:rsidRPr="00A26E08" w:rsidRDefault="00084E1C"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El grado de cuán apropiadamente el modelo (C) de 2 niveles se ajusta a los puntajes del IEA de los boxeadores, se expresa por el porcentaje de varianza explicada en el nivel-2, en este caso:</w:t>
      </w:r>
    </w:p>
    <w:p w:rsidR="00084E1C" w:rsidRPr="00A26E08" w:rsidRDefault="00084E1C" w:rsidP="0084774F">
      <w:pPr>
        <w:spacing w:after="0" w:line="240" w:lineRule="auto"/>
        <w:jc w:val="center"/>
        <w:rPr>
          <w:rFonts w:ascii="Times New Roman" w:eastAsia="Calibri" w:hAnsi="Times New Roman" w:cs="Times New Roman"/>
          <w:i/>
          <w:sz w:val="24"/>
          <w:szCs w:val="24"/>
        </w:rPr>
      </w:pPr>
      <m:oMathPara>
        <m:oMath>
          <m:r>
            <w:rPr>
              <w:rFonts w:ascii="Cambria Math" w:eastAsia="Calibri" w:hAnsi="Cambria Math" w:cs="Times New Roman"/>
              <w:sz w:val="24"/>
              <w:szCs w:val="24"/>
            </w:rPr>
            <m:t>% de varianza explicada=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 xml:space="preserve">0,011 </m:t>
              </m:r>
              <m:d>
                <m:dPr>
                  <m:ctrlPr>
                    <w:rPr>
                      <w:rFonts w:ascii="Cambria Math" w:eastAsia="Calibri" w:hAnsi="Cambria Math" w:cs="Times New Roman"/>
                      <w:i/>
                      <w:sz w:val="24"/>
                      <w:szCs w:val="24"/>
                    </w:rPr>
                  </m:ctrlPr>
                </m:dPr>
                <m:e>
                  <m:r>
                    <w:rPr>
                      <w:rFonts w:ascii="Cambria Math" w:eastAsia="Calibri" w:hAnsi="Cambria Math" w:cs="Times New Roman"/>
                      <w:sz w:val="24"/>
                      <w:szCs w:val="24"/>
                    </w:rPr>
                    <m:t>modelo B.</m:t>
                  </m:r>
                </m:e>
              </m:d>
              <m:r>
                <w:rPr>
                  <w:rFonts w:ascii="Cambria Math" w:eastAsia="Calibri" w:hAnsi="Cambria Math" w:cs="Times New Roman"/>
                  <w:sz w:val="24"/>
                  <w:szCs w:val="24"/>
                </w:rPr>
                <m:t xml:space="preserve"> - 0,003 (modelo C)</m:t>
              </m:r>
            </m:num>
            <m:den>
              <m:r>
                <w:rPr>
                  <w:rFonts w:ascii="Cambria Math" w:eastAsia="Calibri" w:hAnsi="Cambria Math" w:cs="Times New Roman"/>
                  <w:sz w:val="24"/>
                  <w:szCs w:val="24"/>
                </w:rPr>
                <m:t>0,011 (modelo B.)</m:t>
              </m:r>
            </m:den>
          </m:f>
          <m:r>
            <w:rPr>
              <w:rFonts w:ascii="Cambria Math" w:eastAsia="Calibri" w:hAnsi="Cambria Math" w:cs="Times New Roman"/>
              <w:sz w:val="24"/>
              <w:szCs w:val="24"/>
            </w:rPr>
            <m:t>×100=72</m:t>
          </m:r>
        </m:oMath>
      </m:oMathPara>
    </w:p>
    <w:p w:rsidR="003C1DBE" w:rsidRPr="00A26E08" w:rsidRDefault="00084E1C"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 New Roman" w:eastAsia="Calibri" w:hAnsi="Times New Roman" w:cs="Times New Roman"/>
          <w:sz w:val="24"/>
          <w:szCs w:val="24"/>
        </w:rPr>
        <w:t>Esto significa que el 72 % de la variabilidad del IEA entre boxeadores se explica por la condición muestral.</w:t>
      </w:r>
      <w:r w:rsidR="008D13E5" w:rsidRPr="00A26E08">
        <w:rPr>
          <w:rFonts w:ascii="Times New Roman" w:eastAsia="Calibri" w:hAnsi="Times New Roman" w:cs="Times New Roman"/>
          <w:sz w:val="24"/>
          <w:szCs w:val="24"/>
        </w:rPr>
        <w:t xml:space="preserve"> </w:t>
      </w:r>
      <w:r w:rsidR="008667D3" w:rsidRPr="00A26E08">
        <w:rPr>
          <w:rFonts w:ascii="TimesNewRomanPSMT" w:hAnsi="TimesNewRomanPSMT" w:cs="TimesNewRomanPSMT"/>
          <w:color w:val="000000"/>
          <w:sz w:val="24"/>
          <w:szCs w:val="24"/>
        </w:rPr>
        <w:t xml:space="preserve">Durante los combates, los boxeadores destacados cometieron errores autovalorativos más bajos, con independencia del mesociclo de preparación en que se encontraron. En las condiciones más adversas, conservaron una función </w:t>
      </w:r>
      <w:r w:rsidR="008667D3" w:rsidRPr="00A26E08">
        <w:rPr>
          <w:rFonts w:ascii="TimesNewRomanPSMT" w:hAnsi="TimesNewRomanPSMT" w:cs="TimesNewRomanPSMT"/>
          <w:color w:val="000000"/>
          <w:sz w:val="24"/>
          <w:szCs w:val="24"/>
        </w:rPr>
        <w:lastRenderedPageBreak/>
        <w:t>autovalorativa adecuada, lo cual fue observado en sus respuestas a la escala autovalorativa de desempeño y confirmado mediante las entrevistas finales. En estas se observó coherencia de argumentos entre sus apreciaciones del combate y las estrategias que debían adoptar en el futuro. Los destacados obtuvieron victorias frecuentes en los combates evaluados, sin embargo, la crítica exigente y los análisis sobre el desempeño fueron diversos en sus argumentos y gozaron de un alto grado de elaboración personal.</w:t>
      </w:r>
    </w:p>
    <w:p w:rsidR="002B0441" w:rsidRPr="00A26E08" w:rsidRDefault="002B0441"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Una vez estimados los efectos correspondientes a las variables explicativas contenidas en los tres modelos, la Tabla No.5 muestra </w:t>
      </w:r>
      <w:r w:rsidR="00832EB7" w:rsidRPr="00832EB7">
        <w:rPr>
          <w:rFonts w:ascii="Times New Roman" w:eastAsia="Calibri" w:hAnsi="Times New Roman" w:cs="Times New Roman"/>
          <w:sz w:val="24"/>
          <w:szCs w:val="24"/>
        </w:rPr>
        <w:t>la predicción del IEA medio en cada uno de cuatro subgrupos de boxeadores, conformados de acuerdo a la CM y el MP.</w:t>
      </w:r>
    </w:p>
    <w:p w:rsidR="007673A1" w:rsidRDefault="007673A1" w:rsidP="0084774F">
      <w:pPr>
        <w:autoSpaceDE w:val="0"/>
        <w:autoSpaceDN w:val="0"/>
        <w:adjustRightInd w:val="0"/>
        <w:spacing w:after="0" w:line="240" w:lineRule="auto"/>
        <w:jc w:val="both"/>
        <w:rPr>
          <w:rFonts w:ascii="Times New Roman" w:eastAsia="Calibri" w:hAnsi="Times New Roman" w:cs="Times New Roman"/>
          <w:b/>
          <w:sz w:val="24"/>
          <w:szCs w:val="24"/>
        </w:rPr>
      </w:pPr>
    </w:p>
    <w:p w:rsidR="0012124A" w:rsidRPr="0012124A" w:rsidRDefault="0012124A" w:rsidP="0084774F">
      <w:pPr>
        <w:autoSpaceDE w:val="0"/>
        <w:autoSpaceDN w:val="0"/>
        <w:adjustRightInd w:val="0"/>
        <w:spacing w:after="0" w:line="240" w:lineRule="auto"/>
        <w:jc w:val="both"/>
        <w:rPr>
          <w:rFonts w:ascii="Times New Roman" w:eastAsia="Calibri" w:hAnsi="Times New Roman" w:cs="Times New Roman"/>
          <w:sz w:val="24"/>
          <w:szCs w:val="24"/>
        </w:rPr>
      </w:pPr>
      <w:r w:rsidRPr="0012124A">
        <w:rPr>
          <w:rFonts w:ascii="Times New Roman" w:eastAsia="Calibri" w:hAnsi="Times New Roman" w:cs="Times New Roman"/>
          <w:sz w:val="24"/>
          <w:szCs w:val="24"/>
        </w:rPr>
        <w:t>Tabla 5</w:t>
      </w:r>
    </w:p>
    <w:p w:rsidR="002B0441" w:rsidRPr="0012124A" w:rsidRDefault="002B0441" w:rsidP="0084774F">
      <w:pPr>
        <w:autoSpaceDE w:val="0"/>
        <w:autoSpaceDN w:val="0"/>
        <w:adjustRightInd w:val="0"/>
        <w:spacing w:after="0" w:line="240" w:lineRule="auto"/>
        <w:jc w:val="both"/>
        <w:rPr>
          <w:rFonts w:ascii="Times New Roman" w:eastAsia="Calibri" w:hAnsi="Times New Roman" w:cs="Times New Roman"/>
          <w:i/>
          <w:sz w:val="24"/>
          <w:szCs w:val="24"/>
        </w:rPr>
      </w:pPr>
      <w:r w:rsidRPr="0012124A">
        <w:rPr>
          <w:rFonts w:ascii="Times New Roman" w:eastAsia="Calibri" w:hAnsi="Times New Roman" w:cs="Times New Roman"/>
          <w:i/>
          <w:sz w:val="24"/>
          <w:szCs w:val="24"/>
        </w:rPr>
        <w:t>Predicción del valor medio de IEA.</w:t>
      </w:r>
    </w:p>
    <w:p w:rsidR="002B0441" w:rsidRPr="0012124A" w:rsidRDefault="002B0441" w:rsidP="0084774F">
      <w:pPr>
        <w:autoSpaceDE w:val="0"/>
        <w:autoSpaceDN w:val="0"/>
        <w:adjustRightInd w:val="0"/>
        <w:spacing w:after="0" w:line="240" w:lineRule="auto"/>
        <w:jc w:val="both"/>
        <w:rPr>
          <w:rFonts w:ascii="Times New Roman" w:eastAsia="Calibri" w:hAnsi="Times New Roman" w:cs="Times New Roman"/>
          <w:i/>
          <w:sz w:val="24"/>
          <w:szCs w:val="24"/>
        </w:rPr>
      </w:pPr>
    </w:p>
    <w:tbl>
      <w:tblPr>
        <w:tblStyle w:val="Tablaconcuadrcula81"/>
        <w:tblW w:w="0" w:type="auto"/>
        <w:jc w:val="center"/>
        <w:tblLayout w:type="fixed"/>
        <w:tblLook w:val="04A0" w:firstRow="1" w:lastRow="0" w:firstColumn="1" w:lastColumn="0" w:noHBand="0" w:noVBand="1"/>
      </w:tblPr>
      <w:tblGrid>
        <w:gridCol w:w="3298"/>
        <w:gridCol w:w="1215"/>
        <w:gridCol w:w="1248"/>
        <w:gridCol w:w="2495"/>
      </w:tblGrid>
      <w:tr w:rsidR="002B0441" w:rsidRPr="00A26E08" w:rsidTr="00832EB7">
        <w:trPr>
          <w:trHeight w:val="576"/>
          <w:jc w:val="center"/>
        </w:trPr>
        <w:tc>
          <w:tcPr>
            <w:tcW w:w="3298" w:type="dxa"/>
            <w:vMerge w:val="restart"/>
          </w:tcPr>
          <w:p w:rsidR="002B0441" w:rsidRPr="00A26E08" w:rsidRDefault="002B0441" w:rsidP="00832EB7">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Subgrupos de boxeadores</w:t>
            </w:r>
          </w:p>
        </w:tc>
        <w:tc>
          <w:tcPr>
            <w:tcW w:w="2463" w:type="dxa"/>
            <w:gridSpan w:val="2"/>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Variables indicadoras</w:t>
            </w:r>
          </w:p>
        </w:tc>
        <w:tc>
          <w:tcPr>
            <w:tcW w:w="2495" w:type="dxa"/>
            <w:vMerge w:val="restart"/>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Valor de la </w:t>
            </w:r>
          </w:p>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media predicha</w:t>
            </w:r>
          </w:p>
        </w:tc>
      </w:tr>
      <w:tr w:rsidR="002B0441" w:rsidRPr="00A26E08" w:rsidTr="00832EB7">
        <w:trPr>
          <w:trHeight w:val="304"/>
          <w:jc w:val="center"/>
        </w:trPr>
        <w:tc>
          <w:tcPr>
            <w:tcW w:w="3298" w:type="dxa"/>
            <w:vMerge/>
          </w:tcPr>
          <w:p w:rsidR="002B0441" w:rsidRPr="00A26E08" w:rsidRDefault="002B0441" w:rsidP="00832EB7">
            <w:pPr>
              <w:autoSpaceDE w:val="0"/>
              <w:autoSpaceDN w:val="0"/>
              <w:adjustRightInd w:val="0"/>
              <w:jc w:val="both"/>
              <w:rPr>
                <w:rFonts w:ascii="Times New Roman" w:eastAsia="Calibri" w:hAnsi="Times New Roman" w:cs="Times New Roman"/>
                <w:sz w:val="24"/>
                <w:szCs w:val="24"/>
              </w:rPr>
            </w:pPr>
          </w:p>
        </w:tc>
        <w:tc>
          <w:tcPr>
            <w:tcW w:w="121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MP</w:t>
            </w:r>
          </w:p>
        </w:tc>
        <w:tc>
          <w:tcPr>
            <w:tcW w:w="124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CM</w:t>
            </w:r>
          </w:p>
        </w:tc>
        <w:tc>
          <w:tcPr>
            <w:tcW w:w="2495" w:type="dxa"/>
            <w:vMerge/>
          </w:tcPr>
          <w:p w:rsidR="002B0441" w:rsidRPr="00A26E08" w:rsidRDefault="002B0441" w:rsidP="00832EB7">
            <w:pPr>
              <w:autoSpaceDE w:val="0"/>
              <w:autoSpaceDN w:val="0"/>
              <w:adjustRightInd w:val="0"/>
              <w:jc w:val="both"/>
              <w:rPr>
                <w:rFonts w:ascii="Times New Roman" w:eastAsia="Calibri" w:hAnsi="Times New Roman" w:cs="Times New Roman"/>
                <w:sz w:val="24"/>
                <w:szCs w:val="24"/>
              </w:rPr>
            </w:pPr>
          </w:p>
        </w:tc>
      </w:tr>
      <w:tr w:rsidR="002B0441" w:rsidRPr="00A26E08" w:rsidTr="00832EB7">
        <w:trPr>
          <w:trHeight w:val="292"/>
          <w:jc w:val="center"/>
        </w:trPr>
        <w:tc>
          <w:tcPr>
            <w:tcW w:w="329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Destacados en </w:t>
            </w:r>
            <w:r w:rsidR="00832EB7">
              <w:rPr>
                <w:rFonts w:ascii="Times New Roman" w:eastAsia="Calibri" w:hAnsi="Times New Roman" w:cs="Times New Roman"/>
                <w:sz w:val="24"/>
                <w:szCs w:val="24"/>
              </w:rPr>
              <w:t>Meso</w:t>
            </w:r>
            <w:r w:rsidRPr="00A26E08">
              <w:rPr>
                <w:rFonts w:ascii="Times New Roman" w:eastAsia="Calibri" w:hAnsi="Times New Roman" w:cs="Times New Roman"/>
                <w:sz w:val="24"/>
                <w:szCs w:val="24"/>
              </w:rPr>
              <w:t xml:space="preserve"> A</w:t>
            </w:r>
          </w:p>
        </w:tc>
        <w:tc>
          <w:tcPr>
            <w:tcW w:w="121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w:t>
            </w:r>
          </w:p>
        </w:tc>
        <w:tc>
          <w:tcPr>
            <w:tcW w:w="124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w:t>
            </w:r>
          </w:p>
        </w:tc>
        <w:tc>
          <w:tcPr>
            <w:tcW w:w="249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w:t>
            </w:r>
          </w:p>
        </w:tc>
      </w:tr>
      <w:tr w:rsidR="002B0441" w:rsidRPr="00A26E08" w:rsidTr="00832EB7">
        <w:trPr>
          <w:trHeight w:val="282"/>
          <w:jc w:val="center"/>
        </w:trPr>
        <w:tc>
          <w:tcPr>
            <w:tcW w:w="329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Destacados en </w:t>
            </w:r>
            <w:r w:rsidR="00832EB7">
              <w:rPr>
                <w:rFonts w:ascii="Times New Roman" w:eastAsia="Calibri" w:hAnsi="Times New Roman" w:cs="Times New Roman"/>
                <w:sz w:val="24"/>
                <w:szCs w:val="24"/>
              </w:rPr>
              <w:t>Meso</w:t>
            </w:r>
            <w:r w:rsidRPr="00A26E08">
              <w:rPr>
                <w:rFonts w:ascii="Times New Roman" w:eastAsia="Calibri" w:hAnsi="Times New Roman" w:cs="Times New Roman"/>
                <w:sz w:val="24"/>
                <w:szCs w:val="24"/>
              </w:rPr>
              <w:t xml:space="preserve"> T-R</w:t>
            </w:r>
          </w:p>
        </w:tc>
        <w:tc>
          <w:tcPr>
            <w:tcW w:w="121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1</w:t>
            </w:r>
          </w:p>
        </w:tc>
        <w:tc>
          <w:tcPr>
            <w:tcW w:w="124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w:t>
            </w:r>
          </w:p>
        </w:tc>
        <w:tc>
          <w:tcPr>
            <w:tcW w:w="249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 – 0.13</w:t>
            </w:r>
          </w:p>
        </w:tc>
      </w:tr>
      <w:tr w:rsidR="002B0441" w:rsidRPr="00A26E08" w:rsidTr="00832EB7">
        <w:trPr>
          <w:trHeight w:val="292"/>
          <w:jc w:val="center"/>
        </w:trPr>
        <w:tc>
          <w:tcPr>
            <w:tcW w:w="329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No Destacados en </w:t>
            </w:r>
            <w:r w:rsidR="00832EB7">
              <w:rPr>
                <w:rFonts w:ascii="Times New Roman" w:eastAsia="Calibri" w:hAnsi="Times New Roman" w:cs="Times New Roman"/>
                <w:sz w:val="24"/>
                <w:szCs w:val="24"/>
              </w:rPr>
              <w:t>Meso</w:t>
            </w:r>
            <w:r w:rsidRPr="00A26E08">
              <w:rPr>
                <w:rFonts w:ascii="Times New Roman" w:eastAsia="Calibri" w:hAnsi="Times New Roman" w:cs="Times New Roman"/>
                <w:sz w:val="24"/>
                <w:szCs w:val="24"/>
              </w:rPr>
              <w:t xml:space="preserve"> A</w:t>
            </w:r>
          </w:p>
        </w:tc>
        <w:tc>
          <w:tcPr>
            <w:tcW w:w="121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w:t>
            </w:r>
          </w:p>
        </w:tc>
        <w:tc>
          <w:tcPr>
            <w:tcW w:w="124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1</w:t>
            </w:r>
          </w:p>
        </w:tc>
        <w:tc>
          <w:tcPr>
            <w:tcW w:w="249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 + 0.17</w:t>
            </w:r>
          </w:p>
        </w:tc>
      </w:tr>
      <w:tr w:rsidR="002B0441" w:rsidRPr="00A26E08" w:rsidTr="00832EB7">
        <w:trPr>
          <w:trHeight w:val="576"/>
          <w:jc w:val="center"/>
        </w:trPr>
        <w:tc>
          <w:tcPr>
            <w:tcW w:w="329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No Destacados en </w:t>
            </w:r>
            <w:r w:rsidR="00832EB7">
              <w:rPr>
                <w:rFonts w:ascii="Times New Roman" w:eastAsia="Calibri" w:hAnsi="Times New Roman" w:cs="Times New Roman"/>
                <w:sz w:val="24"/>
                <w:szCs w:val="24"/>
              </w:rPr>
              <w:t>Meso</w:t>
            </w:r>
            <w:r w:rsidRPr="00A26E08">
              <w:rPr>
                <w:rFonts w:ascii="Times New Roman" w:eastAsia="Calibri" w:hAnsi="Times New Roman" w:cs="Times New Roman"/>
                <w:sz w:val="24"/>
                <w:szCs w:val="24"/>
              </w:rPr>
              <w:t xml:space="preserve"> T-R</w:t>
            </w:r>
          </w:p>
        </w:tc>
        <w:tc>
          <w:tcPr>
            <w:tcW w:w="121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1</w:t>
            </w:r>
          </w:p>
        </w:tc>
        <w:tc>
          <w:tcPr>
            <w:tcW w:w="1248"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1</w:t>
            </w:r>
          </w:p>
        </w:tc>
        <w:tc>
          <w:tcPr>
            <w:tcW w:w="2495" w:type="dxa"/>
          </w:tcPr>
          <w:p w:rsidR="002B0441" w:rsidRPr="00A26E08" w:rsidRDefault="002B0441" w:rsidP="00832EB7">
            <w:pPr>
              <w:autoSpaceDE w:val="0"/>
              <w:autoSpaceDN w:val="0"/>
              <w:adjustRightInd w:val="0"/>
              <w:jc w:val="center"/>
              <w:rPr>
                <w:rFonts w:ascii="Times New Roman" w:eastAsia="Calibri" w:hAnsi="Times New Roman" w:cs="Times New Roman"/>
                <w:sz w:val="24"/>
                <w:szCs w:val="24"/>
              </w:rPr>
            </w:pPr>
            <w:r w:rsidRPr="00A26E08">
              <w:rPr>
                <w:rFonts w:ascii="Times New Roman" w:eastAsia="Calibri" w:hAnsi="Times New Roman" w:cs="Times New Roman"/>
                <w:sz w:val="24"/>
                <w:szCs w:val="24"/>
              </w:rPr>
              <w:t>0.43 – 0.13 + 0.17</w:t>
            </w:r>
          </w:p>
        </w:tc>
      </w:tr>
    </w:tbl>
    <w:p w:rsidR="002B0441" w:rsidRPr="00A26E08" w:rsidRDefault="002B0441" w:rsidP="0084774F">
      <w:pPr>
        <w:autoSpaceDE w:val="0"/>
        <w:autoSpaceDN w:val="0"/>
        <w:adjustRightInd w:val="0"/>
        <w:spacing w:after="0" w:line="240" w:lineRule="auto"/>
        <w:rPr>
          <w:rFonts w:ascii="Calibri" w:eastAsia="Calibri" w:hAnsi="Calibri" w:cs="Times New Roman"/>
          <w:b/>
          <w:sz w:val="24"/>
          <w:szCs w:val="24"/>
        </w:rPr>
      </w:pPr>
    </w:p>
    <w:p w:rsidR="00832EB7" w:rsidRDefault="002B0441" w:rsidP="0012124A">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A26E08">
        <w:rPr>
          <w:rFonts w:ascii="Times New Roman" w:eastAsia="Calibri" w:hAnsi="Times New Roman" w:cs="Times New Roman"/>
          <w:color w:val="000000"/>
          <w:sz w:val="24"/>
          <w:szCs w:val="24"/>
        </w:rPr>
        <w:t xml:space="preserve">Como se puede apreciar, el IEA de los </w:t>
      </w:r>
      <w:r w:rsidRPr="00A26E08">
        <w:rPr>
          <w:rFonts w:ascii="Times New Roman" w:eastAsia="Calibri" w:hAnsi="Times New Roman" w:cs="Times New Roman"/>
          <w:i/>
          <w:color w:val="000000"/>
          <w:sz w:val="24"/>
          <w:szCs w:val="24"/>
        </w:rPr>
        <w:t>no destacados</w:t>
      </w:r>
      <w:r w:rsidRPr="00A26E08">
        <w:rPr>
          <w:rFonts w:ascii="Times New Roman" w:eastAsia="Calibri" w:hAnsi="Times New Roman" w:cs="Times New Roman"/>
          <w:color w:val="000000"/>
          <w:sz w:val="24"/>
          <w:szCs w:val="24"/>
        </w:rPr>
        <w:t xml:space="preserve"> en el meso A es 0.17, mayor que el de los </w:t>
      </w:r>
      <w:r w:rsidRPr="00A26E08">
        <w:rPr>
          <w:rFonts w:ascii="Times New Roman" w:eastAsia="Calibri" w:hAnsi="Times New Roman" w:cs="Times New Roman"/>
          <w:i/>
          <w:color w:val="000000"/>
          <w:sz w:val="24"/>
          <w:szCs w:val="24"/>
        </w:rPr>
        <w:t>destacados</w:t>
      </w:r>
      <w:r w:rsidRPr="00A26E08">
        <w:rPr>
          <w:rFonts w:ascii="Times New Roman" w:eastAsia="Calibri" w:hAnsi="Times New Roman" w:cs="Times New Roman"/>
          <w:color w:val="000000"/>
          <w:sz w:val="24"/>
          <w:szCs w:val="24"/>
        </w:rPr>
        <w:t xml:space="preserve"> en la misma etapa. Se conocía que estos últimos disponen de una ventaja autovalorativa, pero </w:t>
      </w:r>
      <w:r w:rsidR="00832EB7">
        <w:rPr>
          <w:rFonts w:ascii="Times New Roman" w:eastAsia="Calibri" w:hAnsi="Times New Roman" w:cs="Times New Roman"/>
          <w:color w:val="000000"/>
          <w:sz w:val="24"/>
          <w:szCs w:val="24"/>
        </w:rPr>
        <w:t>a</w:t>
      </w:r>
      <w:r w:rsidR="00832EB7" w:rsidRPr="00832EB7">
        <w:rPr>
          <w:rFonts w:ascii="Times New Roman" w:eastAsia="Calibri" w:hAnsi="Times New Roman" w:cs="Times New Roman"/>
          <w:color w:val="000000"/>
          <w:sz w:val="24"/>
          <w:szCs w:val="24"/>
        </w:rPr>
        <w:t xml:space="preserve"> través de la modelación se estimó la contribución </w:t>
      </w:r>
      <w:r w:rsidRPr="00A26E08">
        <w:rPr>
          <w:rFonts w:ascii="Times New Roman" w:eastAsia="Calibri" w:hAnsi="Times New Roman" w:cs="Times New Roman"/>
          <w:color w:val="000000"/>
          <w:sz w:val="24"/>
          <w:szCs w:val="24"/>
        </w:rPr>
        <w:t>que representa para el IEA pertenecer a un grupo u otro de boxeadores.</w:t>
      </w:r>
      <w:r w:rsidR="00832EB7">
        <w:rPr>
          <w:rFonts w:ascii="Times New Roman" w:eastAsia="Calibri" w:hAnsi="Times New Roman" w:cs="Times New Roman"/>
          <w:color w:val="000000"/>
          <w:sz w:val="24"/>
          <w:szCs w:val="24"/>
        </w:rPr>
        <w:t xml:space="preserve"> </w:t>
      </w:r>
      <w:r w:rsidRPr="00A26E08">
        <w:rPr>
          <w:rFonts w:ascii="Times New Roman" w:eastAsia="Calibri" w:hAnsi="Times New Roman" w:cs="Times New Roman"/>
          <w:color w:val="000000"/>
          <w:sz w:val="24"/>
          <w:szCs w:val="24"/>
        </w:rPr>
        <w:t>El efecto del mesociclo de preparación sobre el IEA de los boxeadores destacados y no destacados, gener</w:t>
      </w:r>
      <w:r w:rsidR="007673A1">
        <w:rPr>
          <w:rFonts w:ascii="Times New Roman" w:eastAsia="Calibri" w:hAnsi="Times New Roman" w:cs="Times New Roman"/>
          <w:color w:val="000000"/>
          <w:sz w:val="24"/>
          <w:szCs w:val="24"/>
        </w:rPr>
        <w:t>ó</w:t>
      </w:r>
      <w:r w:rsidRPr="00A26E08">
        <w:rPr>
          <w:rFonts w:ascii="Times New Roman" w:eastAsia="Calibri" w:hAnsi="Times New Roman" w:cs="Times New Roman"/>
          <w:color w:val="000000"/>
          <w:sz w:val="24"/>
          <w:szCs w:val="24"/>
        </w:rPr>
        <w:t xml:space="preserve"> en </w:t>
      </w:r>
      <w:r w:rsidR="00832EB7">
        <w:rPr>
          <w:rFonts w:ascii="Times New Roman" w:eastAsia="Calibri" w:hAnsi="Times New Roman" w:cs="Times New Roman"/>
          <w:color w:val="000000"/>
          <w:sz w:val="24"/>
          <w:szCs w:val="24"/>
        </w:rPr>
        <w:t xml:space="preserve">el meso </w:t>
      </w:r>
      <w:r w:rsidRPr="00A26E08">
        <w:rPr>
          <w:rFonts w:ascii="Times New Roman" w:eastAsia="Calibri" w:hAnsi="Times New Roman" w:cs="Times New Roman"/>
          <w:color w:val="000000"/>
          <w:sz w:val="24"/>
          <w:szCs w:val="24"/>
        </w:rPr>
        <w:t xml:space="preserve">T una disminución de 0.13 respecto al meso A. </w:t>
      </w:r>
    </w:p>
    <w:p w:rsidR="002B0441" w:rsidRPr="00A26E08" w:rsidRDefault="002B0441" w:rsidP="0084774F">
      <w:pPr>
        <w:autoSpaceDE w:val="0"/>
        <w:autoSpaceDN w:val="0"/>
        <w:adjustRightInd w:val="0"/>
        <w:spacing w:after="0" w:line="240" w:lineRule="auto"/>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Nótese en la Figura No.</w:t>
      </w:r>
      <w:r w:rsidR="00E627AA" w:rsidRPr="00A26E08">
        <w:rPr>
          <w:rFonts w:ascii="Times New Roman" w:eastAsia="Calibri" w:hAnsi="Times New Roman" w:cs="Times New Roman"/>
          <w:sz w:val="24"/>
          <w:szCs w:val="24"/>
        </w:rPr>
        <w:t>1</w:t>
      </w:r>
      <w:r w:rsidRPr="00A26E08">
        <w:rPr>
          <w:rFonts w:ascii="Times New Roman" w:eastAsia="Calibri" w:hAnsi="Times New Roman" w:cs="Times New Roman"/>
          <w:sz w:val="24"/>
          <w:szCs w:val="24"/>
        </w:rPr>
        <w:t xml:space="preserve"> la diferencia de los valores medios del IEA entre boxeadores </w:t>
      </w:r>
      <w:r w:rsidRPr="00A26E08">
        <w:rPr>
          <w:rFonts w:ascii="Times New Roman" w:eastAsia="Calibri" w:hAnsi="Times New Roman" w:cs="Times New Roman"/>
          <w:i/>
          <w:sz w:val="24"/>
          <w:szCs w:val="24"/>
        </w:rPr>
        <w:t>destacados</w:t>
      </w:r>
      <w:r w:rsidRPr="00A26E08">
        <w:rPr>
          <w:rFonts w:ascii="Times New Roman" w:eastAsia="Calibri" w:hAnsi="Times New Roman" w:cs="Times New Roman"/>
          <w:sz w:val="24"/>
          <w:szCs w:val="24"/>
        </w:rPr>
        <w:t xml:space="preserve"> y </w:t>
      </w:r>
      <w:r w:rsidRPr="00A26E08">
        <w:rPr>
          <w:rFonts w:ascii="Times New Roman" w:eastAsia="Calibri" w:hAnsi="Times New Roman" w:cs="Times New Roman"/>
          <w:i/>
          <w:sz w:val="24"/>
          <w:szCs w:val="24"/>
        </w:rPr>
        <w:t xml:space="preserve">no destacados, </w:t>
      </w:r>
      <w:r w:rsidRPr="00A26E08">
        <w:rPr>
          <w:rFonts w:ascii="Times New Roman" w:eastAsia="Calibri" w:hAnsi="Times New Roman" w:cs="Times New Roman"/>
          <w:sz w:val="24"/>
          <w:szCs w:val="24"/>
        </w:rPr>
        <w:t>para cada mesociclo de preparación.</w:t>
      </w:r>
    </w:p>
    <w:p w:rsidR="0047075C" w:rsidRDefault="0047075C" w:rsidP="0084774F">
      <w:pPr>
        <w:autoSpaceDE w:val="0"/>
        <w:autoSpaceDN w:val="0"/>
        <w:adjustRightInd w:val="0"/>
        <w:spacing w:after="0" w:line="240" w:lineRule="auto"/>
        <w:jc w:val="both"/>
        <w:rPr>
          <w:rFonts w:ascii="Times New Roman" w:eastAsia="Calibri" w:hAnsi="Times New Roman" w:cs="Times New Roman"/>
          <w:b/>
          <w:sz w:val="24"/>
          <w:szCs w:val="24"/>
        </w:rPr>
      </w:pPr>
    </w:p>
    <w:p w:rsidR="0012124A" w:rsidRDefault="0012124A" w:rsidP="0084774F">
      <w:pPr>
        <w:autoSpaceDE w:val="0"/>
        <w:autoSpaceDN w:val="0"/>
        <w:adjustRightInd w:val="0"/>
        <w:spacing w:after="0" w:line="240" w:lineRule="auto"/>
        <w:jc w:val="center"/>
        <w:rPr>
          <w:rFonts w:ascii="Times New Roman" w:eastAsia="Calibri" w:hAnsi="Times New Roman" w:cs="Times New Roman"/>
          <w:sz w:val="24"/>
          <w:szCs w:val="24"/>
        </w:rPr>
      </w:pPr>
    </w:p>
    <w:p w:rsidR="002B0441" w:rsidRDefault="0047075C" w:rsidP="0084774F">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trike/>
          <w:noProof/>
          <w:sz w:val="24"/>
          <w:szCs w:val="24"/>
          <w:lang w:val="en-US"/>
        </w:rPr>
        <w:drawing>
          <wp:inline distT="0" distB="0" distL="0" distR="0" wp14:anchorId="7DB2AC76" wp14:editId="4A8F241A">
            <wp:extent cx="4686300" cy="2204114"/>
            <wp:effectExtent l="0" t="0" r="0" b="57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7116" cy="2228014"/>
                    </a:xfrm>
                    <a:prstGeom prst="rect">
                      <a:avLst/>
                    </a:prstGeom>
                    <a:noFill/>
                  </pic:spPr>
                </pic:pic>
              </a:graphicData>
            </a:graphic>
          </wp:inline>
        </w:drawing>
      </w:r>
    </w:p>
    <w:p w:rsidR="0012124A" w:rsidRPr="0012124A" w:rsidRDefault="0012124A" w:rsidP="0012124A">
      <w:pPr>
        <w:autoSpaceDE w:val="0"/>
        <w:autoSpaceDN w:val="0"/>
        <w:adjustRightInd w:val="0"/>
        <w:spacing w:after="0" w:line="240" w:lineRule="auto"/>
        <w:jc w:val="both"/>
        <w:rPr>
          <w:rFonts w:ascii="Times New Roman" w:eastAsia="Calibri" w:hAnsi="Times New Roman" w:cs="Times New Roman"/>
          <w:sz w:val="24"/>
          <w:szCs w:val="24"/>
        </w:rPr>
      </w:pPr>
      <w:r w:rsidRPr="0012124A">
        <w:rPr>
          <w:rFonts w:ascii="Times New Roman" w:eastAsia="Calibri" w:hAnsi="Times New Roman" w:cs="Times New Roman"/>
          <w:i/>
          <w:sz w:val="24"/>
          <w:szCs w:val="24"/>
        </w:rPr>
        <w:t>Figura 1</w:t>
      </w:r>
      <w:r w:rsidRPr="00832EB7">
        <w:rPr>
          <w:rFonts w:ascii="Times New Roman" w:eastAsia="Calibri" w:hAnsi="Times New Roman" w:cs="Times New Roman"/>
          <w:b/>
          <w:sz w:val="24"/>
          <w:szCs w:val="24"/>
        </w:rPr>
        <w:t xml:space="preserve">. </w:t>
      </w:r>
      <w:r w:rsidRPr="0012124A">
        <w:rPr>
          <w:rFonts w:ascii="Times New Roman" w:eastAsia="Calibri" w:hAnsi="Times New Roman" w:cs="Times New Roman"/>
          <w:sz w:val="24"/>
          <w:szCs w:val="24"/>
        </w:rPr>
        <w:t>Valores medios de IEA e intervalos de confianza de 95%.</w:t>
      </w:r>
    </w:p>
    <w:p w:rsidR="0012124A" w:rsidRPr="00A26E08" w:rsidRDefault="0012124A" w:rsidP="0084774F">
      <w:pPr>
        <w:autoSpaceDE w:val="0"/>
        <w:autoSpaceDN w:val="0"/>
        <w:adjustRightInd w:val="0"/>
        <w:spacing w:after="0" w:line="240" w:lineRule="auto"/>
        <w:jc w:val="center"/>
        <w:rPr>
          <w:rFonts w:ascii="Times New Roman" w:eastAsia="Calibri" w:hAnsi="Times New Roman" w:cs="Times New Roman"/>
          <w:sz w:val="24"/>
          <w:szCs w:val="24"/>
        </w:rPr>
      </w:pPr>
    </w:p>
    <w:p w:rsidR="003C1DBE" w:rsidRPr="00A26E08" w:rsidRDefault="0047075C"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47075C">
        <w:rPr>
          <w:rFonts w:ascii="Times New Roman" w:eastAsia="Calibri" w:hAnsi="Times New Roman" w:cs="Times New Roman"/>
          <w:sz w:val="24"/>
          <w:szCs w:val="24"/>
        </w:rPr>
        <w:t xml:space="preserve">Los </w:t>
      </w:r>
      <w:r w:rsidRPr="0047075C">
        <w:rPr>
          <w:rFonts w:ascii="Times New Roman" w:eastAsia="Calibri" w:hAnsi="Times New Roman" w:cs="Times New Roman"/>
          <w:i/>
          <w:sz w:val="24"/>
          <w:szCs w:val="24"/>
        </w:rPr>
        <w:t>destacados</w:t>
      </w:r>
      <w:r w:rsidRPr="0047075C">
        <w:rPr>
          <w:rFonts w:ascii="Times New Roman" w:eastAsia="Calibri" w:hAnsi="Times New Roman" w:cs="Times New Roman"/>
          <w:sz w:val="24"/>
          <w:szCs w:val="24"/>
        </w:rPr>
        <w:t xml:space="preserve"> tienen un IEA medio esperado menor que los </w:t>
      </w:r>
      <w:r w:rsidRPr="0047075C">
        <w:rPr>
          <w:rFonts w:ascii="Times New Roman" w:eastAsia="Calibri" w:hAnsi="Times New Roman" w:cs="Times New Roman"/>
          <w:i/>
          <w:sz w:val="24"/>
          <w:szCs w:val="24"/>
        </w:rPr>
        <w:t>no destacados</w:t>
      </w:r>
      <w:r w:rsidRPr="0047075C">
        <w:rPr>
          <w:rFonts w:ascii="Times New Roman" w:eastAsia="Calibri" w:hAnsi="Times New Roman" w:cs="Times New Roman"/>
          <w:sz w:val="24"/>
          <w:szCs w:val="24"/>
        </w:rPr>
        <w:t>.</w:t>
      </w:r>
      <w:r w:rsidR="002B0441" w:rsidRPr="00A26E08">
        <w:rPr>
          <w:rFonts w:ascii="Times New Roman" w:eastAsia="Calibri" w:hAnsi="Times New Roman" w:cs="Times New Roman"/>
          <w:sz w:val="24"/>
          <w:szCs w:val="24"/>
        </w:rPr>
        <w:t xml:space="preserve"> Incluso, el IEA promedio de los </w:t>
      </w:r>
      <w:r w:rsidR="002B0441" w:rsidRPr="00A26E08">
        <w:rPr>
          <w:rFonts w:ascii="Times New Roman" w:eastAsia="Calibri" w:hAnsi="Times New Roman" w:cs="Times New Roman"/>
          <w:i/>
          <w:sz w:val="24"/>
          <w:szCs w:val="24"/>
        </w:rPr>
        <w:t>destacados</w:t>
      </w:r>
      <w:r w:rsidR="002B0441" w:rsidRPr="00A26E08">
        <w:rPr>
          <w:rFonts w:ascii="Times New Roman" w:eastAsia="Calibri" w:hAnsi="Times New Roman" w:cs="Times New Roman"/>
          <w:sz w:val="24"/>
          <w:szCs w:val="24"/>
        </w:rPr>
        <w:t xml:space="preserve"> en etapa A es inferior al de los </w:t>
      </w:r>
      <w:r w:rsidR="002B0441" w:rsidRPr="00A26E08">
        <w:rPr>
          <w:rFonts w:ascii="Times New Roman" w:eastAsia="Calibri" w:hAnsi="Times New Roman" w:cs="Times New Roman"/>
          <w:i/>
          <w:sz w:val="24"/>
          <w:szCs w:val="24"/>
        </w:rPr>
        <w:t>no destacados</w:t>
      </w:r>
      <w:r w:rsidR="002B0441" w:rsidRPr="00A26E08">
        <w:rPr>
          <w:rFonts w:ascii="Times New Roman" w:eastAsia="Calibri" w:hAnsi="Times New Roman" w:cs="Times New Roman"/>
          <w:sz w:val="24"/>
          <w:szCs w:val="24"/>
        </w:rPr>
        <w:t xml:space="preserve"> en etapa T-R</w:t>
      </w:r>
      <w:r w:rsidR="00C075CB" w:rsidRPr="00A26E08">
        <w:rPr>
          <w:rFonts w:ascii="Times New Roman" w:eastAsia="Calibri" w:hAnsi="Times New Roman" w:cs="Times New Roman"/>
          <w:sz w:val="24"/>
          <w:szCs w:val="24"/>
        </w:rPr>
        <w:t>, en que estos logran sus mayores posibilidades de adecuación. De</w:t>
      </w:r>
      <w:r w:rsidR="002B0441" w:rsidRPr="00A26E08">
        <w:rPr>
          <w:rFonts w:ascii="Times New Roman" w:eastAsia="Calibri" w:hAnsi="Times New Roman" w:cs="Times New Roman"/>
          <w:sz w:val="24"/>
          <w:szCs w:val="24"/>
        </w:rPr>
        <w:t xml:space="preserve"> tal manera </w:t>
      </w:r>
      <w:r w:rsidR="002B0441" w:rsidRPr="00A26E08">
        <w:rPr>
          <w:rFonts w:ascii="Times New Roman" w:eastAsia="Calibri" w:hAnsi="Times New Roman" w:cs="Times New Roman"/>
          <w:sz w:val="24"/>
          <w:szCs w:val="24"/>
        </w:rPr>
        <w:lastRenderedPageBreak/>
        <w:t>distingue y explica la condición muestral el comportamiento del IEA</w:t>
      </w:r>
      <w:r w:rsidR="00C075CB" w:rsidRPr="00A26E08">
        <w:rPr>
          <w:rFonts w:ascii="Times New Roman" w:eastAsia="Calibri" w:hAnsi="Times New Roman" w:cs="Times New Roman"/>
          <w:sz w:val="24"/>
          <w:szCs w:val="24"/>
        </w:rPr>
        <w:t>, en virtud de que los datos adoptan u</w:t>
      </w:r>
      <w:r w:rsidR="002B0441" w:rsidRPr="00A26E08">
        <w:rPr>
          <w:rFonts w:ascii="Times New Roman" w:eastAsia="Calibri" w:hAnsi="Times New Roman" w:cs="Times New Roman"/>
          <w:sz w:val="24"/>
          <w:szCs w:val="24"/>
        </w:rPr>
        <w:t>na estructura bimodal (muestras contrastadas) que explica casi toda la varianza (72%) entre los participantes, con lo cual se considera satisfecha la validez por muestras contrastadas de la PAAB.</w:t>
      </w:r>
    </w:p>
    <w:p w:rsidR="002B0441" w:rsidRPr="00A26E08" w:rsidRDefault="002B0441" w:rsidP="0084774F">
      <w:pPr>
        <w:autoSpaceDE w:val="0"/>
        <w:autoSpaceDN w:val="0"/>
        <w:adjustRightInd w:val="0"/>
        <w:spacing w:after="0" w:line="240" w:lineRule="auto"/>
        <w:jc w:val="both"/>
        <w:rPr>
          <w:rFonts w:ascii="Times New Roman" w:eastAsia="Calibri" w:hAnsi="Times New Roman" w:cs="Times New Roman"/>
          <w:i/>
          <w:sz w:val="24"/>
          <w:szCs w:val="24"/>
        </w:rPr>
      </w:pPr>
      <w:r w:rsidRPr="0012124A">
        <w:rPr>
          <w:rFonts w:ascii="Times New Roman" w:eastAsia="Calibri" w:hAnsi="Times New Roman" w:cs="Times New Roman"/>
          <w:b/>
          <w:sz w:val="24"/>
          <w:szCs w:val="24"/>
        </w:rPr>
        <w:t>Análisis de confiabilidad de la PAAB</w:t>
      </w:r>
      <w:r w:rsidRPr="00A26E08">
        <w:rPr>
          <w:rFonts w:ascii="Times New Roman" w:eastAsia="Calibri" w:hAnsi="Times New Roman" w:cs="Times New Roman"/>
          <w:i/>
          <w:sz w:val="24"/>
          <w:szCs w:val="24"/>
        </w:rPr>
        <w:t>.</w:t>
      </w:r>
      <w:bookmarkStart w:id="1" w:name="_Hlk4084409"/>
    </w:p>
    <w:p w:rsidR="0047075C" w:rsidRDefault="0047075C" w:rsidP="0084774F">
      <w:pPr>
        <w:autoSpaceDE w:val="0"/>
        <w:autoSpaceDN w:val="0"/>
        <w:adjustRightInd w:val="0"/>
        <w:spacing w:after="0" w:line="240" w:lineRule="auto"/>
        <w:jc w:val="both"/>
        <w:rPr>
          <w:rFonts w:ascii="Times New Roman" w:eastAsia="Calibri" w:hAnsi="Times New Roman" w:cs="Times New Roman"/>
          <w:sz w:val="24"/>
          <w:szCs w:val="24"/>
        </w:rPr>
      </w:pPr>
      <w:r w:rsidRPr="0047075C">
        <w:rPr>
          <w:rFonts w:ascii="Times New Roman" w:eastAsia="Calibri" w:hAnsi="Times New Roman" w:cs="Times New Roman"/>
          <w:sz w:val="24"/>
          <w:szCs w:val="24"/>
        </w:rPr>
        <w:t xml:space="preserve">En la figura </w:t>
      </w:r>
      <w:r>
        <w:rPr>
          <w:rFonts w:ascii="Times New Roman" w:eastAsia="Calibri" w:hAnsi="Times New Roman" w:cs="Times New Roman"/>
          <w:sz w:val="24"/>
          <w:szCs w:val="24"/>
        </w:rPr>
        <w:t>No.</w:t>
      </w:r>
      <w:r w:rsidRPr="0047075C">
        <w:rPr>
          <w:rFonts w:ascii="Times New Roman" w:eastAsia="Calibri" w:hAnsi="Times New Roman" w:cs="Times New Roman"/>
          <w:sz w:val="24"/>
          <w:szCs w:val="24"/>
        </w:rPr>
        <w:t>2</w:t>
      </w:r>
      <w:r>
        <w:rPr>
          <w:rFonts w:ascii="Times New Roman" w:eastAsia="Calibri" w:hAnsi="Times New Roman" w:cs="Times New Roman"/>
          <w:sz w:val="24"/>
          <w:szCs w:val="24"/>
        </w:rPr>
        <w:t>,</w:t>
      </w:r>
      <w:r w:rsidRPr="0047075C">
        <w:rPr>
          <w:rFonts w:ascii="Times New Roman" w:eastAsia="Calibri" w:hAnsi="Times New Roman" w:cs="Times New Roman"/>
          <w:sz w:val="24"/>
          <w:szCs w:val="24"/>
        </w:rPr>
        <w:t xml:space="preserve"> cada punto representa la tasa de cambio promedio (y el intervalo de confianza del 95%) del IEA por ocasión (asalto</w:t>
      </w:r>
      <w:r>
        <w:rPr>
          <w:rFonts w:ascii="Times New Roman" w:eastAsia="Calibri" w:hAnsi="Times New Roman" w:cs="Times New Roman"/>
          <w:sz w:val="24"/>
          <w:szCs w:val="24"/>
        </w:rPr>
        <w:t xml:space="preserve"> de combate</w:t>
      </w:r>
      <w:r w:rsidRPr="0047075C">
        <w:rPr>
          <w:rFonts w:ascii="Times New Roman" w:eastAsia="Calibri" w:hAnsi="Times New Roman" w:cs="Times New Roman"/>
          <w:sz w:val="24"/>
          <w:szCs w:val="24"/>
        </w:rPr>
        <w:t>) para cada uno de los boxeadores destacados (puntos rojos) y cada uno de los boxeadores no destacados (puntos azules) cuando se encuentra</w:t>
      </w:r>
      <w:r w:rsidR="007673A1">
        <w:rPr>
          <w:rFonts w:ascii="Times New Roman" w:eastAsia="Calibri" w:hAnsi="Times New Roman" w:cs="Times New Roman"/>
          <w:sz w:val="24"/>
          <w:szCs w:val="24"/>
        </w:rPr>
        <w:t>ron</w:t>
      </w:r>
      <w:r w:rsidRPr="0047075C">
        <w:rPr>
          <w:rFonts w:ascii="Times New Roman" w:eastAsia="Calibri" w:hAnsi="Times New Roman" w:cs="Times New Roman"/>
          <w:sz w:val="24"/>
          <w:szCs w:val="24"/>
        </w:rPr>
        <w:t>n en la etapa A. La línea negra representa la tasa de cambio promedio del IEA para todos los boxeadores de la muestra durante la etapa A</w:t>
      </w:r>
      <w:r>
        <w:rPr>
          <w:rFonts w:ascii="Times New Roman" w:eastAsia="Calibri" w:hAnsi="Times New Roman" w:cs="Times New Roman"/>
          <w:sz w:val="24"/>
          <w:szCs w:val="24"/>
        </w:rPr>
        <w:t>.</w:t>
      </w:r>
    </w:p>
    <w:p w:rsidR="0047075C" w:rsidRDefault="002B0441" w:rsidP="0084774F">
      <w:pPr>
        <w:autoSpaceDE w:val="0"/>
        <w:autoSpaceDN w:val="0"/>
        <w:adjustRightInd w:val="0"/>
        <w:spacing w:after="0" w:line="240" w:lineRule="auto"/>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A excepción de tres boxeadores destacados y cuatro no destacados, es decir, 7 (24.1%) de los 29 participantes, los valores en la tasa de cambio del IEA promedio no son significativamente diferentes de cero (p&lt;0.05) dentro de un mismo mesociclo de preparación. </w:t>
      </w:r>
      <w:bookmarkEnd w:id="1"/>
    </w:p>
    <w:p w:rsidR="002B0441" w:rsidRPr="0047075C" w:rsidRDefault="002B0441" w:rsidP="0084774F">
      <w:pPr>
        <w:autoSpaceDE w:val="0"/>
        <w:autoSpaceDN w:val="0"/>
        <w:adjustRightInd w:val="0"/>
        <w:spacing w:after="0" w:line="240" w:lineRule="auto"/>
        <w:jc w:val="both"/>
        <w:rPr>
          <w:rFonts w:ascii="Times New Roman" w:eastAsia="Calibri" w:hAnsi="Times New Roman" w:cs="Times New Roman"/>
          <w:b/>
          <w:sz w:val="24"/>
          <w:szCs w:val="24"/>
        </w:rPr>
      </w:pPr>
    </w:p>
    <w:p w:rsidR="002B0441" w:rsidRDefault="008D13E5" w:rsidP="0084774F">
      <w:pPr>
        <w:autoSpaceDE w:val="0"/>
        <w:autoSpaceDN w:val="0"/>
        <w:adjustRightInd w:val="0"/>
        <w:spacing w:after="0" w:line="240" w:lineRule="auto"/>
        <w:jc w:val="center"/>
        <w:rPr>
          <w:rFonts w:ascii="Calibri" w:eastAsia="Calibri" w:hAnsi="Calibri" w:cs="Times New Roman"/>
          <w:b/>
          <w:sz w:val="24"/>
          <w:szCs w:val="24"/>
        </w:rPr>
      </w:pPr>
      <w:r w:rsidRPr="00A26E08">
        <w:rPr>
          <w:rFonts w:ascii="Calibri" w:eastAsia="Calibri" w:hAnsi="Calibri" w:cs="Times New Roman"/>
          <w:b/>
          <w:noProof/>
          <w:sz w:val="24"/>
          <w:szCs w:val="24"/>
          <w:lang w:val="en-US"/>
        </w:rPr>
        <mc:AlternateContent>
          <mc:Choice Requires="wps">
            <w:drawing>
              <wp:anchor distT="0" distB="0" distL="114300" distR="114300" simplePos="0" relativeHeight="251662336" behindDoc="0" locked="0" layoutInCell="1" allowOverlap="1" wp14:anchorId="088AD5B5" wp14:editId="51354084">
                <wp:simplePos x="0" y="0"/>
                <wp:positionH relativeFrom="column">
                  <wp:posOffset>185420</wp:posOffset>
                </wp:positionH>
                <wp:positionV relativeFrom="paragraph">
                  <wp:posOffset>1007110</wp:posOffset>
                </wp:positionV>
                <wp:extent cx="2503805" cy="6350"/>
                <wp:effectExtent l="0" t="0" r="10795" b="31750"/>
                <wp:wrapNone/>
                <wp:docPr id="48" name="Conector recto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503805"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7FA50F" id="Conector recto 48"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79.3pt" to="211.75pt,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Ov35QEAALkDAAAOAAAAZHJzL2Uyb0RvYy54bWysU8tu2zAQvBfoPxC811KcOjAEyznYSHsI&#10;EgNJe99QpESUL3AZS/77LGnXcdpbUR2oJYc7+xqubidr2F5G1N61/GpWcyad8J12fct/PN99WXKG&#10;CVwHxjvZ8oNEfrv+/Gk1hkbO/eBNJyMjEofNGFo+pBSaqkIxSAs480E6ApWPFhJtY191EUZit6aa&#10;1/VNNfrYheiFRKTT7RHk68KvlBTpUSmUiZmWU26prLGsL3mt1ito+ghh0OKUBvxDFha0o6Bnqi0k&#10;YK9R/0VltYgevUoz4W3lldJClhqomqv6j2qeBgiy1ELNwXBuE/4/WvGw30Wmu5Z/pUk5sDSjDU1K&#10;JB9ZzD9GAHVpDNjQ5Y3bxVynmNxTuPfiFxJWfQDzBsPx2qSiZcro8J3EwYv1M1uZgopnU5nE4TwJ&#10;OSUm6HC+qK+X9YIzQdjN9aIMqoIm82XfEDF9k96ybLTcaJf7BA3s7zHljN6v5GPn77QxZdbGsfFE&#10;yQSQ4pSBRHFsoB6g6zkD05OURYqFEb3RXfbOPHjAjYlsD6QmEmHnx2fKmDMDmAigMsqX+0UZfHDN&#10;iW4Bh6NzgY7iszrRCzDatnx56W1cjiiLhk9FvXc2Wy++O+zi7/aTPkrQk5azAC/3ZF++uPUbAAAA&#10;//8DAFBLAwQUAAYACAAAACEA7Qyiht4AAAAKAQAADwAAAGRycy9kb3ducmV2LnhtbEyPwU7DMAyG&#10;70i8Q2QkLoilhK3aStMJgXgA1oHgljWmrdY4VZO15e3xTuPo359+f863s+vEiENoPWl4WCQgkCpv&#10;W6o17Mu3+zWIEA1Z03lCDb8YYFtcX+Ums36idxx3sRZcQiEzGpoY+0zKUDXoTFj4Hol3P35wJvI4&#10;1NIOZuJy10mVJKl0piW+0JgeXxqsjruT0/A6qY+vYXal+iy/rRuX+7u2PGp9ezM/P4GIOMcLDGd9&#10;VoeCnQ7+RDaIToPaKCY5X61TEAws1eMKxOGcbFKQRS7/v1D8AQAA//8DAFBLAQItABQABgAIAAAA&#10;IQC2gziS/gAAAOEBAAATAAAAAAAAAAAAAAAAAAAAAABbQ29udGVudF9UeXBlc10ueG1sUEsBAi0A&#10;FAAGAAgAAAAhADj9If/WAAAAlAEAAAsAAAAAAAAAAAAAAAAALwEAAF9yZWxzLy5yZWxzUEsBAi0A&#10;FAAGAAgAAAAhAHXE6/flAQAAuQMAAA4AAAAAAAAAAAAAAAAALgIAAGRycy9lMm9Eb2MueG1sUEsB&#10;Ai0AFAAGAAgAAAAhAO0MoobeAAAACgEAAA8AAAAAAAAAAAAAAAAAPwQAAGRycy9kb3ducmV2Lnht&#10;bFBLBQYAAAAABAAEAPMAAABKBQAAAAA=&#10;" strokecolor="windowText" strokeweight=".5pt">
                <v:stroke joinstyle="miter"/>
                <o:lock v:ext="edit" shapetype="f"/>
              </v:line>
            </w:pict>
          </mc:Fallback>
        </mc:AlternateContent>
      </w:r>
      <w:r w:rsidR="002B0441" w:rsidRPr="00A26E08">
        <w:rPr>
          <w:rFonts w:ascii="Calibri" w:eastAsia="Calibri" w:hAnsi="Calibri" w:cs="Times New Roman"/>
          <w:b/>
          <w:noProof/>
          <w:sz w:val="24"/>
          <w:szCs w:val="24"/>
          <w:lang w:val="en-US"/>
        </w:rPr>
        <mc:AlternateContent>
          <mc:Choice Requires="wps">
            <w:drawing>
              <wp:anchor distT="0" distB="0" distL="114300" distR="114300" simplePos="0" relativeHeight="251663360" behindDoc="0" locked="0" layoutInCell="1" allowOverlap="1" wp14:anchorId="18E1228A" wp14:editId="0FF6C25B">
                <wp:simplePos x="0" y="0"/>
                <wp:positionH relativeFrom="margin">
                  <wp:posOffset>2894965</wp:posOffset>
                </wp:positionH>
                <wp:positionV relativeFrom="paragraph">
                  <wp:posOffset>1016000</wp:posOffset>
                </wp:positionV>
                <wp:extent cx="2419350" cy="12700"/>
                <wp:effectExtent l="0" t="0" r="19050" b="25400"/>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419350" cy="1270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E37A91" id="Conector recto 49" o:spid="_x0000_s1026" style="position:absolute;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27.95pt,80pt" to="418.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1A5wEAALoDAAAOAAAAZHJzL2Uyb0RvYy54bWysU01z0zAQvTPDf9DoTuyEUlpPnB6SKRw6&#10;kJkW7ltZsjXoa7Qidv49KzmkKdwYfJBXetq3X0/ru8kadpARtXctXy5qzqQTvtOub/m3p/t3N5xh&#10;AteB8U62/CiR323evlmPoZErP3jTyciIxGEzhpYPKYWmqlAM0gIufJCOQOWjhUTb2FddhJHYralW&#10;dX1djT52IXohEel0N4N8U/iVkiJ9VQplYqbllFsqayzrc16rzRqaPkIYtDilAf+QhQXtKOiZagcJ&#10;2M+o/6KyWkSPXqWF8LbySmkhSw1UzbL+o5rHAYIstVBzMJzbhP+PVnw57CPTXcuvbjlzYGlGW5qU&#10;SD6ymH+MAOrSGLChy1u3j7lOMbnH8ODFDySsegXmDYb52qSiZcro8JnEwYv1PVuZgopnU5nE8TwJ&#10;OSUm6HB1tbx9/4EGJghbrj7WZVIVNJkwO4eI6ZP0lmWj5Ua73Cho4PCAKaf0ciUfO3+vjSnDNo6N&#10;Lb+e2YEkpwwkCmQDNQFdzxmYnrQsUiyM6I3usnfmwSNuTWQHIDmRCjs/PlHKnBnARADVUb7cMMrg&#10;lWtOdAc4zM4FmtVndaInYLRt+c2lt3E5oiwiPhX10tpsPfvuuI+/+08CKUFPYs4KvNyTffnkNr8A&#10;AAD//wMAUEsDBBQABgAIAAAAIQC6HqDH3gAAAAsBAAAPAAAAZHJzL2Rvd25yZXYueG1sTI/BTsMw&#10;EETvSPyDtUhcELUJbVRCnAqB+IA2BcHNjZckaryOYjcJf9/tCY478zQ7k29m14kRh9B60vCwUCCQ&#10;Km9bqjXsy/f7NYgQDVnTeUINvxhgU1xf5SazfqItjrtYCw6hkBkNTYx9JmWoGnQmLHyPxN6PH5yJ&#10;fA61tIOZONx1MlEqlc60xB8a0+Nrg9Vxd3Ia3qbk42uYXZl8lt/Wjcv9XVsetb69mV+eQUSc4x8M&#10;l/pcHQrudPAnskF0Gpar1ROjbKSKRzGxfkxZOVyURIEscvl/Q3EGAAD//wMAUEsBAi0AFAAGAAgA&#10;AAAhALaDOJL+AAAA4QEAABMAAAAAAAAAAAAAAAAAAAAAAFtDb250ZW50X1R5cGVzXS54bWxQSwEC&#10;LQAUAAYACAAAACEAOP0h/9YAAACUAQAACwAAAAAAAAAAAAAAAAAvAQAAX3JlbHMvLnJlbHNQSwEC&#10;LQAUAAYACAAAACEAty0tQOcBAAC6AwAADgAAAAAAAAAAAAAAAAAuAgAAZHJzL2Uyb0RvYy54bWxQ&#10;SwECLQAUAAYACAAAACEAuh6gx94AAAALAQAADwAAAAAAAAAAAAAAAABBBAAAZHJzL2Rvd25yZXYu&#10;eG1sUEsFBgAAAAAEAAQA8wAAAEwFAAAAAA==&#10;" strokecolor="windowText" strokeweight=".5pt">
                <v:stroke joinstyle="miter"/>
                <o:lock v:ext="edit" shapetype="f"/>
                <w10:wrap anchorx="margin"/>
              </v:line>
            </w:pict>
          </mc:Fallback>
        </mc:AlternateContent>
      </w:r>
      <w:r w:rsidR="002B0441" w:rsidRPr="00A26E08">
        <w:rPr>
          <w:rFonts w:ascii="Calibri" w:eastAsia="Calibri" w:hAnsi="Calibri" w:cs="Times New Roman"/>
          <w:b/>
          <w:sz w:val="24"/>
          <w:szCs w:val="24"/>
        </w:rPr>
        <w:object w:dxaOrig="4224" w:dyaOrig="3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1.5pt;height:159.75pt" o:ole="">
            <v:imagedata r:id="rId8" o:title=""/>
          </v:shape>
          <o:OLEObject Type="Embed" ProgID="STATISTICA.Graph" ShapeID="_x0000_i1025" DrawAspect="Content" ObjectID="_1625297986" r:id="rId9">
            <o:FieldCodes>\s</o:FieldCodes>
          </o:OLEObject>
        </w:object>
      </w:r>
      <w:r w:rsidR="002B0441" w:rsidRPr="00A26E08">
        <w:rPr>
          <w:rFonts w:ascii="Calibri" w:eastAsia="Calibri" w:hAnsi="Calibri" w:cs="Times New Roman"/>
          <w:b/>
          <w:sz w:val="24"/>
          <w:szCs w:val="24"/>
        </w:rPr>
        <w:object w:dxaOrig="4224" w:dyaOrig="3179">
          <v:shape id="_x0000_i1026" type="#_x0000_t75" style="width:211.5pt;height:159pt" o:ole="">
            <v:imagedata r:id="rId10" o:title=""/>
          </v:shape>
          <o:OLEObject Type="Embed" ProgID="STATISTICA.Graph" ShapeID="_x0000_i1026" DrawAspect="Content" ObjectID="_1625297987" r:id="rId11">
            <o:FieldCodes>\s</o:FieldCodes>
          </o:OLEObject>
        </w:object>
      </w:r>
    </w:p>
    <w:p w:rsidR="0012124A" w:rsidRPr="0012124A" w:rsidRDefault="0012124A" w:rsidP="0012124A">
      <w:pPr>
        <w:autoSpaceDE w:val="0"/>
        <w:autoSpaceDN w:val="0"/>
        <w:adjustRightInd w:val="0"/>
        <w:spacing w:after="0" w:line="240" w:lineRule="auto"/>
        <w:rPr>
          <w:rFonts w:ascii="Times New Roman" w:eastAsia="Calibri" w:hAnsi="Times New Roman" w:cs="Times New Roman"/>
          <w:sz w:val="24"/>
          <w:szCs w:val="24"/>
        </w:rPr>
      </w:pPr>
      <w:r w:rsidRPr="0012124A">
        <w:rPr>
          <w:rFonts w:ascii="Times New Roman" w:eastAsia="Calibri" w:hAnsi="Times New Roman" w:cs="Times New Roman"/>
          <w:i/>
          <w:sz w:val="24"/>
          <w:szCs w:val="24"/>
        </w:rPr>
        <w:t>Figura 2</w:t>
      </w:r>
      <w:r w:rsidRPr="0047075C">
        <w:rPr>
          <w:rFonts w:ascii="Times New Roman" w:eastAsia="Calibri" w:hAnsi="Times New Roman" w:cs="Times New Roman"/>
          <w:b/>
          <w:sz w:val="24"/>
          <w:szCs w:val="24"/>
        </w:rPr>
        <w:t xml:space="preserve">. </w:t>
      </w:r>
      <w:r w:rsidRPr="0012124A">
        <w:rPr>
          <w:rFonts w:ascii="Times New Roman" w:eastAsia="Calibri" w:hAnsi="Times New Roman" w:cs="Times New Roman"/>
          <w:sz w:val="24"/>
          <w:szCs w:val="24"/>
        </w:rPr>
        <w:t>Tasa de cambio en el IEA promedio de cada boxeador.</w:t>
      </w:r>
    </w:p>
    <w:p w:rsidR="0012124A" w:rsidRDefault="0012124A" w:rsidP="0084774F">
      <w:pPr>
        <w:autoSpaceDE w:val="0"/>
        <w:autoSpaceDN w:val="0"/>
        <w:adjustRightInd w:val="0"/>
        <w:spacing w:after="0" w:line="240" w:lineRule="auto"/>
        <w:jc w:val="both"/>
        <w:rPr>
          <w:rFonts w:ascii="Times New Roman" w:eastAsia="Calibri" w:hAnsi="Times New Roman" w:cs="Times New Roman"/>
          <w:sz w:val="24"/>
          <w:szCs w:val="24"/>
        </w:rPr>
      </w:pPr>
    </w:p>
    <w:p w:rsidR="002B0441" w:rsidRPr="00A26E08" w:rsidRDefault="002B0441"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Los </w:t>
      </w:r>
      <w:r w:rsidRPr="007673A1">
        <w:rPr>
          <w:rFonts w:ascii="Times New Roman" w:eastAsia="Calibri" w:hAnsi="Times New Roman" w:cs="Times New Roman"/>
          <w:i/>
          <w:sz w:val="24"/>
          <w:szCs w:val="24"/>
        </w:rPr>
        <w:t>destacados</w:t>
      </w:r>
      <w:r w:rsidRPr="00A26E08">
        <w:rPr>
          <w:rFonts w:ascii="Times New Roman" w:eastAsia="Calibri" w:hAnsi="Times New Roman" w:cs="Times New Roman"/>
          <w:sz w:val="24"/>
          <w:szCs w:val="24"/>
        </w:rPr>
        <w:t xml:space="preserve"> apenas varía</w:t>
      </w:r>
      <w:r w:rsidR="007673A1">
        <w:rPr>
          <w:rFonts w:ascii="Times New Roman" w:eastAsia="Calibri" w:hAnsi="Times New Roman" w:cs="Times New Roman"/>
          <w:sz w:val="24"/>
          <w:szCs w:val="24"/>
        </w:rPr>
        <w:t>ron</w:t>
      </w:r>
      <w:r w:rsidRPr="00A26E08">
        <w:rPr>
          <w:rFonts w:ascii="Times New Roman" w:eastAsia="Calibri" w:hAnsi="Times New Roman" w:cs="Times New Roman"/>
          <w:sz w:val="24"/>
          <w:szCs w:val="24"/>
        </w:rPr>
        <w:t>, y exhib</w:t>
      </w:r>
      <w:r w:rsidR="007673A1">
        <w:rPr>
          <w:rFonts w:ascii="Times New Roman" w:eastAsia="Calibri" w:hAnsi="Times New Roman" w:cs="Times New Roman"/>
          <w:sz w:val="24"/>
          <w:szCs w:val="24"/>
        </w:rPr>
        <w:t>i</w:t>
      </w:r>
      <w:r w:rsidRPr="00A26E08">
        <w:rPr>
          <w:rFonts w:ascii="Times New Roman" w:eastAsia="Calibri" w:hAnsi="Times New Roman" w:cs="Times New Roman"/>
          <w:sz w:val="24"/>
          <w:szCs w:val="24"/>
        </w:rPr>
        <w:t>e</w:t>
      </w:r>
      <w:r w:rsidR="007673A1">
        <w:rPr>
          <w:rFonts w:ascii="Times New Roman" w:eastAsia="Calibri" w:hAnsi="Times New Roman" w:cs="Times New Roman"/>
          <w:sz w:val="24"/>
          <w:szCs w:val="24"/>
        </w:rPr>
        <w:t>ro</w:t>
      </w:r>
      <w:r w:rsidRPr="00A26E08">
        <w:rPr>
          <w:rFonts w:ascii="Times New Roman" w:eastAsia="Calibri" w:hAnsi="Times New Roman" w:cs="Times New Roman"/>
          <w:sz w:val="24"/>
          <w:szCs w:val="24"/>
        </w:rPr>
        <w:t>n mediciones muy estables dentro de una misma etapa. El segundo grupo present</w:t>
      </w:r>
      <w:r w:rsidR="007673A1">
        <w:rPr>
          <w:rFonts w:ascii="Times New Roman" w:eastAsia="Calibri" w:hAnsi="Times New Roman" w:cs="Times New Roman"/>
          <w:sz w:val="24"/>
          <w:szCs w:val="24"/>
        </w:rPr>
        <w:t>ó</w:t>
      </w:r>
      <w:r w:rsidRPr="00A26E08">
        <w:rPr>
          <w:rFonts w:ascii="Times New Roman" w:eastAsia="Calibri" w:hAnsi="Times New Roman" w:cs="Times New Roman"/>
          <w:sz w:val="24"/>
          <w:szCs w:val="24"/>
        </w:rPr>
        <w:t xml:space="preserve"> mayor oscilación de los datos alrededor de la media, </w:t>
      </w:r>
      <w:r w:rsidR="007E5D15" w:rsidRPr="00A26E08">
        <w:rPr>
          <w:rFonts w:ascii="Times New Roman" w:eastAsia="Calibri" w:hAnsi="Times New Roman" w:cs="Times New Roman"/>
          <w:sz w:val="24"/>
          <w:szCs w:val="24"/>
        </w:rPr>
        <w:t>propia de</w:t>
      </w:r>
      <w:r w:rsidRPr="00A26E08">
        <w:rPr>
          <w:rFonts w:ascii="Times New Roman" w:eastAsia="Calibri" w:hAnsi="Times New Roman" w:cs="Times New Roman"/>
          <w:sz w:val="24"/>
          <w:szCs w:val="24"/>
        </w:rPr>
        <w:t xml:space="preserve"> su funcionamiento autovalorativo, pero conserv</w:t>
      </w:r>
      <w:r w:rsidR="007673A1">
        <w:rPr>
          <w:rFonts w:ascii="Times New Roman" w:eastAsia="Calibri" w:hAnsi="Times New Roman" w:cs="Times New Roman"/>
          <w:sz w:val="24"/>
          <w:szCs w:val="24"/>
        </w:rPr>
        <w:t>ó</w:t>
      </w:r>
      <w:r w:rsidRPr="00A26E08">
        <w:rPr>
          <w:rFonts w:ascii="Times New Roman" w:eastAsia="Calibri" w:hAnsi="Times New Roman" w:cs="Times New Roman"/>
          <w:sz w:val="24"/>
          <w:szCs w:val="24"/>
        </w:rPr>
        <w:t xml:space="preserve"> suficiente estabilidad. </w:t>
      </w:r>
    </w:p>
    <w:p w:rsidR="002B0441" w:rsidRPr="00A26E08" w:rsidRDefault="002B0441"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González</w:t>
      </w:r>
      <w:r w:rsidR="007673A1">
        <w:rPr>
          <w:rFonts w:ascii="Times New Roman" w:eastAsia="Calibri" w:hAnsi="Times New Roman" w:cs="Times New Roman"/>
          <w:sz w:val="24"/>
          <w:szCs w:val="24"/>
        </w:rPr>
        <w:t xml:space="preserve"> </w:t>
      </w:r>
      <w:r w:rsidRPr="00A26E08">
        <w:rPr>
          <w:rFonts w:ascii="Times New Roman" w:eastAsia="Calibri" w:hAnsi="Times New Roman" w:cs="Times New Roman"/>
          <w:sz w:val="24"/>
          <w:szCs w:val="24"/>
        </w:rPr>
        <w:t xml:space="preserve">(2001 a, c) encontró la misma regularidad en </w:t>
      </w:r>
      <w:r w:rsidR="007673A1" w:rsidRPr="00A26E08">
        <w:rPr>
          <w:rFonts w:ascii="Times New Roman" w:eastAsia="Calibri" w:hAnsi="Times New Roman" w:cs="Times New Roman"/>
          <w:sz w:val="24"/>
          <w:szCs w:val="24"/>
        </w:rPr>
        <w:t>saltadores (atletismo)</w:t>
      </w:r>
      <w:r w:rsidRPr="00A26E08">
        <w:rPr>
          <w:rFonts w:ascii="Times New Roman" w:eastAsia="Calibri" w:hAnsi="Times New Roman" w:cs="Times New Roman"/>
          <w:sz w:val="24"/>
          <w:szCs w:val="24"/>
        </w:rPr>
        <w:t xml:space="preserve"> y en</w:t>
      </w:r>
      <w:r w:rsidR="007673A1" w:rsidRPr="007673A1">
        <w:rPr>
          <w:rFonts w:ascii="Times New Roman" w:eastAsia="Calibri" w:hAnsi="Times New Roman" w:cs="Times New Roman"/>
          <w:sz w:val="24"/>
          <w:szCs w:val="24"/>
        </w:rPr>
        <w:t xml:space="preserve"> </w:t>
      </w:r>
      <w:r w:rsidR="007673A1" w:rsidRPr="00A26E08">
        <w:rPr>
          <w:rFonts w:ascii="Times New Roman" w:eastAsia="Calibri" w:hAnsi="Times New Roman" w:cs="Times New Roman"/>
          <w:sz w:val="24"/>
          <w:szCs w:val="24"/>
        </w:rPr>
        <w:t>tiradores</w:t>
      </w:r>
      <w:r w:rsidR="007673A1" w:rsidRPr="007673A1">
        <w:rPr>
          <w:rFonts w:ascii="Times New Roman" w:eastAsia="Calibri" w:hAnsi="Times New Roman" w:cs="Times New Roman"/>
          <w:sz w:val="24"/>
          <w:szCs w:val="24"/>
        </w:rPr>
        <w:t xml:space="preserve"> </w:t>
      </w:r>
      <w:r w:rsidR="007673A1" w:rsidRPr="00A26E08">
        <w:rPr>
          <w:rFonts w:ascii="Times New Roman" w:eastAsia="Calibri" w:hAnsi="Times New Roman" w:cs="Times New Roman"/>
          <w:sz w:val="24"/>
          <w:szCs w:val="24"/>
        </w:rPr>
        <w:t>deportivos</w:t>
      </w:r>
      <w:r w:rsidRPr="00A26E08">
        <w:rPr>
          <w:rFonts w:ascii="Times New Roman" w:eastAsia="Calibri" w:hAnsi="Times New Roman" w:cs="Times New Roman"/>
          <w:sz w:val="24"/>
          <w:szCs w:val="24"/>
        </w:rPr>
        <w:t xml:space="preserve">, cuyos </w:t>
      </w:r>
      <w:r w:rsidRPr="00A26E08">
        <w:rPr>
          <w:rFonts w:ascii="Times New Roman" w:eastAsia="Calibri" w:hAnsi="Times New Roman" w:cs="Times New Roman"/>
          <w:i/>
          <w:sz w:val="24"/>
          <w:szCs w:val="24"/>
        </w:rPr>
        <w:t>destacados</w:t>
      </w:r>
      <w:r w:rsidRPr="00A26E08">
        <w:rPr>
          <w:rFonts w:ascii="Times New Roman" w:eastAsia="Calibri" w:hAnsi="Times New Roman" w:cs="Times New Roman"/>
          <w:sz w:val="24"/>
          <w:szCs w:val="24"/>
        </w:rPr>
        <w:t xml:space="preserve"> exhibieron los errores autovalorativos más bajos y estables. La adecuación de las autovaloraciones parciales de rendimiento constituye un recurso subjetivo que, por su alto poder regulador, parece determinante para el éxito en el deporte de alto rendimiento, en general.</w:t>
      </w:r>
    </w:p>
    <w:p w:rsidR="002B0441" w:rsidRPr="00A26E08" w:rsidRDefault="002B0441"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La PAAB exhibió un nivel de confiabilidad elevada para el control psicológico del entrenamiento con la muestra de estudio, utilizando el criterio de estabilidad temporal de sus </w:t>
      </w:r>
      <w:bookmarkStart w:id="2" w:name="_Hlk4084711"/>
      <w:r w:rsidRPr="00A26E08">
        <w:rPr>
          <w:rFonts w:ascii="Times New Roman" w:eastAsia="Calibri" w:hAnsi="Times New Roman" w:cs="Times New Roman"/>
          <w:sz w:val="24"/>
          <w:szCs w:val="24"/>
        </w:rPr>
        <w:t>mediciones.</w:t>
      </w:r>
    </w:p>
    <w:p w:rsidR="002B0441" w:rsidRPr="0012124A" w:rsidRDefault="002B0441" w:rsidP="0084774F">
      <w:pPr>
        <w:autoSpaceDE w:val="0"/>
        <w:autoSpaceDN w:val="0"/>
        <w:adjustRightInd w:val="0"/>
        <w:spacing w:after="0" w:line="240" w:lineRule="auto"/>
        <w:rPr>
          <w:rFonts w:ascii="Times New Roman" w:eastAsia="Calibri" w:hAnsi="Times New Roman" w:cs="Times New Roman"/>
          <w:b/>
          <w:sz w:val="24"/>
          <w:szCs w:val="24"/>
        </w:rPr>
      </w:pPr>
      <w:bookmarkStart w:id="3" w:name="_Hlk4084835"/>
      <w:bookmarkEnd w:id="2"/>
      <w:r w:rsidRPr="0012124A">
        <w:rPr>
          <w:rFonts w:ascii="Times New Roman" w:eastAsia="Calibri" w:hAnsi="Times New Roman" w:cs="Times New Roman"/>
          <w:b/>
          <w:sz w:val="24"/>
          <w:szCs w:val="24"/>
        </w:rPr>
        <w:t>Normalización de la PAAB.</w:t>
      </w:r>
    </w:p>
    <w:bookmarkEnd w:id="3"/>
    <w:p w:rsidR="002B0441" w:rsidRPr="00A26E08" w:rsidRDefault="002B0441"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Teniendo en cuenta que la PAAB continuará aplicándose en el equipo nacional de boxeo, </w:t>
      </w:r>
      <w:r w:rsidR="007673A1">
        <w:rPr>
          <w:rFonts w:ascii="Times New Roman" w:eastAsia="Calibri" w:hAnsi="Times New Roman" w:cs="Times New Roman"/>
          <w:sz w:val="24"/>
          <w:szCs w:val="24"/>
        </w:rPr>
        <w:t xml:space="preserve">se estimó </w:t>
      </w:r>
      <w:r w:rsidR="00C703ED" w:rsidRPr="00C703ED">
        <w:rPr>
          <w:rFonts w:ascii="Times New Roman" w:eastAsia="Calibri" w:hAnsi="Times New Roman" w:cs="Times New Roman"/>
          <w:sz w:val="24"/>
          <w:szCs w:val="24"/>
        </w:rPr>
        <w:t xml:space="preserve">el IEA (medio) esperado para los cuatro subgrupos de boxeadores de acuerdo a su condición muestral y al mesociclo de preparación. En la tabla </w:t>
      </w:r>
      <w:r w:rsidR="00C703ED">
        <w:rPr>
          <w:rFonts w:ascii="Times New Roman" w:eastAsia="Calibri" w:hAnsi="Times New Roman" w:cs="Times New Roman"/>
          <w:sz w:val="24"/>
          <w:szCs w:val="24"/>
        </w:rPr>
        <w:t>No.</w:t>
      </w:r>
      <w:r w:rsidR="00C703ED" w:rsidRPr="00C703ED">
        <w:rPr>
          <w:rFonts w:ascii="Times New Roman" w:eastAsia="Calibri" w:hAnsi="Times New Roman" w:cs="Times New Roman"/>
          <w:sz w:val="24"/>
          <w:szCs w:val="24"/>
        </w:rPr>
        <w:t xml:space="preserve">6 se muestran estas estimaciones, además de los límites de confianza para cada correspondiente respuesta media con niveles de confianza del 95%. Por ejemplo, considerando las estimaciones de los parámetros del modelo (C), un intervalo del 95% de confianza para el IEA promedio de un boxeador destacado en la etapa A es de 0.39 – 0.47. Si un boxeador tiene un valor IEA medio dentro de este intervalo, en este artículo se interpretará como una </w:t>
      </w:r>
      <w:r w:rsidR="00C703ED" w:rsidRPr="00C703ED">
        <w:rPr>
          <w:rFonts w:ascii="Times New Roman" w:eastAsia="Calibri" w:hAnsi="Times New Roman" w:cs="Times New Roman"/>
          <w:i/>
          <w:sz w:val="24"/>
          <w:szCs w:val="24"/>
        </w:rPr>
        <w:t>adecuación suficiente</w:t>
      </w:r>
      <w:r w:rsidR="00C703ED" w:rsidRPr="00C703ED">
        <w:rPr>
          <w:rFonts w:ascii="Times New Roman" w:eastAsia="Calibri" w:hAnsi="Times New Roman" w:cs="Times New Roman"/>
          <w:sz w:val="24"/>
          <w:szCs w:val="24"/>
        </w:rPr>
        <w:t xml:space="preserve">. Por debajo del límite inferior del intervalo </w:t>
      </w:r>
      <w:r w:rsidR="00C703ED" w:rsidRPr="00C703ED">
        <w:rPr>
          <w:rFonts w:ascii="Times New Roman" w:eastAsia="Calibri" w:hAnsi="Times New Roman" w:cs="Times New Roman"/>
          <w:sz w:val="24"/>
          <w:szCs w:val="24"/>
        </w:rPr>
        <w:lastRenderedPageBreak/>
        <w:t xml:space="preserve">(&lt;0,39) se interpretará como </w:t>
      </w:r>
      <w:r w:rsidR="00C703ED" w:rsidRPr="00C703ED">
        <w:rPr>
          <w:rFonts w:ascii="Times New Roman" w:eastAsia="Calibri" w:hAnsi="Times New Roman" w:cs="Times New Roman"/>
          <w:i/>
          <w:sz w:val="24"/>
          <w:szCs w:val="24"/>
        </w:rPr>
        <w:t>adecuación óptima</w:t>
      </w:r>
      <w:r w:rsidR="00C703ED" w:rsidRPr="00C703ED">
        <w:rPr>
          <w:rFonts w:ascii="Times New Roman" w:eastAsia="Calibri" w:hAnsi="Times New Roman" w:cs="Times New Roman"/>
          <w:sz w:val="24"/>
          <w:szCs w:val="24"/>
        </w:rPr>
        <w:t xml:space="preserve">, y por encima del límite superior del intervalo (&gt;0.47) se interpreta como </w:t>
      </w:r>
      <w:r w:rsidR="00C703ED" w:rsidRPr="00C703ED">
        <w:rPr>
          <w:rFonts w:ascii="Times New Roman" w:eastAsia="Calibri" w:hAnsi="Times New Roman" w:cs="Times New Roman"/>
          <w:i/>
          <w:sz w:val="24"/>
          <w:szCs w:val="24"/>
        </w:rPr>
        <w:t>inadecuación</w:t>
      </w:r>
      <w:r w:rsidR="00C703ED" w:rsidRPr="00C703ED">
        <w:rPr>
          <w:rFonts w:ascii="Times New Roman" w:eastAsia="Calibri" w:hAnsi="Times New Roman" w:cs="Times New Roman"/>
          <w:sz w:val="24"/>
          <w:szCs w:val="24"/>
        </w:rPr>
        <w:t xml:space="preserve">. </w:t>
      </w:r>
    </w:p>
    <w:p w:rsidR="00C703ED" w:rsidRPr="00A26E08" w:rsidRDefault="00C703ED" w:rsidP="0084774F">
      <w:pPr>
        <w:autoSpaceDE w:val="0"/>
        <w:autoSpaceDN w:val="0"/>
        <w:adjustRightInd w:val="0"/>
        <w:spacing w:after="0" w:line="240" w:lineRule="auto"/>
        <w:jc w:val="both"/>
        <w:rPr>
          <w:rFonts w:ascii="Times New Roman" w:eastAsia="Calibri" w:hAnsi="Times New Roman" w:cs="Times New Roman"/>
          <w:i/>
          <w:sz w:val="24"/>
          <w:szCs w:val="24"/>
        </w:rPr>
      </w:pPr>
    </w:p>
    <w:p w:rsidR="0012124A" w:rsidRPr="0012124A" w:rsidRDefault="0012124A" w:rsidP="0084774F">
      <w:pPr>
        <w:autoSpaceDE w:val="0"/>
        <w:autoSpaceDN w:val="0"/>
        <w:adjustRightInd w:val="0"/>
        <w:spacing w:after="0" w:line="240" w:lineRule="auto"/>
        <w:jc w:val="both"/>
        <w:rPr>
          <w:rFonts w:ascii="Times New Roman" w:eastAsia="Calibri" w:hAnsi="Times New Roman" w:cs="Times New Roman"/>
          <w:sz w:val="24"/>
          <w:szCs w:val="24"/>
        </w:rPr>
      </w:pPr>
      <w:r w:rsidRPr="0012124A">
        <w:rPr>
          <w:rFonts w:ascii="Times New Roman" w:eastAsia="Calibri" w:hAnsi="Times New Roman" w:cs="Times New Roman"/>
          <w:sz w:val="24"/>
          <w:szCs w:val="24"/>
        </w:rPr>
        <w:t xml:space="preserve">Tabla </w:t>
      </w:r>
      <w:r w:rsidR="007E5D15" w:rsidRPr="0012124A">
        <w:rPr>
          <w:rFonts w:ascii="Times New Roman" w:eastAsia="Calibri" w:hAnsi="Times New Roman" w:cs="Times New Roman"/>
          <w:sz w:val="24"/>
          <w:szCs w:val="24"/>
        </w:rPr>
        <w:t>6</w:t>
      </w:r>
    </w:p>
    <w:p w:rsidR="002B0441" w:rsidRPr="0012124A" w:rsidRDefault="002B0441" w:rsidP="0084774F">
      <w:pPr>
        <w:autoSpaceDE w:val="0"/>
        <w:autoSpaceDN w:val="0"/>
        <w:adjustRightInd w:val="0"/>
        <w:spacing w:after="0" w:line="240" w:lineRule="auto"/>
        <w:jc w:val="both"/>
        <w:rPr>
          <w:rFonts w:ascii="Times New Roman" w:eastAsia="Calibri" w:hAnsi="Times New Roman" w:cs="Times New Roman"/>
          <w:i/>
          <w:sz w:val="24"/>
          <w:szCs w:val="24"/>
        </w:rPr>
      </w:pPr>
      <w:r w:rsidRPr="0012124A">
        <w:rPr>
          <w:rFonts w:ascii="Times New Roman" w:eastAsia="Calibri" w:hAnsi="Times New Roman" w:cs="Times New Roman"/>
          <w:i/>
          <w:sz w:val="24"/>
          <w:szCs w:val="24"/>
        </w:rPr>
        <w:t>Intervalos de predicción del IEA con 95% de confianza.</w:t>
      </w:r>
    </w:p>
    <w:tbl>
      <w:tblPr>
        <w:tblStyle w:val="Tablaconcuadrcula21"/>
        <w:tblW w:w="0" w:type="auto"/>
        <w:jc w:val="center"/>
        <w:tblLook w:val="04A0" w:firstRow="1" w:lastRow="0" w:firstColumn="1" w:lastColumn="0" w:noHBand="0" w:noVBand="1"/>
      </w:tblPr>
      <w:tblGrid>
        <w:gridCol w:w="2027"/>
        <w:gridCol w:w="1739"/>
        <w:gridCol w:w="1593"/>
        <w:gridCol w:w="1417"/>
        <w:gridCol w:w="1559"/>
      </w:tblGrid>
      <w:tr w:rsidR="002B0441" w:rsidRPr="00A26E08" w:rsidTr="00C703ED">
        <w:trPr>
          <w:jc w:val="center"/>
        </w:trPr>
        <w:tc>
          <w:tcPr>
            <w:tcW w:w="202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Cond Muestral</w:t>
            </w:r>
          </w:p>
        </w:tc>
        <w:tc>
          <w:tcPr>
            <w:tcW w:w="173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Mesociclo Prep.</w:t>
            </w:r>
          </w:p>
        </w:tc>
        <w:tc>
          <w:tcPr>
            <w:tcW w:w="1593"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Lim. Inf. 95% </w:t>
            </w:r>
          </w:p>
        </w:tc>
        <w:tc>
          <w:tcPr>
            <w:tcW w:w="141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Media IEA</w:t>
            </w:r>
          </w:p>
        </w:tc>
        <w:tc>
          <w:tcPr>
            <w:tcW w:w="155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Lim. Sup. 95%</w:t>
            </w:r>
          </w:p>
        </w:tc>
      </w:tr>
      <w:tr w:rsidR="002B0441" w:rsidRPr="00A26E08" w:rsidTr="00C703ED">
        <w:trPr>
          <w:jc w:val="center"/>
        </w:trPr>
        <w:tc>
          <w:tcPr>
            <w:tcW w:w="202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Destacado</w:t>
            </w:r>
          </w:p>
        </w:tc>
        <w:tc>
          <w:tcPr>
            <w:tcW w:w="173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Etapa A</w:t>
            </w:r>
          </w:p>
        </w:tc>
        <w:tc>
          <w:tcPr>
            <w:tcW w:w="1593"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0.39</w:t>
            </w:r>
          </w:p>
        </w:tc>
        <w:tc>
          <w:tcPr>
            <w:tcW w:w="141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0.43</w:t>
            </w:r>
          </w:p>
        </w:tc>
        <w:tc>
          <w:tcPr>
            <w:tcW w:w="155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0.47</w:t>
            </w:r>
          </w:p>
        </w:tc>
      </w:tr>
      <w:tr w:rsidR="002B0441" w:rsidRPr="00A26E08" w:rsidTr="00C703ED">
        <w:trPr>
          <w:jc w:val="center"/>
        </w:trPr>
        <w:tc>
          <w:tcPr>
            <w:tcW w:w="202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Destacado</w:t>
            </w:r>
          </w:p>
        </w:tc>
        <w:tc>
          <w:tcPr>
            <w:tcW w:w="173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Etapa TR</w:t>
            </w:r>
          </w:p>
        </w:tc>
        <w:tc>
          <w:tcPr>
            <w:tcW w:w="1593"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0.25</w:t>
            </w:r>
          </w:p>
        </w:tc>
        <w:tc>
          <w:tcPr>
            <w:tcW w:w="141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0.29</w:t>
            </w:r>
          </w:p>
        </w:tc>
        <w:tc>
          <w:tcPr>
            <w:tcW w:w="155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0.33</w:t>
            </w:r>
          </w:p>
        </w:tc>
      </w:tr>
      <w:tr w:rsidR="002B0441" w:rsidRPr="00A26E08" w:rsidTr="00C703ED">
        <w:trPr>
          <w:jc w:val="center"/>
        </w:trPr>
        <w:tc>
          <w:tcPr>
            <w:tcW w:w="202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No destacado</w:t>
            </w:r>
          </w:p>
        </w:tc>
        <w:tc>
          <w:tcPr>
            <w:tcW w:w="173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Etapa A</w:t>
            </w:r>
          </w:p>
        </w:tc>
        <w:tc>
          <w:tcPr>
            <w:tcW w:w="1593"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0.56</w:t>
            </w:r>
          </w:p>
        </w:tc>
        <w:tc>
          <w:tcPr>
            <w:tcW w:w="141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0.60</w:t>
            </w:r>
          </w:p>
        </w:tc>
        <w:tc>
          <w:tcPr>
            <w:tcW w:w="155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0.64</w:t>
            </w:r>
          </w:p>
        </w:tc>
      </w:tr>
      <w:tr w:rsidR="002B0441" w:rsidRPr="00A26E08" w:rsidTr="00C703ED">
        <w:trPr>
          <w:jc w:val="center"/>
        </w:trPr>
        <w:tc>
          <w:tcPr>
            <w:tcW w:w="202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No destacados</w:t>
            </w:r>
          </w:p>
        </w:tc>
        <w:tc>
          <w:tcPr>
            <w:tcW w:w="173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Etapa TR</w:t>
            </w:r>
          </w:p>
        </w:tc>
        <w:tc>
          <w:tcPr>
            <w:tcW w:w="1593"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0.44</w:t>
            </w:r>
          </w:p>
        </w:tc>
        <w:tc>
          <w:tcPr>
            <w:tcW w:w="1417"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0.47</w:t>
            </w:r>
          </w:p>
        </w:tc>
        <w:tc>
          <w:tcPr>
            <w:tcW w:w="1559" w:type="dxa"/>
          </w:tcPr>
          <w:p w:rsidR="002B0441" w:rsidRPr="00A26E08" w:rsidRDefault="002B0441" w:rsidP="0084774F">
            <w:pPr>
              <w:autoSpaceDE w:val="0"/>
              <w:autoSpaceDN w:val="0"/>
              <w:adjustRightInd w:val="0"/>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0.50</w:t>
            </w:r>
          </w:p>
        </w:tc>
      </w:tr>
    </w:tbl>
    <w:p w:rsidR="002B0441" w:rsidRPr="00A26E08" w:rsidRDefault="002B0441" w:rsidP="0084774F">
      <w:pPr>
        <w:autoSpaceDE w:val="0"/>
        <w:autoSpaceDN w:val="0"/>
        <w:adjustRightInd w:val="0"/>
        <w:spacing w:after="0" w:line="240" w:lineRule="auto"/>
        <w:jc w:val="both"/>
        <w:rPr>
          <w:rFonts w:ascii="Times New Roman" w:eastAsia="Calibri" w:hAnsi="Times New Roman" w:cs="Times New Roman"/>
          <w:sz w:val="24"/>
          <w:szCs w:val="24"/>
        </w:rPr>
      </w:pPr>
    </w:p>
    <w:p w:rsidR="002B0441" w:rsidRPr="00A26E08" w:rsidRDefault="002B0441" w:rsidP="0012124A">
      <w:pPr>
        <w:autoSpaceDE w:val="0"/>
        <w:autoSpaceDN w:val="0"/>
        <w:adjustRightInd w:val="0"/>
        <w:spacing w:after="0" w:line="240" w:lineRule="auto"/>
        <w:ind w:firstLine="708"/>
        <w:jc w:val="both"/>
        <w:rPr>
          <w:rFonts w:ascii="Times New Roman" w:eastAsia="Calibri" w:hAnsi="Times New Roman" w:cs="Times New Roman"/>
          <w:sz w:val="24"/>
          <w:szCs w:val="24"/>
        </w:rPr>
      </w:pPr>
      <w:r w:rsidRPr="00A26E08">
        <w:rPr>
          <w:rFonts w:ascii="Times New Roman" w:eastAsia="Calibri" w:hAnsi="Times New Roman" w:cs="Times New Roman"/>
          <w:sz w:val="24"/>
          <w:szCs w:val="24"/>
        </w:rPr>
        <w:t xml:space="preserve">La predicción de los valores del IEA por niveles (utilizando intervalos) evita condenar a los atletas no destacados a serlo siempre. Puede ocurrir que boxeadores que aún no alcanzan resultados competitivos relevantes, durante el control psicológico reporten valores de IEA similares a los </w:t>
      </w:r>
      <w:r w:rsidRPr="00A26E08">
        <w:rPr>
          <w:rFonts w:ascii="Times New Roman" w:eastAsia="Calibri" w:hAnsi="Times New Roman" w:cs="Times New Roman"/>
          <w:i/>
          <w:sz w:val="24"/>
          <w:szCs w:val="24"/>
        </w:rPr>
        <w:t>destacados</w:t>
      </w:r>
      <w:r w:rsidRPr="00A26E08">
        <w:rPr>
          <w:rFonts w:ascii="Times New Roman" w:eastAsia="Calibri" w:hAnsi="Times New Roman" w:cs="Times New Roman"/>
          <w:sz w:val="24"/>
          <w:szCs w:val="24"/>
        </w:rPr>
        <w:t>, lo que permite identificar tempranamente potencialidades autovalorativas que son típicas de los campeones. Este tipo de constatación posee inestimable valor para psicólogos y entrenadores en la selección del talento deportivo (</w:t>
      </w:r>
      <w:bookmarkStart w:id="4" w:name="_Hlk9333711"/>
      <w:r w:rsidRPr="00A26E08">
        <w:rPr>
          <w:rFonts w:ascii="Times New Roman" w:eastAsia="Calibri" w:hAnsi="Times New Roman" w:cs="Times New Roman"/>
          <w:sz w:val="24"/>
          <w:szCs w:val="24"/>
        </w:rPr>
        <w:t>Domínguez, Puig, Horta, Acebal, Limonta, Barrientos, Álvarez, Milán, 2016</w:t>
      </w:r>
      <w:bookmarkEnd w:id="4"/>
      <w:r w:rsidRPr="00A26E08">
        <w:rPr>
          <w:rFonts w:ascii="Times New Roman" w:eastAsia="Calibri" w:hAnsi="Times New Roman" w:cs="Times New Roman"/>
          <w:sz w:val="24"/>
          <w:szCs w:val="24"/>
        </w:rPr>
        <w:t>), y en el análisis del desarrollo individual de cada miembro del equipo nacional.</w:t>
      </w:r>
    </w:p>
    <w:p w:rsidR="003375F7" w:rsidRPr="00A26E08" w:rsidRDefault="002B0441" w:rsidP="0012124A">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 New Roman" w:eastAsia="Calibri" w:hAnsi="Times New Roman" w:cs="Times New Roman"/>
          <w:sz w:val="24"/>
          <w:szCs w:val="24"/>
        </w:rPr>
        <w:t>De manera inversa, en boxeadores destacados resulta interesante la identificación de desempeños autovalorativos imprecisos, que de forma sostenida ocupan intervalos correspondientes a un nivel inferior. Esto puede ser un elemento a tener en cuenta en conjunto con otros aspectos psicológicos, de naturaleza técnica y biológica, en la decisión de sustituir algunos boxeadores para determinadas competencias, o en la difícil y oportuna fundamentación del posible retiro del deporte activo de los grandes campeones que padecen mermas sostenidas en sus resultados deportivos.</w:t>
      </w:r>
      <w:r w:rsidR="003375F7" w:rsidRPr="00A26E08">
        <w:rPr>
          <w:rFonts w:ascii="TimesNewRomanPSMT" w:hAnsi="TimesNewRomanPSMT" w:cs="TimesNewRomanPSMT"/>
          <w:color w:val="000000"/>
          <w:sz w:val="24"/>
          <w:szCs w:val="24"/>
        </w:rPr>
        <w:t xml:space="preserve"> </w:t>
      </w:r>
    </w:p>
    <w:p w:rsidR="003375F7" w:rsidRPr="00A26E08" w:rsidRDefault="007640BB" w:rsidP="0012124A">
      <w:pPr>
        <w:autoSpaceDE w:val="0"/>
        <w:autoSpaceDN w:val="0"/>
        <w:adjustRightInd w:val="0"/>
        <w:spacing w:after="0" w:line="240" w:lineRule="auto"/>
        <w:jc w:val="center"/>
        <w:rPr>
          <w:sz w:val="24"/>
          <w:szCs w:val="24"/>
        </w:rPr>
      </w:pPr>
      <w:r w:rsidRPr="00A26E08">
        <w:rPr>
          <w:rFonts w:ascii="TimesNewRomanPS-BoldMT" w:hAnsi="TimesNewRomanPS-BoldMT" w:cs="TimesNewRomanPS-BoldMT"/>
          <w:b/>
          <w:bCs/>
          <w:color w:val="000000"/>
          <w:sz w:val="24"/>
          <w:szCs w:val="24"/>
        </w:rPr>
        <w:t>DISCUSIÓN</w:t>
      </w:r>
    </w:p>
    <w:p w:rsidR="003375F7" w:rsidRPr="00A26E08" w:rsidRDefault="003375F7" w:rsidP="0012124A">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El hecho constatado de la superioridad autovalorativa de los boxeadores destacados coincide con resultados de investigaciones que emplearon muestras bipolares en otros deportes (Del Monte, 2010; González, 2001 a, c; Gould, 2003). Al relacionar esta regularidad con variables motivacionales (García 1987, 2009) se encontró que una elevada motivación intrínseca permite que el deportista modifique con éxito, contenidos que sus procesos autovalorativos le devolvieron como deficientes. Posiblemente, el proceso de autoperfeccionamiento</w:t>
      </w:r>
      <w:r w:rsidR="00014A6B">
        <w:rPr>
          <w:rFonts w:ascii="TimesNewRomanPS-BoldMT" w:hAnsi="TimesNewRomanPS-BoldMT" w:cs="TimesNewRomanPS-BoldMT"/>
          <w:bCs/>
          <w:color w:val="000000"/>
          <w:sz w:val="24"/>
          <w:szCs w:val="24"/>
        </w:rPr>
        <w:t xml:space="preserve"> (</w:t>
      </w:r>
      <w:r w:rsidR="00014A6B" w:rsidRPr="00A26E08">
        <w:rPr>
          <w:rFonts w:ascii="TimesNewRomanPS-BoldMT" w:hAnsi="TimesNewRomanPS-BoldMT" w:cs="TimesNewRomanPS-BoldMT"/>
          <w:bCs/>
          <w:color w:val="000000"/>
          <w:sz w:val="24"/>
          <w:szCs w:val="24"/>
        </w:rPr>
        <w:t>Del Monte, 2010</w:t>
      </w:r>
      <w:r w:rsidR="00014A6B">
        <w:rPr>
          <w:rFonts w:ascii="TimesNewRomanPS-BoldMT" w:hAnsi="TimesNewRomanPS-BoldMT" w:cs="TimesNewRomanPS-BoldMT"/>
          <w:bCs/>
          <w:color w:val="000000"/>
          <w:sz w:val="24"/>
          <w:szCs w:val="24"/>
        </w:rPr>
        <w:t>)</w:t>
      </w:r>
      <w:r w:rsidRPr="00A26E08">
        <w:rPr>
          <w:rFonts w:ascii="TimesNewRomanPS-BoldMT" w:hAnsi="TimesNewRomanPS-BoldMT" w:cs="TimesNewRomanPS-BoldMT"/>
          <w:bCs/>
          <w:color w:val="000000"/>
          <w:sz w:val="24"/>
          <w:szCs w:val="24"/>
        </w:rPr>
        <w:t xml:space="preserve"> se convierte en tendencia orientadora de la personalidad, protegiéndolo contra las posibles frustraciones que implica la búsqueda de un nivel superior de desarrollo</w:t>
      </w:r>
      <w:r w:rsidR="00D97A7A">
        <w:rPr>
          <w:rFonts w:ascii="TimesNewRomanPS-BoldMT" w:hAnsi="TimesNewRomanPS-BoldMT" w:cs="TimesNewRomanPS-BoldMT"/>
          <w:bCs/>
          <w:color w:val="000000"/>
          <w:sz w:val="24"/>
          <w:szCs w:val="24"/>
        </w:rPr>
        <w:t>,</w:t>
      </w:r>
      <w:r w:rsidRPr="00A26E08">
        <w:rPr>
          <w:rFonts w:ascii="TimesNewRomanPS-BoldMT" w:hAnsi="TimesNewRomanPS-BoldMT" w:cs="TimesNewRomanPS-BoldMT"/>
          <w:bCs/>
          <w:color w:val="000000"/>
          <w:sz w:val="24"/>
          <w:szCs w:val="24"/>
        </w:rPr>
        <w:t xml:space="preserve"> e imprimiendo un sentido favorecedor a la práctica deportiva. </w:t>
      </w:r>
    </w:p>
    <w:p w:rsidR="003375F7" w:rsidRPr="00A26E08" w:rsidRDefault="007E5D15" w:rsidP="0012124A">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U</w:t>
      </w:r>
      <w:r w:rsidR="003375F7" w:rsidRPr="00A26E08">
        <w:rPr>
          <w:rFonts w:ascii="TimesNewRomanPS-BoldMT" w:hAnsi="TimesNewRomanPS-BoldMT" w:cs="TimesNewRomanPS-BoldMT"/>
          <w:bCs/>
          <w:color w:val="000000"/>
          <w:sz w:val="24"/>
          <w:szCs w:val="24"/>
        </w:rPr>
        <w:t>n</w:t>
      </w:r>
      <w:r w:rsidR="00297FA2">
        <w:rPr>
          <w:rFonts w:ascii="TimesNewRomanPS-BoldMT" w:hAnsi="TimesNewRomanPS-BoldMT" w:cs="TimesNewRomanPS-BoldMT"/>
          <w:bCs/>
          <w:color w:val="000000"/>
          <w:sz w:val="24"/>
          <w:szCs w:val="24"/>
        </w:rPr>
        <w:t>a mejor comprensión de la ventaja autovalorativa de los boxeadores destacados se puede obtener del análisis del</w:t>
      </w:r>
      <w:r w:rsidR="00CB0E71" w:rsidRPr="00A26E08">
        <w:rPr>
          <w:rFonts w:ascii="TimesNewRomanPS-BoldMT" w:hAnsi="TimesNewRomanPS-BoldMT" w:cs="TimesNewRomanPS-BoldMT"/>
          <w:bCs/>
          <w:color w:val="000000"/>
          <w:sz w:val="24"/>
          <w:szCs w:val="24"/>
        </w:rPr>
        <w:t xml:space="preserve"> comportamiento de</w:t>
      </w:r>
      <w:r w:rsidR="003375F7" w:rsidRPr="00A26E08">
        <w:rPr>
          <w:rFonts w:ascii="TimesNewRomanPS-BoldMT" w:hAnsi="TimesNewRomanPS-BoldMT" w:cs="TimesNewRomanPS-BoldMT"/>
          <w:bCs/>
          <w:color w:val="000000"/>
          <w:sz w:val="24"/>
          <w:szCs w:val="24"/>
        </w:rPr>
        <w:t xml:space="preserve"> trece cualidades de la motivación (Ordoqui, García, González, y Acebal, 2018)</w:t>
      </w:r>
      <w:r w:rsidRPr="00A26E08">
        <w:rPr>
          <w:rFonts w:ascii="TimesNewRomanPS-BoldMT" w:hAnsi="TimesNewRomanPS-BoldMT" w:cs="TimesNewRomanPS-BoldMT"/>
          <w:bCs/>
          <w:color w:val="000000"/>
          <w:sz w:val="24"/>
          <w:szCs w:val="24"/>
        </w:rPr>
        <w:t xml:space="preserve"> </w:t>
      </w:r>
      <w:r w:rsidR="00297FA2">
        <w:rPr>
          <w:rFonts w:ascii="TimesNewRomanPS-BoldMT" w:hAnsi="TimesNewRomanPS-BoldMT" w:cs="TimesNewRomanPS-BoldMT"/>
          <w:bCs/>
          <w:color w:val="000000"/>
          <w:sz w:val="24"/>
          <w:szCs w:val="24"/>
        </w:rPr>
        <w:t>con la misma muestra. L</w:t>
      </w:r>
      <w:r w:rsidR="003375F7" w:rsidRPr="00A26E08">
        <w:rPr>
          <w:rFonts w:ascii="TimesNewRomanPS-BoldMT" w:hAnsi="TimesNewRomanPS-BoldMT" w:cs="TimesNewRomanPS-BoldMT"/>
          <w:bCs/>
          <w:color w:val="000000"/>
          <w:sz w:val="24"/>
          <w:szCs w:val="24"/>
        </w:rPr>
        <w:t xml:space="preserve">os </w:t>
      </w:r>
      <w:r w:rsidR="003375F7" w:rsidRPr="00A26E08">
        <w:rPr>
          <w:rFonts w:ascii="TimesNewRomanPS-BoldMT" w:hAnsi="TimesNewRomanPS-BoldMT" w:cs="TimesNewRomanPS-BoldMT"/>
          <w:bCs/>
          <w:i/>
          <w:color w:val="000000"/>
          <w:sz w:val="24"/>
          <w:szCs w:val="24"/>
        </w:rPr>
        <w:t>destacados</w:t>
      </w:r>
      <w:r w:rsidR="003375F7" w:rsidRPr="00A26E08">
        <w:rPr>
          <w:rFonts w:ascii="TimesNewRomanPS-BoldMT" w:hAnsi="TimesNewRomanPS-BoldMT" w:cs="TimesNewRomanPS-BoldMT"/>
          <w:bCs/>
          <w:color w:val="000000"/>
          <w:sz w:val="24"/>
          <w:szCs w:val="24"/>
        </w:rPr>
        <w:t xml:space="preserve"> </w:t>
      </w:r>
      <w:r w:rsidR="00CB0E71" w:rsidRPr="00A26E08">
        <w:rPr>
          <w:rFonts w:ascii="TimesNewRomanPS-BoldMT" w:hAnsi="TimesNewRomanPS-BoldMT" w:cs="TimesNewRomanPS-BoldMT"/>
          <w:bCs/>
          <w:color w:val="000000"/>
          <w:sz w:val="24"/>
          <w:szCs w:val="24"/>
        </w:rPr>
        <w:t>fue</w:t>
      </w:r>
      <w:r w:rsidR="003375F7" w:rsidRPr="00A26E08">
        <w:rPr>
          <w:rFonts w:ascii="TimesNewRomanPS-BoldMT" w:hAnsi="TimesNewRomanPS-BoldMT" w:cs="TimesNewRomanPS-BoldMT"/>
          <w:bCs/>
          <w:color w:val="000000"/>
          <w:sz w:val="24"/>
          <w:szCs w:val="24"/>
        </w:rPr>
        <w:t>r</w:t>
      </w:r>
      <w:r w:rsidR="00CB0E71" w:rsidRPr="00A26E08">
        <w:rPr>
          <w:rFonts w:ascii="TimesNewRomanPS-BoldMT" w:hAnsi="TimesNewRomanPS-BoldMT" w:cs="TimesNewRomanPS-BoldMT"/>
          <w:bCs/>
          <w:color w:val="000000"/>
          <w:sz w:val="24"/>
          <w:szCs w:val="24"/>
        </w:rPr>
        <w:t>o</w:t>
      </w:r>
      <w:r w:rsidR="003375F7" w:rsidRPr="00A26E08">
        <w:rPr>
          <w:rFonts w:ascii="TimesNewRomanPS-BoldMT" w:hAnsi="TimesNewRomanPS-BoldMT" w:cs="TimesNewRomanPS-BoldMT"/>
          <w:bCs/>
          <w:color w:val="000000"/>
          <w:sz w:val="24"/>
          <w:szCs w:val="24"/>
        </w:rPr>
        <w:t>n superiores (significación estadística) en cuanto a la expectativa de eficacia</w:t>
      </w:r>
      <w:r w:rsidR="00297FA2">
        <w:rPr>
          <w:rFonts w:ascii="TimesNewRomanPS-BoldMT" w:hAnsi="TimesNewRomanPS-BoldMT" w:cs="TimesNewRomanPS-BoldMT"/>
          <w:bCs/>
          <w:color w:val="000000"/>
          <w:sz w:val="24"/>
          <w:szCs w:val="24"/>
        </w:rPr>
        <w:t>, esta fue la única variable que se comportó de manera muy diferente al comparar ambos grupos.</w:t>
      </w:r>
      <w:r w:rsidR="003375F7" w:rsidRPr="00A26E08">
        <w:rPr>
          <w:rFonts w:ascii="TimesNewRomanPS-BoldMT" w:hAnsi="TimesNewRomanPS-BoldMT" w:cs="TimesNewRomanPS-BoldMT"/>
          <w:bCs/>
          <w:color w:val="000000"/>
          <w:sz w:val="24"/>
          <w:szCs w:val="24"/>
        </w:rPr>
        <w:t xml:space="preserve"> El 90% de los </w:t>
      </w:r>
      <w:r w:rsidR="003375F7" w:rsidRPr="00D97A7A">
        <w:rPr>
          <w:rFonts w:ascii="TimesNewRomanPS-BoldMT" w:hAnsi="TimesNewRomanPS-BoldMT" w:cs="TimesNewRomanPS-BoldMT"/>
          <w:bCs/>
          <w:i/>
          <w:color w:val="000000"/>
          <w:sz w:val="24"/>
          <w:szCs w:val="24"/>
        </w:rPr>
        <w:t>destacados</w:t>
      </w:r>
      <w:r w:rsidR="003375F7" w:rsidRPr="00A26E08">
        <w:rPr>
          <w:rFonts w:ascii="TimesNewRomanPS-BoldMT" w:hAnsi="TimesNewRomanPS-BoldMT" w:cs="TimesNewRomanPS-BoldMT"/>
          <w:bCs/>
          <w:color w:val="000000"/>
          <w:sz w:val="24"/>
          <w:szCs w:val="24"/>
        </w:rPr>
        <w:t xml:space="preserve"> frente a un 20% de los </w:t>
      </w:r>
      <w:r w:rsidR="003375F7" w:rsidRPr="00D97A7A">
        <w:rPr>
          <w:rFonts w:ascii="TimesNewRomanPS-BoldMT" w:hAnsi="TimesNewRomanPS-BoldMT" w:cs="TimesNewRomanPS-BoldMT"/>
          <w:bCs/>
          <w:i/>
          <w:color w:val="000000"/>
          <w:sz w:val="24"/>
          <w:szCs w:val="24"/>
        </w:rPr>
        <w:t>no destacados</w:t>
      </w:r>
      <w:r w:rsidR="003375F7" w:rsidRPr="00A26E08">
        <w:rPr>
          <w:rFonts w:ascii="TimesNewRomanPS-BoldMT" w:hAnsi="TimesNewRomanPS-BoldMT" w:cs="TimesNewRomanPS-BoldMT"/>
          <w:bCs/>
          <w:color w:val="000000"/>
          <w:sz w:val="24"/>
          <w:szCs w:val="24"/>
        </w:rPr>
        <w:t xml:space="preserve"> registró un alto nivel de desarrollo de la mencionada cualidad.</w:t>
      </w:r>
    </w:p>
    <w:p w:rsidR="003375F7" w:rsidRPr="00A26E08" w:rsidRDefault="003375F7" w:rsidP="0012124A">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La instrumentación de eficacia le permite al boxeador centrarse en el proceso de ejecución y en los detalles del desempeño, en los ritmos variables que le son propios a las demandas energéticas y tácticas de su deporte, pues la experiencia del dominio de la tarea proviene esencialmente de perfeccionarse a sí mismo, de ejecutar la acción con elevada </w:t>
      </w:r>
      <w:r w:rsidRPr="00A26E08">
        <w:rPr>
          <w:rFonts w:ascii="TimesNewRomanPS-BoldMT" w:hAnsi="TimesNewRomanPS-BoldMT" w:cs="TimesNewRomanPS-BoldMT"/>
          <w:bCs/>
          <w:color w:val="000000"/>
          <w:sz w:val="24"/>
          <w:szCs w:val="24"/>
        </w:rPr>
        <w:lastRenderedPageBreak/>
        <w:t>calidad (Estevan, Álvarez, y Castillo, 2015). Este acento motivacional de los campeones, enfatiza la postura introspectiva como ejercicio para el autoperfeccionamiento, lo que explica su capacidad autovalorativa superior en relación con los menos destacados. Estos últimos, parecen regularse muy predominantemente desde su necesidad de vencer (expectativa de éxito) y de lograr altos rendimientos. La realización de elevados esfuerzos y de un meticuloso proceso de autodesarrollo re</w:t>
      </w:r>
      <w:r w:rsidR="00CB0E71" w:rsidRPr="00A26E08">
        <w:rPr>
          <w:rFonts w:ascii="TimesNewRomanPS-BoldMT" w:hAnsi="TimesNewRomanPS-BoldMT" w:cs="TimesNewRomanPS-BoldMT"/>
          <w:bCs/>
          <w:color w:val="000000"/>
          <w:sz w:val="24"/>
          <w:szCs w:val="24"/>
        </w:rPr>
        <w:t>dund</w:t>
      </w:r>
      <w:r w:rsidRPr="00A26E08">
        <w:rPr>
          <w:rFonts w:ascii="TimesNewRomanPS-BoldMT" w:hAnsi="TimesNewRomanPS-BoldMT" w:cs="TimesNewRomanPS-BoldMT"/>
          <w:bCs/>
          <w:color w:val="000000"/>
          <w:sz w:val="24"/>
          <w:szCs w:val="24"/>
        </w:rPr>
        <w:t xml:space="preserve">an, equivocadamente para ellos, en percepciones de competencias bajas. Los boxeadores </w:t>
      </w:r>
      <w:r w:rsidRPr="00A26E08">
        <w:rPr>
          <w:rFonts w:ascii="TimesNewRomanPS-BoldMT" w:hAnsi="TimesNewRomanPS-BoldMT" w:cs="TimesNewRomanPS-BoldMT"/>
          <w:bCs/>
          <w:i/>
          <w:color w:val="000000"/>
          <w:sz w:val="24"/>
          <w:szCs w:val="24"/>
        </w:rPr>
        <w:t>no destacados</w:t>
      </w:r>
      <w:r w:rsidRPr="00A26E08">
        <w:rPr>
          <w:rFonts w:ascii="TimesNewRomanPS-BoldMT" w:hAnsi="TimesNewRomanPS-BoldMT" w:cs="TimesNewRomanPS-BoldMT"/>
          <w:bCs/>
          <w:color w:val="000000"/>
          <w:sz w:val="24"/>
          <w:szCs w:val="24"/>
        </w:rPr>
        <w:t xml:space="preserve"> reportaron “menos experiencia de disfrute de la actividad y persiguen menos el perfeccionamiento” (García, 2018 p. 57).</w:t>
      </w:r>
    </w:p>
    <w:p w:rsidR="003375F7" w:rsidRPr="00A26E08" w:rsidRDefault="003375F7" w:rsidP="0012124A">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Deben implementarse ejercicios autovalorativos con una intencionalidad pedagógica para el análisis de combates más allá del resultado obtenido (éxito o fracaso),</w:t>
      </w:r>
      <w:r w:rsidR="00CB0E71" w:rsidRPr="00A26E08">
        <w:rPr>
          <w:rFonts w:ascii="TimesNewRomanPS-BoldMT" w:hAnsi="TimesNewRomanPS-BoldMT" w:cs="TimesNewRomanPS-BoldMT"/>
          <w:bCs/>
          <w:color w:val="000000"/>
          <w:sz w:val="24"/>
          <w:szCs w:val="24"/>
        </w:rPr>
        <w:t xml:space="preserve"> por ejemplo, el</w:t>
      </w:r>
      <w:r w:rsidRPr="00A26E08">
        <w:rPr>
          <w:rFonts w:ascii="TimesNewRomanPS-BoldMT" w:hAnsi="TimesNewRomanPS-BoldMT" w:cs="TimesNewRomanPS-BoldMT"/>
          <w:bCs/>
          <w:color w:val="000000"/>
          <w:sz w:val="24"/>
          <w:szCs w:val="24"/>
        </w:rPr>
        <w:t xml:space="preserve"> cumplimiento de tareas del entrenamiento, superación de metas técnico-tácticas parciales, etc. Desde la Psicología se contribuye a elevar estas prácticas en los entrenamientos del equipo nacional, que cultivan la autonomía del atleta y la elaboración de recomendaciones por parte de los entrenadores que tienen en cuenta lo que el atleta cree de sí mismo, procurando mayor adecuación de sus juicios. Experiencias similares (Napolitano, 2016) demuestran la importancia de la intervención psicológica en la adecuación de las autovaloraciones parciales incluyendo análisis de videos para corregir conceptos e imágenes del movimiento en deportes de arte competitivo. </w:t>
      </w:r>
    </w:p>
    <w:p w:rsidR="003375F7" w:rsidRPr="00A26E08" w:rsidRDefault="003375F7" w:rsidP="0084774F">
      <w:pPr>
        <w:autoSpaceDE w:val="0"/>
        <w:autoSpaceDN w:val="0"/>
        <w:adjustRightInd w:val="0"/>
        <w:spacing w:after="0" w:line="240" w:lineRule="auto"/>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Un aspecto interesante y polémico resultó el predominio de signo positivo (89%) del IEA, indicativo de sobrevaloración. El estudio de las autovaloraciones parciales de rendimiento demostró que los mejores saltadores y tiradores deportivos (González, 2001 a, c) hacían lo contrario: resultaron más críticos en sus juicios autovalorativos que las valoraciones expertas. Esta diferencia se atribuye a las peculiaridades de la forma de entrenar y competir de estos deportes. Beaumont, Maynard, &amp; Butt (2015) reportan presencia de sobrevaloración por un margen pequeño como elemento favorecedor del desempeño en deportes de confrontación directa y de predominio táctico. En el boxeo, un IEA bajo </w:t>
      </w:r>
      <w:r w:rsidR="00D97A7A">
        <w:rPr>
          <w:rFonts w:ascii="TimesNewRomanPS-BoldMT" w:hAnsi="TimesNewRomanPS-BoldMT" w:cs="TimesNewRomanPS-BoldMT"/>
          <w:bCs/>
          <w:color w:val="000000"/>
          <w:sz w:val="24"/>
          <w:szCs w:val="24"/>
        </w:rPr>
        <w:t>-</w:t>
      </w:r>
      <w:r w:rsidRPr="00A26E08">
        <w:rPr>
          <w:rFonts w:ascii="TimesNewRomanPS-BoldMT" w:hAnsi="TimesNewRomanPS-BoldMT" w:cs="TimesNewRomanPS-BoldMT"/>
          <w:bCs/>
          <w:color w:val="000000"/>
          <w:sz w:val="24"/>
          <w:szCs w:val="24"/>
        </w:rPr>
        <w:t>con signo positivo</w:t>
      </w:r>
      <w:r w:rsidR="00D97A7A">
        <w:rPr>
          <w:rFonts w:ascii="TimesNewRomanPS-BoldMT" w:hAnsi="TimesNewRomanPS-BoldMT" w:cs="TimesNewRomanPS-BoldMT"/>
          <w:bCs/>
          <w:color w:val="000000"/>
          <w:sz w:val="24"/>
          <w:szCs w:val="24"/>
        </w:rPr>
        <w:t>-</w:t>
      </w:r>
      <w:r w:rsidRPr="00A26E08">
        <w:rPr>
          <w:rFonts w:ascii="TimesNewRomanPS-BoldMT" w:hAnsi="TimesNewRomanPS-BoldMT" w:cs="TimesNewRomanPS-BoldMT"/>
          <w:bCs/>
          <w:color w:val="000000"/>
          <w:sz w:val="24"/>
          <w:szCs w:val="24"/>
        </w:rPr>
        <w:t xml:space="preserve"> parece garantizar el ajuste autovalorativo necesario, y mantener elevada la confianza en la victoria sobre el oponente. </w:t>
      </w:r>
    </w:p>
    <w:p w:rsidR="003375F7"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Los destacados psicólogos Johnson y Fowler (2011) estudiaron el papel del exceso de confianza, que puede ser tomado como resultante de la sobre valoración. Explican que, cuando el valor de una recompensa excede suficientemente el costo del esfuerzo para ganar la competición, se multiplica el exceso de confianza. Al revisar los valores aislados de IEA con signo negativo, se encuentra que los boxeadores no destacados concentran el número mayor de juicios por debajo de la puntuación de los expertos. Esto es coherente con el predominio de signo positivo más marcado en los boxeadores destacados, quienes disponen de mayores recursos técnico-tácticos para enfrentar la complejidad de los combates. </w:t>
      </w:r>
    </w:p>
    <w:p w:rsidR="00297FA2" w:rsidRPr="00A26E08" w:rsidRDefault="00297FA2"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Por otra parte, </w:t>
      </w:r>
      <w:r w:rsidR="00C743EB" w:rsidRPr="00C743EB">
        <w:rPr>
          <w:rFonts w:ascii="TimesNewRomanPS-BoldMT" w:hAnsi="TimesNewRomanPS-BoldMT" w:cs="TimesNewRomanPS-BoldMT"/>
          <w:bCs/>
          <w:color w:val="000000"/>
          <w:sz w:val="24"/>
          <w:szCs w:val="24"/>
        </w:rPr>
        <w:t xml:space="preserve">las peculiaridades del boxeo desde el punto de vista social (papel de la prensa, rutinas de pronósticos, </w:t>
      </w:r>
      <w:r w:rsidR="00C743EB">
        <w:rPr>
          <w:rFonts w:ascii="TimesNewRomanPS-BoldMT" w:hAnsi="TimesNewRomanPS-BoldMT" w:cs="TimesNewRomanPS-BoldMT"/>
          <w:bCs/>
          <w:color w:val="000000"/>
          <w:sz w:val="24"/>
          <w:szCs w:val="24"/>
        </w:rPr>
        <w:t>agresividad intrínseca</w:t>
      </w:r>
      <w:r w:rsidR="00C743EB" w:rsidRPr="00C743EB">
        <w:rPr>
          <w:rFonts w:ascii="TimesNewRomanPS-BoldMT" w:hAnsi="TimesNewRomanPS-BoldMT" w:cs="TimesNewRomanPS-BoldMT"/>
          <w:bCs/>
          <w:color w:val="000000"/>
          <w:sz w:val="24"/>
          <w:szCs w:val="24"/>
        </w:rPr>
        <w:t>, etc.</w:t>
      </w:r>
      <w:r w:rsidR="00C743EB">
        <w:rPr>
          <w:rFonts w:ascii="TimesNewRomanPS-BoldMT" w:hAnsi="TimesNewRomanPS-BoldMT" w:cs="TimesNewRomanPS-BoldMT"/>
          <w:bCs/>
          <w:color w:val="000000"/>
          <w:sz w:val="24"/>
          <w:szCs w:val="24"/>
        </w:rPr>
        <w:t>)</w:t>
      </w:r>
      <w:r w:rsidR="00C743EB" w:rsidRPr="00C743EB">
        <w:rPr>
          <w:rFonts w:ascii="TimesNewRomanPS-BoldMT" w:hAnsi="TimesNewRomanPS-BoldMT" w:cs="TimesNewRomanPS-BoldMT"/>
          <w:bCs/>
          <w:color w:val="000000"/>
          <w:sz w:val="24"/>
          <w:szCs w:val="24"/>
        </w:rPr>
        <w:t xml:space="preserve"> influye</w:t>
      </w:r>
      <w:r w:rsidR="00C743EB">
        <w:rPr>
          <w:rFonts w:ascii="TimesNewRomanPS-BoldMT" w:hAnsi="TimesNewRomanPS-BoldMT" w:cs="TimesNewRomanPS-BoldMT"/>
          <w:bCs/>
          <w:color w:val="000000"/>
          <w:sz w:val="24"/>
          <w:szCs w:val="24"/>
        </w:rPr>
        <w:t>n</w:t>
      </w:r>
      <w:r w:rsidR="00C743EB" w:rsidRPr="00C743EB">
        <w:rPr>
          <w:rFonts w:ascii="TimesNewRomanPS-BoldMT" w:hAnsi="TimesNewRomanPS-BoldMT" w:cs="TimesNewRomanPS-BoldMT"/>
          <w:bCs/>
          <w:color w:val="000000"/>
          <w:sz w:val="24"/>
          <w:szCs w:val="24"/>
        </w:rPr>
        <w:t xml:space="preserve"> determinantemente en </w:t>
      </w:r>
      <w:r w:rsidR="00C743EB">
        <w:rPr>
          <w:rFonts w:ascii="TimesNewRomanPS-BoldMT" w:hAnsi="TimesNewRomanPS-BoldMT" w:cs="TimesNewRomanPS-BoldMT"/>
          <w:bCs/>
          <w:color w:val="000000"/>
          <w:sz w:val="24"/>
          <w:szCs w:val="24"/>
        </w:rPr>
        <w:t>el predominio de la sobrevaloración</w:t>
      </w:r>
      <w:r w:rsidR="00C743EB" w:rsidRPr="00C743EB">
        <w:rPr>
          <w:rFonts w:ascii="TimesNewRomanPS-BoldMT" w:hAnsi="TimesNewRomanPS-BoldMT" w:cs="TimesNewRomanPS-BoldMT"/>
          <w:bCs/>
          <w:color w:val="000000"/>
          <w:sz w:val="24"/>
          <w:szCs w:val="24"/>
        </w:rPr>
        <w:t xml:space="preserve">. </w:t>
      </w:r>
      <w:r w:rsidR="00C743EB">
        <w:rPr>
          <w:rFonts w:ascii="TimesNewRomanPS-BoldMT" w:hAnsi="TimesNewRomanPS-BoldMT" w:cs="TimesNewRomanPS-BoldMT"/>
          <w:bCs/>
          <w:color w:val="000000"/>
          <w:sz w:val="24"/>
          <w:szCs w:val="24"/>
        </w:rPr>
        <w:t>Resulta poco probable que ocurra lo mismo a u</w:t>
      </w:r>
      <w:r w:rsidR="00C743EB" w:rsidRPr="00C743EB">
        <w:rPr>
          <w:rFonts w:ascii="TimesNewRomanPS-BoldMT" w:hAnsi="TimesNewRomanPS-BoldMT" w:cs="TimesNewRomanPS-BoldMT"/>
          <w:bCs/>
          <w:color w:val="000000"/>
          <w:sz w:val="24"/>
          <w:szCs w:val="24"/>
        </w:rPr>
        <w:t xml:space="preserve">n tirador </w:t>
      </w:r>
      <w:r w:rsidR="00C743EB">
        <w:rPr>
          <w:rFonts w:ascii="TimesNewRomanPS-BoldMT" w:hAnsi="TimesNewRomanPS-BoldMT" w:cs="TimesNewRomanPS-BoldMT"/>
          <w:bCs/>
          <w:color w:val="000000"/>
          <w:sz w:val="24"/>
          <w:szCs w:val="24"/>
        </w:rPr>
        <w:t xml:space="preserve">deportivo </w:t>
      </w:r>
      <w:r w:rsidR="00D97A7A">
        <w:rPr>
          <w:rFonts w:ascii="TimesNewRomanPS-BoldMT" w:hAnsi="TimesNewRomanPS-BoldMT" w:cs="TimesNewRomanPS-BoldMT"/>
          <w:bCs/>
          <w:color w:val="000000"/>
          <w:sz w:val="24"/>
          <w:szCs w:val="24"/>
        </w:rPr>
        <w:t>quien</w:t>
      </w:r>
      <w:r w:rsidR="00C743EB">
        <w:rPr>
          <w:rFonts w:ascii="TimesNewRomanPS-BoldMT" w:hAnsi="TimesNewRomanPS-BoldMT" w:cs="TimesNewRomanPS-BoldMT"/>
          <w:bCs/>
          <w:color w:val="000000"/>
          <w:sz w:val="24"/>
          <w:szCs w:val="24"/>
        </w:rPr>
        <w:t>,</w:t>
      </w:r>
      <w:r w:rsidR="00C743EB" w:rsidRPr="00C743EB">
        <w:rPr>
          <w:rFonts w:ascii="TimesNewRomanPS-BoldMT" w:hAnsi="TimesNewRomanPS-BoldMT" w:cs="TimesNewRomanPS-BoldMT"/>
          <w:bCs/>
          <w:color w:val="000000"/>
          <w:sz w:val="24"/>
          <w:szCs w:val="24"/>
        </w:rPr>
        <w:t xml:space="preserve"> </w:t>
      </w:r>
      <w:r w:rsidR="00C743EB">
        <w:rPr>
          <w:rFonts w:ascii="TimesNewRomanPS-BoldMT" w:hAnsi="TimesNewRomanPS-BoldMT" w:cs="TimesNewRomanPS-BoldMT"/>
          <w:bCs/>
          <w:color w:val="000000"/>
          <w:sz w:val="24"/>
          <w:szCs w:val="24"/>
        </w:rPr>
        <w:t>p</w:t>
      </w:r>
      <w:r w:rsidR="00C743EB" w:rsidRPr="00C743EB">
        <w:rPr>
          <w:rFonts w:ascii="TimesNewRomanPS-BoldMT" w:hAnsi="TimesNewRomanPS-BoldMT" w:cs="TimesNewRomanPS-BoldMT"/>
          <w:bCs/>
          <w:color w:val="000000"/>
          <w:sz w:val="24"/>
          <w:szCs w:val="24"/>
        </w:rPr>
        <w:t>or el contrario, pondera mucho el nivel de dificultad de la tarea</w:t>
      </w:r>
      <w:r w:rsidR="00C743EB">
        <w:rPr>
          <w:rFonts w:ascii="TimesNewRomanPS-BoldMT" w:hAnsi="TimesNewRomanPS-BoldMT" w:cs="TimesNewRomanPS-BoldMT"/>
          <w:bCs/>
          <w:color w:val="000000"/>
          <w:sz w:val="24"/>
          <w:szCs w:val="24"/>
        </w:rPr>
        <w:t xml:space="preserve">, el cual no varía por la influencia directa de los rivales. </w:t>
      </w:r>
    </w:p>
    <w:p w:rsidR="003375F7" w:rsidRPr="00A26E08" w:rsidRDefault="008A78C3" w:rsidP="0084774F">
      <w:pPr>
        <w:autoSpaceDE w:val="0"/>
        <w:autoSpaceDN w:val="0"/>
        <w:adjustRightInd w:val="0"/>
        <w:spacing w:after="0" w:line="240" w:lineRule="auto"/>
        <w:jc w:val="both"/>
        <w:rPr>
          <w:rFonts w:ascii="TimesNewRomanPS-BoldMT" w:hAnsi="TimesNewRomanPS-BoldMT" w:cs="TimesNewRomanPS-BoldMT"/>
          <w:bCs/>
          <w:color w:val="000000"/>
          <w:sz w:val="24"/>
          <w:szCs w:val="24"/>
        </w:rPr>
      </w:pPr>
      <w:r>
        <w:rPr>
          <w:rFonts w:ascii="TimesNewRomanPS-BoldMT" w:hAnsi="TimesNewRomanPS-BoldMT" w:cs="TimesNewRomanPS-BoldMT"/>
          <w:bCs/>
          <w:color w:val="000000"/>
          <w:sz w:val="24"/>
          <w:szCs w:val="24"/>
        </w:rPr>
        <w:t xml:space="preserve">Se plantea que </w:t>
      </w:r>
      <w:r w:rsidR="003375F7" w:rsidRPr="00A26E08">
        <w:rPr>
          <w:rFonts w:ascii="TimesNewRomanPS-BoldMT" w:hAnsi="TimesNewRomanPS-BoldMT" w:cs="TimesNewRomanPS-BoldMT"/>
          <w:bCs/>
          <w:color w:val="000000"/>
          <w:sz w:val="24"/>
          <w:szCs w:val="24"/>
        </w:rPr>
        <w:t xml:space="preserve">un exceso de confianza moderado “promueve ambición, fortaleza moral, soluciones y la persistencia” (Johnson y Fowler, 2011, p.1); y ante los rivales se transmite mayor credibilidad en las intenciones de victoria, a diferencia de los que sufren de pérdida de confianza.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Es frecuente encontrar dentro del discurso que los entrenadores, psicólogos y compañeros de equipo transmiten a los boxeadores, la exaltación de aspectos positivos capaces de determinar la victoria. Sin embargo, este espíritu optimista debe asumirse con </w:t>
      </w:r>
      <w:r w:rsidRPr="00A26E08">
        <w:rPr>
          <w:rFonts w:ascii="TimesNewRomanPS-BoldMT" w:hAnsi="TimesNewRomanPS-BoldMT" w:cs="TimesNewRomanPS-BoldMT"/>
          <w:bCs/>
          <w:color w:val="000000"/>
          <w:sz w:val="24"/>
          <w:szCs w:val="24"/>
        </w:rPr>
        <w:lastRenderedPageBreak/>
        <w:t xml:space="preserve">precaución para conservar un apego a la realidad que evite alimentar niveles de aspiración artificialmente elevados, y debe poseer un carácter personalizado.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La intervención psicológica y pedagógica, debe contemplar el estudio de la personalidad y de sus peculiares sentidos subjetivos en cada deportista, así como de los estados actuales que lo presiden, responsabilidad que corresponde al psicólogo(a) del deporte en su rol dentro de la preparación (Domínguez, J. y cols., 2016).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La variable autovalorativa, como parte del sistema de control psicológico del entrenamiento en boxeo, </w:t>
      </w:r>
      <w:r w:rsidR="00D97A7A">
        <w:rPr>
          <w:rFonts w:ascii="TimesNewRomanPS-BoldMT" w:hAnsi="TimesNewRomanPS-BoldMT" w:cs="TimesNewRomanPS-BoldMT"/>
          <w:bCs/>
          <w:color w:val="000000"/>
          <w:sz w:val="24"/>
          <w:szCs w:val="24"/>
        </w:rPr>
        <w:t>demostró</w:t>
      </w:r>
      <w:r w:rsidR="00394C8C" w:rsidRPr="00A26E08">
        <w:rPr>
          <w:rFonts w:ascii="TimesNewRomanPS-BoldMT" w:hAnsi="TimesNewRomanPS-BoldMT" w:cs="TimesNewRomanPS-BoldMT"/>
          <w:bCs/>
          <w:color w:val="000000"/>
          <w:sz w:val="24"/>
          <w:szCs w:val="24"/>
        </w:rPr>
        <w:t xml:space="preserve"> </w:t>
      </w:r>
      <w:r w:rsidRPr="00A26E08">
        <w:rPr>
          <w:rFonts w:ascii="TimesNewRomanPS-BoldMT" w:hAnsi="TimesNewRomanPS-BoldMT" w:cs="TimesNewRomanPS-BoldMT"/>
          <w:bCs/>
          <w:color w:val="000000"/>
          <w:sz w:val="24"/>
          <w:szCs w:val="24"/>
        </w:rPr>
        <w:t xml:space="preserve">sus posibilidades para revelar la calidad de la asimilación de las cargas de entrenamiento y </w:t>
      </w:r>
      <w:r w:rsidR="00394C8C" w:rsidRPr="00A26E08">
        <w:rPr>
          <w:rFonts w:ascii="TimesNewRomanPS-BoldMT" w:hAnsi="TimesNewRomanPS-BoldMT" w:cs="TimesNewRomanPS-BoldMT"/>
          <w:bCs/>
          <w:color w:val="000000"/>
          <w:sz w:val="24"/>
          <w:szCs w:val="24"/>
        </w:rPr>
        <w:t xml:space="preserve">con ello contribuir al </w:t>
      </w:r>
      <w:r w:rsidRPr="00A26E08">
        <w:rPr>
          <w:rFonts w:ascii="TimesNewRomanPS-BoldMT" w:hAnsi="TimesNewRomanPS-BoldMT" w:cs="TimesNewRomanPS-BoldMT"/>
          <w:bCs/>
          <w:color w:val="000000"/>
          <w:sz w:val="24"/>
          <w:szCs w:val="24"/>
        </w:rPr>
        <w:t>diagn</w:t>
      </w:r>
      <w:r w:rsidR="00394C8C" w:rsidRPr="00A26E08">
        <w:rPr>
          <w:rFonts w:ascii="TimesNewRomanPS-BoldMT" w:hAnsi="TimesNewRomanPS-BoldMT" w:cs="TimesNewRomanPS-BoldMT"/>
          <w:bCs/>
          <w:color w:val="000000"/>
          <w:sz w:val="24"/>
          <w:szCs w:val="24"/>
        </w:rPr>
        <w:t>ó</w:t>
      </w:r>
      <w:r w:rsidRPr="00A26E08">
        <w:rPr>
          <w:rFonts w:ascii="TimesNewRomanPS-BoldMT" w:hAnsi="TimesNewRomanPS-BoldMT" w:cs="TimesNewRomanPS-BoldMT"/>
          <w:bCs/>
          <w:color w:val="000000"/>
          <w:sz w:val="24"/>
          <w:szCs w:val="24"/>
        </w:rPr>
        <w:t>stic</w:t>
      </w:r>
      <w:r w:rsidR="00394C8C" w:rsidRPr="00A26E08">
        <w:rPr>
          <w:rFonts w:ascii="TimesNewRomanPS-BoldMT" w:hAnsi="TimesNewRomanPS-BoldMT" w:cs="TimesNewRomanPS-BoldMT"/>
          <w:bCs/>
          <w:color w:val="000000"/>
          <w:sz w:val="24"/>
          <w:szCs w:val="24"/>
        </w:rPr>
        <w:t>o de</w:t>
      </w:r>
      <w:r w:rsidRPr="00A26E08">
        <w:rPr>
          <w:rFonts w:ascii="TimesNewRomanPS-BoldMT" w:hAnsi="TimesNewRomanPS-BoldMT" w:cs="TimesNewRomanPS-BoldMT"/>
          <w:bCs/>
          <w:color w:val="000000"/>
          <w:sz w:val="24"/>
          <w:szCs w:val="24"/>
        </w:rPr>
        <w:t xml:space="preserve"> la forma deportiva. Resultados del Tapping Test aplicado a una campeona olímpica de atletismo (Barrios, 2010) durante un macrociclo de entrenamiento, mostraron que el tiempo espontáneo motor (cantidad de golpes realizados en el primer cuadrante) disminuyó y estabilizó sus valores en la medida que los contenidos del entrenamiento se volvieron más específicos, alcanzando un estado óptimo en vísperas de la competencia. Esta disminución fue interpretada como signo de una mayor eficiencia y balance motor.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El estudio de la fusión crítica ocular en el equipo nacional de judo (Suárez, 2015) reveló que la conducción apropiada de los objetivos del entrenamiento se acompañó de valores del flicker, que confirmaron adaptación neuropsicológica a los exigentes entrenamientos, especialmente en la etapa próxima a la competencia fundamental.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González (2001 a) destacó la progresión descendente del IEA registrado con saltadores en la medida que avanzó la preparación. Los valores más bajos de los errores autovalorativos se ubicaron en la etapa de preparación competitiva. Con más de una década de anterioridad, el propio autor había confirmado esta regularidad en el tiro deportivo (González, 2001 c; González y Pérez, 1982; González y Rigual, 1986). El estudio de las autovaloraciones parciales de rendimiento con judocas del equipo nacional femenino (Del Monte, 2010) identificó que los valores más bajos del IEA se obtuvieron una semana antes de iniciar la competencia fundamental.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En nuestro caso, las pruebas de significación revelaron que </w:t>
      </w:r>
      <w:r w:rsidR="00F87BA1" w:rsidRPr="00A26E08">
        <w:rPr>
          <w:rFonts w:ascii="TimesNewRomanPS-BoldMT" w:hAnsi="TimesNewRomanPS-BoldMT" w:cs="TimesNewRomanPS-BoldMT"/>
          <w:bCs/>
          <w:color w:val="000000"/>
          <w:sz w:val="24"/>
          <w:szCs w:val="24"/>
        </w:rPr>
        <w:t>a</w:t>
      </w:r>
      <w:r w:rsidRPr="00A26E08">
        <w:rPr>
          <w:rFonts w:ascii="TimesNewRomanPS-BoldMT" w:hAnsi="TimesNewRomanPS-BoldMT" w:cs="TimesNewRomanPS-BoldMT"/>
          <w:bCs/>
          <w:color w:val="000000"/>
          <w:sz w:val="24"/>
          <w:szCs w:val="24"/>
        </w:rPr>
        <w:t>un cuando la media de IEA fue más baja en R que en T, no lo fue desde el punto de vista estadístico. Cuando se particionó el efecto moderador del mesociclo de preparación sobre la relación predictiva entre el IEA y la efectividad lograda por los boxeadores</w:t>
      </w:r>
      <w:r w:rsidR="007D2AAA">
        <w:rPr>
          <w:rFonts w:ascii="TimesNewRomanPS-BoldMT" w:hAnsi="TimesNewRomanPS-BoldMT" w:cs="TimesNewRomanPS-BoldMT"/>
          <w:bCs/>
          <w:color w:val="000000"/>
          <w:sz w:val="24"/>
          <w:szCs w:val="24"/>
        </w:rPr>
        <w:t xml:space="preserve"> (Viciedo, 2003)</w:t>
      </w:r>
      <w:r w:rsidRPr="00A26E08">
        <w:rPr>
          <w:rFonts w:ascii="TimesNewRomanPS-BoldMT" w:hAnsi="TimesNewRomanPS-BoldMT" w:cs="TimesNewRomanPS-BoldMT"/>
          <w:bCs/>
          <w:color w:val="000000"/>
          <w:sz w:val="24"/>
          <w:szCs w:val="24"/>
        </w:rPr>
        <w:t xml:space="preserve">, se comprobó que los cambios fueron numéricamente pequeños de T a R. </w:t>
      </w:r>
      <w:r w:rsidR="001C567C">
        <w:rPr>
          <w:rFonts w:ascii="TimesNewRomanPS-BoldMT" w:hAnsi="TimesNewRomanPS-BoldMT" w:cs="TimesNewRomanPS-BoldMT"/>
          <w:bCs/>
          <w:color w:val="000000"/>
          <w:sz w:val="24"/>
          <w:szCs w:val="24"/>
        </w:rPr>
        <w:t>Además, l</w:t>
      </w:r>
      <w:r w:rsidR="007D2AAA" w:rsidRPr="007D2AAA">
        <w:rPr>
          <w:rFonts w:ascii="TimesNewRomanPS-BoldMT" w:hAnsi="TimesNewRomanPS-BoldMT" w:cs="TimesNewRomanPS-BoldMT"/>
          <w:bCs/>
          <w:color w:val="000000"/>
          <w:sz w:val="24"/>
          <w:szCs w:val="24"/>
        </w:rPr>
        <w:t xml:space="preserve">a modificación de IEA </w:t>
      </w:r>
      <w:r w:rsidR="001C567C">
        <w:rPr>
          <w:rFonts w:ascii="TimesNewRomanPS-BoldMT" w:hAnsi="TimesNewRomanPS-BoldMT" w:cs="TimesNewRomanPS-BoldMT"/>
          <w:bCs/>
          <w:color w:val="000000"/>
          <w:sz w:val="24"/>
          <w:szCs w:val="24"/>
        </w:rPr>
        <w:t>fue</w:t>
      </w:r>
      <w:r w:rsidR="007D2AAA" w:rsidRPr="007D2AAA">
        <w:rPr>
          <w:rFonts w:ascii="TimesNewRomanPS-BoldMT" w:hAnsi="TimesNewRomanPS-BoldMT" w:cs="TimesNewRomanPS-BoldMT"/>
          <w:bCs/>
          <w:color w:val="000000"/>
          <w:sz w:val="24"/>
          <w:szCs w:val="24"/>
        </w:rPr>
        <w:t xml:space="preserve"> la misma para todos los participantes, con independencia de su calidad deportiva</w:t>
      </w:r>
      <w:r w:rsidR="007D2AAA">
        <w:rPr>
          <w:rFonts w:ascii="TimesNewRomanPS-BoldMT" w:hAnsi="TimesNewRomanPS-BoldMT" w:cs="TimesNewRomanPS-BoldMT"/>
          <w:bCs/>
          <w:color w:val="000000"/>
          <w:sz w:val="24"/>
          <w:szCs w:val="24"/>
        </w:rPr>
        <w:t xml:space="preserve">. </w:t>
      </w:r>
      <w:r w:rsidR="007D2AAA" w:rsidRPr="007D2AAA">
        <w:rPr>
          <w:rFonts w:ascii="TimesNewRomanPS-BoldMT" w:hAnsi="TimesNewRomanPS-BoldMT" w:cs="TimesNewRomanPS-BoldMT"/>
          <w:bCs/>
          <w:color w:val="000000"/>
          <w:sz w:val="24"/>
          <w:szCs w:val="24"/>
        </w:rPr>
        <w:t xml:space="preserve">Esto quiere decir que un boxeador no destacado requerirá intervenciones psicológicas en cuanto a contenidos autovalorativos determinantes para el desempeño boxístico, con el objetivo de que pueda apropiarse de elementos esenciales de la ejecución táctica al nivel de un boxeador destacado. El entrenamiento boxístico que no contemple el desarrollo del determinante objetivo autovalorativo de forma intencional e individualizada, no producirá tal adquisición de forma espontánea en los participantes que más lo necesitan. Ello constituye un reto para psicólogos y entrenadores desde sus ámbitos de intervención, teniendo en cuenta que deben acceder a niveles muy profundos de la autovaloración de los participantes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Un análisis de los sistemas de planificación del entrenamiento del boxeo por bloques (Álvarez y Leyva, 2019) sugiere que las modificaciones de variables asociadas al entrenamiento son mayores en el tránsito del mesociclo de acumulación al de transformación, que de este a realización. Lo mismo ocurre con variables del entrenamiento como resistencia a la velocidad, dominio de las distancias de combate o el tiempo de reacción, imprescindibles para la consecución de elevados rendimientos (Fontanills, 2005). Esto se explica por el tiempo de trabajo frente a contrarios y la </w:t>
      </w:r>
      <w:r w:rsidRPr="00A26E08">
        <w:rPr>
          <w:rFonts w:ascii="TimesNewRomanPS-BoldMT" w:hAnsi="TimesNewRomanPS-BoldMT" w:cs="TimesNewRomanPS-BoldMT"/>
          <w:bCs/>
          <w:color w:val="000000"/>
          <w:sz w:val="24"/>
          <w:szCs w:val="24"/>
        </w:rPr>
        <w:lastRenderedPageBreak/>
        <w:t xml:space="preserve">ejercitación de la preparación táctica, muy diferentes entre el primero y los dos últimos mesociclos.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Durante las competencias celebradas en etapa de transformación los boxeadores </w:t>
      </w:r>
      <w:r w:rsidR="00F87BA1" w:rsidRPr="00A26E08">
        <w:rPr>
          <w:rFonts w:ascii="TimesNewRomanPS-BoldMT" w:hAnsi="TimesNewRomanPS-BoldMT" w:cs="TimesNewRomanPS-BoldMT"/>
          <w:bCs/>
          <w:color w:val="000000"/>
          <w:sz w:val="24"/>
          <w:szCs w:val="24"/>
        </w:rPr>
        <w:t>han alcanzado destacados resultados</w:t>
      </w:r>
      <w:r w:rsidRPr="00A26E08">
        <w:rPr>
          <w:rFonts w:ascii="TimesNewRomanPS-BoldMT" w:hAnsi="TimesNewRomanPS-BoldMT" w:cs="TimesNewRomanPS-BoldMT"/>
          <w:bCs/>
          <w:color w:val="000000"/>
          <w:sz w:val="24"/>
          <w:szCs w:val="24"/>
        </w:rPr>
        <w:t xml:space="preserve">, como ocurre frecuentemente con peleadores cubanos en la Serie Mundial de Boxeo, en la que se mantienen ganando combates durante un período no menor a siete meses del año.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La temporalidad del sistema de planificación por mesociclos de ATR (Issurin, 2012) se acorta, los períodos entre un estado óptimo y el siguiente se reducen por tratarse de sistemas de cargas concentradas, que responden a un calendario competitivo muy intenso. Al finalizar el mesociclo de transformación el boxeador debe encontrarse muy cercano al estado máximo de preparación, de manera que en su tránsito al meso R las ganancias de la preparación sean muy específicas y sutiles (Álvarez, 2015).</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¿Qué quedaría por lograr, entonces, durante el mesociclo R, que conserva su diferenciación conceptual del período anterior? Entrenadores expertos en la formación de campeones olímpicos de boxeo en nuestro país (Acebal, 2019; Fernández, 2018) consideran que en esta etapa existen ganancias cualitativas en la expresión de la velocidad competitiva, en tácticas específicas que resultan del estudio de los contrarios, y la más alta expresión de “confianza” del boxeador en la victoria.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Para comprender los datos a la luz de estas opiniones, resulta necesario recordar que el IEA promedio disminuye en 0.133 por el efecto del cambio del mesociclo A a T-R, con lo cual alcanzan sus valores más bajos. El IEA puede tener limitaciones a la hora de avanzar hacia zonas más profundas y determinantes del estado de forma deportiva, desde un punto de vista psicológico. Parece muy difícil que sus valores se reduzcan más, teniendo en cuenta que el reflejo de los movimientos y de las acciones tácticas no puede ser perfecto en la conciencia del boxeador, con la utilización de varios jueces. Si fuese posible decirlo de esta manera, parece encontrarse allí el límite de la adecuación autovalorativa como promedio para esta muestra.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Otros elementos subjetivos, que se relacionan con vivencias de marcado carácter personalizado, van más allá de la adecuación autovalorativa y consolidan la dimensión subjetiva de la forma deportiva. Estos elementos exceden el alcance de la autovaloración parcial de rendimiento, pero no dejan de pertenecer al mundo subjetivo que ha de controlar el psicólogo del deporte, especialmente vinculado a las percepciones altamente especializadas del deporte. Estas constituyen señales inequívocas que identifican los boxeadores y que los dota de la confianza de haber tocado su óptima forma. Algunas se relacionan con la adaptación del peso corporal, con la velocidad de las piernas, o la velocidad con que se pasa de un ataque a un contraataque. </w:t>
      </w:r>
    </w:p>
    <w:p w:rsidR="003375F7" w:rsidRPr="00A26E08" w:rsidRDefault="003B5783"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3B5783">
        <w:rPr>
          <w:rFonts w:ascii="TimesNewRomanPS-BoldMT" w:hAnsi="TimesNewRomanPS-BoldMT" w:cs="TimesNewRomanPS-BoldMT"/>
          <w:bCs/>
          <w:color w:val="000000"/>
          <w:sz w:val="24"/>
          <w:szCs w:val="24"/>
        </w:rPr>
        <w:t xml:space="preserve">A partir de estos resultados se pudiera inferir una suerte de umbral entre la autovaloración de contenidos técnico-tácticos del deporte (Balmaseda, 2011) y la autoeficacia (Abale y Pino, 2014; Bandura, 2001, Montoya, 2019), creencia basada no necesariamente en juicios autovalorativos, sino en elementos de alta personalización y </w:t>
      </w:r>
      <w:r w:rsidR="001C567C">
        <w:rPr>
          <w:rFonts w:ascii="TimesNewRomanPS-BoldMT" w:hAnsi="TimesNewRomanPS-BoldMT" w:cs="TimesNewRomanPS-BoldMT"/>
          <w:bCs/>
          <w:color w:val="000000"/>
          <w:sz w:val="24"/>
          <w:szCs w:val="24"/>
        </w:rPr>
        <w:t>pluralidad</w:t>
      </w:r>
      <w:r w:rsidRPr="003B5783">
        <w:rPr>
          <w:rFonts w:ascii="TimesNewRomanPS-BoldMT" w:hAnsi="TimesNewRomanPS-BoldMT" w:cs="TimesNewRomanPS-BoldMT"/>
          <w:bCs/>
          <w:color w:val="000000"/>
          <w:sz w:val="24"/>
          <w:szCs w:val="24"/>
        </w:rPr>
        <w:t xml:space="preserve"> vivencial. En tan complejo punto, solo posible en el mesociclo R, el desarrollo psíquico relacionado con la forma deportiva parece discurrir a través de la autoeficacia, capaz de complementar a las autovaloraciones parciales que ya han tocado su potencial </w:t>
      </w:r>
      <w:r w:rsidR="007D2AAA" w:rsidRPr="003B5783">
        <w:rPr>
          <w:rFonts w:ascii="TimesNewRomanPS-BoldMT" w:hAnsi="TimesNewRomanPS-BoldMT" w:cs="TimesNewRomanPS-BoldMT"/>
          <w:bCs/>
          <w:color w:val="000000"/>
          <w:sz w:val="24"/>
          <w:szCs w:val="24"/>
        </w:rPr>
        <w:t>máximo.</w:t>
      </w:r>
      <w:r w:rsidRPr="003B5783">
        <w:rPr>
          <w:rFonts w:ascii="TimesNewRomanPS-BoldMT" w:hAnsi="TimesNewRomanPS-BoldMT" w:cs="TimesNewRomanPS-BoldMT"/>
          <w:bCs/>
          <w:color w:val="000000"/>
          <w:sz w:val="24"/>
          <w:szCs w:val="24"/>
        </w:rPr>
        <w:t xml:space="preserve"> </w:t>
      </w:r>
      <w:r w:rsidR="003375F7" w:rsidRPr="00A26E08">
        <w:rPr>
          <w:rFonts w:ascii="TimesNewRomanPS-BoldMT" w:hAnsi="TimesNewRomanPS-BoldMT" w:cs="TimesNewRomanPS-BoldMT"/>
          <w:bCs/>
          <w:color w:val="000000"/>
          <w:sz w:val="24"/>
          <w:szCs w:val="24"/>
        </w:rPr>
        <w:t>En algunos casos, la autoeficacia puede llegar a proteger la seguridad del boxeador a partir de juicios autovalorativos bajos y adecuados frente a determinados contrarios. En los Juegos Olímpicos de Río, 2016, uno de nuestros campeones olímpicos presentó molestias importantes en una mano</w:t>
      </w:r>
      <w:r w:rsidR="00F87BA1" w:rsidRPr="00A26E08">
        <w:rPr>
          <w:rFonts w:ascii="TimesNewRomanPS-BoldMT" w:hAnsi="TimesNewRomanPS-BoldMT" w:cs="TimesNewRomanPS-BoldMT"/>
          <w:bCs/>
          <w:color w:val="000000"/>
          <w:sz w:val="24"/>
          <w:szCs w:val="24"/>
        </w:rPr>
        <w:t>,</w:t>
      </w:r>
      <w:r w:rsidR="003375F7" w:rsidRPr="00A26E08">
        <w:rPr>
          <w:rFonts w:ascii="TimesNewRomanPS-BoldMT" w:hAnsi="TimesNewRomanPS-BoldMT" w:cs="TimesNewRomanPS-BoldMT"/>
          <w:bCs/>
          <w:color w:val="000000"/>
          <w:sz w:val="24"/>
          <w:szCs w:val="24"/>
        </w:rPr>
        <w:t xml:space="preserve"> a falta de dos combates para discutir la medalla de oro. El juicio autovalorativo le devolvía la información de tener limitada esa mano, sin embargo, su autoeficacia nunca mermó. Con ribetes más dramáticos, se </w:t>
      </w:r>
      <w:r w:rsidR="003375F7" w:rsidRPr="00A26E08">
        <w:rPr>
          <w:rFonts w:ascii="TimesNewRomanPS-BoldMT" w:hAnsi="TimesNewRomanPS-BoldMT" w:cs="TimesNewRomanPS-BoldMT"/>
          <w:bCs/>
          <w:color w:val="000000"/>
          <w:sz w:val="24"/>
          <w:szCs w:val="24"/>
        </w:rPr>
        <w:lastRenderedPageBreak/>
        <w:t>recuerda la memorable actuación de Douglas Rodríguez, quien se agenció el título mundial en 1974 combatiendo con ambas muñecas fracturadas.</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¿Qué permite al (a la) psicólogo(a) deportivo(a) lo</w:t>
      </w:r>
      <w:r w:rsidR="00A902CF" w:rsidRPr="00A26E08">
        <w:rPr>
          <w:rFonts w:ascii="TimesNewRomanPS-BoldMT" w:hAnsi="TimesNewRomanPS-BoldMT" w:cs="TimesNewRomanPS-BoldMT"/>
          <w:bCs/>
          <w:color w:val="000000"/>
          <w:sz w:val="24"/>
          <w:szCs w:val="24"/>
        </w:rPr>
        <w:t>s resultados que se han discutido</w:t>
      </w:r>
      <w:r w:rsidRPr="00A26E08">
        <w:rPr>
          <w:rFonts w:ascii="TimesNewRomanPS-BoldMT" w:hAnsi="TimesNewRomanPS-BoldMT" w:cs="TimesNewRomanPS-BoldMT"/>
          <w:bCs/>
          <w:color w:val="000000"/>
          <w:sz w:val="24"/>
          <w:szCs w:val="24"/>
        </w:rPr>
        <w:t xml:space="preserve">?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a) Establecer como referente el valor de las autovaloraciones parciales de rendimiento y su funcionamiento específico en boxeadores de excelencia, con el objetivo de entrenar tales cualidades en atletas en desarrollo.</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b) Disponer de la PAAB como instrumento de terreno para el control psicológico del boxeo, con índices de validez y confiabilidad elevados.</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c) Disponer de intervalos de predicción con un 95% de confianza para los valores de IEA por mesociclos, de manera diferenciada para </w:t>
      </w:r>
      <w:r w:rsidRPr="00A26E08">
        <w:rPr>
          <w:rFonts w:ascii="TimesNewRomanPS-BoldMT" w:hAnsi="TimesNewRomanPS-BoldMT" w:cs="TimesNewRomanPS-BoldMT"/>
          <w:bCs/>
          <w:i/>
          <w:color w:val="000000"/>
          <w:sz w:val="24"/>
          <w:szCs w:val="24"/>
        </w:rPr>
        <w:t>destacados</w:t>
      </w:r>
      <w:r w:rsidRPr="00A26E08">
        <w:rPr>
          <w:rFonts w:ascii="TimesNewRomanPS-BoldMT" w:hAnsi="TimesNewRomanPS-BoldMT" w:cs="TimesNewRomanPS-BoldMT"/>
          <w:bCs/>
          <w:color w:val="000000"/>
          <w:sz w:val="24"/>
          <w:szCs w:val="24"/>
        </w:rPr>
        <w:t xml:space="preserve"> y </w:t>
      </w:r>
      <w:r w:rsidRPr="00A26E08">
        <w:rPr>
          <w:rFonts w:ascii="TimesNewRomanPS-BoldMT" w:hAnsi="TimesNewRomanPS-BoldMT" w:cs="TimesNewRomanPS-BoldMT"/>
          <w:bCs/>
          <w:i/>
          <w:color w:val="000000"/>
          <w:sz w:val="24"/>
          <w:szCs w:val="24"/>
        </w:rPr>
        <w:t>no destacados</w:t>
      </w:r>
      <w:r w:rsidRPr="00A26E08">
        <w:rPr>
          <w:rFonts w:ascii="TimesNewRomanPS-BoldMT" w:hAnsi="TimesNewRomanPS-BoldMT" w:cs="TimesNewRomanPS-BoldMT"/>
          <w:bCs/>
          <w:color w:val="000000"/>
          <w:sz w:val="24"/>
          <w:szCs w:val="24"/>
        </w:rPr>
        <w:t xml:space="preserve">. Tal regularidad tiene un alto valor metodológico y teórico para el control psicológico de la preparación del boxeo, por tratarse de datos que fueron obtenidos durante la realización de combates de entrenamiento. Las observaciones autovalorativas que se encuentran fuera de los valores esperados conducirán a la formulación de hipótesis y al diseño de estrategias de intervención para adecuarlas, retroalimentar al colectivo técnico y al propio deportista. En caso de que se trate de un fenómeno generalizado en el equipo, se deben reevaluar algunas direcciones del entrenamiento o cualidades de las cargas que están siendo administradas. </w:t>
      </w:r>
    </w:p>
    <w:p w:rsidR="003375F7" w:rsidRPr="00A26E08" w:rsidRDefault="003375F7" w:rsidP="00DF00B1">
      <w:pPr>
        <w:autoSpaceDE w:val="0"/>
        <w:autoSpaceDN w:val="0"/>
        <w:adjustRightInd w:val="0"/>
        <w:spacing w:after="0" w:line="240" w:lineRule="auto"/>
        <w:ind w:firstLine="708"/>
        <w:jc w:val="both"/>
        <w:rPr>
          <w:rFonts w:ascii="TimesNewRomanPS-BoldMT" w:hAnsi="TimesNewRomanPS-BoldMT" w:cs="TimesNewRomanPS-BoldMT"/>
          <w:bCs/>
          <w:color w:val="000000"/>
          <w:sz w:val="24"/>
          <w:szCs w:val="24"/>
        </w:rPr>
      </w:pPr>
      <w:r w:rsidRPr="00A26E08">
        <w:rPr>
          <w:rFonts w:ascii="TimesNewRomanPS-BoldMT" w:hAnsi="TimesNewRomanPS-BoldMT" w:cs="TimesNewRomanPS-BoldMT"/>
          <w:bCs/>
          <w:color w:val="000000"/>
          <w:sz w:val="24"/>
          <w:szCs w:val="24"/>
        </w:rPr>
        <w:t xml:space="preserve">d) Contar con un criterio científicamente comprobado para el análisis </w:t>
      </w:r>
      <w:r w:rsidR="00EA1667" w:rsidRPr="00A26E08">
        <w:rPr>
          <w:rFonts w:ascii="TimesNewRomanPS-BoldMT" w:hAnsi="TimesNewRomanPS-BoldMT" w:cs="TimesNewRomanPS-BoldMT"/>
          <w:bCs/>
          <w:color w:val="000000"/>
          <w:sz w:val="24"/>
          <w:szCs w:val="24"/>
        </w:rPr>
        <w:t>inter</w:t>
      </w:r>
      <w:r w:rsidRPr="00A26E08">
        <w:rPr>
          <w:rFonts w:ascii="TimesNewRomanPS-BoldMT" w:hAnsi="TimesNewRomanPS-BoldMT" w:cs="TimesNewRomanPS-BoldMT"/>
          <w:bCs/>
          <w:color w:val="000000"/>
          <w:sz w:val="24"/>
          <w:szCs w:val="24"/>
        </w:rPr>
        <w:t>disciplinario en el colectivo técnico y otras entidades responsables del control de la preparación del deportista.</w:t>
      </w:r>
    </w:p>
    <w:p w:rsidR="007640BB" w:rsidRPr="00A26E08" w:rsidRDefault="003375F7" w:rsidP="00DF00B1">
      <w:pPr>
        <w:autoSpaceDE w:val="0"/>
        <w:autoSpaceDN w:val="0"/>
        <w:adjustRightInd w:val="0"/>
        <w:spacing w:after="0" w:line="240" w:lineRule="auto"/>
        <w:ind w:firstLine="708"/>
        <w:jc w:val="both"/>
        <w:rPr>
          <w:rFonts w:ascii="TimesNewRomanPSMT" w:hAnsi="TimesNewRomanPSMT" w:cs="TimesNewRomanPSMT"/>
          <w:color w:val="000000"/>
          <w:sz w:val="24"/>
          <w:szCs w:val="24"/>
        </w:rPr>
      </w:pPr>
      <w:r w:rsidRPr="00A26E08">
        <w:rPr>
          <w:rFonts w:ascii="TimesNewRomanPS-BoldMT" w:hAnsi="TimesNewRomanPS-BoldMT" w:cs="TimesNewRomanPS-BoldMT"/>
          <w:bCs/>
          <w:color w:val="000000"/>
          <w:sz w:val="24"/>
          <w:szCs w:val="24"/>
        </w:rPr>
        <w:t>e) Hacer uso del IEA como variable subjetiva para el análisis del estado de forma deportiva del boxeador</w:t>
      </w:r>
      <w:r w:rsidR="00EA1667" w:rsidRPr="00A26E08">
        <w:rPr>
          <w:rFonts w:ascii="TimesNewRomanPS-BoldMT" w:hAnsi="TimesNewRomanPS-BoldMT" w:cs="TimesNewRomanPS-BoldMT"/>
          <w:bCs/>
          <w:color w:val="000000"/>
          <w:sz w:val="24"/>
          <w:szCs w:val="24"/>
        </w:rPr>
        <w:t xml:space="preserve"> cubano de alto rendimiento</w:t>
      </w:r>
      <w:r w:rsidRPr="00A26E08">
        <w:rPr>
          <w:rFonts w:ascii="TimesNewRomanPS-BoldMT" w:hAnsi="TimesNewRomanPS-BoldMT" w:cs="TimesNewRomanPS-BoldMT"/>
          <w:bCs/>
          <w:color w:val="000000"/>
          <w:sz w:val="24"/>
          <w:szCs w:val="24"/>
        </w:rPr>
        <w:t xml:space="preserve">.  </w:t>
      </w:r>
    </w:p>
    <w:p w:rsidR="007640BB" w:rsidRPr="00A26E08" w:rsidRDefault="007640BB" w:rsidP="00DF00B1">
      <w:pPr>
        <w:autoSpaceDE w:val="0"/>
        <w:autoSpaceDN w:val="0"/>
        <w:adjustRightInd w:val="0"/>
        <w:spacing w:after="0" w:line="240" w:lineRule="auto"/>
        <w:jc w:val="center"/>
        <w:rPr>
          <w:rFonts w:ascii="TimesNewRomanPS-BoldMT" w:hAnsi="TimesNewRomanPS-BoldMT" w:cs="TimesNewRomanPS-BoldMT"/>
          <w:b/>
          <w:bCs/>
          <w:color w:val="000000"/>
          <w:sz w:val="24"/>
          <w:szCs w:val="24"/>
        </w:rPr>
      </w:pPr>
      <w:r w:rsidRPr="00A26E08">
        <w:rPr>
          <w:rFonts w:ascii="TimesNewRomanPS-BoldMT" w:hAnsi="TimesNewRomanPS-BoldMT" w:cs="TimesNewRomanPS-BoldMT"/>
          <w:b/>
          <w:bCs/>
          <w:color w:val="000000"/>
          <w:sz w:val="24"/>
          <w:szCs w:val="24"/>
        </w:rPr>
        <w:t>REFERENCIAS</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Abale, N. y Pino, R. (2014). Evaluación de la autoeficacia y de la autoestima en el </w:t>
      </w:r>
    </w:p>
    <w:p w:rsidR="00705525" w:rsidRPr="00DF00B1" w:rsidRDefault="00705525" w:rsidP="00DF00B1">
      <w:pPr>
        <w:spacing w:after="0" w:line="240" w:lineRule="auto"/>
        <w:ind w:left="360"/>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rendimiento deportivo en Judo. Federación Española de Asociaciones de Docentes de Educación Física (FEADEF) ISSN: Edición impresa: 1579-1 726.  Edición Web: 1988-2041 (www. retos. Org).</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Acebal, R. (2019). Comunicación personal en torno a la preparación mental del boxeador </w:t>
      </w:r>
    </w:p>
    <w:p w:rsidR="00705525" w:rsidRPr="00DF00B1" w:rsidRDefault="00705525" w:rsidP="00DF00B1">
      <w:pPr>
        <w:spacing w:after="0" w:line="240" w:lineRule="auto"/>
        <w:ind w:firstLine="360"/>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(11 de marzo en la ESFAAR “Holvein Quesada”).</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Álvarez, M. (2015). Los efectos del entrenamiento. Su influencia en la forma de </w:t>
      </w:r>
    </w:p>
    <w:p w:rsidR="00705525" w:rsidRPr="00DF00B1" w:rsidRDefault="00705525" w:rsidP="00DF00B1">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planificar. Conferencia magistral del Seminario Científico-Metodológico del Campeonato Nacional de Boxeo “Playa Girón”, Camaguey.</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Álvarez, M. y Leyva, H. (2019). Comunicación personal en torno al control científico del </w:t>
      </w:r>
    </w:p>
    <w:p w:rsidR="00705525" w:rsidRPr="00DF00B1" w:rsidRDefault="00705525" w:rsidP="00DF00B1">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entrenamiento que utiliza el sistema de planificación en bloque (mesociclos ATR) (15 de mayo en la UCCFD “Manuel Fajardo”, La Habana).</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Anastasi, A. (1970). Test psicológicos. (Edición Revolucionaria). La Habana: Instituto </w:t>
      </w:r>
    </w:p>
    <w:p w:rsidR="00705525" w:rsidRPr="00DF00B1" w:rsidRDefault="00705525" w:rsidP="00DF00B1">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Cubano del Libro.</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Avecillas, D. &amp; Lozano, C. (2016). Medición de la Confiabilidad del Aprendizaje del </w:t>
      </w:r>
    </w:p>
    <w:p w:rsidR="00705525" w:rsidRPr="00DF00B1" w:rsidRDefault="00705525" w:rsidP="00DF00B1">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Programa R Studio Mediante Alfa de Cronbach. Revista Politécnica, 37(2), 1-9.</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Balmaseda, M. (2011). Análisis de las acciones técnico-tácticas del boxeo de </w:t>
      </w:r>
    </w:p>
    <w:p w:rsidR="00705525" w:rsidRPr="00DF00B1" w:rsidRDefault="00705525" w:rsidP="00DF00B1">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rendimiento. Tesis de doctorado, Universidad del País Vasco. Vitoria-Gasteiz.</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Bandura, A. (2001). Guía para la construcci</w:t>
      </w:r>
      <w:r w:rsidR="00DF00B1">
        <w:rPr>
          <w:rFonts w:ascii="TimesNewRomanPSMT" w:hAnsi="TimesNewRomanPSMT" w:cs="TimesNewRomanPSMT"/>
          <w:color w:val="000000"/>
          <w:sz w:val="24"/>
          <w:szCs w:val="24"/>
        </w:rPr>
        <w:t xml:space="preserve">ón de escalas de autoeficacia. </w:t>
      </w:r>
      <w:r w:rsidRPr="00DF00B1">
        <w:rPr>
          <w:rFonts w:ascii="TimesNewRomanPSMT" w:hAnsi="TimesNewRomanPSMT" w:cs="TimesNewRomanPSMT"/>
          <w:color w:val="000000"/>
          <w:sz w:val="24"/>
          <w:szCs w:val="24"/>
        </w:rPr>
        <w:t xml:space="preserve">Universidad de </w:t>
      </w:r>
    </w:p>
    <w:p w:rsidR="00705525" w:rsidRPr="00DF00B1" w:rsidRDefault="00705525" w:rsidP="00DF00B1">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Standford. Traducido por Olaz, F. Silva, N. y Pérez, E.</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Barrios, R. (2010). Utilización del test de golpeo en el diagnóstico evolutivo de la </w:t>
      </w:r>
    </w:p>
    <w:p w:rsidR="00705525" w:rsidRPr="00DF00B1" w:rsidRDefault="00705525" w:rsidP="00DF00B1">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preparación deportiva. Un estudio de caso. EFDeportes.com, Revista Digital. Buenos Aires, Año 15, Nº 147, Agosto.</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lastRenderedPageBreak/>
        <w:t xml:space="preserve">Barrios, R. (2011). Elaboración de un instrumento para evaluar estados de ánimo en </w:t>
      </w:r>
    </w:p>
    <w:p w:rsidR="00705525" w:rsidRPr="00DF00B1" w:rsidRDefault="00705525" w:rsidP="00DF00B1">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deportistas de alto rendimiento. Tesis de doctorado. UCCFD “Manuel Fajardo”. La Habana, Cuba.</w:t>
      </w:r>
    </w:p>
    <w:p w:rsidR="00DF00B1" w:rsidRDefault="00705525" w:rsidP="00DF00B1">
      <w:pPr>
        <w:spacing w:after="0" w:line="240" w:lineRule="auto"/>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rPr>
        <w:t xml:space="preserve">Beaumont, C., Maynard, I., and Butt, J. (2015). </w:t>
      </w:r>
      <w:r w:rsidRPr="00DF00B1">
        <w:rPr>
          <w:rFonts w:ascii="TimesNewRomanPSMT" w:hAnsi="TimesNewRomanPSMT" w:cs="TimesNewRomanPSMT"/>
          <w:color w:val="000000"/>
          <w:sz w:val="24"/>
          <w:szCs w:val="24"/>
          <w:lang w:val="en-US"/>
        </w:rPr>
        <w:t xml:space="preserve">Effective ways to develop and maintain </w:t>
      </w:r>
    </w:p>
    <w:p w:rsidR="00705525" w:rsidRPr="00DF00B1" w:rsidRDefault="00705525" w:rsidP="00DF00B1">
      <w:pPr>
        <w:spacing w:after="0" w:line="240" w:lineRule="auto"/>
        <w:ind w:left="708"/>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 xml:space="preserve">robust sport-confidence: strategies advocated by sport psychology consultants. Journal of applied sport psychology, 27 (3), 301-318/ </w:t>
      </w:r>
      <w:hyperlink r:id="rId12" w:history="1">
        <w:r w:rsidRPr="00DF00B1">
          <w:rPr>
            <w:rStyle w:val="Hyperlink"/>
            <w:rFonts w:ascii="TimesNewRomanPSMT" w:hAnsi="TimesNewRomanPSMT" w:cs="TimesNewRomanPSMT"/>
            <w:sz w:val="24"/>
            <w:szCs w:val="24"/>
            <w:lang w:val="en-US"/>
          </w:rPr>
          <w:t>http://shura.shu.ac.uk/9603</w:t>
        </w:r>
      </w:hyperlink>
      <w:r w:rsidRPr="00DF00B1">
        <w:rPr>
          <w:rFonts w:ascii="TimesNewRomanPSMT" w:hAnsi="TimesNewRomanPSMT" w:cs="TimesNewRomanPSMT"/>
          <w:color w:val="000000"/>
          <w:sz w:val="24"/>
          <w:szCs w:val="24"/>
          <w:lang w:val="en-US"/>
        </w:rPr>
        <w:t>.</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Del Monte, L. (2010). Autovaloración y dinámica de autoperfeccionamiento en </w:t>
      </w:r>
    </w:p>
    <w:p w:rsidR="00705525" w:rsidRPr="00DF00B1" w:rsidRDefault="00705525" w:rsidP="00DF00B1">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deportistas cubanos de combate de alto rendimiento. Tesis de doctorado. UCCFD “Manuel Fajardo”. La Habana, Cuba.</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DeVellis, R. (2017). </w:t>
      </w:r>
      <w:r w:rsidRPr="00DF00B1">
        <w:rPr>
          <w:rFonts w:ascii="TimesNewRomanPSMT" w:hAnsi="TimesNewRomanPSMT" w:cs="TimesNewRomanPSMT"/>
          <w:color w:val="000000"/>
          <w:sz w:val="24"/>
          <w:szCs w:val="24"/>
          <w:lang w:val="en-US"/>
        </w:rPr>
        <w:t xml:space="preserve">Scale development: theory and applications. </w:t>
      </w:r>
      <w:r w:rsidRPr="00DF00B1">
        <w:rPr>
          <w:rFonts w:ascii="TimesNewRomanPSMT" w:hAnsi="TimesNewRomanPSMT" w:cs="TimesNewRomanPSMT"/>
          <w:color w:val="000000"/>
          <w:sz w:val="24"/>
          <w:szCs w:val="24"/>
        </w:rPr>
        <w:t xml:space="preserve">Fourth edition. Los </w:t>
      </w:r>
    </w:p>
    <w:p w:rsidR="00705525" w:rsidRPr="00DF00B1" w:rsidRDefault="00705525" w:rsidP="00DF00B1">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Angeles: SAGE.</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Domínguez, J., Puig, A., Horta, H., Acebal, R., Limonta, E., Barrientos, A., Álvarez, M., </w:t>
      </w:r>
    </w:p>
    <w:p w:rsidR="00705525" w:rsidRPr="00DF00B1" w:rsidRDefault="00705525" w:rsidP="00DF00B1">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Milán, J. (2016). Programa Integral de Preparación del Deportista de Boxeo. Comisión Nacional de Boxeo, INDER.</w:t>
      </w:r>
    </w:p>
    <w:p w:rsid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Estevan, I., Álvarez, O. y Castillo, I.  (2015). Autoeficacia percibida y rendimiento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técnico-táctico en taekwondistas universitarios. Cuadernos de Psicología del Deporte, vol.  16, 2, 51-64. Murcia (España).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Fariñas, G. (2018). Aprendizaje y desarrollo humano desde la perspectiva de la </w:t>
      </w:r>
    </w:p>
    <w:p w:rsidR="00705525" w:rsidRPr="00DF00B1" w:rsidRDefault="00705525" w:rsidP="00FA5AFD">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complejidad: la teoría en la práctica. Editorial Félix Varela, La Habana.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Fernández, L. (2016). Pensando en la Personalidad. Editorial Universitaria Félix Varela, </w:t>
      </w:r>
    </w:p>
    <w:p w:rsidR="00705525" w:rsidRPr="00DF00B1" w:rsidRDefault="00705525" w:rsidP="00FA5AFD">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ISBN 978-959-07-2093-2, La Habana.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Fernández, R. (2018). Comunicación personal en torno a la preparación mental del </w:t>
      </w:r>
    </w:p>
    <w:p w:rsidR="00705525" w:rsidRPr="00DF00B1" w:rsidRDefault="00705525" w:rsidP="00FA5AFD">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boxeador (8 de octubre en la ESFAAR “Holvein Quesada”).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Fontanills, J. (2005). Capacidad física resistencia en los boxeadores tailandeses para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Atenas 2004. Lecturas: Educación física y deportes, 86, </w:t>
      </w:r>
      <w:hyperlink r:id="rId13" w:history="1">
        <w:r w:rsidRPr="00DF00B1">
          <w:rPr>
            <w:rStyle w:val="Hyperlink"/>
            <w:rFonts w:ascii="TimesNewRomanPSMT" w:hAnsi="TimesNewRomanPSMT" w:cs="TimesNewRomanPSMT"/>
            <w:sz w:val="24"/>
            <w:szCs w:val="24"/>
          </w:rPr>
          <w:t>http://www.efdeportes.com/efd86/box.htm</w:t>
        </w:r>
      </w:hyperlink>
      <w:r w:rsidRPr="00DF00B1">
        <w:rPr>
          <w:rFonts w:ascii="TimesNewRomanPSMT" w:hAnsi="TimesNewRomanPSMT" w:cs="TimesNewRomanPSMT"/>
          <w:color w:val="000000"/>
          <w:sz w:val="24"/>
          <w:szCs w:val="24"/>
        </w:rPr>
        <w:t>.</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García, F. (1987). Autovaloración y rendimientos deportivos en jugadoras de voleibol.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Tesis de doctorado, Facultad de Psicología de la Universidad de la Habana. La Habana, Cuba.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García, F. (2009). Conferencia titulada: El Papel regulador de la autovaloración del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deportista momentos previos a la competencia, II Congreso Internacional de Psicología y Entrenamiento Deportivo. Mérida, México.</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García, Ll. (2018). Características motivacionales y autovaloración parcial de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rendimiento de boxeadores cubanos.</w:t>
      </w:r>
      <w:r w:rsidRPr="00DF00B1">
        <w:rPr>
          <w:sz w:val="24"/>
          <w:szCs w:val="24"/>
        </w:rPr>
        <w:t xml:space="preserve"> </w:t>
      </w:r>
      <w:r w:rsidRPr="00DF00B1">
        <w:rPr>
          <w:rFonts w:ascii="TimesNewRomanPSMT" w:hAnsi="TimesNewRomanPSMT" w:cs="TimesNewRomanPSMT"/>
          <w:color w:val="000000"/>
          <w:sz w:val="24"/>
          <w:szCs w:val="24"/>
        </w:rPr>
        <w:t>Trabajo de Diploma para optar por el título de Licenciatura en Cultura Física y Deportes. UCCFD Manuel Fajardo, La Habana.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González, K. (2016). Intervención en la comprensión lectora. Un estudio en niños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cubanos de sexto grado. Tesis de doctorado, Facultad de Psicología de la Universidad de la Habana. La Habana, Cuba.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González, L. (2001 a). Resultados del control psicológico del entrenamiento en saltadores </w:t>
      </w:r>
    </w:p>
    <w:p w:rsidR="00705525" w:rsidRPr="00DF00B1" w:rsidRDefault="00705525" w:rsidP="00FA5AFD">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cubanos de alto rendimiento. www.efdeportes.com Buenos Aires, 6(33), marzo.</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González, L. (2001 c). Autovaloración y pretensiones. Elementos de alto nivel regulador </w:t>
      </w:r>
    </w:p>
    <w:p w:rsidR="00705525" w:rsidRPr="00DF00B1" w:rsidRDefault="00705525" w:rsidP="00FA5AFD">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para el deportista. www.efdeportes.com Buenos Aires, Año 7, No. 41, octubre.</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González, L. y Pérez, R. (1982). La adecuación de la autovaloración y su importancia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para el rendimiento de tiradores adolescentes, trabajo premiado en el VIII Concurso de Ciencia y Técnica de las BTJ, Instituto de Medicina del Deporte, La Habana. </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González, L. y Rigual, A. (1986). Test de tolerancia a las frustraciones adaptado al tiro,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innovación aceptada por el SINTECD, Instituto de Medicina del Deporte, La Habana.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lastRenderedPageBreak/>
        <w:t xml:space="preserve">Gould, D. (2003). Características psicológicas de los campeones olímpicos. Revista Alto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Rendimiento, Vol. 2, Nº. 9, 2003, Pág. 6-8. ISSN. 1695-7652, </w:t>
      </w:r>
      <w:hyperlink r:id="rId14" w:history="1">
        <w:r w:rsidRPr="00DF00B1">
          <w:rPr>
            <w:rStyle w:val="Hyperlink"/>
            <w:rFonts w:ascii="TimesNewRomanPSMT" w:hAnsi="TimesNewRomanPSMT" w:cs="TimesNewRomanPSMT"/>
            <w:sz w:val="24"/>
            <w:szCs w:val="24"/>
          </w:rPr>
          <w:t>http://www.altorendimiento.com/revista-alto-rendimiento/09-programacion-atletica-test-anaerobico-entrenamiento/1557-elestudio-cientifico-psicologia</w:t>
        </w:r>
      </w:hyperlink>
      <w:r w:rsidRPr="00DF00B1">
        <w:rPr>
          <w:rFonts w:ascii="TimesNewRomanPSMT" w:hAnsi="TimesNewRomanPSMT" w:cs="TimesNewRomanPSMT"/>
          <w:color w:val="000000"/>
          <w:sz w:val="24"/>
          <w:szCs w:val="24"/>
        </w:rPr>
        <w:t>.</w:t>
      </w:r>
    </w:p>
    <w:p w:rsidR="00FA5AFD" w:rsidRDefault="00B32D3B" w:rsidP="00DF00B1">
      <w:pPr>
        <w:spacing w:after="0" w:line="240" w:lineRule="auto"/>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 xml:space="preserve">Hair, J., Babin, B. Anderson, R., &amp; Black, W. (2018). Multivariate data analysis (8nd </w:t>
      </w:r>
    </w:p>
    <w:p w:rsidR="00B32D3B" w:rsidRPr="00DF00B1" w:rsidRDefault="00B32D3B" w:rsidP="00FA5AFD">
      <w:pPr>
        <w:spacing w:after="0" w:line="240" w:lineRule="auto"/>
        <w:ind w:firstLine="708"/>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ed.). Hampshire: Cengage Learning.</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lang w:val="en-US"/>
        </w:rPr>
        <w:t xml:space="preserve">Hernández, R., Fernández, C., y Baptista, P. (2014). </w:t>
      </w:r>
      <w:r w:rsidRPr="00DF00B1">
        <w:rPr>
          <w:rFonts w:ascii="TimesNewRomanPSMT" w:hAnsi="TimesNewRomanPSMT" w:cs="TimesNewRomanPSMT"/>
          <w:color w:val="000000"/>
          <w:sz w:val="24"/>
          <w:szCs w:val="24"/>
        </w:rPr>
        <w:t xml:space="preserve">Metodología de la Investigación. </w:t>
      </w:r>
    </w:p>
    <w:p w:rsidR="00705525" w:rsidRPr="00FA5AFD" w:rsidRDefault="00705525" w:rsidP="00FA5AFD">
      <w:pPr>
        <w:spacing w:after="0" w:line="240" w:lineRule="auto"/>
        <w:ind w:firstLine="708"/>
        <w:jc w:val="both"/>
        <w:rPr>
          <w:rFonts w:ascii="TimesNewRomanPSMT" w:hAnsi="TimesNewRomanPSMT" w:cs="TimesNewRomanPSMT"/>
          <w:color w:val="000000"/>
          <w:sz w:val="24"/>
          <w:szCs w:val="24"/>
          <w:lang w:val="en-US"/>
        </w:rPr>
      </w:pPr>
      <w:r w:rsidRPr="00FA5AFD">
        <w:rPr>
          <w:rFonts w:ascii="TimesNewRomanPSMT" w:hAnsi="TimesNewRomanPSMT" w:cs="TimesNewRomanPSMT"/>
          <w:color w:val="000000"/>
          <w:sz w:val="24"/>
          <w:szCs w:val="24"/>
          <w:lang w:val="en-US"/>
        </w:rPr>
        <w:t>México DF: Mc-Graw Hill.</w:t>
      </w:r>
    </w:p>
    <w:p w:rsidR="00FA5AFD" w:rsidRDefault="00705525" w:rsidP="00DF00B1">
      <w:pPr>
        <w:spacing w:after="0" w:line="240" w:lineRule="auto"/>
        <w:jc w:val="both"/>
        <w:rPr>
          <w:rFonts w:ascii="TimesNewRomanPSMT" w:hAnsi="TimesNewRomanPSMT" w:cs="TimesNewRomanPSMT"/>
          <w:color w:val="000000"/>
          <w:sz w:val="24"/>
          <w:szCs w:val="24"/>
        </w:rPr>
      </w:pPr>
      <w:r w:rsidRPr="00FA5AFD">
        <w:rPr>
          <w:rFonts w:ascii="TimesNewRomanPSMT" w:hAnsi="TimesNewRomanPSMT" w:cs="TimesNewRomanPSMT"/>
          <w:color w:val="000000"/>
          <w:sz w:val="24"/>
          <w:szCs w:val="24"/>
          <w:lang w:val="en-US"/>
        </w:rPr>
        <w:t xml:space="preserve">Issurin, V. (2012). </w:t>
      </w:r>
      <w:r w:rsidRPr="00DF00B1">
        <w:rPr>
          <w:rFonts w:ascii="TimesNewRomanPSMT" w:hAnsi="TimesNewRomanPSMT" w:cs="TimesNewRomanPSMT"/>
          <w:color w:val="000000"/>
          <w:sz w:val="24"/>
          <w:szCs w:val="24"/>
        </w:rPr>
        <w:t xml:space="preserve">Entrenamiento Deportivo. Periodización en bloques. Editorial </w:t>
      </w:r>
    </w:p>
    <w:p w:rsidR="00705525" w:rsidRPr="00FA5AFD" w:rsidRDefault="00705525" w:rsidP="00FA5AFD">
      <w:pPr>
        <w:spacing w:after="0" w:line="240" w:lineRule="auto"/>
        <w:ind w:firstLine="708"/>
        <w:jc w:val="both"/>
        <w:rPr>
          <w:rFonts w:ascii="TimesNewRomanPSMT" w:hAnsi="TimesNewRomanPSMT" w:cs="TimesNewRomanPSMT"/>
          <w:color w:val="000000"/>
          <w:sz w:val="24"/>
          <w:szCs w:val="24"/>
          <w:lang w:val="en-US"/>
        </w:rPr>
      </w:pPr>
      <w:r w:rsidRPr="00FA5AFD">
        <w:rPr>
          <w:rFonts w:ascii="TimesNewRomanPSMT" w:hAnsi="TimesNewRomanPSMT" w:cs="TimesNewRomanPSMT"/>
          <w:color w:val="000000"/>
          <w:sz w:val="24"/>
          <w:szCs w:val="24"/>
          <w:lang w:val="en-US"/>
        </w:rPr>
        <w:t>Paidotribo.</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lang w:val="en-US"/>
        </w:rPr>
        <w:t xml:space="preserve">Johnson, D. &amp; Fowler, J. (2011). The evolution of overconfidence. </w:t>
      </w:r>
      <w:r w:rsidRPr="00DF00B1">
        <w:rPr>
          <w:rFonts w:ascii="TimesNewRomanPSMT" w:hAnsi="TimesNewRomanPSMT" w:cs="TimesNewRomanPSMT"/>
          <w:color w:val="000000"/>
          <w:sz w:val="24"/>
          <w:szCs w:val="24"/>
        </w:rPr>
        <w:t xml:space="preserve">Nature, vol 477, 317, </w:t>
      </w:r>
    </w:p>
    <w:p w:rsidR="00705525" w:rsidRPr="00DF00B1" w:rsidRDefault="00705525" w:rsidP="00FA5AFD">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doi:10.1038/nature10384.</w:t>
      </w:r>
    </w:p>
    <w:p w:rsidR="00FA5AFD" w:rsidRDefault="00705525" w:rsidP="00DF00B1">
      <w:pPr>
        <w:spacing w:after="0" w:line="240" w:lineRule="auto"/>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 xml:space="preserve">Kline, P. (2015). A handbook of test construction: introduction to psychometric design. </w:t>
      </w:r>
    </w:p>
    <w:p w:rsidR="00705525" w:rsidRPr="00DF00B1" w:rsidRDefault="00705525" w:rsidP="00FA5AFD">
      <w:pPr>
        <w:spacing w:after="0" w:line="240" w:lineRule="auto"/>
        <w:ind w:left="708"/>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Typeset by MC Typeset, Chatham, Kent Printed in Great Britain at the University Press, Cambridge.</w:t>
      </w:r>
    </w:p>
    <w:p w:rsidR="00705525" w:rsidRPr="00DF00B1"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Matveev, L. (1983). Fundamentos del entrenamiento deportivo. Moscú, Editorial Ráduga.</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Montoya, C. (2019). Dinámica de autoeficacia, ansiedad, perfil anímico y desempeño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deportivo en lanzadores cubanos de atletismo. Tesis de maestría, Facultad de Psicología de la Universidad de la Habana. La Habana, Cuba.</w:t>
      </w:r>
    </w:p>
    <w:p w:rsidR="00FA5AFD" w:rsidRDefault="00705525" w:rsidP="00DF00B1">
      <w:pPr>
        <w:spacing w:after="0" w:line="240" w:lineRule="auto"/>
        <w:jc w:val="both"/>
        <w:rPr>
          <w:rFonts w:ascii="TimesNewRomanPSMT" w:hAnsi="TimesNewRomanPSMT" w:cs="TimesNewRomanPSMT"/>
          <w:color w:val="000000"/>
          <w:sz w:val="24"/>
          <w:szCs w:val="24"/>
          <w:lang w:val="en-US"/>
        </w:rPr>
      </w:pPr>
      <w:r w:rsidRPr="00FA5AFD">
        <w:rPr>
          <w:rFonts w:ascii="TimesNewRomanPSMT" w:hAnsi="TimesNewRomanPSMT" w:cs="TimesNewRomanPSMT"/>
          <w:color w:val="000000"/>
          <w:sz w:val="24"/>
          <w:szCs w:val="24"/>
        </w:rPr>
        <w:t xml:space="preserve">Napolitano, S. (2016). </w:t>
      </w:r>
      <w:r w:rsidRPr="00DF00B1">
        <w:rPr>
          <w:rFonts w:ascii="TimesNewRomanPSMT" w:hAnsi="TimesNewRomanPSMT" w:cs="TimesNewRomanPSMT"/>
          <w:color w:val="000000"/>
          <w:sz w:val="24"/>
          <w:szCs w:val="24"/>
          <w:lang w:val="en-US"/>
        </w:rPr>
        <w:t xml:space="preserve">The use of video analysis for self-assessment in aerobics. Journal </w:t>
      </w:r>
    </w:p>
    <w:p w:rsidR="00705525" w:rsidRPr="00DF00B1" w:rsidRDefault="00705525" w:rsidP="00FA5AFD">
      <w:pPr>
        <w:spacing w:after="0" w:line="240" w:lineRule="auto"/>
        <w:ind w:firstLine="708"/>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of Physical Education and Sport (JPES), 16(4), Art 192, pp. 1207 – 1210.</w:t>
      </w:r>
    </w:p>
    <w:p w:rsidR="00FA5AFD" w:rsidRDefault="00705525" w:rsidP="00DF00B1">
      <w:pPr>
        <w:spacing w:after="0" w:line="240" w:lineRule="auto"/>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 xml:space="preserve">Nezlek, J. (2012). Multilevel Modeling for Psychologists. APA Handbook of Research </w:t>
      </w:r>
    </w:p>
    <w:p w:rsidR="00705525" w:rsidRPr="00DF00B1" w:rsidRDefault="00705525" w:rsidP="00FA5AFD">
      <w:pPr>
        <w:spacing w:after="0" w:line="240" w:lineRule="auto"/>
        <w:ind w:firstLine="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lang w:val="en-US"/>
        </w:rPr>
        <w:t xml:space="preserve">Methods in Psychology: Vol. 3. </w:t>
      </w:r>
      <w:r w:rsidRPr="00DF00B1">
        <w:rPr>
          <w:rFonts w:ascii="TimesNewRomanPSMT" w:hAnsi="TimesNewRomanPSMT" w:cs="TimesNewRomanPSMT"/>
          <w:color w:val="000000"/>
          <w:sz w:val="24"/>
          <w:szCs w:val="24"/>
        </w:rPr>
        <w:t>DOI: 10.1037/13621-011.</w:t>
      </w:r>
    </w:p>
    <w:p w:rsidR="00FA5AFD" w:rsidRDefault="00705525" w:rsidP="00DF00B1">
      <w:pPr>
        <w:spacing w:after="0" w:line="240" w:lineRule="auto"/>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Ordoqui, J., García, Ll., González, L., y Acebal, R. (2018). Configuraciones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motivacionales de boxeadores cubanos de alto rendimiento. Alternativas cubanas en Psicología / vol. 6, no. 18.</w:t>
      </w:r>
    </w:p>
    <w:p w:rsidR="00FA5AFD" w:rsidRDefault="00C703ED" w:rsidP="00DF00B1">
      <w:pPr>
        <w:spacing w:after="0" w:line="240" w:lineRule="auto"/>
        <w:jc w:val="both"/>
        <w:rPr>
          <w:rFonts w:ascii="TimesNewRomanPSMT" w:hAnsi="TimesNewRomanPSMT" w:cs="TimesNewRomanPSMT"/>
          <w:color w:val="000000"/>
          <w:sz w:val="24"/>
          <w:szCs w:val="24"/>
          <w:lang w:val="en-US"/>
        </w:rPr>
      </w:pPr>
      <w:r w:rsidRPr="00FA5AFD">
        <w:rPr>
          <w:rFonts w:ascii="TimesNewRomanPSMT" w:hAnsi="TimesNewRomanPSMT" w:cs="TimesNewRomanPSMT"/>
          <w:color w:val="000000"/>
          <w:sz w:val="24"/>
          <w:szCs w:val="24"/>
        </w:rPr>
        <w:t xml:space="preserve">Peugh, J. (2010). </w:t>
      </w:r>
      <w:r w:rsidRPr="00DF00B1">
        <w:rPr>
          <w:rFonts w:ascii="TimesNewRomanPSMT" w:hAnsi="TimesNewRomanPSMT" w:cs="TimesNewRomanPSMT"/>
          <w:color w:val="000000"/>
          <w:sz w:val="24"/>
          <w:szCs w:val="24"/>
          <w:lang w:val="en-US"/>
        </w:rPr>
        <w:t xml:space="preserve">A practical guide to multilevel modeling. </w:t>
      </w:r>
      <w:r w:rsidRPr="00DF00B1">
        <w:rPr>
          <w:rFonts w:ascii="TimesNewRomanPSMT" w:hAnsi="TimesNewRomanPSMT" w:cs="TimesNewRomanPSMT"/>
          <w:i/>
          <w:color w:val="000000"/>
          <w:sz w:val="24"/>
          <w:szCs w:val="24"/>
          <w:lang w:val="en-US"/>
        </w:rPr>
        <w:t>Journal of School Psychology</w:t>
      </w:r>
      <w:r w:rsidR="00875292" w:rsidRPr="00DF00B1">
        <w:rPr>
          <w:rFonts w:ascii="TimesNewRomanPSMT" w:hAnsi="TimesNewRomanPSMT" w:cs="TimesNewRomanPSMT"/>
          <w:color w:val="000000"/>
          <w:sz w:val="24"/>
          <w:szCs w:val="24"/>
          <w:lang w:val="en-US"/>
        </w:rPr>
        <w:t xml:space="preserve">, </w:t>
      </w:r>
    </w:p>
    <w:p w:rsidR="00C703ED" w:rsidRPr="00DF00B1" w:rsidRDefault="00875292" w:rsidP="00FA5AFD">
      <w:pPr>
        <w:spacing w:after="0" w:line="240" w:lineRule="auto"/>
        <w:ind w:firstLine="708"/>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48(1):85-112. doi: 10.1016/j.jsp.2009.09.002.</w:t>
      </w:r>
    </w:p>
    <w:p w:rsidR="00FA5AFD" w:rsidRDefault="00C703ED" w:rsidP="00DF00B1">
      <w:pPr>
        <w:spacing w:after="0" w:line="240" w:lineRule="auto"/>
        <w:jc w:val="both"/>
        <w:rPr>
          <w:rFonts w:ascii="TimesNewRomanPSMT" w:hAnsi="TimesNewRomanPSMT" w:cs="TimesNewRomanPSMT"/>
          <w:color w:val="000000"/>
          <w:sz w:val="24"/>
          <w:szCs w:val="24"/>
          <w:lang w:val="en-US"/>
        </w:rPr>
      </w:pPr>
      <w:bookmarkStart w:id="5" w:name="_Hlk13093709"/>
      <w:r w:rsidRPr="00DF00B1">
        <w:rPr>
          <w:rFonts w:ascii="TimesNewRomanPSMT" w:hAnsi="TimesNewRomanPSMT" w:cs="TimesNewRomanPSMT"/>
          <w:color w:val="000000"/>
          <w:sz w:val="24"/>
          <w:szCs w:val="24"/>
          <w:lang w:val="en-US"/>
        </w:rPr>
        <w:t xml:space="preserve">Snijders, T., &amp; Bosker, R. (2012). Multilevel analysis: An introduction to basic and </w:t>
      </w:r>
    </w:p>
    <w:p w:rsidR="00C703ED" w:rsidRPr="00FA5AFD" w:rsidRDefault="00C703ED" w:rsidP="00FA5AFD">
      <w:pPr>
        <w:spacing w:after="0" w:line="240" w:lineRule="auto"/>
        <w:ind w:firstLine="708"/>
        <w:jc w:val="both"/>
        <w:rPr>
          <w:rFonts w:ascii="TimesNewRomanPSMT" w:hAnsi="TimesNewRomanPSMT" w:cs="TimesNewRomanPSMT"/>
          <w:color w:val="000000"/>
          <w:sz w:val="24"/>
          <w:szCs w:val="24"/>
          <w:lang w:val="en-US"/>
        </w:rPr>
      </w:pPr>
      <w:r w:rsidRPr="00DF00B1">
        <w:rPr>
          <w:rFonts w:ascii="TimesNewRomanPSMT" w:hAnsi="TimesNewRomanPSMT" w:cs="TimesNewRomanPSMT"/>
          <w:color w:val="000000"/>
          <w:sz w:val="24"/>
          <w:szCs w:val="24"/>
          <w:lang w:val="en-US"/>
        </w:rPr>
        <w:t xml:space="preserve">advanced multilevel modeling (2nd Ed.). </w:t>
      </w:r>
      <w:r w:rsidRPr="00FA5AFD">
        <w:rPr>
          <w:rFonts w:ascii="TimesNewRomanPSMT" w:hAnsi="TimesNewRomanPSMT" w:cs="TimesNewRomanPSMT"/>
          <w:color w:val="000000"/>
          <w:sz w:val="24"/>
          <w:szCs w:val="24"/>
          <w:lang w:val="en-US"/>
        </w:rPr>
        <w:t>London: Sage.</w:t>
      </w:r>
    </w:p>
    <w:bookmarkEnd w:id="5"/>
    <w:p w:rsidR="00FA5AFD" w:rsidRDefault="00705525" w:rsidP="00DF00B1">
      <w:pPr>
        <w:spacing w:after="0" w:line="240" w:lineRule="auto"/>
        <w:jc w:val="both"/>
        <w:rPr>
          <w:rFonts w:ascii="TimesNewRomanPSMT" w:hAnsi="TimesNewRomanPSMT" w:cs="TimesNewRomanPSMT"/>
          <w:color w:val="000000"/>
          <w:sz w:val="24"/>
          <w:szCs w:val="24"/>
        </w:rPr>
      </w:pPr>
      <w:r w:rsidRPr="00FA5AFD">
        <w:rPr>
          <w:rFonts w:ascii="TimesNewRomanPSMT" w:hAnsi="TimesNewRomanPSMT" w:cs="TimesNewRomanPSMT"/>
          <w:color w:val="000000"/>
          <w:sz w:val="24"/>
          <w:szCs w:val="24"/>
          <w:lang w:val="en-US"/>
        </w:rPr>
        <w:t xml:space="preserve">Suárez, M. (2015). </w:t>
      </w:r>
      <w:r w:rsidRPr="00DF00B1">
        <w:rPr>
          <w:rFonts w:ascii="TimesNewRomanPSMT" w:hAnsi="TimesNewRomanPSMT" w:cs="TimesNewRomanPSMT"/>
          <w:color w:val="000000"/>
          <w:sz w:val="24"/>
          <w:szCs w:val="24"/>
        </w:rPr>
        <w:t xml:space="preserve">Comportamiento de la fatiga central en judocas de la selección </w:t>
      </w:r>
    </w:p>
    <w:p w:rsidR="00705525" w:rsidRPr="00DF00B1" w:rsidRDefault="00705525" w:rsidP="00FA5AFD">
      <w:pPr>
        <w:spacing w:after="0" w:line="240" w:lineRule="auto"/>
        <w:ind w:left="708"/>
        <w:jc w:val="both"/>
        <w:rPr>
          <w:rFonts w:ascii="TimesNewRomanPSMT" w:hAnsi="TimesNewRomanPSMT" w:cs="TimesNewRomanPSMT"/>
          <w:color w:val="000000"/>
          <w:sz w:val="24"/>
          <w:szCs w:val="24"/>
        </w:rPr>
      </w:pPr>
      <w:r w:rsidRPr="00DF00B1">
        <w:rPr>
          <w:rFonts w:ascii="TimesNewRomanPSMT" w:hAnsi="TimesNewRomanPSMT" w:cs="TimesNewRomanPSMT"/>
          <w:color w:val="000000"/>
          <w:sz w:val="24"/>
          <w:szCs w:val="24"/>
        </w:rPr>
        <w:t xml:space="preserve">nacional femenina durante los mesosistemas de la preparación. Tesis de </w:t>
      </w:r>
      <w:bookmarkStart w:id="6" w:name="_GoBack"/>
      <w:bookmarkEnd w:id="6"/>
      <w:r w:rsidRPr="00DF00B1">
        <w:rPr>
          <w:rFonts w:ascii="TimesNewRomanPSMT" w:hAnsi="TimesNewRomanPSMT" w:cs="TimesNewRomanPSMT"/>
          <w:color w:val="000000"/>
          <w:sz w:val="24"/>
          <w:szCs w:val="24"/>
        </w:rPr>
        <w:t>doctorado, UCCFD “Manuel Fajardo”. La Habana, Cuba.</w:t>
      </w:r>
    </w:p>
    <w:p w:rsidR="00705525" w:rsidRPr="00A26E08" w:rsidRDefault="00705525" w:rsidP="0084774F">
      <w:pPr>
        <w:spacing w:line="240" w:lineRule="auto"/>
        <w:jc w:val="both"/>
        <w:rPr>
          <w:sz w:val="24"/>
          <w:szCs w:val="24"/>
        </w:rPr>
      </w:pPr>
    </w:p>
    <w:p w:rsidR="00705525" w:rsidRPr="00A26E08" w:rsidRDefault="00705525" w:rsidP="0084774F">
      <w:pPr>
        <w:autoSpaceDE w:val="0"/>
        <w:autoSpaceDN w:val="0"/>
        <w:adjustRightInd w:val="0"/>
        <w:spacing w:after="0" w:line="240" w:lineRule="auto"/>
        <w:jc w:val="both"/>
        <w:rPr>
          <w:rFonts w:ascii="TimesNewRomanPS-BoldMT" w:hAnsi="TimesNewRomanPS-BoldMT" w:cs="TimesNewRomanPS-BoldMT"/>
          <w:b/>
          <w:bCs/>
          <w:color w:val="000000"/>
          <w:sz w:val="24"/>
          <w:szCs w:val="24"/>
        </w:rPr>
      </w:pPr>
    </w:p>
    <w:sectPr w:rsidR="00705525" w:rsidRPr="00A26E0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0FB8" w:rsidRDefault="00690FB8" w:rsidP="00A26E08">
      <w:pPr>
        <w:spacing w:after="0" w:line="240" w:lineRule="auto"/>
      </w:pPr>
      <w:r>
        <w:separator/>
      </w:r>
    </w:p>
  </w:endnote>
  <w:endnote w:type="continuationSeparator" w:id="0">
    <w:p w:rsidR="00690FB8" w:rsidRDefault="00690FB8" w:rsidP="00A2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0FB8" w:rsidRDefault="00690FB8" w:rsidP="00A26E08">
      <w:pPr>
        <w:spacing w:after="0" w:line="240" w:lineRule="auto"/>
      </w:pPr>
      <w:r>
        <w:separator/>
      </w:r>
    </w:p>
  </w:footnote>
  <w:footnote w:type="continuationSeparator" w:id="0">
    <w:p w:rsidR="00690FB8" w:rsidRDefault="00690FB8" w:rsidP="00A26E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A4A12"/>
    <w:multiLevelType w:val="hybridMultilevel"/>
    <w:tmpl w:val="D41A97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2A165B3"/>
    <w:multiLevelType w:val="hybridMultilevel"/>
    <w:tmpl w:val="148ECE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0BB"/>
    <w:rsid w:val="00014A6B"/>
    <w:rsid w:val="00021785"/>
    <w:rsid w:val="000430AA"/>
    <w:rsid w:val="000465ED"/>
    <w:rsid w:val="00051809"/>
    <w:rsid w:val="00054A9E"/>
    <w:rsid w:val="0007728A"/>
    <w:rsid w:val="00077CDE"/>
    <w:rsid w:val="00084E1C"/>
    <w:rsid w:val="00085C1E"/>
    <w:rsid w:val="00097508"/>
    <w:rsid w:val="000A0EA8"/>
    <w:rsid w:val="000A6F14"/>
    <w:rsid w:val="000B0B0E"/>
    <w:rsid w:val="000C00FA"/>
    <w:rsid w:val="000C4CD3"/>
    <w:rsid w:val="000C71BD"/>
    <w:rsid w:val="000C753D"/>
    <w:rsid w:val="000D318F"/>
    <w:rsid w:val="000E5471"/>
    <w:rsid w:val="00100B36"/>
    <w:rsid w:val="0012124A"/>
    <w:rsid w:val="00134AD7"/>
    <w:rsid w:val="00143B38"/>
    <w:rsid w:val="00144862"/>
    <w:rsid w:val="00145C80"/>
    <w:rsid w:val="001A1C41"/>
    <w:rsid w:val="001B0B95"/>
    <w:rsid w:val="001B3FB7"/>
    <w:rsid w:val="001C567C"/>
    <w:rsid w:val="001D56FF"/>
    <w:rsid w:val="001F1A6C"/>
    <w:rsid w:val="002039F4"/>
    <w:rsid w:val="00231D28"/>
    <w:rsid w:val="002324FE"/>
    <w:rsid w:val="00251E02"/>
    <w:rsid w:val="002630E5"/>
    <w:rsid w:val="00295100"/>
    <w:rsid w:val="00297FA2"/>
    <w:rsid w:val="002A3EE6"/>
    <w:rsid w:val="002B0441"/>
    <w:rsid w:val="002B4DE4"/>
    <w:rsid w:val="002D3F2C"/>
    <w:rsid w:val="002F42CF"/>
    <w:rsid w:val="0030423A"/>
    <w:rsid w:val="00325E89"/>
    <w:rsid w:val="003375F7"/>
    <w:rsid w:val="00340931"/>
    <w:rsid w:val="00347E47"/>
    <w:rsid w:val="00360E91"/>
    <w:rsid w:val="0037260C"/>
    <w:rsid w:val="00382984"/>
    <w:rsid w:val="00394C8C"/>
    <w:rsid w:val="003A4201"/>
    <w:rsid w:val="003B2141"/>
    <w:rsid w:val="003B3D55"/>
    <w:rsid w:val="003B5783"/>
    <w:rsid w:val="003C1DBE"/>
    <w:rsid w:val="003E0EAE"/>
    <w:rsid w:val="003E585C"/>
    <w:rsid w:val="003E6ACE"/>
    <w:rsid w:val="003F2C69"/>
    <w:rsid w:val="003F41E3"/>
    <w:rsid w:val="00426182"/>
    <w:rsid w:val="00457BDC"/>
    <w:rsid w:val="004604D1"/>
    <w:rsid w:val="0047075C"/>
    <w:rsid w:val="00484400"/>
    <w:rsid w:val="00485DAB"/>
    <w:rsid w:val="004B2B8D"/>
    <w:rsid w:val="004C143B"/>
    <w:rsid w:val="004D10CF"/>
    <w:rsid w:val="00544A9D"/>
    <w:rsid w:val="00546881"/>
    <w:rsid w:val="00573E6E"/>
    <w:rsid w:val="00584AB0"/>
    <w:rsid w:val="00591C63"/>
    <w:rsid w:val="005C153B"/>
    <w:rsid w:val="005D61FE"/>
    <w:rsid w:val="005E4798"/>
    <w:rsid w:val="006075F7"/>
    <w:rsid w:val="00615595"/>
    <w:rsid w:val="00621DD0"/>
    <w:rsid w:val="0062765E"/>
    <w:rsid w:val="00632DF5"/>
    <w:rsid w:val="00633C1D"/>
    <w:rsid w:val="00646FBD"/>
    <w:rsid w:val="00656B5A"/>
    <w:rsid w:val="006713A4"/>
    <w:rsid w:val="00690FB8"/>
    <w:rsid w:val="006A4D01"/>
    <w:rsid w:val="006B10C6"/>
    <w:rsid w:val="006B20B3"/>
    <w:rsid w:val="006B4DC8"/>
    <w:rsid w:val="006D752F"/>
    <w:rsid w:val="00705525"/>
    <w:rsid w:val="00711B90"/>
    <w:rsid w:val="00712CC0"/>
    <w:rsid w:val="007213E8"/>
    <w:rsid w:val="00737866"/>
    <w:rsid w:val="007400BF"/>
    <w:rsid w:val="007560B7"/>
    <w:rsid w:val="007640BB"/>
    <w:rsid w:val="007673A1"/>
    <w:rsid w:val="007768F9"/>
    <w:rsid w:val="007862EA"/>
    <w:rsid w:val="00793ED3"/>
    <w:rsid w:val="007C4978"/>
    <w:rsid w:val="007C4E3B"/>
    <w:rsid w:val="007D2AAA"/>
    <w:rsid w:val="007D450F"/>
    <w:rsid w:val="007E22D4"/>
    <w:rsid w:val="007E5D15"/>
    <w:rsid w:val="00806A10"/>
    <w:rsid w:val="00806E58"/>
    <w:rsid w:val="00816582"/>
    <w:rsid w:val="00832EB7"/>
    <w:rsid w:val="0084774F"/>
    <w:rsid w:val="00855267"/>
    <w:rsid w:val="008667D3"/>
    <w:rsid w:val="0086739E"/>
    <w:rsid w:val="00873CDF"/>
    <w:rsid w:val="00875292"/>
    <w:rsid w:val="00882E8D"/>
    <w:rsid w:val="008854FD"/>
    <w:rsid w:val="008A78C3"/>
    <w:rsid w:val="008B4DA6"/>
    <w:rsid w:val="008D13E5"/>
    <w:rsid w:val="008D4221"/>
    <w:rsid w:val="009179DA"/>
    <w:rsid w:val="00925EFB"/>
    <w:rsid w:val="0095620C"/>
    <w:rsid w:val="0096124D"/>
    <w:rsid w:val="00965F13"/>
    <w:rsid w:val="009664BC"/>
    <w:rsid w:val="00984912"/>
    <w:rsid w:val="00994D4F"/>
    <w:rsid w:val="009B6227"/>
    <w:rsid w:val="009C5490"/>
    <w:rsid w:val="00A04825"/>
    <w:rsid w:val="00A06428"/>
    <w:rsid w:val="00A12533"/>
    <w:rsid w:val="00A240FD"/>
    <w:rsid w:val="00A26E08"/>
    <w:rsid w:val="00A54AB2"/>
    <w:rsid w:val="00A87E8C"/>
    <w:rsid w:val="00A902CF"/>
    <w:rsid w:val="00AD78F4"/>
    <w:rsid w:val="00B00D68"/>
    <w:rsid w:val="00B07327"/>
    <w:rsid w:val="00B10CA0"/>
    <w:rsid w:val="00B26497"/>
    <w:rsid w:val="00B32D3B"/>
    <w:rsid w:val="00B53DBC"/>
    <w:rsid w:val="00B5739C"/>
    <w:rsid w:val="00B61BE4"/>
    <w:rsid w:val="00B71250"/>
    <w:rsid w:val="00B812C1"/>
    <w:rsid w:val="00B85F94"/>
    <w:rsid w:val="00B91E41"/>
    <w:rsid w:val="00BA6512"/>
    <w:rsid w:val="00BC0F3D"/>
    <w:rsid w:val="00BC765A"/>
    <w:rsid w:val="00BE33AC"/>
    <w:rsid w:val="00BF4048"/>
    <w:rsid w:val="00BF56D4"/>
    <w:rsid w:val="00C075CB"/>
    <w:rsid w:val="00C35335"/>
    <w:rsid w:val="00C47A61"/>
    <w:rsid w:val="00C62E46"/>
    <w:rsid w:val="00C637AF"/>
    <w:rsid w:val="00C66CEC"/>
    <w:rsid w:val="00C703ED"/>
    <w:rsid w:val="00C743EB"/>
    <w:rsid w:val="00C85D04"/>
    <w:rsid w:val="00CB0E71"/>
    <w:rsid w:val="00CC0B15"/>
    <w:rsid w:val="00CC78DE"/>
    <w:rsid w:val="00CD4A77"/>
    <w:rsid w:val="00CE0EC5"/>
    <w:rsid w:val="00CE3AD8"/>
    <w:rsid w:val="00CF0E9D"/>
    <w:rsid w:val="00D32A3B"/>
    <w:rsid w:val="00D509BF"/>
    <w:rsid w:val="00D51055"/>
    <w:rsid w:val="00D55621"/>
    <w:rsid w:val="00D771E4"/>
    <w:rsid w:val="00D87AE5"/>
    <w:rsid w:val="00D97A7A"/>
    <w:rsid w:val="00DA3780"/>
    <w:rsid w:val="00DD059F"/>
    <w:rsid w:val="00DD4E7F"/>
    <w:rsid w:val="00DE41CF"/>
    <w:rsid w:val="00DF00B1"/>
    <w:rsid w:val="00E02A06"/>
    <w:rsid w:val="00E078F0"/>
    <w:rsid w:val="00E32FCB"/>
    <w:rsid w:val="00E35D91"/>
    <w:rsid w:val="00E362B1"/>
    <w:rsid w:val="00E51DD3"/>
    <w:rsid w:val="00E627AA"/>
    <w:rsid w:val="00E63FF8"/>
    <w:rsid w:val="00E92D91"/>
    <w:rsid w:val="00E9323A"/>
    <w:rsid w:val="00EA1667"/>
    <w:rsid w:val="00EA2FD1"/>
    <w:rsid w:val="00EA3407"/>
    <w:rsid w:val="00ED51A5"/>
    <w:rsid w:val="00ED6792"/>
    <w:rsid w:val="00EE4424"/>
    <w:rsid w:val="00F40781"/>
    <w:rsid w:val="00F75745"/>
    <w:rsid w:val="00F805D9"/>
    <w:rsid w:val="00F85B49"/>
    <w:rsid w:val="00F87BA1"/>
    <w:rsid w:val="00F90224"/>
    <w:rsid w:val="00FA3594"/>
    <w:rsid w:val="00FA5AFD"/>
    <w:rsid w:val="00FD03BE"/>
    <w:rsid w:val="00FE3E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99A2"/>
  <w15:chartTrackingRefBased/>
  <w15:docId w15:val="{3907B14A-DFFD-4EF9-B35B-B8C0456B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aconcuadrcula21">
    <w:name w:val="Tabla con cuadrícula21"/>
    <w:basedOn w:val="TableNormal"/>
    <w:next w:val="TableGrid"/>
    <w:uiPriority w:val="39"/>
    <w:rsid w:val="00A240FD"/>
    <w:pPr>
      <w:spacing w:after="0" w:line="240" w:lineRule="auto"/>
    </w:pPr>
    <w:rPr>
      <w:rFonts w:eastAsia="Times New Roman"/>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2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cin1">
    <w:name w:val="Descripción1"/>
    <w:basedOn w:val="Normal"/>
    <w:next w:val="Normal"/>
    <w:uiPriority w:val="35"/>
    <w:unhideWhenUsed/>
    <w:qFormat/>
    <w:rsid w:val="002B0441"/>
    <w:pPr>
      <w:spacing w:after="200" w:line="240" w:lineRule="auto"/>
    </w:pPr>
    <w:rPr>
      <w:b/>
      <w:bCs/>
      <w:color w:val="4F81BD"/>
      <w:sz w:val="18"/>
      <w:szCs w:val="18"/>
      <w:lang w:val="es-MX"/>
    </w:rPr>
  </w:style>
  <w:style w:type="table" w:customStyle="1" w:styleId="Tablaconcuadrcula81">
    <w:name w:val="Tabla con cuadrícula81"/>
    <w:basedOn w:val="TableNormal"/>
    <w:next w:val="TableGrid"/>
    <w:uiPriority w:val="39"/>
    <w:rsid w:val="002B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525"/>
    <w:rPr>
      <w:color w:val="0563C1" w:themeColor="hyperlink"/>
      <w:u w:val="single"/>
    </w:rPr>
  </w:style>
  <w:style w:type="paragraph" w:styleId="ListParagraph">
    <w:name w:val="List Paragraph"/>
    <w:basedOn w:val="Normal"/>
    <w:uiPriority w:val="34"/>
    <w:qFormat/>
    <w:rsid w:val="00705525"/>
    <w:pPr>
      <w:ind w:left="720"/>
      <w:contextualSpacing/>
    </w:pPr>
  </w:style>
  <w:style w:type="paragraph" w:styleId="Header">
    <w:name w:val="header"/>
    <w:basedOn w:val="Normal"/>
    <w:link w:val="HeaderChar"/>
    <w:uiPriority w:val="99"/>
    <w:unhideWhenUsed/>
    <w:rsid w:val="00A26E08"/>
    <w:pPr>
      <w:tabs>
        <w:tab w:val="center" w:pos="4252"/>
        <w:tab w:val="right" w:pos="8504"/>
      </w:tabs>
      <w:spacing w:after="0" w:line="240" w:lineRule="auto"/>
    </w:pPr>
  </w:style>
  <w:style w:type="character" w:customStyle="1" w:styleId="HeaderChar">
    <w:name w:val="Header Char"/>
    <w:basedOn w:val="DefaultParagraphFont"/>
    <w:link w:val="Header"/>
    <w:uiPriority w:val="99"/>
    <w:rsid w:val="00A26E08"/>
  </w:style>
  <w:style w:type="paragraph" w:styleId="Footer">
    <w:name w:val="footer"/>
    <w:basedOn w:val="Normal"/>
    <w:link w:val="FooterChar"/>
    <w:uiPriority w:val="99"/>
    <w:unhideWhenUsed/>
    <w:rsid w:val="00A26E08"/>
    <w:pPr>
      <w:tabs>
        <w:tab w:val="center" w:pos="4252"/>
        <w:tab w:val="right" w:pos="8504"/>
      </w:tabs>
      <w:spacing w:after="0" w:line="240" w:lineRule="auto"/>
    </w:pPr>
  </w:style>
  <w:style w:type="character" w:customStyle="1" w:styleId="FooterChar">
    <w:name w:val="Footer Char"/>
    <w:basedOn w:val="DefaultParagraphFont"/>
    <w:link w:val="Footer"/>
    <w:uiPriority w:val="99"/>
    <w:rsid w:val="00A26E08"/>
  </w:style>
  <w:style w:type="table" w:customStyle="1" w:styleId="Tablaconcuadrculaclara1">
    <w:name w:val="Tabla con cuadrícula clara1"/>
    <w:basedOn w:val="TableNormal"/>
    <w:next w:val="TableGridLight"/>
    <w:uiPriority w:val="40"/>
    <w:rsid w:val="003B214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3B214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875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71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efdeportes.com/efd86/box.ht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hura.shu.ac.uk/960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altorendimiento.com/revista-alto-rendimiento/09-programacion-atletica-test-anaerobico-entrenamiento/1557-elestudio-cientifico-psicolog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11876</TotalTime>
  <Pages>18</Pages>
  <Words>8782</Words>
  <Characters>50064</Characters>
  <Application>Microsoft Office Word</Application>
  <DocSecurity>0</DocSecurity>
  <Lines>417</Lines>
  <Paragraphs>117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ORDOQUI</dc:creator>
  <cp:keywords/>
  <dc:description/>
  <cp:lastModifiedBy>Edil Torres Rivera</cp:lastModifiedBy>
  <cp:revision>93</cp:revision>
  <dcterms:created xsi:type="dcterms:W3CDTF">2019-06-26T15:35:00Z</dcterms:created>
  <dcterms:modified xsi:type="dcterms:W3CDTF">2019-07-22T14:53:00Z</dcterms:modified>
</cp:coreProperties>
</file>