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41" w:rsidRPr="00B37477" w:rsidRDefault="00B37477" w:rsidP="002F3641">
      <w:pPr>
        <w:jc w:val="center"/>
        <w:rPr>
          <w:rFonts w:ascii="Century Schoolbook" w:hAnsi="Century Schoolbook" w:cs="Times New Roman"/>
          <w:b/>
          <w:sz w:val="28"/>
          <w:szCs w:val="24"/>
        </w:rPr>
      </w:pPr>
      <w:r w:rsidRPr="00B37477">
        <w:rPr>
          <w:rFonts w:ascii="Century Schoolbook" w:hAnsi="Century Schoolbook" w:cs="Times New Roman"/>
          <w:b/>
          <w:sz w:val="28"/>
          <w:szCs w:val="24"/>
        </w:rPr>
        <w:t xml:space="preserve">Bienestar </w:t>
      </w:r>
      <w:r>
        <w:rPr>
          <w:rFonts w:ascii="Century Schoolbook" w:hAnsi="Century Schoolbook" w:cs="Times New Roman"/>
          <w:b/>
          <w:sz w:val="28"/>
          <w:szCs w:val="24"/>
        </w:rPr>
        <w:t>F</w:t>
      </w:r>
      <w:r w:rsidRPr="00B37477">
        <w:rPr>
          <w:rFonts w:ascii="Century Schoolbook" w:hAnsi="Century Schoolbook" w:cs="Times New Roman"/>
          <w:b/>
          <w:sz w:val="28"/>
          <w:szCs w:val="24"/>
        </w:rPr>
        <w:t xml:space="preserve">amiliar y </w:t>
      </w:r>
      <w:r>
        <w:rPr>
          <w:rFonts w:ascii="Century Schoolbook" w:hAnsi="Century Schoolbook" w:cs="Times New Roman"/>
          <w:b/>
          <w:sz w:val="28"/>
          <w:szCs w:val="24"/>
        </w:rPr>
        <w:t>B</w:t>
      </w:r>
      <w:r w:rsidRPr="00B37477">
        <w:rPr>
          <w:rFonts w:ascii="Century Schoolbook" w:hAnsi="Century Schoolbook" w:cs="Times New Roman"/>
          <w:b/>
          <w:sz w:val="28"/>
          <w:szCs w:val="24"/>
        </w:rPr>
        <w:t xml:space="preserve">ienestar </w:t>
      </w:r>
      <w:r>
        <w:rPr>
          <w:rFonts w:ascii="Century Schoolbook" w:hAnsi="Century Schoolbook" w:cs="Times New Roman"/>
          <w:b/>
          <w:sz w:val="28"/>
          <w:szCs w:val="24"/>
        </w:rPr>
        <w:t>I</w:t>
      </w:r>
      <w:r w:rsidRPr="00B37477">
        <w:rPr>
          <w:rFonts w:ascii="Century Schoolbook" w:hAnsi="Century Schoolbook" w:cs="Times New Roman"/>
          <w:b/>
          <w:sz w:val="28"/>
          <w:szCs w:val="24"/>
        </w:rPr>
        <w:t xml:space="preserve">nfantil en </w:t>
      </w:r>
      <w:r>
        <w:rPr>
          <w:rFonts w:ascii="Century Schoolbook" w:hAnsi="Century Schoolbook" w:cs="Times New Roman"/>
          <w:b/>
          <w:sz w:val="28"/>
          <w:szCs w:val="24"/>
        </w:rPr>
        <w:t>C</w:t>
      </w:r>
      <w:r w:rsidRPr="00B37477">
        <w:rPr>
          <w:rFonts w:ascii="Century Schoolbook" w:hAnsi="Century Schoolbook" w:cs="Times New Roman"/>
          <w:b/>
          <w:sz w:val="28"/>
          <w:szCs w:val="24"/>
        </w:rPr>
        <w:t xml:space="preserve">ontextos </w:t>
      </w:r>
      <w:r>
        <w:rPr>
          <w:rFonts w:ascii="Century Schoolbook" w:hAnsi="Century Schoolbook" w:cs="Times New Roman"/>
          <w:b/>
          <w:sz w:val="28"/>
          <w:szCs w:val="24"/>
        </w:rPr>
        <w:t>S</w:t>
      </w:r>
      <w:r w:rsidRPr="00B37477">
        <w:rPr>
          <w:rFonts w:ascii="Century Schoolbook" w:hAnsi="Century Schoolbook" w:cs="Times New Roman"/>
          <w:b/>
          <w:sz w:val="28"/>
          <w:szCs w:val="24"/>
        </w:rPr>
        <w:t xml:space="preserve">ociodemográficos y </w:t>
      </w:r>
      <w:r>
        <w:rPr>
          <w:rFonts w:ascii="Century Schoolbook" w:hAnsi="Century Schoolbook" w:cs="Times New Roman"/>
          <w:b/>
          <w:sz w:val="28"/>
          <w:szCs w:val="24"/>
        </w:rPr>
        <w:t>E</w:t>
      </w:r>
      <w:r w:rsidRPr="00B37477">
        <w:rPr>
          <w:rFonts w:ascii="Century Schoolbook" w:hAnsi="Century Schoolbook" w:cs="Times New Roman"/>
          <w:b/>
          <w:sz w:val="28"/>
          <w:szCs w:val="24"/>
        </w:rPr>
        <w:t xml:space="preserve">conómicos </w:t>
      </w:r>
      <w:r>
        <w:rPr>
          <w:rFonts w:ascii="Century Schoolbook" w:hAnsi="Century Schoolbook" w:cs="Times New Roman"/>
          <w:b/>
          <w:sz w:val="28"/>
          <w:szCs w:val="24"/>
        </w:rPr>
        <w:t>D</w:t>
      </w:r>
      <w:r w:rsidRPr="00B37477">
        <w:rPr>
          <w:rFonts w:ascii="Century Schoolbook" w:hAnsi="Century Schoolbook" w:cs="Times New Roman"/>
          <w:b/>
          <w:sz w:val="28"/>
          <w:szCs w:val="24"/>
        </w:rPr>
        <w:t>istintos</w:t>
      </w:r>
      <w:r>
        <w:rPr>
          <w:rFonts w:ascii="Century Schoolbook" w:hAnsi="Century Schoolbook" w:cs="Times New Roman"/>
          <w:b/>
          <w:sz w:val="28"/>
          <w:szCs w:val="24"/>
        </w:rPr>
        <w:t>.</w:t>
      </w:r>
      <w:r>
        <w:rPr>
          <w:rStyle w:val="Refdenotaalpie"/>
          <w:rFonts w:ascii="Times New Roman" w:hAnsi="Times New Roman" w:cs="Times New Roman"/>
          <w:b/>
          <w:sz w:val="24"/>
          <w:szCs w:val="24"/>
        </w:rPr>
        <w:footnoteReference w:id="1"/>
      </w:r>
    </w:p>
    <w:p w:rsidR="002F3641" w:rsidRPr="0011461B" w:rsidRDefault="00B37477" w:rsidP="002F3641">
      <w:pPr>
        <w:jc w:val="center"/>
        <w:rPr>
          <w:rFonts w:ascii="Century Schoolbook" w:hAnsi="Century Schoolbook"/>
          <w:b/>
          <w:sz w:val="28"/>
          <w:szCs w:val="28"/>
          <w:lang w:val="en-US"/>
        </w:rPr>
      </w:pPr>
      <w:r w:rsidRPr="0011461B">
        <w:rPr>
          <w:rFonts w:ascii="Century Schoolbook" w:hAnsi="Century Schoolbook"/>
          <w:b/>
          <w:sz w:val="28"/>
          <w:szCs w:val="28"/>
          <w:lang w:val="en-US"/>
        </w:rPr>
        <w:t>Family Well-Being and Child Well-Being in Different Sociodemographic and Economic Contexts.</w:t>
      </w:r>
    </w:p>
    <w:p w:rsidR="00B37477" w:rsidRPr="0011461B" w:rsidRDefault="00B37477" w:rsidP="00B37477">
      <w:pPr>
        <w:spacing w:line="480" w:lineRule="auto"/>
        <w:jc w:val="center"/>
        <w:rPr>
          <w:rFonts w:ascii="Times New Roman" w:hAnsi="Times New Roman" w:cs="Times New Roman"/>
          <w:b/>
          <w:sz w:val="24"/>
          <w:szCs w:val="24"/>
          <w:lang w:val="en-US"/>
        </w:rPr>
      </w:pPr>
    </w:p>
    <w:p w:rsidR="00B37477" w:rsidRPr="000A5C01" w:rsidRDefault="00B37477" w:rsidP="00B37477">
      <w:pPr>
        <w:spacing w:line="480" w:lineRule="auto"/>
        <w:jc w:val="center"/>
        <w:rPr>
          <w:rFonts w:ascii="Century Schoolbook" w:hAnsi="Century Schoolbook" w:cs="Times New Roman"/>
          <w:color w:val="FFFFFF" w:themeColor="background1"/>
          <w:sz w:val="24"/>
          <w:szCs w:val="24"/>
        </w:rPr>
      </w:pPr>
      <w:r w:rsidRPr="000A5C01">
        <w:rPr>
          <w:rFonts w:ascii="Century Schoolbook" w:hAnsi="Century Schoolbook" w:cs="Times New Roman"/>
          <w:color w:val="FFFFFF" w:themeColor="background1"/>
          <w:sz w:val="24"/>
          <w:szCs w:val="24"/>
        </w:rPr>
        <w:t>Milton E. Bermúdez-Jaimes, Olga Alicia Carbonell Blanco</w:t>
      </w:r>
    </w:p>
    <w:p w:rsidR="00B37477" w:rsidRPr="000A5C01" w:rsidRDefault="00B37477" w:rsidP="00B37477">
      <w:pPr>
        <w:spacing w:line="480" w:lineRule="auto"/>
        <w:jc w:val="center"/>
        <w:rPr>
          <w:rFonts w:ascii="Century Schoolbook" w:hAnsi="Century Schoolbook" w:cs="Times New Roman"/>
          <w:i/>
          <w:color w:val="FFFFFF" w:themeColor="background1"/>
          <w:sz w:val="24"/>
          <w:szCs w:val="24"/>
        </w:rPr>
      </w:pPr>
      <w:r w:rsidRPr="000A5C01">
        <w:rPr>
          <w:rFonts w:ascii="Century Schoolbook" w:hAnsi="Century Schoolbook" w:cs="Times New Roman"/>
          <w:i/>
          <w:color w:val="FFFFFF" w:themeColor="background1"/>
          <w:sz w:val="24"/>
          <w:szCs w:val="24"/>
        </w:rPr>
        <w:t>Pontificia Universidad Javeriana, Bogotá, Colombia</w:t>
      </w:r>
    </w:p>
    <w:p w:rsidR="00B37477" w:rsidRPr="000A5C01" w:rsidRDefault="00B37477" w:rsidP="00B37477">
      <w:pPr>
        <w:spacing w:line="480" w:lineRule="auto"/>
        <w:jc w:val="center"/>
        <w:rPr>
          <w:rFonts w:ascii="Century Schoolbook" w:hAnsi="Century Schoolbook" w:cs="Times New Roman"/>
          <w:color w:val="FFFFFF" w:themeColor="background1"/>
          <w:sz w:val="24"/>
          <w:szCs w:val="24"/>
        </w:rPr>
      </w:pPr>
      <w:bookmarkStart w:id="0" w:name="_Hlk5038664"/>
      <w:r w:rsidRPr="000A5C01">
        <w:rPr>
          <w:rFonts w:ascii="Century Schoolbook" w:hAnsi="Century Schoolbook" w:cs="Times New Roman"/>
          <w:color w:val="FFFFFF" w:themeColor="background1"/>
          <w:sz w:val="24"/>
          <w:szCs w:val="24"/>
        </w:rPr>
        <w:t>Mónica Reyes Rojas, Elda Cerchiaro Ceballos</w:t>
      </w:r>
    </w:p>
    <w:p w:rsidR="00B37477" w:rsidRPr="000A5C01" w:rsidRDefault="00B37477" w:rsidP="00B37477">
      <w:pPr>
        <w:spacing w:line="480" w:lineRule="auto"/>
        <w:jc w:val="center"/>
        <w:rPr>
          <w:rFonts w:ascii="Century Schoolbook" w:hAnsi="Century Schoolbook" w:cs="Times New Roman"/>
          <w:i/>
          <w:color w:val="FFFFFF" w:themeColor="background1"/>
          <w:sz w:val="24"/>
          <w:szCs w:val="24"/>
        </w:rPr>
      </w:pPr>
      <w:r w:rsidRPr="000A5C01">
        <w:rPr>
          <w:rFonts w:ascii="Century Schoolbook" w:hAnsi="Century Schoolbook" w:cs="Times New Roman"/>
          <w:i/>
          <w:color w:val="FFFFFF" w:themeColor="background1"/>
          <w:sz w:val="24"/>
          <w:szCs w:val="24"/>
        </w:rPr>
        <w:t>Universidad del Magdalena, Santa Marta, Colombia</w:t>
      </w:r>
    </w:p>
    <w:p w:rsidR="00B37477" w:rsidRPr="000A5C01" w:rsidRDefault="00B37477" w:rsidP="00B37477">
      <w:pPr>
        <w:spacing w:line="480" w:lineRule="auto"/>
        <w:jc w:val="center"/>
        <w:rPr>
          <w:rFonts w:ascii="Century Schoolbook" w:hAnsi="Century Schoolbook" w:cs="Times New Roman"/>
          <w:color w:val="FFFFFF" w:themeColor="background1"/>
          <w:sz w:val="24"/>
          <w:szCs w:val="24"/>
        </w:rPr>
      </w:pPr>
      <w:r w:rsidRPr="000A5C01">
        <w:rPr>
          <w:rFonts w:ascii="Century Schoolbook" w:hAnsi="Century Schoolbook" w:cs="Times New Roman"/>
          <w:color w:val="FFFFFF" w:themeColor="background1"/>
          <w:sz w:val="24"/>
          <w:szCs w:val="24"/>
        </w:rPr>
        <w:t>José Eduardo Sánchez, Jackeline Cantor Jiménez</w:t>
      </w:r>
    </w:p>
    <w:p w:rsidR="00B37477" w:rsidRPr="000A5C01" w:rsidRDefault="00B37477" w:rsidP="00B37477">
      <w:pPr>
        <w:spacing w:line="480" w:lineRule="auto"/>
        <w:jc w:val="center"/>
        <w:rPr>
          <w:rFonts w:ascii="Century Schoolbook" w:hAnsi="Century Schoolbook" w:cs="Times New Roman"/>
          <w:i/>
          <w:color w:val="FFFFFF" w:themeColor="background1"/>
          <w:sz w:val="24"/>
          <w:szCs w:val="24"/>
        </w:rPr>
      </w:pPr>
      <w:r w:rsidRPr="000A5C01">
        <w:rPr>
          <w:rFonts w:ascii="Century Schoolbook" w:hAnsi="Century Schoolbook" w:cs="Times New Roman"/>
          <w:i/>
          <w:color w:val="FFFFFF" w:themeColor="background1"/>
          <w:sz w:val="24"/>
          <w:szCs w:val="24"/>
        </w:rPr>
        <w:t>Universidad ICESI, Cali, Colombia</w:t>
      </w:r>
    </w:p>
    <w:p w:rsidR="00B37477" w:rsidRPr="000A5C01" w:rsidRDefault="00B37477" w:rsidP="00B37477">
      <w:pPr>
        <w:spacing w:line="480" w:lineRule="auto"/>
        <w:jc w:val="center"/>
        <w:rPr>
          <w:rFonts w:ascii="Century Schoolbook" w:hAnsi="Century Schoolbook" w:cs="Times New Roman"/>
          <w:color w:val="FFFFFF" w:themeColor="background1"/>
          <w:sz w:val="24"/>
          <w:szCs w:val="24"/>
        </w:rPr>
      </w:pPr>
      <w:r w:rsidRPr="000A5C01">
        <w:rPr>
          <w:rFonts w:ascii="Century Schoolbook" w:hAnsi="Century Schoolbook" w:cs="Times New Roman"/>
          <w:color w:val="FFFFFF" w:themeColor="background1"/>
          <w:sz w:val="24"/>
          <w:szCs w:val="24"/>
        </w:rPr>
        <w:t>Mónica Roncancio Moreno</w:t>
      </w:r>
    </w:p>
    <w:p w:rsidR="00324870" w:rsidRPr="000A5C01" w:rsidRDefault="00B37477" w:rsidP="00B37477">
      <w:pPr>
        <w:spacing w:line="480" w:lineRule="auto"/>
        <w:jc w:val="center"/>
        <w:rPr>
          <w:rFonts w:ascii="Century Schoolbook" w:hAnsi="Century Schoolbook" w:cs="Times New Roman"/>
          <w:i/>
          <w:color w:val="FFFFFF" w:themeColor="background1"/>
          <w:sz w:val="24"/>
          <w:szCs w:val="24"/>
        </w:rPr>
      </w:pPr>
      <w:r w:rsidRPr="000A5C01">
        <w:rPr>
          <w:rFonts w:ascii="Century Schoolbook" w:hAnsi="Century Schoolbook" w:cs="Times New Roman"/>
          <w:i/>
          <w:color w:val="FFFFFF" w:themeColor="background1"/>
          <w:sz w:val="24"/>
          <w:szCs w:val="24"/>
        </w:rPr>
        <w:t>Universidad Pontificia Bolivariana, Palmira, Colombia</w:t>
      </w:r>
    </w:p>
    <w:bookmarkEnd w:id="0"/>
    <w:p w:rsidR="00324870" w:rsidRPr="000A5C01" w:rsidRDefault="00324870">
      <w:pPr>
        <w:rPr>
          <w:rFonts w:ascii="Century Schoolbook" w:hAnsi="Century Schoolbook" w:cs="Times New Roman"/>
          <w:i/>
          <w:color w:val="FFFFFF" w:themeColor="background1"/>
          <w:sz w:val="24"/>
          <w:szCs w:val="24"/>
        </w:rPr>
      </w:pPr>
      <w:r w:rsidRPr="000A5C01">
        <w:rPr>
          <w:rFonts w:ascii="Century Schoolbook" w:hAnsi="Century Schoolbook" w:cs="Times New Roman"/>
          <w:i/>
          <w:color w:val="FFFFFF" w:themeColor="background1"/>
          <w:sz w:val="24"/>
          <w:szCs w:val="24"/>
        </w:rPr>
        <w:br w:type="page"/>
      </w:r>
    </w:p>
    <w:p w:rsidR="00324870" w:rsidRPr="00C749D6" w:rsidRDefault="00324870" w:rsidP="00324870">
      <w:pPr>
        <w:spacing w:line="240" w:lineRule="auto"/>
        <w:jc w:val="center"/>
        <w:rPr>
          <w:rFonts w:ascii="Century Schoolbook" w:hAnsi="Century Schoolbook" w:cs="Times New Roman"/>
          <w:b/>
          <w:sz w:val="20"/>
          <w:szCs w:val="24"/>
        </w:rPr>
      </w:pPr>
      <w:r w:rsidRPr="00C749D6">
        <w:rPr>
          <w:rFonts w:ascii="Century Schoolbook" w:hAnsi="Century Schoolbook" w:cs="Times New Roman"/>
          <w:b/>
          <w:sz w:val="20"/>
          <w:szCs w:val="24"/>
        </w:rPr>
        <w:lastRenderedPageBreak/>
        <w:t>Resumen</w:t>
      </w:r>
    </w:p>
    <w:p w:rsidR="00324870" w:rsidRPr="00C749D6" w:rsidRDefault="00324870" w:rsidP="00324870">
      <w:pPr>
        <w:spacing w:line="240" w:lineRule="auto"/>
        <w:jc w:val="both"/>
        <w:rPr>
          <w:rFonts w:ascii="Century Schoolbook" w:hAnsi="Century Schoolbook" w:cs="Times New Roman"/>
          <w:sz w:val="20"/>
          <w:szCs w:val="24"/>
        </w:rPr>
      </w:pPr>
      <w:r w:rsidRPr="00C749D6">
        <w:rPr>
          <w:rFonts w:ascii="Century Schoolbook" w:hAnsi="Century Schoolbook" w:cs="Times New Roman"/>
          <w:sz w:val="20"/>
          <w:szCs w:val="24"/>
        </w:rPr>
        <w:t>El bienestar familiar es una fuente importante de contribución al desarrollo positivo en diversos ámbitos y en concreto al bienestar infantil. El presente estudio</w:t>
      </w:r>
      <w:r w:rsidRPr="00C749D6">
        <w:rPr>
          <w:rFonts w:ascii="Century Schoolbook" w:hAnsi="Century Schoolbook"/>
          <w:sz w:val="18"/>
        </w:rPr>
        <w:t xml:space="preserve"> </w:t>
      </w:r>
      <w:r w:rsidRPr="00C749D6">
        <w:rPr>
          <w:rFonts w:ascii="Century Schoolbook" w:hAnsi="Century Schoolbook" w:cs="Times New Roman"/>
          <w:sz w:val="20"/>
          <w:szCs w:val="24"/>
        </w:rPr>
        <w:t>presenta los resultados de un estudio adelantado con familias colombianas que provienen de tres ciudades distintas: Bogotá, Santa Marta y Cali-Palmira y tres niveles socioeconómicos que recogen datos de las variables bienestar familiar y bienestar infantil de un programa de investigación más amplio que busca caracterizar algunas variables familiares, parentales, individuales y contextuales de familias en Colombia. Con una muestra de 422 familias (Bogotá N=196, Santa Marta N=81 y Cali-Palmira N=145) se evaluaron con el Índice de Bienestar de los Miembros de la Familia (</w:t>
      </w:r>
      <w:proofErr w:type="spellStart"/>
      <w:r w:rsidRPr="00C749D6">
        <w:rPr>
          <w:rFonts w:ascii="Century Schoolbook" w:hAnsi="Century Schoolbook" w:cs="Times New Roman"/>
          <w:sz w:val="20"/>
          <w:szCs w:val="24"/>
        </w:rPr>
        <w:t>McCubbin</w:t>
      </w:r>
      <w:proofErr w:type="spellEnd"/>
      <w:r w:rsidRPr="00C749D6">
        <w:rPr>
          <w:rFonts w:ascii="Century Schoolbook" w:hAnsi="Century Schoolbook" w:cs="Times New Roman"/>
          <w:sz w:val="20"/>
          <w:szCs w:val="24"/>
        </w:rPr>
        <w:t xml:space="preserve"> &amp; Patterson, 1982) y el Inventario de Bienestar Infantil (</w:t>
      </w:r>
      <w:r w:rsidR="000A5C01">
        <w:rPr>
          <w:rFonts w:ascii="Century Schoolbook" w:hAnsi="Century Schoolbook" w:cs="Times New Roman"/>
          <w:sz w:val="20"/>
          <w:szCs w:val="24"/>
        </w:rPr>
        <w:t>Autor</w:t>
      </w:r>
      <w:r w:rsidRPr="00C749D6">
        <w:rPr>
          <w:rFonts w:ascii="Century Schoolbook" w:hAnsi="Century Schoolbook" w:cs="Times New Roman"/>
          <w:sz w:val="20"/>
          <w:szCs w:val="24"/>
        </w:rPr>
        <w:t xml:space="preserve"> &amp; Carrillo, 2014) los niveles de bienestar familiar e infantil. Los resultados muestran efectos diferenciales de variables contextuales (geográficas y socioeconómicas) en los miembros de las familias, encontrándose en algunos casos diferencias significativas asociadas a esas variables contextuales. También se encuentran asociaciones significativas entre el nivel de bienestar familiar y el nivel de bienestar infantil (</w:t>
      </w:r>
      <w:r w:rsidRPr="00C749D6">
        <w:rPr>
          <w:rFonts w:ascii="Century Schoolbook" w:hAnsi="Century Schoolbook" w:cs="Times New Roman"/>
          <w:i/>
          <w:sz w:val="20"/>
          <w:szCs w:val="24"/>
        </w:rPr>
        <w:t>Tau B</w:t>
      </w:r>
      <w:r w:rsidRPr="00C749D6">
        <w:rPr>
          <w:rFonts w:ascii="Century Schoolbook" w:hAnsi="Century Schoolbook" w:cs="Times New Roman"/>
          <w:sz w:val="20"/>
          <w:szCs w:val="24"/>
        </w:rPr>
        <w:t>=0.21**). Los hallazgos contribuyen como un insumo para continuar desde una perspectiva ecológica y sistémica ahondar en la comprensión de la dinámica familiar en contextos colombianos y latinoamericanos.</w:t>
      </w:r>
    </w:p>
    <w:p w:rsidR="00324870" w:rsidRPr="00C749D6" w:rsidRDefault="00324870" w:rsidP="00324870">
      <w:pPr>
        <w:spacing w:line="240" w:lineRule="auto"/>
        <w:jc w:val="both"/>
        <w:rPr>
          <w:rFonts w:ascii="Century Schoolbook" w:hAnsi="Century Schoolbook" w:cs="Times New Roman"/>
          <w:sz w:val="20"/>
          <w:szCs w:val="24"/>
        </w:rPr>
      </w:pPr>
      <w:r w:rsidRPr="00C749D6">
        <w:rPr>
          <w:rFonts w:ascii="Century Schoolbook" w:hAnsi="Century Schoolbook" w:cs="Times New Roman"/>
          <w:i/>
          <w:sz w:val="20"/>
          <w:szCs w:val="24"/>
        </w:rPr>
        <w:t xml:space="preserve">Palabras clave: </w:t>
      </w:r>
      <w:r w:rsidRPr="00C749D6">
        <w:rPr>
          <w:rFonts w:ascii="Century Schoolbook" w:hAnsi="Century Schoolbook" w:cs="Times New Roman"/>
          <w:sz w:val="20"/>
          <w:szCs w:val="24"/>
        </w:rPr>
        <w:t>Bienestar Familiar, Bienestar Infantil, Familias Colombianas, Contexto y Familia.</w:t>
      </w:r>
    </w:p>
    <w:p w:rsidR="00324870" w:rsidRPr="00C749D6" w:rsidRDefault="00324870" w:rsidP="00324870">
      <w:pPr>
        <w:jc w:val="center"/>
        <w:rPr>
          <w:rFonts w:ascii="Century Schoolbook" w:hAnsi="Century Schoolbook" w:cs="Times New Roman"/>
          <w:b/>
          <w:sz w:val="20"/>
          <w:szCs w:val="24"/>
          <w:lang w:val="en-US"/>
        </w:rPr>
      </w:pPr>
      <w:r w:rsidRPr="00C749D6">
        <w:rPr>
          <w:rFonts w:ascii="Century Schoolbook" w:hAnsi="Century Schoolbook" w:cs="Times New Roman"/>
          <w:b/>
          <w:sz w:val="20"/>
          <w:szCs w:val="24"/>
          <w:lang w:val="en-US"/>
        </w:rPr>
        <w:t>Abstract</w:t>
      </w:r>
    </w:p>
    <w:p w:rsidR="00324870" w:rsidRPr="00C749D6" w:rsidRDefault="00324870" w:rsidP="00027375">
      <w:pPr>
        <w:jc w:val="both"/>
        <w:rPr>
          <w:rFonts w:ascii="Century Schoolbook" w:hAnsi="Century Schoolbook" w:cs="Times New Roman"/>
          <w:sz w:val="20"/>
          <w:szCs w:val="24"/>
          <w:lang w:val="en-US"/>
        </w:rPr>
      </w:pPr>
      <w:r w:rsidRPr="00C749D6">
        <w:rPr>
          <w:rFonts w:ascii="Century Schoolbook" w:hAnsi="Century Schoolbook" w:cs="Times New Roman"/>
          <w:sz w:val="20"/>
          <w:szCs w:val="24"/>
          <w:lang w:val="en-US"/>
        </w:rPr>
        <w:t>Family well-being is an important source of contribution to positive development in various fields and specifically to child well-being. This study carried out with Colombian families presents the results from three different cities: Bogotá, Santa Marta and Cali-Palmira, and three socioeconomic levels on the variables family well-being and child well-being. The data come from a broader research program which seeks to characterize some family, parental, individual and contextual variables of the families in Colombia. Levels of family and child well-being with a sample of 422 families (Bogotá N = 196, Santa Marta N = 81 and Cali-Palmira N = 145) were evaluated through the Well-being Index of the Family Members (McCubbin &amp; Patterson, 1982) and the Child Well-being Inventory (</w:t>
      </w:r>
      <w:r w:rsidR="00E86551">
        <w:rPr>
          <w:rFonts w:ascii="Century Schoolbook" w:hAnsi="Century Schoolbook" w:cs="Times New Roman"/>
          <w:sz w:val="20"/>
          <w:szCs w:val="24"/>
          <w:lang w:val="en-US"/>
        </w:rPr>
        <w:t>Author</w:t>
      </w:r>
      <w:r w:rsidRPr="00C749D6">
        <w:rPr>
          <w:rFonts w:ascii="Century Schoolbook" w:hAnsi="Century Schoolbook" w:cs="Times New Roman"/>
          <w:sz w:val="20"/>
          <w:szCs w:val="24"/>
          <w:lang w:val="en-US"/>
        </w:rPr>
        <w:t xml:space="preserve"> &amp; Carrillo, 2014). The results showed differential effects of contextual variables (geographical and socioeconomic) in the members of the families. In some cases, significant differences associated with these contextual variables were found. There were also significant associations between the level of family well-being and the level of child well-being (</w:t>
      </w:r>
      <w:r w:rsidRPr="00C749D6">
        <w:rPr>
          <w:rFonts w:ascii="Century Schoolbook" w:hAnsi="Century Schoolbook" w:cs="Times New Roman"/>
          <w:i/>
          <w:sz w:val="20"/>
          <w:szCs w:val="24"/>
          <w:lang w:val="en-US"/>
        </w:rPr>
        <w:t>Tau B</w:t>
      </w:r>
      <w:r w:rsidRPr="00C749D6">
        <w:rPr>
          <w:rFonts w:ascii="Century Schoolbook" w:hAnsi="Century Schoolbook" w:cs="Times New Roman"/>
          <w:sz w:val="20"/>
          <w:szCs w:val="24"/>
          <w:lang w:val="en-US"/>
        </w:rPr>
        <w:t xml:space="preserve"> = 0.21 **). The findings contribute as an-input to continue from an ecological and systemic perspective to deepen on the understanding of family dynamics in Colombian and Latin American contexts.</w:t>
      </w:r>
    </w:p>
    <w:p w:rsidR="00B37477" w:rsidRPr="0011461B" w:rsidRDefault="00324870" w:rsidP="00324870">
      <w:pPr>
        <w:spacing w:line="480" w:lineRule="auto"/>
        <w:rPr>
          <w:rFonts w:ascii="Century Schoolbook" w:hAnsi="Century Schoolbook" w:cs="Times New Roman"/>
          <w:b/>
          <w:i/>
          <w:sz w:val="20"/>
          <w:szCs w:val="24"/>
          <w:lang w:val="en-US"/>
        </w:rPr>
      </w:pPr>
      <w:r w:rsidRPr="00C749D6">
        <w:rPr>
          <w:rFonts w:ascii="Century Schoolbook" w:hAnsi="Century Schoolbook" w:cs="Times New Roman"/>
          <w:i/>
          <w:sz w:val="20"/>
          <w:szCs w:val="24"/>
          <w:lang w:val="en-US"/>
        </w:rPr>
        <w:t>Keywords</w:t>
      </w:r>
      <w:r w:rsidRPr="00C749D6">
        <w:rPr>
          <w:rFonts w:ascii="Century Schoolbook" w:hAnsi="Century Schoolbook" w:cs="Times New Roman"/>
          <w:sz w:val="20"/>
          <w:szCs w:val="24"/>
          <w:lang w:val="en-US"/>
        </w:rPr>
        <w:t>: Family Well-being, Child Welfare, Colombian Families, Context and Family.</w:t>
      </w:r>
    </w:p>
    <w:p w:rsidR="00324870" w:rsidRPr="0011461B" w:rsidRDefault="00324870">
      <w:pPr>
        <w:rPr>
          <w:rFonts w:ascii="Century Schoolbook" w:hAnsi="Century Schoolbook"/>
          <w:sz w:val="28"/>
          <w:szCs w:val="28"/>
          <w:lang w:val="en-US"/>
        </w:rPr>
      </w:pPr>
      <w:r w:rsidRPr="0011461B">
        <w:rPr>
          <w:rFonts w:ascii="Century Schoolbook" w:hAnsi="Century Schoolbook"/>
          <w:sz w:val="28"/>
          <w:szCs w:val="28"/>
          <w:lang w:val="en-US"/>
        </w:rPr>
        <w:br w:type="page"/>
      </w:r>
    </w:p>
    <w:p w:rsidR="00C749D6" w:rsidRPr="0011461B" w:rsidRDefault="00C749D6" w:rsidP="0011461B">
      <w:pPr>
        <w:spacing w:line="240" w:lineRule="auto"/>
        <w:jc w:val="center"/>
        <w:rPr>
          <w:rFonts w:ascii="Georgia" w:hAnsi="Georgia" w:cs="Times New Roman"/>
          <w:b/>
          <w:sz w:val="24"/>
          <w:szCs w:val="24"/>
        </w:rPr>
      </w:pPr>
      <w:bookmarkStart w:id="1" w:name="_GoBack"/>
      <w:r w:rsidRPr="0011461B">
        <w:rPr>
          <w:rFonts w:ascii="Georgia" w:hAnsi="Georgia" w:cs="Times New Roman"/>
          <w:b/>
          <w:sz w:val="24"/>
          <w:szCs w:val="24"/>
        </w:rPr>
        <w:lastRenderedPageBreak/>
        <w:t>Bienestar Familiar y Bienestar Infantil en Contextos Geográficos y Socioeconómicos Distintos</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ab/>
        <w:t>El bienestar familiar es una fuente importante de contribución al desarrollo positivo de las personas en diversos ámbitos y en concreto al bienestar infantil (</w:t>
      </w:r>
      <w:proofErr w:type="spellStart"/>
      <w:r w:rsidRPr="0011461B">
        <w:rPr>
          <w:rFonts w:ascii="Georgia" w:hAnsi="Georgia" w:cs="Times New Roman"/>
          <w:sz w:val="24"/>
          <w:szCs w:val="24"/>
        </w:rPr>
        <w:t>Coyl</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Roggman</w:t>
      </w:r>
      <w:proofErr w:type="spellEnd"/>
      <w:r w:rsidRPr="0011461B">
        <w:rPr>
          <w:rFonts w:ascii="Georgia" w:hAnsi="Georgia" w:cs="Times New Roman"/>
          <w:sz w:val="24"/>
          <w:szCs w:val="24"/>
        </w:rPr>
        <w:t xml:space="preserve">, &amp; </w:t>
      </w:r>
      <w:proofErr w:type="spellStart"/>
      <w:r w:rsidRPr="0011461B">
        <w:rPr>
          <w:rFonts w:ascii="Georgia" w:hAnsi="Georgia" w:cs="Times New Roman"/>
          <w:sz w:val="24"/>
          <w:szCs w:val="24"/>
        </w:rPr>
        <w:t>Newland</w:t>
      </w:r>
      <w:proofErr w:type="spellEnd"/>
      <w:r w:rsidRPr="0011461B">
        <w:rPr>
          <w:rFonts w:ascii="Georgia" w:hAnsi="Georgia" w:cs="Times New Roman"/>
          <w:sz w:val="24"/>
          <w:szCs w:val="24"/>
        </w:rPr>
        <w:t xml:space="preserve">, 2002; </w:t>
      </w:r>
      <w:proofErr w:type="spellStart"/>
      <w:r w:rsidRPr="0011461B">
        <w:rPr>
          <w:rFonts w:ascii="Georgia" w:hAnsi="Georgia" w:cs="Times New Roman"/>
          <w:sz w:val="24"/>
          <w:szCs w:val="24"/>
        </w:rPr>
        <w:t>Newland</w:t>
      </w:r>
      <w:proofErr w:type="spellEnd"/>
      <w:r w:rsidRPr="0011461B">
        <w:rPr>
          <w:rFonts w:ascii="Georgia" w:hAnsi="Georgia" w:cs="Times New Roman"/>
          <w:sz w:val="24"/>
          <w:szCs w:val="24"/>
        </w:rPr>
        <w:t xml:space="preserve">, 2014 y 2015; </w:t>
      </w:r>
      <w:proofErr w:type="spellStart"/>
      <w:r w:rsidRPr="0011461B">
        <w:rPr>
          <w:rFonts w:ascii="Georgia" w:hAnsi="Georgia" w:cs="Times New Roman"/>
          <w:sz w:val="24"/>
          <w:szCs w:val="24"/>
        </w:rPr>
        <w:t>Vanderbilt-Adriance</w:t>
      </w:r>
      <w:proofErr w:type="spellEnd"/>
      <w:r w:rsidRPr="0011461B">
        <w:rPr>
          <w:rFonts w:ascii="Georgia" w:hAnsi="Georgia" w:cs="Times New Roman"/>
          <w:sz w:val="24"/>
          <w:szCs w:val="24"/>
        </w:rPr>
        <w:t xml:space="preserve"> &amp; Shaw, 2008; Walsh, 2003; </w:t>
      </w:r>
      <w:proofErr w:type="spellStart"/>
      <w:r w:rsidRPr="0011461B">
        <w:rPr>
          <w:rFonts w:ascii="Georgia" w:hAnsi="Georgia" w:cs="Times New Roman"/>
          <w:sz w:val="24"/>
          <w:szCs w:val="24"/>
        </w:rPr>
        <w:t>Wyman</w:t>
      </w:r>
      <w:proofErr w:type="spellEnd"/>
      <w:r w:rsidRPr="0011461B">
        <w:rPr>
          <w:rFonts w:ascii="Georgia" w:hAnsi="Georgia" w:cs="Times New Roman"/>
          <w:sz w:val="24"/>
          <w:szCs w:val="24"/>
        </w:rPr>
        <w:t xml:space="preserve"> et al., 1999; </w:t>
      </w:r>
      <w:proofErr w:type="spellStart"/>
      <w:r w:rsidRPr="0011461B">
        <w:rPr>
          <w:rFonts w:ascii="Georgia" w:hAnsi="Georgia" w:cs="Times New Roman"/>
          <w:sz w:val="24"/>
          <w:szCs w:val="24"/>
        </w:rPr>
        <w:t>Ziegert</w:t>
      </w:r>
      <w:proofErr w:type="spellEnd"/>
      <w:r w:rsidRPr="0011461B">
        <w:rPr>
          <w:rFonts w:ascii="Georgia" w:hAnsi="Georgia" w:cs="Times New Roman"/>
          <w:sz w:val="24"/>
          <w:szCs w:val="24"/>
        </w:rPr>
        <w:t>, 2011). Si bien existe evidencia previa de las conexiones entre bienestar familiar y bienestar infantil aún persiste la carencia de información sobre cómo estas dos dimensiones importantes para la vida de las familias y sus miembros operan en contextos geográficos y socioeconómicos distintos.</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ab/>
        <w:t>El objetivo central del presente artículo consiste en presentar los resultados de un estudio adelantado con familias colombianas que provienen de tres ciudades distintas: Bogotá, Santa Marta y Cali-Palmira y tres niveles socioeconómicos sobre las variables bienestar familiar y bienestar infantil de un programa de investigación más amplio que busca caracterizar algunas variables familiares, parentales, individuales y contextuales de familias en Colombia.</w:t>
      </w:r>
    </w:p>
    <w:p w:rsidR="00C749D6" w:rsidRPr="0011461B" w:rsidRDefault="00C749D6" w:rsidP="0011461B">
      <w:pPr>
        <w:spacing w:line="240" w:lineRule="auto"/>
        <w:rPr>
          <w:rFonts w:ascii="Georgia" w:hAnsi="Georgia" w:cs="Times New Roman"/>
          <w:b/>
          <w:sz w:val="24"/>
          <w:szCs w:val="24"/>
        </w:rPr>
      </w:pPr>
      <w:r w:rsidRPr="0011461B">
        <w:rPr>
          <w:rFonts w:ascii="Georgia" w:hAnsi="Georgia" w:cs="Times New Roman"/>
          <w:b/>
          <w:sz w:val="24"/>
          <w:szCs w:val="24"/>
        </w:rPr>
        <w:t>Colombia un país de regiones y diversidad.</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ab/>
        <w:t>La República de Colombia es un país ubicado en la región noroccidental de América del Sur, el país abarca una superficie de 1,141,748 km², siendo el vigesimosexto país más grande del mundo y el séptimo más grande de América. Pese a que el país cuenta con 32 Departamentos descentralizados y un Distrito Capital sede del gobierno central, debido a la diversidad cultural es considerado un país de regiones naturales y culturales, identificando en la actualidad seis regiones: la costa del Caribe, la costa del Pacífico, la región Insular, la región Andina, la región de los Llanos Orientales y la región Amazónica (Instituto Geográfico Agustín Codazzi, 2012). Esta diversidad geográfica y cultural ha marcado ancestralmente estilos de vida distintos que tal y como lo muestran estudios sociológicos, antropológicos y estudios de género han permeado las relaciones de sus habitantes y de las familias (Olavarría 2003; Ortega, Castillo y Centeno, 2005; Pachón, 2000; Puyana y Mosquera 2005). Desde el punto de vista de la psicología como disciplina y desde los estudios de familia se ha aportado poca evidencia que permita caracterizar de manera comprensiva las formas en que las condiciones de diversidad de las familias operan respecto a las dinámicas propias del funcionamiento de ellas y como estas mismas dinámicas afectan la vida de los miembros (Bermúdez-Jaimes, 2014).</w:t>
      </w:r>
    </w:p>
    <w:p w:rsidR="00C749D6" w:rsidRPr="0011461B" w:rsidRDefault="00C749D6" w:rsidP="0011461B">
      <w:pPr>
        <w:spacing w:line="240" w:lineRule="auto"/>
        <w:rPr>
          <w:rFonts w:ascii="Georgia" w:hAnsi="Georgia" w:cs="Times New Roman"/>
          <w:b/>
          <w:i/>
          <w:sz w:val="24"/>
          <w:szCs w:val="24"/>
        </w:rPr>
      </w:pPr>
      <w:r w:rsidRPr="0011461B">
        <w:rPr>
          <w:rFonts w:ascii="Georgia" w:hAnsi="Georgia" w:cs="Times New Roman"/>
          <w:b/>
          <w:i/>
          <w:sz w:val="24"/>
          <w:szCs w:val="24"/>
        </w:rPr>
        <w:t>Conceptualización del bienestar</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El concepto de bienestar es amplio y diverso, de hecho, algunos autores han rastreado al menos tres tradiciones diferentes en la conceptualización del bienestar (</w:t>
      </w:r>
      <w:proofErr w:type="spellStart"/>
      <w:r w:rsidRPr="0011461B">
        <w:rPr>
          <w:rFonts w:ascii="Georgia" w:hAnsi="Georgia" w:cs="Times New Roman"/>
          <w:sz w:val="24"/>
          <w:szCs w:val="24"/>
        </w:rPr>
        <w:t>Gasper</w:t>
      </w:r>
      <w:proofErr w:type="spellEnd"/>
      <w:r w:rsidRPr="0011461B">
        <w:rPr>
          <w:rFonts w:ascii="Georgia" w:hAnsi="Georgia" w:cs="Times New Roman"/>
          <w:sz w:val="24"/>
          <w:szCs w:val="24"/>
        </w:rPr>
        <w:t xml:space="preserve">, 2004). La conceptualización de bienestar parte del principio de la temporalidad con carácter fluctuante, indeterminado y diferente entre sí. Esto quiere decir que tiene una característica de pluralidad, en donde distintas variables se entrecruzan en el concepto de bienestar. Estas variables son principalmente de aspecto familiar, social, colectivo e individual; que a su vez actúan de manera objetiva y subjetiva. En otras palabras, el bienestar se ve atravesado por </w:t>
      </w:r>
      <w:r w:rsidRPr="0011461B">
        <w:rPr>
          <w:rFonts w:ascii="Georgia" w:hAnsi="Georgia" w:cs="Times New Roman"/>
          <w:sz w:val="24"/>
          <w:szCs w:val="24"/>
        </w:rPr>
        <w:lastRenderedPageBreak/>
        <w:t>dimensiones exteriores e interiores de las personas que lo experimentan (García y González, 2000).</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 las variables anteriores se le puede añadir la variable biológica (no necesariamente compartida por los teóricos del bienestar, pues las corrientes de investigación varían de autor en autor, algunos desdeñando el biologismo de estas corrientes), entendiendo que somos seres biopsicosociales. Esta variable, según Díaz (2001), está basada en el principio de predisposición biológica en rasgos de la personalidad y el carácter que influyen sobre la persona, desde un carácter biológico, que influye en el bienestar de las personas.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La noción de bienestar está vinculada a una perspectiva psicológica que se relaciona con el concepto de felicidad, basado esencialmente en apreciaciones culturales y con un estricto carácter particular y subjetivo (Uribe, 2004). Las dimensiones afectivas y cognitivas de bienestar también se contemplan dentro del concepto de bienestar. Estas dimensiones están directamente relacionadas con las valoraciones de las personas respecto al bienestar personal, de las cuales se desprende el valor de la felicidad relacionada con la dimensión afectiva y los valores de satisfacción (Campbell, Converse y </w:t>
      </w:r>
      <w:proofErr w:type="spellStart"/>
      <w:r w:rsidRPr="0011461B">
        <w:rPr>
          <w:rFonts w:ascii="Georgia" w:hAnsi="Georgia" w:cs="Times New Roman"/>
          <w:sz w:val="24"/>
          <w:szCs w:val="24"/>
        </w:rPr>
        <w:t>Rodgeren</w:t>
      </w:r>
      <w:proofErr w:type="spellEnd"/>
      <w:r w:rsidRPr="0011461B">
        <w:rPr>
          <w:rFonts w:ascii="Georgia" w:hAnsi="Georgia" w:cs="Times New Roman"/>
          <w:sz w:val="24"/>
          <w:szCs w:val="24"/>
        </w:rPr>
        <w:t xml:space="preserve"> 1992 citados en Arango, 1993)</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Del bienestar, podemos rastrear distintas posturas teóricas al respecto, por un lado, existen dos conceptos que se orientan a dos prácticas diferentes en la investigación sobre bienestar; el bienestar subjetivo enfocado en la vivencia en cuanto a la satisfacción de las necesidades personales y en tener un nivel bajo de sentimiento negativo y alto de afecto positivo, esta es una perspectiva hedonista. Por otro lado, se encuentra el bienestar psicológico que tiene inmersos temas como desarrollo propio, poseer un objetivo en la vida y una realización propia describiendo una perspectiva </w:t>
      </w:r>
      <w:proofErr w:type="spellStart"/>
      <w:r w:rsidRPr="0011461B">
        <w:rPr>
          <w:rFonts w:ascii="Georgia" w:hAnsi="Georgia" w:cs="Times New Roman"/>
          <w:sz w:val="24"/>
          <w:szCs w:val="24"/>
        </w:rPr>
        <w:t>eudaimónica</w:t>
      </w:r>
      <w:proofErr w:type="spellEnd"/>
      <w:r w:rsidRPr="0011461B">
        <w:rPr>
          <w:rFonts w:ascii="Georgia" w:hAnsi="Georgia" w:cs="Times New Roman"/>
          <w:sz w:val="24"/>
          <w:szCs w:val="24"/>
        </w:rPr>
        <w:t>, (Barrantes y Ureña, 2015).</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Sin embargo, desde la perspectiva anglosajona se encuentran dos conceptos diferentes para la traducción de bienestar: por un lado, </w:t>
      </w:r>
      <w:proofErr w:type="spellStart"/>
      <w:r w:rsidRPr="0011461B">
        <w:rPr>
          <w:rFonts w:ascii="Georgia" w:hAnsi="Georgia" w:cs="Times New Roman"/>
          <w:i/>
          <w:sz w:val="24"/>
          <w:szCs w:val="24"/>
        </w:rPr>
        <w:t>Well-Being</w:t>
      </w:r>
      <w:proofErr w:type="spellEnd"/>
      <w:r w:rsidRPr="0011461B">
        <w:rPr>
          <w:rFonts w:ascii="Georgia" w:hAnsi="Georgia" w:cs="Times New Roman"/>
          <w:sz w:val="24"/>
          <w:szCs w:val="24"/>
        </w:rPr>
        <w:t xml:space="preserve"> y por el otro </w:t>
      </w:r>
      <w:proofErr w:type="spellStart"/>
      <w:r w:rsidRPr="0011461B">
        <w:rPr>
          <w:rFonts w:ascii="Georgia" w:hAnsi="Georgia" w:cs="Times New Roman"/>
          <w:i/>
          <w:sz w:val="24"/>
          <w:szCs w:val="24"/>
        </w:rPr>
        <w:t>Welfare</w:t>
      </w:r>
      <w:proofErr w:type="spellEnd"/>
      <w:r w:rsidRPr="0011461B">
        <w:rPr>
          <w:rFonts w:ascii="Georgia" w:hAnsi="Georgia" w:cs="Times New Roman"/>
          <w:sz w:val="24"/>
          <w:szCs w:val="24"/>
        </w:rPr>
        <w:t xml:space="preserve">. En español solo hay una significación posible, pero entre estos dos conceptos hay distinciones establecidas por las investigaciones de bienestar (Arango, 1993). El término </w:t>
      </w:r>
      <w:proofErr w:type="spellStart"/>
      <w:r w:rsidRPr="0011461B">
        <w:rPr>
          <w:rFonts w:ascii="Georgia" w:hAnsi="Georgia" w:cs="Times New Roman"/>
          <w:i/>
          <w:sz w:val="24"/>
          <w:szCs w:val="24"/>
        </w:rPr>
        <w:t>Well-Being</w:t>
      </w:r>
      <w:proofErr w:type="spellEnd"/>
      <w:r w:rsidRPr="0011461B">
        <w:rPr>
          <w:rFonts w:ascii="Georgia" w:hAnsi="Georgia" w:cs="Times New Roman"/>
          <w:sz w:val="24"/>
          <w:szCs w:val="24"/>
        </w:rPr>
        <w:t xml:space="preserve"> se refiere a lo psicológico, a las percepciones individuales y subjetivas que tiene cada persona sobre determinada situación que experimenta y el concepto de </w:t>
      </w:r>
      <w:proofErr w:type="spellStart"/>
      <w:r w:rsidRPr="0011461B">
        <w:rPr>
          <w:rFonts w:ascii="Georgia" w:hAnsi="Georgia" w:cs="Times New Roman"/>
          <w:i/>
          <w:sz w:val="24"/>
          <w:szCs w:val="24"/>
        </w:rPr>
        <w:t>Welfare</w:t>
      </w:r>
      <w:proofErr w:type="spellEnd"/>
      <w:r w:rsidRPr="0011461B">
        <w:rPr>
          <w:rFonts w:ascii="Georgia" w:hAnsi="Georgia" w:cs="Times New Roman"/>
          <w:sz w:val="24"/>
          <w:szCs w:val="24"/>
        </w:rPr>
        <w:t xml:space="preserve"> se refiere más a concepciones sociales o políticas, por esta razón se escuchan en los discursos políticos sobre el bienestar de la sociedad. </w:t>
      </w:r>
      <w:r w:rsidR="00B81F2E" w:rsidRPr="0011461B">
        <w:rPr>
          <w:rFonts w:ascii="Georgia" w:hAnsi="Georgia" w:cs="Times New Roman"/>
          <w:sz w:val="24"/>
          <w:szCs w:val="24"/>
        </w:rPr>
        <w:t>De acuerdo con</w:t>
      </w:r>
      <w:r w:rsidRPr="0011461B">
        <w:rPr>
          <w:rFonts w:ascii="Georgia" w:hAnsi="Georgia" w:cs="Times New Roman"/>
          <w:sz w:val="24"/>
          <w:szCs w:val="24"/>
        </w:rPr>
        <w:t xml:space="preserve"> estas dos acepciones, según Moix (1986) citado por Arango (1993) el bienestar tiene tres características, objetividad que tiene en cuenta situaciones y condiciones neutrales, externalidad se refiere a que se puede observar desde afuera, y minimalidad que existen requisitos básicos que deben ser atendidos para llegar a un estado de bienestar.  </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ab/>
        <w:t xml:space="preserve">Algunos expertos han comprendido también el bienestar como manifestación de lo afectivo.  Entienden el bienestar como la evaluación cognitiva, como una valoración en la coherencia de las expectativas anheladas y la realidad conseguida en su vida. Como ya </w:t>
      </w:r>
      <w:r w:rsidR="00E14474" w:rsidRPr="0011461B">
        <w:rPr>
          <w:rFonts w:ascii="Georgia" w:hAnsi="Georgia" w:cs="Times New Roman"/>
          <w:sz w:val="24"/>
          <w:szCs w:val="24"/>
        </w:rPr>
        <w:t>se dijo</w:t>
      </w:r>
      <w:r w:rsidRPr="0011461B">
        <w:rPr>
          <w:rFonts w:ascii="Georgia" w:hAnsi="Georgia" w:cs="Times New Roman"/>
          <w:sz w:val="24"/>
          <w:szCs w:val="24"/>
        </w:rPr>
        <w:t xml:space="preserve"> anteriormente, </w:t>
      </w:r>
      <w:proofErr w:type="spellStart"/>
      <w:r w:rsidRPr="0011461B">
        <w:rPr>
          <w:rFonts w:ascii="Georgia" w:hAnsi="Georgia" w:cs="Times New Roman"/>
          <w:sz w:val="24"/>
          <w:szCs w:val="24"/>
        </w:rPr>
        <w:t>Diener</w:t>
      </w:r>
      <w:proofErr w:type="spellEnd"/>
      <w:r w:rsidR="00C4171E" w:rsidRPr="0011461B">
        <w:rPr>
          <w:rFonts w:ascii="Georgia" w:hAnsi="Georgia" w:cs="Times New Roman"/>
          <w:sz w:val="24"/>
          <w:szCs w:val="24"/>
        </w:rPr>
        <w:t xml:space="preserve">, </w:t>
      </w:r>
      <w:proofErr w:type="spellStart"/>
      <w:r w:rsidR="00C4171E" w:rsidRPr="0011461B">
        <w:rPr>
          <w:rFonts w:ascii="Georgia" w:hAnsi="Georgia" w:cs="Times New Roman"/>
          <w:sz w:val="24"/>
          <w:szCs w:val="24"/>
        </w:rPr>
        <w:t>Oishi</w:t>
      </w:r>
      <w:proofErr w:type="spellEnd"/>
      <w:r w:rsidR="00C4171E" w:rsidRPr="0011461B">
        <w:rPr>
          <w:rFonts w:ascii="Georgia" w:hAnsi="Georgia" w:cs="Times New Roman"/>
          <w:sz w:val="24"/>
          <w:szCs w:val="24"/>
        </w:rPr>
        <w:t xml:space="preserve"> &amp; </w:t>
      </w:r>
      <w:proofErr w:type="spellStart"/>
      <w:r w:rsidR="00C4171E" w:rsidRPr="0011461B">
        <w:rPr>
          <w:rFonts w:ascii="Georgia" w:hAnsi="Georgia" w:cs="Times New Roman"/>
          <w:sz w:val="24"/>
          <w:szCs w:val="24"/>
        </w:rPr>
        <w:t>Tay</w:t>
      </w:r>
      <w:proofErr w:type="spellEnd"/>
      <w:r w:rsidRPr="0011461B">
        <w:rPr>
          <w:rFonts w:ascii="Georgia" w:hAnsi="Georgia" w:cs="Times New Roman"/>
          <w:sz w:val="24"/>
          <w:szCs w:val="24"/>
        </w:rPr>
        <w:t xml:space="preserve"> (</w:t>
      </w:r>
      <w:r w:rsidR="00C4171E" w:rsidRPr="0011461B">
        <w:rPr>
          <w:rFonts w:ascii="Georgia" w:hAnsi="Georgia" w:cs="Times New Roman"/>
          <w:sz w:val="24"/>
          <w:szCs w:val="24"/>
        </w:rPr>
        <w:t>2018)</w:t>
      </w:r>
      <w:r w:rsidRPr="0011461B">
        <w:rPr>
          <w:rFonts w:ascii="Georgia" w:hAnsi="Georgia" w:cs="Times New Roman"/>
          <w:sz w:val="24"/>
          <w:szCs w:val="24"/>
        </w:rPr>
        <w:t xml:space="preserve"> propone</w:t>
      </w:r>
      <w:r w:rsidR="00C4171E" w:rsidRPr="0011461B">
        <w:rPr>
          <w:rFonts w:ascii="Georgia" w:hAnsi="Georgia" w:cs="Times New Roman"/>
          <w:sz w:val="24"/>
          <w:szCs w:val="24"/>
        </w:rPr>
        <w:t>n</w:t>
      </w:r>
      <w:r w:rsidRPr="0011461B">
        <w:rPr>
          <w:rFonts w:ascii="Georgia" w:hAnsi="Georgia" w:cs="Times New Roman"/>
          <w:sz w:val="24"/>
          <w:szCs w:val="24"/>
        </w:rPr>
        <w:t xml:space="preserve"> una visión más integradora con la determinada percepción Hedonista</w:t>
      </w:r>
      <w:r w:rsidR="00C4171E" w:rsidRPr="0011461B">
        <w:rPr>
          <w:rFonts w:ascii="Georgia" w:hAnsi="Georgia" w:cs="Times New Roman"/>
          <w:sz w:val="24"/>
          <w:szCs w:val="24"/>
        </w:rPr>
        <w:t>.</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lastRenderedPageBreak/>
        <w:t>En conclusión, el bienestar no es un constructo que dependa de una sola variable, o de un solo individuo, sino en realidad depende tanto de los diferentes contextos en los que la persona se desarrolla como de la manera en que esta los percibe.</w:t>
      </w:r>
    </w:p>
    <w:p w:rsidR="00C749D6" w:rsidRPr="0011461B" w:rsidRDefault="00C749D6" w:rsidP="0011461B">
      <w:pPr>
        <w:spacing w:line="240" w:lineRule="auto"/>
        <w:rPr>
          <w:rFonts w:ascii="Georgia" w:hAnsi="Georgia" w:cs="Times New Roman"/>
          <w:b/>
          <w:i/>
          <w:sz w:val="24"/>
          <w:szCs w:val="24"/>
        </w:rPr>
      </w:pPr>
      <w:r w:rsidRPr="0011461B">
        <w:rPr>
          <w:rFonts w:ascii="Georgia" w:hAnsi="Georgia" w:cs="Times New Roman"/>
          <w:b/>
          <w:i/>
          <w:sz w:val="24"/>
          <w:szCs w:val="24"/>
        </w:rPr>
        <w:t>Bienestar Infantil.</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ab/>
        <w:t>El bienestar del niño se entiende a menudo en términos del futuro de los niños, centrándose en su educación y empleabilidad futura, olvidándose en muchas ocasiones la condición actual del bienestar de los niños (Ben-</w:t>
      </w:r>
      <w:proofErr w:type="spellStart"/>
      <w:r w:rsidRPr="0011461B">
        <w:rPr>
          <w:rFonts w:ascii="Georgia" w:hAnsi="Georgia" w:cs="Times New Roman"/>
          <w:sz w:val="24"/>
          <w:szCs w:val="24"/>
        </w:rPr>
        <w:t>Arieh</w:t>
      </w:r>
      <w:proofErr w:type="spellEnd"/>
      <w:r w:rsidRPr="0011461B">
        <w:rPr>
          <w:rFonts w:ascii="Georgia" w:hAnsi="Georgia" w:cs="Times New Roman"/>
          <w:sz w:val="24"/>
          <w:szCs w:val="24"/>
        </w:rPr>
        <w:t xml:space="preserve">, 2007). Como se aprecia el discurso sobre el bienestar del niño es también el discurso del </w:t>
      </w:r>
      <w:proofErr w:type="spellStart"/>
      <w:r w:rsidRPr="0011461B">
        <w:rPr>
          <w:rFonts w:ascii="Georgia" w:hAnsi="Georgia" w:cs="Times New Roman"/>
          <w:i/>
          <w:sz w:val="24"/>
          <w:szCs w:val="24"/>
        </w:rPr>
        <w:t>Well-Being</w:t>
      </w:r>
      <w:proofErr w:type="spellEnd"/>
      <w:r w:rsidRPr="0011461B">
        <w:rPr>
          <w:rFonts w:ascii="Georgia" w:hAnsi="Georgia" w:cs="Times New Roman"/>
          <w:i/>
          <w:sz w:val="24"/>
          <w:szCs w:val="24"/>
        </w:rPr>
        <w:t xml:space="preserve"> </w:t>
      </w:r>
      <w:r w:rsidRPr="0011461B">
        <w:rPr>
          <w:rFonts w:ascii="Georgia" w:hAnsi="Georgia" w:cs="Times New Roman"/>
          <w:sz w:val="24"/>
          <w:szCs w:val="24"/>
        </w:rPr>
        <w:t>y</w:t>
      </w:r>
      <w:r w:rsidRPr="0011461B">
        <w:rPr>
          <w:rFonts w:ascii="Georgia" w:hAnsi="Georgia" w:cs="Times New Roman"/>
          <w:i/>
          <w:sz w:val="24"/>
          <w:szCs w:val="24"/>
        </w:rPr>
        <w:t xml:space="preserve"> </w:t>
      </w:r>
      <w:proofErr w:type="spellStart"/>
      <w:r w:rsidRPr="0011461B">
        <w:rPr>
          <w:rFonts w:ascii="Georgia" w:hAnsi="Georgia" w:cs="Times New Roman"/>
          <w:i/>
          <w:sz w:val="24"/>
          <w:szCs w:val="24"/>
        </w:rPr>
        <w:t>Well-Becoming</w:t>
      </w:r>
      <w:proofErr w:type="spellEnd"/>
      <w:r w:rsidRPr="0011461B">
        <w:rPr>
          <w:rFonts w:ascii="Georgia" w:hAnsi="Georgia" w:cs="Times New Roman"/>
          <w:sz w:val="24"/>
          <w:szCs w:val="24"/>
        </w:rPr>
        <w:t>. En los últimos años, se han logrado consensos entre las comunidades profesionales y académicas (incluyendo defensores, investigadores y académicos centrados en medir y supervisar el bienestar de los niños y los indicadores infantiles) que este campo está cambiando hacia un enfoque menos reduccionista respecto al bienestar infantil (</w:t>
      </w:r>
      <w:proofErr w:type="spellStart"/>
      <w:r w:rsidRPr="0011461B">
        <w:rPr>
          <w:rFonts w:ascii="Georgia" w:hAnsi="Georgia" w:cs="Times New Roman"/>
          <w:sz w:val="24"/>
          <w:szCs w:val="24"/>
        </w:rPr>
        <w:t>Hauser</w:t>
      </w:r>
      <w:proofErr w:type="spellEnd"/>
      <w:r w:rsidRPr="0011461B">
        <w:rPr>
          <w:rFonts w:ascii="Georgia" w:hAnsi="Georgia" w:cs="Times New Roman"/>
          <w:sz w:val="24"/>
          <w:szCs w:val="24"/>
        </w:rPr>
        <w:t xml:space="preserve">, Brown y </w:t>
      </w:r>
      <w:proofErr w:type="spellStart"/>
      <w:r w:rsidRPr="0011461B">
        <w:rPr>
          <w:rFonts w:ascii="Georgia" w:hAnsi="Georgia" w:cs="Times New Roman"/>
          <w:sz w:val="24"/>
          <w:szCs w:val="24"/>
        </w:rPr>
        <w:t>Prosser</w:t>
      </w:r>
      <w:proofErr w:type="spellEnd"/>
      <w:r w:rsidRPr="0011461B">
        <w:rPr>
          <w:rFonts w:ascii="Georgia" w:hAnsi="Georgia" w:cs="Times New Roman"/>
          <w:sz w:val="24"/>
          <w:szCs w:val="24"/>
        </w:rPr>
        <w:t xml:space="preserve">, 1997; Moore, </w:t>
      </w:r>
      <w:proofErr w:type="spellStart"/>
      <w:r w:rsidRPr="0011461B">
        <w:rPr>
          <w:rFonts w:ascii="Georgia" w:hAnsi="Georgia" w:cs="Times New Roman"/>
          <w:sz w:val="24"/>
          <w:szCs w:val="24"/>
        </w:rPr>
        <w:t>Lippman</w:t>
      </w:r>
      <w:proofErr w:type="spellEnd"/>
      <w:r w:rsidRPr="0011461B">
        <w:rPr>
          <w:rFonts w:ascii="Georgia" w:hAnsi="Georgia" w:cs="Times New Roman"/>
          <w:sz w:val="24"/>
          <w:szCs w:val="24"/>
        </w:rPr>
        <w:t xml:space="preserve"> y Brown, 2004),</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Generalmente dentro de la literatura acerca del bienestar infantil se suele encontrar referencias respecto a cómo este bienestar encamina de manera adecuada una etapa a otra (la niñez a la adultez). Se piensa, entonces, que los valores indicativos de bienestar de un niño radican en los valores indicativos de bienestar que podrá alcanzar en su etapa adulta, sin considerar la relevancia del bienestar del niño, siendo niño. Un bienestar que no tiene miras a otra etapa. Si bien es cierto que la relevancia de estos estudios es determinante para la comprensión y análisis de individuos adultos, es de igual importancia los estudios de la niñez centrada en la niñez. Esta postura trae consigo nuevas ideas y enfoques en cuanto a los indicadores de bienestar de los niños (</w:t>
      </w:r>
      <w:proofErr w:type="spellStart"/>
      <w:r w:rsidRPr="0011461B">
        <w:rPr>
          <w:rFonts w:ascii="Georgia" w:hAnsi="Georgia" w:cs="Times New Roman"/>
          <w:sz w:val="24"/>
          <w:szCs w:val="24"/>
        </w:rPr>
        <w:t>Kamerman</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Phips</w:t>
      </w:r>
      <w:proofErr w:type="spellEnd"/>
      <w:r w:rsidRPr="0011461B">
        <w:rPr>
          <w:rFonts w:ascii="Georgia" w:hAnsi="Georgia" w:cs="Times New Roman"/>
          <w:sz w:val="24"/>
          <w:szCs w:val="24"/>
        </w:rPr>
        <w:t>, Ben-</w:t>
      </w:r>
      <w:proofErr w:type="spellStart"/>
      <w:r w:rsidRPr="0011461B">
        <w:rPr>
          <w:rFonts w:ascii="Georgia" w:hAnsi="Georgia" w:cs="Times New Roman"/>
          <w:sz w:val="24"/>
          <w:szCs w:val="24"/>
        </w:rPr>
        <w:t>Arieh</w:t>
      </w:r>
      <w:proofErr w:type="spellEnd"/>
      <w:r w:rsidRPr="0011461B">
        <w:rPr>
          <w:rFonts w:ascii="Georgia" w:hAnsi="Georgia" w:cs="Times New Roman"/>
          <w:sz w:val="24"/>
          <w:szCs w:val="24"/>
        </w:rPr>
        <w:t xml:space="preserve">, 2010).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El campo de bienestar infantil está experimentando cuatro cambios principales en su enfoque teórico respecto a cómo entender el bienestar infantil: de la supervivencia al bienestar, de negativo a positivo, de </w:t>
      </w:r>
      <w:proofErr w:type="spellStart"/>
      <w:r w:rsidRPr="0011461B">
        <w:rPr>
          <w:rFonts w:ascii="Georgia" w:hAnsi="Georgia" w:cs="Times New Roman"/>
          <w:i/>
          <w:sz w:val="24"/>
          <w:szCs w:val="24"/>
        </w:rPr>
        <w:t>Well-Becoming</w:t>
      </w:r>
      <w:proofErr w:type="spellEnd"/>
      <w:r w:rsidRPr="0011461B">
        <w:rPr>
          <w:rFonts w:ascii="Georgia" w:hAnsi="Georgia" w:cs="Times New Roman"/>
          <w:sz w:val="24"/>
          <w:szCs w:val="24"/>
        </w:rPr>
        <w:t xml:space="preserve"> a </w:t>
      </w:r>
      <w:proofErr w:type="spellStart"/>
      <w:r w:rsidRPr="0011461B">
        <w:rPr>
          <w:rFonts w:ascii="Georgia" w:hAnsi="Georgia" w:cs="Times New Roman"/>
          <w:i/>
          <w:sz w:val="24"/>
          <w:szCs w:val="24"/>
        </w:rPr>
        <w:t>Well-Being</w:t>
      </w:r>
      <w:proofErr w:type="spellEnd"/>
      <w:r w:rsidRPr="0011461B">
        <w:rPr>
          <w:rFonts w:ascii="Georgia" w:hAnsi="Georgia" w:cs="Times New Roman"/>
          <w:sz w:val="24"/>
          <w:szCs w:val="24"/>
        </w:rPr>
        <w:t>, y de dominios tradicionales a nuevos. Estos cambios se producen prácticamente en todas partes, aunque a diferentes ritmos en diferentes lugares, abriendo el espectro del estudio del bienestar infantil en las ciencias sociales (Ben-</w:t>
      </w:r>
      <w:proofErr w:type="spellStart"/>
      <w:r w:rsidRPr="0011461B">
        <w:rPr>
          <w:rFonts w:ascii="Georgia" w:hAnsi="Georgia" w:cs="Times New Roman"/>
          <w:sz w:val="24"/>
          <w:szCs w:val="24"/>
        </w:rPr>
        <w:t>Arieh</w:t>
      </w:r>
      <w:proofErr w:type="spellEnd"/>
      <w:r w:rsidRPr="0011461B">
        <w:rPr>
          <w:rFonts w:ascii="Georgia" w:hAnsi="Georgia" w:cs="Times New Roman"/>
          <w:sz w:val="24"/>
          <w:szCs w:val="24"/>
        </w:rPr>
        <w:t>, 2006).</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Estudios previos han demostrado que los cuatro cambios antes mencionados están interrelacionados y son, tanto la razón como el resultado de cada uno de ellos (Ben-</w:t>
      </w:r>
      <w:proofErr w:type="spellStart"/>
      <w:r w:rsidRPr="0011461B">
        <w:rPr>
          <w:rFonts w:ascii="Georgia" w:hAnsi="Georgia" w:cs="Times New Roman"/>
          <w:sz w:val="24"/>
          <w:szCs w:val="24"/>
        </w:rPr>
        <w:t>Arieh</w:t>
      </w:r>
      <w:proofErr w:type="spellEnd"/>
      <w:r w:rsidRPr="0011461B">
        <w:rPr>
          <w:rFonts w:ascii="Georgia" w:hAnsi="Georgia" w:cs="Times New Roman"/>
          <w:sz w:val="24"/>
          <w:szCs w:val="24"/>
        </w:rPr>
        <w:t>, 2000). Hasta hace poco, cuando se medía el estado de bienestar de los niños, los investigadores se interesaban por los dominios tradicionales, definidos por la profesión o por un servicio social (educación, salud, cuidado de crianza, etc.). Mirar el bienestar de los niños más allá de la supervivencia, en los aspectos positivos de la vida y en el bienestar actual de los niños y no en su devenir futuro como adultos, naturalmente pone en foco nuevos aspectos del bienestar del niño como las habilidades para la vida de los niños, la participación familiar, la participación cívica de los niños y la cultura de los niños (Ben-</w:t>
      </w:r>
      <w:proofErr w:type="spellStart"/>
      <w:r w:rsidRPr="0011461B">
        <w:rPr>
          <w:rFonts w:ascii="Georgia" w:hAnsi="Georgia" w:cs="Times New Roman"/>
          <w:sz w:val="24"/>
          <w:szCs w:val="24"/>
        </w:rPr>
        <w:t>Arieh</w:t>
      </w:r>
      <w:proofErr w:type="spellEnd"/>
      <w:r w:rsidRPr="0011461B">
        <w:rPr>
          <w:rFonts w:ascii="Georgia" w:hAnsi="Georgia" w:cs="Times New Roman"/>
          <w:sz w:val="24"/>
          <w:szCs w:val="24"/>
        </w:rPr>
        <w:t>, 2006).</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lastRenderedPageBreak/>
        <w:t xml:space="preserve">Por otro lado, el cambio hacia el </w:t>
      </w:r>
      <w:proofErr w:type="spellStart"/>
      <w:r w:rsidRPr="0011461B">
        <w:rPr>
          <w:rFonts w:ascii="Georgia" w:hAnsi="Georgia" w:cs="Times New Roman"/>
          <w:i/>
          <w:sz w:val="24"/>
          <w:szCs w:val="24"/>
        </w:rPr>
        <w:t>Well-Being</w:t>
      </w:r>
      <w:proofErr w:type="spellEnd"/>
      <w:r w:rsidRPr="0011461B">
        <w:rPr>
          <w:rFonts w:ascii="Georgia" w:hAnsi="Georgia" w:cs="Times New Roman"/>
          <w:sz w:val="24"/>
          <w:szCs w:val="24"/>
        </w:rPr>
        <w:t xml:space="preserve">, que es el </w:t>
      </w:r>
      <w:proofErr w:type="spellStart"/>
      <w:r w:rsidRPr="0011461B">
        <w:rPr>
          <w:rFonts w:ascii="Georgia" w:hAnsi="Georgia" w:cs="Times New Roman"/>
          <w:i/>
          <w:sz w:val="24"/>
          <w:szCs w:val="24"/>
        </w:rPr>
        <w:t>Well-Becoming</w:t>
      </w:r>
      <w:proofErr w:type="spellEnd"/>
      <w:r w:rsidRPr="0011461B">
        <w:rPr>
          <w:rFonts w:ascii="Georgia" w:hAnsi="Georgia" w:cs="Times New Roman"/>
          <w:sz w:val="24"/>
          <w:szCs w:val="24"/>
        </w:rPr>
        <w:t xml:space="preserve"> describe un enfoque futuro: es decir, preparar a los niños para ser adultos productivos y felices. A finales del siglo pasado, se sentaron las bases para considerar el bienestar de los niños al afirmar que la preocupación convencional con la próxima generación es una preocupación de los adultos (</w:t>
      </w:r>
      <w:proofErr w:type="spellStart"/>
      <w:r w:rsidRPr="0011461B">
        <w:rPr>
          <w:rFonts w:ascii="Georgia" w:hAnsi="Georgia" w:cs="Times New Roman"/>
          <w:sz w:val="24"/>
          <w:szCs w:val="24"/>
        </w:rPr>
        <w:t>Qvortrup</w:t>
      </w:r>
      <w:proofErr w:type="spellEnd"/>
      <w:r w:rsidRPr="0011461B">
        <w:rPr>
          <w:rFonts w:ascii="Georgia" w:hAnsi="Georgia" w:cs="Times New Roman"/>
          <w:sz w:val="24"/>
          <w:szCs w:val="24"/>
        </w:rPr>
        <w:t xml:space="preserve"> en </w:t>
      </w:r>
      <w:proofErr w:type="spellStart"/>
      <w:r w:rsidRPr="0011461B">
        <w:rPr>
          <w:rFonts w:ascii="Georgia" w:hAnsi="Georgia" w:cs="Times New Roman"/>
          <w:sz w:val="24"/>
          <w:szCs w:val="24"/>
        </w:rPr>
        <w:t>Kamerman</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Phips</w:t>
      </w:r>
      <w:proofErr w:type="spellEnd"/>
      <w:r w:rsidRPr="0011461B">
        <w:rPr>
          <w:rFonts w:ascii="Georgia" w:hAnsi="Georgia" w:cs="Times New Roman"/>
          <w:sz w:val="24"/>
          <w:szCs w:val="24"/>
        </w:rPr>
        <w:t>, y Ben-</w:t>
      </w:r>
      <w:proofErr w:type="spellStart"/>
      <w:r w:rsidRPr="0011461B">
        <w:rPr>
          <w:rFonts w:ascii="Georgia" w:hAnsi="Georgia" w:cs="Times New Roman"/>
          <w:sz w:val="24"/>
          <w:szCs w:val="24"/>
        </w:rPr>
        <w:t>Arieh</w:t>
      </w:r>
      <w:proofErr w:type="spellEnd"/>
      <w:r w:rsidRPr="0011461B">
        <w:rPr>
          <w:rFonts w:ascii="Georgia" w:hAnsi="Georgia" w:cs="Times New Roman"/>
          <w:sz w:val="24"/>
          <w:szCs w:val="24"/>
        </w:rPr>
        <w:t xml:space="preserve">, 2010). De esta manera, no se están juzgando las perspectivas respecto al bienestar infantil, sino que se expande la visión de éste dentro del campo del conocimiento; cualquier persona interesada en los niños y la niñez también debe estar interesada en la infancia presente y futura. En otras palabras, los niños son instrumentalizados por las perspectivas prospectivas, en el sentido de que poseer un "buena vida" se pospone hasta la edad adulta. Así, las perspectivas del bienestar se centran en las oportunidades actuales más que en las provisiones a futuro. De los cambios de perspectivas anteriores, se redefine el </w:t>
      </w:r>
      <w:proofErr w:type="spellStart"/>
      <w:r w:rsidRPr="0011461B">
        <w:rPr>
          <w:rFonts w:ascii="Georgia" w:hAnsi="Georgia" w:cs="Times New Roman"/>
          <w:i/>
          <w:sz w:val="24"/>
          <w:szCs w:val="24"/>
        </w:rPr>
        <w:t>Well-Being</w:t>
      </w:r>
      <w:proofErr w:type="spellEnd"/>
      <w:r w:rsidRPr="0011461B">
        <w:rPr>
          <w:rFonts w:ascii="Georgia" w:hAnsi="Georgia" w:cs="Times New Roman"/>
          <w:sz w:val="24"/>
          <w:szCs w:val="24"/>
        </w:rPr>
        <w:t xml:space="preserve"> con el propósito de describir el bienestar actual de los niños. En contraste, al término "bienestar" desde el </w:t>
      </w:r>
      <w:proofErr w:type="spellStart"/>
      <w:r w:rsidRPr="0011461B">
        <w:rPr>
          <w:rFonts w:ascii="Georgia" w:hAnsi="Georgia" w:cs="Times New Roman"/>
          <w:i/>
          <w:sz w:val="24"/>
          <w:szCs w:val="24"/>
        </w:rPr>
        <w:t>Well-Becoming</w:t>
      </w:r>
      <w:proofErr w:type="spellEnd"/>
      <w:r w:rsidRPr="0011461B">
        <w:rPr>
          <w:rFonts w:ascii="Georgia" w:hAnsi="Georgia" w:cs="Times New Roman"/>
          <w:sz w:val="24"/>
          <w:szCs w:val="24"/>
        </w:rPr>
        <w:t xml:space="preserve"> que se utiliza para describir un enfoque orientado hacia el futuro (es decir, preparar a los niños a una edad adulta productiva y feliz) (</w:t>
      </w:r>
      <w:proofErr w:type="spellStart"/>
      <w:r w:rsidRPr="0011461B">
        <w:rPr>
          <w:rFonts w:ascii="Georgia" w:hAnsi="Georgia" w:cs="Times New Roman"/>
          <w:sz w:val="24"/>
          <w:szCs w:val="24"/>
        </w:rPr>
        <w:t>DeLone</w:t>
      </w:r>
      <w:proofErr w:type="spellEnd"/>
      <w:r w:rsidRPr="0011461B">
        <w:rPr>
          <w:rFonts w:ascii="Georgia" w:hAnsi="Georgia" w:cs="Times New Roman"/>
          <w:sz w:val="24"/>
          <w:szCs w:val="24"/>
        </w:rPr>
        <w:t>, 1979).</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En este orden de ideas, entendemos entonces que los niños, al igual que los adultos, merecen un campo dentro de los estudios del bienestar. Si pensamos en los enfoques de políticas públicas veremos que, a pesar de todavía los niños no son ciudadanos en ejercicio del derecho, son sujetos políticos que deben ser protegidos; por lo anterior, las ciencias sociales deben atender a este llamado social de entender el bienestar infantil como un estudio con campo propio que no sea subsidiario de los estudios de bienestar en la adultez.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Ahora teniendo en cuenta la perspectiva de los menores sobre el tema de bienestar infantil en Norteamérica, las investigaciones evidencian que los niños atribuyen una mayor relevancia a la estructura familiar y, además de esto, manifiestan que el tipo de organización familiar que más favorece al bienestar psicológico e infantil de los menores es una familia liderada por sus padres biológicos, con un matrimonio lo menos problemático posible (Moore, </w:t>
      </w:r>
      <w:proofErr w:type="spellStart"/>
      <w:r w:rsidRPr="0011461B">
        <w:rPr>
          <w:rFonts w:ascii="Georgia" w:hAnsi="Georgia" w:cs="Times New Roman"/>
          <w:sz w:val="24"/>
          <w:szCs w:val="24"/>
        </w:rPr>
        <w:t>Jekielek</w:t>
      </w:r>
      <w:proofErr w:type="spellEnd"/>
      <w:r w:rsidRPr="0011461B">
        <w:rPr>
          <w:rFonts w:ascii="Georgia" w:hAnsi="Georgia" w:cs="Times New Roman"/>
          <w:sz w:val="24"/>
          <w:szCs w:val="24"/>
        </w:rPr>
        <w:t xml:space="preserve"> &amp; </w:t>
      </w:r>
      <w:proofErr w:type="spellStart"/>
      <w:r w:rsidRPr="0011461B">
        <w:rPr>
          <w:rFonts w:ascii="Georgia" w:hAnsi="Georgia" w:cs="Times New Roman"/>
          <w:sz w:val="24"/>
          <w:szCs w:val="24"/>
        </w:rPr>
        <w:t>Emig</w:t>
      </w:r>
      <w:proofErr w:type="spellEnd"/>
      <w:r w:rsidRPr="0011461B">
        <w:rPr>
          <w:rFonts w:ascii="Georgia" w:hAnsi="Georgia" w:cs="Times New Roman"/>
          <w:sz w:val="24"/>
          <w:szCs w:val="24"/>
        </w:rPr>
        <w:t xml:space="preserve"> en Wilcox, 2006) (Castro, Riesco </w:t>
      </w:r>
      <w:proofErr w:type="spellStart"/>
      <w:r w:rsidRPr="0011461B">
        <w:rPr>
          <w:rFonts w:ascii="Georgia" w:hAnsi="Georgia" w:cs="Times New Roman"/>
          <w:sz w:val="24"/>
          <w:szCs w:val="24"/>
        </w:rPr>
        <w:t>Lind</w:t>
      </w:r>
      <w:proofErr w:type="spellEnd"/>
      <w:r w:rsidRPr="0011461B">
        <w:rPr>
          <w:rFonts w:ascii="Georgia" w:hAnsi="Georgia" w:cs="Times New Roman"/>
          <w:sz w:val="24"/>
          <w:szCs w:val="24"/>
        </w:rPr>
        <w:t>, y Bobadilla, 2016).</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Así mismo se ha evidenciado en las investigaciones norteamericanas recientes que el bienestar familiar influye de manera directa sobre el bienestar infantil, viéndose seriamente afectada la salud de los niños que crecen en familias frágiles y altamente disfuncionales. Con base en análisis exhaustivos, se ha demostrado que problemas de salud tales como: asma, hospitalizaciones, sobrepeso u obesidad, etc., corresponden en su gran mayoría a niños procedentes de familias compuestas por un solo padre, como es el caso de las familias que se encuentran conformadas por madres solteras. Realizando un paralelo, y teniendo presentes conceptos que son de suma importancia para determinar la calidad de la salud del niño como lo son la raza, edad materna, origen étnico, educación, entorno, etc., se ha logrado determinar que los niños que viven con padres o madres solteras tienen peores resultados en su salud respecto a los niños que viven en una familia compuesta por padre y madre dentro de un núcleo familiar clásico. Esto puede deberse a los cambios que pueden existir dentro de la estructura </w:t>
      </w:r>
      <w:r w:rsidRPr="0011461B">
        <w:rPr>
          <w:rFonts w:ascii="Georgia" w:hAnsi="Georgia" w:cs="Times New Roman"/>
          <w:sz w:val="24"/>
          <w:szCs w:val="24"/>
        </w:rPr>
        <w:lastRenderedPageBreak/>
        <w:t>familiar, siendo estos últimos muy volubles (</w:t>
      </w:r>
      <w:proofErr w:type="spellStart"/>
      <w:r w:rsidRPr="0011461B">
        <w:rPr>
          <w:rFonts w:ascii="Georgia" w:hAnsi="Georgia" w:cs="Times New Roman"/>
          <w:sz w:val="24"/>
          <w:szCs w:val="24"/>
        </w:rPr>
        <w:t>Waldfogel</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Craigie</w:t>
      </w:r>
      <w:proofErr w:type="spellEnd"/>
      <w:r w:rsidRPr="0011461B">
        <w:rPr>
          <w:rFonts w:ascii="Georgia" w:hAnsi="Georgia" w:cs="Times New Roman"/>
          <w:sz w:val="24"/>
          <w:szCs w:val="24"/>
        </w:rPr>
        <w:t>, y Brooks-</w:t>
      </w:r>
      <w:proofErr w:type="spellStart"/>
      <w:r w:rsidRPr="0011461B">
        <w:rPr>
          <w:rFonts w:ascii="Georgia" w:hAnsi="Georgia" w:cs="Times New Roman"/>
          <w:sz w:val="24"/>
          <w:szCs w:val="24"/>
        </w:rPr>
        <w:t>Gunn</w:t>
      </w:r>
      <w:proofErr w:type="spellEnd"/>
      <w:r w:rsidRPr="0011461B">
        <w:rPr>
          <w:rFonts w:ascii="Georgia" w:hAnsi="Georgia" w:cs="Times New Roman"/>
          <w:sz w:val="24"/>
          <w:szCs w:val="24"/>
        </w:rPr>
        <w:t>, 2010).</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De esta manera, llegamos a la conclusión que las estructuras de bienestar que dan fundamento al bienestar </w:t>
      </w:r>
      <w:r w:rsidR="00B81F2E" w:rsidRPr="0011461B">
        <w:rPr>
          <w:rFonts w:ascii="Georgia" w:hAnsi="Georgia" w:cs="Times New Roman"/>
          <w:sz w:val="24"/>
          <w:szCs w:val="24"/>
        </w:rPr>
        <w:t>infantil</w:t>
      </w:r>
      <w:r w:rsidRPr="0011461B">
        <w:rPr>
          <w:rFonts w:ascii="Georgia" w:hAnsi="Georgia" w:cs="Times New Roman"/>
          <w:sz w:val="24"/>
          <w:szCs w:val="24"/>
        </w:rPr>
        <w:t xml:space="preserve"> se encuentran en el bienestar familiar, el cual se fundamenta en las perspectivas individuales de los niños, sin caer en el reduccionismo de que el bienestar infantil es sólo aquél que lo encamina hacia una adultez con bienestar.</w:t>
      </w:r>
    </w:p>
    <w:p w:rsidR="00C749D6" w:rsidRPr="0011461B" w:rsidRDefault="00C749D6" w:rsidP="0011461B">
      <w:pPr>
        <w:spacing w:line="240" w:lineRule="auto"/>
        <w:rPr>
          <w:rFonts w:ascii="Georgia" w:hAnsi="Georgia" w:cs="Times New Roman"/>
          <w:b/>
          <w:i/>
          <w:sz w:val="24"/>
          <w:szCs w:val="24"/>
        </w:rPr>
      </w:pPr>
      <w:r w:rsidRPr="0011461B">
        <w:rPr>
          <w:rFonts w:ascii="Georgia" w:hAnsi="Georgia" w:cs="Times New Roman"/>
          <w:b/>
          <w:i/>
          <w:sz w:val="24"/>
          <w:szCs w:val="24"/>
        </w:rPr>
        <w:t>Bienestar Familiar.</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En general el concepto de bienestar familiar es adyacente y dependiente de factores externos e internos, siendo estos delimitados </w:t>
      </w:r>
      <w:r w:rsidR="00B81F2E" w:rsidRPr="0011461B">
        <w:rPr>
          <w:rFonts w:ascii="Georgia" w:hAnsi="Georgia" w:cs="Times New Roman"/>
          <w:sz w:val="24"/>
          <w:szCs w:val="24"/>
        </w:rPr>
        <w:t>de manera relevante</w:t>
      </w:r>
      <w:r w:rsidRPr="0011461B">
        <w:rPr>
          <w:rFonts w:ascii="Georgia" w:hAnsi="Georgia" w:cs="Times New Roman"/>
          <w:sz w:val="24"/>
          <w:szCs w:val="24"/>
        </w:rPr>
        <w:t xml:space="preserve"> por la comunidad a la cual pertenece la pareja</w:t>
      </w:r>
      <w:r w:rsidR="00B81F2E" w:rsidRPr="0011461B">
        <w:rPr>
          <w:rFonts w:ascii="Georgia" w:hAnsi="Georgia" w:cs="Times New Roman"/>
          <w:sz w:val="24"/>
          <w:szCs w:val="24"/>
        </w:rPr>
        <w:t xml:space="preserve"> que constituye la familia</w:t>
      </w:r>
      <w:r w:rsidRPr="0011461B">
        <w:rPr>
          <w:rFonts w:ascii="Georgia" w:hAnsi="Georgia" w:cs="Times New Roman"/>
          <w:sz w:val="24"/>
          <w:szCs w:val="24"/>
        </w:rPr>
        <w:t>. Pero aún más, puede estar ligado a la cultura establecida en la misma, generando así un ciclo o círculo, pues son las mismas familias las que crean comunidades y las mantienen vivas a lo largo del tiempo (</w:t>
      </w:r>
      <w:proofErr w:type="spellStart"/>
      <w:r w:rsidRPr="0011461B">
        <w:rPr>
          <w:rFonts w:ascii="Georgia" w:hAnsi="Georgia" w:cs="Times New Roman"/>
          <w:sz w:val="24"/>
          <w:szCs w:val="24"/>
        </w:rPr>
        <w:t>Waldfogel</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Craigie</w:t>
      </w:r>
      <w:proofErr w:type="spellEnd"/>
      <w:r w:rsidRPr="0011461B">
        <w:rPr>
          <w:rFonts w:ascii="Georgia" w:hAnsi="Georgia" w:cs="Times New Roman"/>
          <w:sz w:val="24"/>
          <w:szCs w:val="24"/>
        </w:rPr>
        <w:t>, y Brooks-</w:t>
      </w:r>
      <w:proofErr w:type="spellStart"/>
      <w:r w:rsidRPr="0011461B">
        <w:rPr>
          <w:rFonts w:ascii="Georgia" w:hAnsi="Georgia" w:cs="Times New Roman"/>
          <w:sz w:val="24"/>
          <w:szCs w:val="24"/>
        </w:rPr>
        <w:t>Gunn</w:t>
      </w:r>
      <w:proofErr w:type="spellEnd"/>
      <w:r w:rsidRPr="0011461B">
        <w:rPr>
          <w:rFonts w:ascii="Georgia" w:hAnsi="Georgia" w:cs="Times New Roman"/>
          <w:sz w:val="24"/>
          <w:szCs w:val="24"/>
        </w:rPr>
        <w:t>, 2010).</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Existe una cantidad de aspectos diferentes que pueden favorecer los valores de bienestar en los individuos como lo son: </w:t>
      </w:r>
      <w:bookmarkStart w:id="2" w:name="_Hlk4866005"/>
      <w:r w:rsidRPr="0011461B">
        <w:rPr>
          <w:rFonts w:ascii="Georgia" w:hAnsi="Georgia" w:cs="Times New Roman"/>
          <w:sz w:val="24"/>
          <w:szCs w:val="24"/>
        </w:rPr>
        <w:t>los factores económicos, el ambiente social (Herrera, Salinas &amp; Valenzuela, 2011),</w:t>
      </w:r>
      <w:bookmarkEnd w:id="2"/>
      <w:r w:rsidRPr="0011461B">
        <w:rPr>
          <w:rFonts w:ascii="Georgia" w:hAnsi="Georgia" w:cs="Times New Roman"/>
          <w:sz w:val="24"/>
          <w:szCs w:val="24"/>
        </w:rPr>
        <w:t xml:space="preserve"> la demanda laboral, la labor de las entidades públicas, el tipo de Estado del país -para Colombia un estado social de derecho-, el entorno político, la salud, la educación, la organización y estructura física gubernamental, etc. Aunque todos estos factores son importantes, se reconoce oficial y administrativamente que la familia es el núcleo y la institución más importante y fundamental (</w:t>
      </w:r>
      <w:proofErr w:type="spellStart"/>
      <w:r w:rsidRPr="0011461B">
        <w:rPr>
          <w:rFonts w:ascii="Georgia" w:hAnsi="Georgia" w:cs="Times New Roman"/>
          <w:sz w:val="24"/>
          <w:szCs w:val="24"/>
        </w:rPr>
        <w:t>Hertfelder</w:t>
      </w:r>
      <w:proofErr w:type="spellEnd"/>
      <w:r w:rsidRPr="0011461B">
        <w:rPr>
          <w:rFonts w:ascii="Georgia" w:hAnsi="Georgia" w:cs="Times New Roman"/>
          <w:sz w:val="24"/>
          <w:szCs w:val="24"/>
        </w:rPr>
        <w:t>, Martínez-Aedo &amp; Velarde, 2011) en la producción y promoción de bienestar y además de esto no es reemplazable (Castro, Riesco y Arela, 2016).</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Por otra parte, conectando el concepto de bienestar con el de familia, no se puede entender a esta última como un conjunto de ideas o una hipótesis que pueda llegar a ser netamente comprobable, se debe entender más como un núcleo de dialogo, que está basado en un</w:t>
      </w:r>
      <w:r w:rsidR="00B81F2E" w:rsidRPr="0011461B">
        <w:rPr>
          <w:rFonts w:ascii="Georgia" w:hAnsi="Georgia" w:cs="Times New Roman"/>
          <w:sz w:val="24"/>
          <w:szCs w:val="24"/>
        </w:rPr>
        <w:t>a</w:t>
      </w:r>
      <w:r w:rsidRPr="0011461B">
        <w:rPr>
          <w:rFonts w:ascii="Georgia" w:hAnsi="Georgia" w:cs="Times New Roman"/>
          <w:sz w:val="24"/>
          <w:szCs w:val="24"/>
        </w:rPr>
        <w:t xml:space="preserve"> </w:t>
      </w:r>
      <w:r w:rsidR="00B81F2E" w:rsidRPr="0011461B">
        <w:rPr>
          <w:rFonts w:ascii="Georgia" w:hAnsi="Georgia" w:cs="Times New Roman"/>
          <w:sz w:val="24"/>
          <w:szCs w:val="24"/>
        </w:rPr>
        <w:t>unión de pareja</w:t>
      </w:r>
      <w:r w:rsidRPr="0011461B">
        <w:rPr>
          <w:rFonts w:ascii="Georgia" w:hAnsi="Georgia" w:cs="Times New Roman"/>
          <w:sz w:val="24"/>
          <w:szCs w:val="24"/>
        </w:rPr>
        <w:t xml:space="preserve"> estable y una familia dinámica. Algunas ramas de la psicología social y conductual, bajo una teoría un poco más escéptica, deben prestar atención para no generalizar. Sin embargo, los estudios demuestran que las familias fuertes o estables en Norteamérica, Suramérica, Europa, África, Asia y Oceanía, permiten concluir que existen importantes similitudes entre las familias que presentan alguna sensación de bienestar con sus vidas o que se sienten a gusto con su modo de vida y de alguna u otra manera muestran ser competentes para enfrentarse a los retos que la vida misma les pone, a pesar que este tipo de similitudes pueden ser más resaltadas en algunas culturas que en otras (</w:t>
      </w:r>
      <w:proofErr w:type="spellStart"/>
      <w:r w:rsidRPr="0011461B">
        <w:rPr>
          <w:rFonts w:ascii="Georgia" w:hAnsi="Georgia" w:cs="Times New Roman"/>
          <w:sz w:val="24"/>
          <w:szCs w:val="24"/>
        </w:rPr>
        <w:t>DeFrain</w:t>
      </w:r>
      <w:proofErr w:type="spellEnd"/>
      <w:r w:rsidRPr="0011461B">
        <w:rPr>
          <w:rFonts w:ascii="Georgia" w:hAnsi="Georgia" w:cs="Times New Roman"/>
          <w:sz w:val="24"/>
          <w:szCs w:val="24"/>
        </w:rPr>
        <w:t xml:space="preserve">, y </w:t>
      </w:r>
      <w:proofErr w:type="spellStart"/>
      <w:r w:rsidRPr="0011461B">
        <w:rPr>
          <w:rFonts w:ascii="Georgia" w:hAnsi="Georgia" w:cs="Times New Roman"/>
          <w:sz w:val="24"/>
          <w:szCs w:val="24"/>
        </w:rPr>
        <w:t>Asay</w:t>
      </w:r>
      <w:proofErr w:type="spellEnd"/>
      <w:r w:rsidRPr="0011461B">
        <w:rPr>
          <w:rFonts w:ascii="Georgia" w:hAnsi="Georgia" w:cs="Times New Roman"/>
          <w:sz w:val="24"/>
          <w:szCs w:val="24"/>
        </w:rPr>
        <w:t>, 2007).</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Todas las familias son importantes y tienen fortalezas, también tienen retos y potenciales de crecimiento, si el propósito de la investigación es buscar problemas o fallas dentro de las mismas, se encontrarán, pero si el propósito de </w:t>
      </w:r>
      <w:r w:rsidR="00B81F2E" w:rsidRPr="0011461B">
        <w:rPr>
          <w:rFonts w:ascii="Georgia" w:hAnsi="Georgia" w:cs="Times New Roman"/>
          <w:sz w:val="24"/>
          <w:szCs w:val="24"/>
        </w:rPr>
        <w:t>esta</w:t>
      </w:r>
      <w:r w:rsidRPr="0011461B">
        <w:rPr>
          <w:rFonts w:ascii="Georgia" w:hAnsi="Georgia" w:cs="Times New Roman"/>
          <w:sz w:val="24"/>
          <w:szCs w:val="24"/>
        </w:rPr>
        <w:t xml:space="preserve"> es buscar fortalezas, se evidenciarán también, lo que permite concluir que no existe un núcleo familiar perfecto, </w:t>
      </w:r>
      <w:r w:rsidR="00B81F2E" w:rsidRPr="0011461B">
        <w:rPr>
          <w:rFonts w:ascii="Georgia" w:hAnsi="Georgia" w:cs="Times New Roman"/>
          <w:sz w:val="24"/>
          <w:szCs w:val="24"/>
        </w:rPr>
        <w:t>sino</w:t>
      </w:r>
      <w:r w:rsidRPr="0011461B">
        <w:rPr>
          <w:rFonts w:ascii="Georgia" w:hAnsi="Georgia" w:cs="Times New Roman"/>
          <w:sz w:val="24"/>
          <w:szCs w:val="24"/>
        </w:rPr>
        <w:t xml:space="preserve"> que se trata de un grupo con fortalezas y debilidades, que aporta al individuo y comunidad los mismos. De esta manera, el bienestar familiar </w:t>
      </w:r>
      <w:r w:rsidR="00B81F2E" w:rsidRPr="0011461B">
        <w:rPr>
          <w:rFonts w:ascii="Georgia" w:hAnsi="Georgia" w:cs="Times New Roman"/>
          <w:sz w:val="24"/>
          <w:szCs w:val="24"/>
        </w:rPr>
        <w:t>conlleva al</w:t>
      </w:r>
      <w:r w:rsidRPr="0011461B">
        <w:rPr>
          <w:rFonts w:ascii="Georgia" w:hAnsi="Georgia" w:cs="Times New Roman"/>
          <w:sz w:val="24"/>
          <w:szCs w:val="24"/>
        </w:rPr>
        <w:t xml:space="preserve"> fortalecimiento del núcleo familiar, al compartir </w:t>
      </w:r>
      <w:r w:rsidRPr="0011461B">
        <w:rPr>
          <w:rFonts w:ascii="Georgia" w:hAnsi="Georgia" w:cs="Times New Roman"/>
          <w:sz w:val="24"/>
          <w:szCs w:val="24"/>
        </w:rPr>
        <w:lastRenderedPageBreak/>
        <w:t>logros y metas en un proyecto de vida en conjunto (</w:t>
      </w:r>
      <w:proofErr w:type="spellStart"/>
      <w:r w:rsidRPr="0011461B">
        <w:rPr>
          <w:rFonts w:ascii="Georgia" w:hAnsi="Georgia" w:cs="Times New Roman"/>
          <w:sz w:val="24"/>
          <w:szCs w:val="24"/>
        </w:rPr>
        <w:t>Fuller</w:t>
      </w:r>
      <w:proofErr w:type="spellEnd"/>
      <w:r w:rsidRPr="0011461B">
        <w:rPr>
          <w:rFonts w:ascii="Georgia" w:hAnsi="Georgia" w:cs="Times New Roman"/>
          <w:sz w:val="24"/>
          <w:szCs w:val="24"/>
        </w:rPr>
        <w:t xml:space="preserve">, Edwards, </w:t>
      </w:r>
      <w:proofErr w:type="spellStart"/>
      <w:r w:rsidRPr="0011461B">
        <w:rPr>
          <w:rFonts w:ascii="Georgia" w:hAnsi="Georgia" w:cs="Times New Roman"/>
          <w:sz w:val="24"/>
          <w:szCs w:val="24"/>
        </w:rPr>
        <w:t>Vorakitphokatorn</w:t>
      </w:r>
      <w:proofErr w:type="spellEnd"/>
      <w:r w:rsidRPr="0011461B">
        <w:rPr>
          <w:rFonts w:ascii="Georgia" w:hAnsi="Georgia" w:cs="Times New Roman"/>
          <w:sz w:val="24"/>
          <w:szCs w:val="24"/>
        </w:rPr>
        <w:t xml:space="preserve">, y </w:t>
      </w:r>
      <w:proofErr w:type="spellStart"/>
      <w:r w:rsidRPr="0011461B">
        <w:rPr>
          <w:rFonts w:ascii="Georgia" w:hAnsi="Georgia" w:cs="Times New Roman"/>
          <w:sz w:val="24"/>
          <w:szCs w:val="24"/>
        </w:rPr>
        <w:t>Sermsri</w:t>
      </w:r>
      <w:proofErr w:type="spellEnd"/>
      <w:r w:rsidRPr="0011461B">
        <w:rPr>
          <w:rFonts w:ascii="Georgia" w:hAnsi="Georgia" w:cs="Times New Roman"/>
          <w:sz w:val="24"/>
          <w:szCs w:val="24"/>
        </w:rPr>
        <w:t>, 2004).</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 pesar de que todas las familias pueden presentar una notable diversidad, son estas mismas el fundamento y cimiento principal de las culturas: las familias que se pueden considerar </w:t>
      </w:r>
      <w:r w:rsidR="00B81F2E" w:rsidRPr="0011461B">
        <w:rPr>
          <w:rFonts w:ascii="Georgia" w:hAnsi="Georgia" w:cs="Times New Roman"/>
          <w:sz w:val="24"/>
          <w:szCs w:val="24"/>
        </w:rPr>
        <w:t>con mayores fortalezas y recursos</w:t>
      </w:r>
      <w:r w:rsidRPr="0011461B">
        <w:rPr>
          <w:rFonts w:ascii="Georgia" w:hAnsi="Georgia" w:cs="Times New Roman"/>
          <w:sz w:val="24"/>
          <w:szCs w:val="24"/>
        </w:rPr>
        <w:t xml:space="preserve"> resultan ser las más importantes para el desarrollo de las comunidades. Debido a esto, el bienestar familiar implica el trámite adecuado y coherente de los conflictos internos para la conservación y reproducción de las comunidades. La relación en pareja es importante debido a que esta es la base de la familia, relaciones de parejas estables conducen a tener una familia </w:t>
      </w:r>
      <w:r w:rsidR="00B81F2E" w:rsidRPr="0011461B">
        <w:rPr>
          <w:rFonts w:ascii="Georgia" w:hAnsi="Georgia" w:cs="Times New Roman"/>
          <w:sz w:val="24"/>
          <w:szCs w:val="24"/>
        </w:rPr>
        <w:t xml:space="preserve">con </w:t>
      </w:r>
      <w:r w:rsidRPr="0011461B">
        <w:rPr>
          <w:rFonts w:ascii="Georgia" w:hAnsi="Georgia" w:cs="Times New Roman"/>
          <w:sz w:val="24"/>
          <w:szCs w:val="24"/>
        </w:rPr>
        <w:t>mucho más</w:t>
      </w:r>
      <w:r w:rsidR="00B81F2E" w:rsidRPr="0011461B">
        <w:rPr>
          <w:rFonts w:ascii="Georgia" w:hAnsi="Georgia" w:cs="Times New Roman"/>
          <w:sz w:val="24"/>
          <w:szCs w:val="24"/>
        </w:rPr>
        <w:t xml:space="preserve"> cohesión y capacidad para enfrentar las adversidades </w:t>
      </w:r>
      <w:r w:rsidRPr="0011461B">
        <w:rPr>
          <w:rFonts w:ascii="Georgia" w:hAnsi="Georgia" w:cs="Times New Roman"/>
          <w:sz w:val="24"/>
          <w:szCs w:val="24"/>
        </w:rPr>
        <w:t>y por consiguiente al bienestar familiar (</w:t>
      </w:r>
      <w:proofErr w:type="spellStart"/>
      <w:r w:rsidRPr="0011461B">
        <w:rPr>
          <w:rFonts w:ascii="Georgia" w:hAnsi="Georgia" w:cs="Times New Roman"/>
          <w:sz w:val="24"/>
          <w:szCs w:val="24"/>
        </w:rPr>
        <w:t>DeFrain</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Asay</w:t>
      </w:r>
      <w:proofErr w:type="spellEnd"/>
      <w:r w:rsidRPr="0011461B">
        <w:rPr>
          <w:rFonts w:ascii="Georgia" w:hAnsi="Georgia" w:cs="Times New Roman"/>
          <w:sz w:val="24"/>
          <w:szCs w:val="24"/>
        </w:rPr>
        <w:t xml:space="preserve">, 2007).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Aunque la relación en pareja resulta ser la base de la familia, la cual constituye una estructura </w:t>
      </w:r>
      <w:r w:rsidR="00B81F2E" w:rsidRPr="0011461B">
        <w:rPr>
          <w:rFonts w:ascii="Georgia" w:hAnsi="Georgia" w:cs="Times New Roman"/>
          <w:sz w:val="24"/>
          <w:szCs w:val="24"/>
        </w:rPr>
        <w:t>básica</w:t>
      </w:r>
      <w:r w:rsidRPr="0011461B">
        <w:rPr>
          <w:rFonts w:ascii="Georgia" w:hAnsi="Georgia" w:cs="Times New Roman"/>
          <w:sz w:val="24"/>
          <w:szCs w:val="24"/>
        </w:rPr>
        <w:t xml:space="preserve"> para el concepto de familia y el bienestar familiar, se puede determinar que el rol ejercido por la pareja dentro de las mismas puede llegar a afectarla o mejorarla.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De igual manera otro de los factores que nombra </w:t>
      </w:r>
      <w:bookmarkStart w:id="3" w:name="_Hlk4867947"/>
      <w:r w:rsidRPr="0011461B">
        <w:rPr>
          <w:rFonts w:ascii="Georgia" w:hAnsi="Georgia" w:cs="Times New Roman"/>
          <w:sz w:val="24"/>
          <w:szCs w:val="24"/>
        </w:rPr>
        <w:t xml:space="preserve">Rawls (1997) </w:t>
      </w:r>
      <w:bookmarkEnd w:id="3"/>
      <w:r w:rsidRPr="0011461B">
        <w:rPr>
          <w:rFonts w:ascii="Georgia" w:hAnsi="Georgia" w:cs="Times New Roman"/>
          <w:sz w:val="24"/>
          <w:szCs w:val="24"/>
        </w:rPr>
        <w:t xml:space="preserve">y que puede estar brindando a sus integrantes disposiciones y condiciones para procurar estabilidad económica, recursos y tiempo para generar y contribuir al bienestar de los hijos y la pareja, es la institución matrimonial, así mismo esto se debe a las buenas </w:t>
      </w:r>
      <w:r w:rsidR="00B81F2E" w:rsidRPr="0011461B">
        <w:rPr>
          <w:rFonts w:ascii="Georgia" w:hAnsi="Georgia" w:cs="Times New Roman"/>
          <w:sz w:val="24"/>
          <w:szCs w:val="24"/>
        </w:rPr>
        <w:t>condiciones</w:t>
      </w:r>
      <w:r w:rsidRPr="0011461B">
        <w:rPr>
          <w:rFonts w:ascii="Georgia" w:hAnsi="Georgia" w:cs="Times New Roman"/>
          <w:sz w:val="24"/>
          <w:szCs w:val="24"/>
        </w:rPr>
        <w:t xml:space="preserve"> que </w:t>
      </w:r>
      <w:r w:rsidR="00B81F2E" w:rsidRPr="0011461B">
        <w:rPr>
          <w:rFonts w:ascii="Georgia" w:hAnsi="Georgia" w:cs="Times New Roman"/>
          <w:sz w:val="24"/>
          <w:szCs w:val="24"/>
        </w:rPr>
        <w:t xml:space="preserve">dieron </w:t>
      </w:r>
      <w:r w:rsidRPr="0011461B">
        <w:rPr>
          <w:rFonts w:ascii="Georgia" w:hAnsi="Georgia" w:cs="Times New Roman"/>
          <w:sz w:val="24"/>
          <w:szCs w:val="24"/>
        </w:rPr>
        <w:t>orig</w:t>
      </w:r>
      <w:r w:rsidR="00B81F2E" w:rsidRPr="0011461B">
        <w:rPr>
          <w:rFonts w:ascii="Georgia" w:hAnsi="Georgia" w:cs="Times New Roman"/>
          <w:sz w:val="24"/>
          <w:szCs w:val="24"/>
        </w:rPr>
        <w:t>en a</w:t>
      </w:r>
      <w:r w:rsidRPr="0011461B">
        <w:rPr>
          <w:rFonts w:ascii="Georgia" w:hAnsi="Georgia" w:cs="Times New Roman"/>
          <w:sz w:val="24"/>
          <w:szCs w:val="24"/>
        </w:rPr>
        <w:t xml:space="preserve"> la relación.</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Así mismo, la estructura familiar y la composición de las mismas juegan un papel muy importante dentro del bienestar familiar y el bienestar infantil, por tanto, en las familias tradicionales que se encuentran integradas por ambos padres casados, resultan ser mucho mejores, es decir tienden a producir mejores resultados para los niños, sin embargo es objeto de discusión o de debate los factores que lo explican, sin embargo es evidente y son conceptos clave, los mecanismos que subyacen  a los vínculos entre la estructura familiar y el bienestar del niño, entre los que </w:t>
      </w:r>
      <w:r w:rsidR="00B81F2E" w:rsidRPr="0011461B">
        <w:rPr>
          <w:rFonts w:ascii="Georgia" w:hAnsi="Georgia" w:cs="Times New Roman"/>
          <w:sz w:val="24"/>
          <w:szCs w:val="24"/>
        </w:rPr>
        <w:t>se encuentran</w:t>
      </w:r>
      <w:r w:rsidRPr="0011461B">
        <w:rPr>
          <w:rFonts w:ascii="Georgia" w:hAnsi="Georgia" w:cs="Times New Roman"/>
          <w:sz w:val="24"/>
          <w:szCs w:val="24"/>
        </w:rPr>
        <w:t>: los recursos económicos, la salud mental, la calidad de la relación parental, los entornos sociales, etc. (</w:t>
      </w:r>
      <w:proofErr w:type="spellStart"/>
      <w:r w:rsidRPr="0011461B">
        <w:rPr>
          <w:rFonts w:ascii="Georgia" w:hAnsi="Georgia" w:cs="Times New Roman"/>
          <w:sz w:val="24"/>
          <w:szCs w:val="24"/>
        </w:rPr>
        <w:t>Waldfogel</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Craigie</w:t>
      </w:r>
      <w:proofErr w:type="spellEnd"/>
      <w:r w:rsidRPr="0011461B">
        <w:rPr>
          <w:rFonts w:ascii="Georgia" w:hAnsi="Georgia" w:cs="Times New Roman"/>
          <w:sz w:val="24"/>
          <w:szCs w:val="24"/>
        </w:rPr>
        <w:t>, Brooks-</w:t>
      </w:r>
      <w:proofErr w:type="spellStart"/>
      <w:r w:rsidRPr="0011461B">
        <w:rPr>
          <w:rFonts w:ascii="Georgia" w:hAnsi="Georgia" w:cs="Times New Roman"/>
          <w:sz w:val="24"/>
          <w:szCs w:val="24"/>
        </w:rPr>
        <w:t>Gunn</w:t>
      </w:r>
      <w:proofErr w:type="spellEnd"/>
      <w:r w:rsidRPr="0011461B">
        <w:rPr>
          <w:rFonts w:ascii="Georgia" w:hAnsi="Georgia" w:cs="Times New Roman"/>
          <w:sz w:val="24"/>
          <w:szCs w:val="24"/>
        </w:rPr>
        <w:t xml:space="preserve">, 2010).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Díaz (2001) explica que en otras culturas</w:t>
      </w:r>
      <w:r w:rsidR="00B81F2E" w:rsidRPr="0011461B">
        <w:rPr>
          <w:rFonts w:ascii="Georgia" w:hAnsi="Georgia" w:cs="Times New Roman"/>
          <w:sz w:val="24"/>
          <w:szCs w:val="24"/>
        </w:rPr>
        <w:t xml:space="preserve"> de occidente</w:t>
      </w:r>
      <w:r w:rsidRPr="0011461B">
        <w:rPr>
          <w:rFonts w:ascii="Georgia" w:hAnsi="Georgia" w:cs="Times New Roman"/>
          <w:sz w:val="24"/>
          <w:szCs w:val="24"/>
        </w:rPr>
        <w:t xml:space="preserve"> donde se presentan bajos niveles de satisfacción con la experiencia vital, es por personas que provienen de familias conflictivas en contraste con los adultos que crecieron sin esas complicaciones, esto favoreció la formulación de teorías  pertenecientes al funcionamiento familiar relacionado estrechamente con el bienestar subjetivo, además de las probabilidades que brinde el medio </w:t>
      </w:r>
      <w:r w:rsidR="00B81F2E" w:rsidRPr="0011461B">
        <w:rPr>
          <w:rFonts w:ascii="Georgia" w:hAnsi="Georgia" w:cs="Times New Roman"/>
          <w:sz w:val="24"/>
          <w:szCs w:val="24"/>
        </w:rPr>
        <w:t xml:space="preserve">familiar estrecho </w:t>
      </w:r>
      <w:r w:rsidRPr="0011461B">
        <w:rPr>
          <w:rFonts w:ascii="Georgia" w:hAnsi="Georgia" w:cs="Times New Roman"/>
          <w:sz w:val="24"/>
          <w:szCs w:val="24"/>
        </w:rPr>
        <w:t>para satisfacer determinadas necesidades, lo cual es otra variable de la investigación.</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En la actualidad el contexto demográfico y social han estado produciendo transformaciones importantes en la estructura familiar y en sus dinámicas internas, estas modificaciones han originado grandes e importantes preocupaciones sobre los efectos en el bienestar de los países y en la satisfacción de los individuos que hacen parte de la sociedad, gracias a varias investigaciones. Pliego (2012) en una de sus investigaciones analizando producciones académicas sobre naciones democráticas, evidencio que, para la mayoría de los casos </w:t>
      </w:r>
      <w:r w:rsidRPr="0011461B">
        <w:rPr>
          <w:rFonts w:ascii="Georgia" w:hAnsi="Georgia" w:cs="Times New Roman"/>
          <w:sz w:val="24"/>
          <w:szCs w:val="24"/>
        </w:rPr>
        <w:lastRenderedPageBreak/>
        <w:t xml:space="preserve">registrados, las parejas unidas en matrimonio manifestaban una valoración alta sobre bienestar, en aspectos evaluados como educación, salud, comunicación, funcionalidad, seguridad; comparados con parejas no casadas y las diferentes formas de organización. </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ab/>
        <w:t>Con base en la información presentada con anterioridad a continuación se señalan cuáles son las hipótesis de investigación:</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b/>
          <w:i/>
          <w:sz w:val="24"/>
          <w:szCs w:val="24"/>
        </w:rPr>
        <w:t>Hipótesis 1:</w:t>
      </w:r>
      <w:r w:rsidRPr="0011461B">
        <w:rPr>
          <w:rFonts w:ascii="Georgia" w:hAnsi="Georgia" w:cs="Times New Roman"/>
          <w:sz w:val="24"/>
          <w:szCs w:val="24"/>
        </w:rPr>
        <w:t xml:space="preserve"> Existen diferencias significativas en los niveles promedio de bienestar familiar dependiendo del contexto geográfico de las familias.</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b/>
          <w:i/>
          <w:sz w:val="24"/>
          <w:szCs w:val="24"/>
        </w:rPr>
        <w:t xml:space="preserve">Hipótesis 2: </w:t>
      </w:r>
      <w:r w:rsidRPr="0011461B">
        <w:rPr>
          <w:rFonts w:ascii="Georgia" w:hAnsi="Georgia" w:cs="Times New Roman"/>
          <w:sz w:val="24"/>
          <w:szCs w:val="24"/>
        </w:rPr>
        <w:t>Existen diferencias significativas en los niveles promedio de bienestar familiar dependiendo del estatus socioeconómico de las familias.</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b/>
          <w:i/>
          <w:sz w:val="24"/>
          <w:szCs w:val="24"/>
        </w:rPr>
        <w:t xml:space="preserve">Hipótesis 3: </w:t>
      </w:r>
      <w:r w:rsidRPr="0011461B">
        <w:rPr>
          <w:rFonts w:ascii="Georgia" w:hAnsi="Georgia" w:cs="Times New Roman"/>
          <w:sz w:val="24"/>
          <w:szCs w:val="24"/>
        </w:rPr>
        <w:t>Existen diferencias significativas en los niveles promedio de bienestar infantil dependiendo del contexto geográfico de las familias.</w:t>
      </w:r>
    </w:p>
    <w:p w:rsidR="00C749D6" w:rsidRPr="0011461B" w:rsidRDefault="00C749D6" w:rsidP="0011461B">
      <w:pPr>
        <w:spacing w:line="240" w:lineRule="auto"/>
        <w:rPr>
          <w:rFonts w:ascii="Georgia" w:hAnsi="Georgia" w:cs="Times New Roman"/>
          <w:sz w:val="24"/>
          <w:szCs w:val="24"/>
        </w:rPr>
      </w:pPr>
      <w:bookmarkStart w:id="4" w:name="_Hlk4866899"/>
      <w:r w:rsidRPr="0011461B">
        <w:rPr>
          <w:rFonts w:ascii="Georgia" w:hAnsi="Georgia" w:cs="Times New Roman"/>
          <w:b/>
          <w:i/>
          <w:sz w:val="24"/>
          <w:szCs w:val="24"/>
        </w:rPr>
        <w:t xml:space="preserve">Hipótesis 4: </w:t>
      </w:r>
      <w:r w:rsidRPr="0011461B">
        <w:rPr>
          <w:rFonts w:ascii="Georgia" w:hAnsi="Georgia" w:cs="Times New Roman"/>
          <w:sz w:val="24"/>
          <w:szCs w:val="24"/>
        </w:rPr>
        <w:t>Existen diferencias significativas en los niveles promedio de bienestar infantil dependiendo del estatus socioeconómico de las familias.</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b/>
          <w:i/>
          <w:sz w:val="24"/>
          <w:szCs w:val="24"/>
        </w:rPr>
        <w:t xml:space="preserve">Hipótesis 5: </w:t>
      </w:r>
      <w:r w:rsidRPr="0011461B">
        <w:rPr>
          <w:rFonts w:ascii="Georgia" w:hAnsi="Georgia" w:cs="Times New Roman"/>
          <w:sz w:val="24"/>
          <w:szCs w:val="24"/>
        </w:rPr>
        <w:t>Existen asociaciones significativas entre los niveles de bienestar familiar y bienestar infantil.</w:t>
      </w:r>
    </w:p>
    <w:bookmarkEnd w:id="4"/>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b/>
          <w:i/>
          <w:sz w:val="24"/>
          <w:szCs w:val="24"/>
        </w:rPr>
        <w:t xml:space="preserve">Hipótesis 6: </w:t>
      </w:r>
      <w:r w:rsidRPr="0011461B">
        <w:rPr>
          <w:rFonts w:ascii="Georgia" w:hAnsi="Georgia" w:cs="Times New Roman"/>
          <w:sz w:val="24"/>
          <w:szCs w:val="24"/>
        </w:rPr>
        <w:t>Las dimensiones del bienestar familiar predicen las dimensiones del bienestar infantil en las familias.</w:t>
      </w:r>
    </w:p>
    <w:p w:rsidR="00C749D6" w:rsidRPr="0011461B" w:rsidRDefault="00C749D6" w:rsidP="0011461B">
      <w:pPr>
        <w:spacing w:line="240" w:lineRule="auto"/>
        <w:jc w:val="center"/>
        <w:rPr>
          <w:rFonts w:ascii="Georgia" w:hAnsi="Georgia" w:cs="Times New Roman"/>
          <w:b/>
          <w:sz w:val="24"/>
          <w:szCs w:val="24"/>
        </w:rPr>
      </w:pPr>
      <w:r w:rsidRPr="0011461B">
        <w:rPr>
          <w:rFonts w:ascii="Georgia" w:hAnsi="Georgia" w:cs="Times New Roman"/>
          <w:b/>
          <w:sz w:val="24"/>
          <w:szCs w:val="24"/>
        </w:rPr>
        <w:t>Método</w:t>
      </w:r>
    </w:p>
    <w:p w:rsidR="003653F7" w:rsidRPr="0011461B" w:rsidRDefault="00C749D6" w:rsidP="0011461B">
      <w:pPr>
        <w:spacing w:line="240" w:lineRule="auto"/>
        <w:rPr>
          <w:rFonts w:ascii="Georgia" w:hAnsi="Georgia" w:cs="Times New Roman"/>
          <w:b/>
          <w:sz w:val="24"/>
          <w:szCs w:val="24"/>
        </w:rPr>
      </w:pPr>
      <w:r w:rsidRPr="0011461B">
        <w:rPr>
          <w:rFonts w:ascii="Georgia" w:hAnsi="Georgia" w:cs="Times New Roman"/>
          <w:b/>
          <w:sz w:val="24"/>
          <w:szCs w:val="24"/>
        </w:rPr>
        <w:t>Diseño</w:t>
      </w:r>
      <w:r w:rsidR="003653F7" w:rsidRPr="0011461B">
        <w:rPr>
          <w:rFonts w:ascii="Georgia" w:hAnsi="Georgia" w:cs="Times New Roman"/>
          <w:b/>
          <w:sz w:val="24"/>
          <w:szCs w:val="24"/>
        </w:rPr>
        <w:t>.</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Los datos del presente estudio provienen de una investigación más amplia que evalúa variables contextuales, familiares, parentales e individuales en familias de Colombia. El estudio más amplio contó con diseño mixto explicativo (CUANTI</w:t>
      </w:r>
      <w:r w:rsidRPr="0011461B">
        <w:rPr>
          <w:rFonts w:ascii="Georgia" w:hAnsi="Georgia" w:cs="Times New Roman"/>
          <w:sz w:val="24"/>
          <w:szCs w:val="24"/>
        </w:rPr>
        <w:sym w:font="Wingdings" w:char="F0E0"/>
      </w:r>
      <w:proofErr w:type="spellStart"/>
      <w:r w:rsidRPr="0011461B">
        <w:rPr>
          <w:rFonts w:ascii="Georgia" w:hAnsi="Georgia" w:cs="Times New Roman"/>
          <w:sz w:val="24"/>
          <w:szCs w:val="24"/>
        </w:rPr>
        <w:t>cuali</w:t>
      </w:r>
      <w:proofErr w:type="spellEnd"/>
      <w:r w:rsidRPr="0011461B">
        <w:rPr>
          <w:rFonts w:ascii="Georgia" w:hAnsi="Georgia" w:cs="Times New Roman"/>
          <w:sz w:val="24"/>
          <w:szCs w:val="24"/>
        </w:rPr>
        <w:t>) de acuerdo con los criterios propuestos por Creswell &amp; Plano</w:t>
      </w:r>
      <w:r w:rsidRPr="0011461B">
        <w:rPr>
          <w:rFonts w:ascii="Times New Roman" w:hAnsi="Times New Roman" w:cs="Times New Roman"/>
          <w:sz w:val="24"/>
          <w:szCs w:val="24"/>
        </w:rPr>
        <w:t>‐</w:t>
      </w:r>
      <w:r w:rsidRPr="0011461B">
        <w:rPr>
          <w:rFonts w:ascii="Georgia" w:hAnsi="Georgia" w:cs="Times New Roman"/>
          <w:sz w:val="24"/>
          <w:szCs w:val="24"/>
        </w:rPr>
        <w:t>Clark, (2014). El diseño mixto explicativo es un diseño en dos etapas en el cual el dato cualitativo ayuda a explicar “los resultados significativos, sorprendentes o “límites” de la primera etapa cuantitativa (</w:t>
      </w:r>
      <w:proofErr w:type="spellStart"/>
      <w:r w:rsidRPr="0011461B">
        <w:rPr>
          <w:rFonts w:ascii="Georgia" w:hAnsi="Georgia" w:cs="Times New Roman"/>
          <w:sz w:val="24"/>
          <w:szCs w:val="24"/>
        </w:rPr>
        <w:t>Creswell</w:t>
      </w:r>
      <w:proofErr w:type="spellEnd"/>
      <w:r w:rsidRPr="0011461B">
        <w:rPr>
          <w:rFonts w:ascii="Georgia" w:hAnsi="Georgia" w:cs="Times New Roman"/>
          <w:sz w:val="24"/>
          <w:szCs w:val="24"/>
        </w:rPr>
        <w:t xml:space="preserve"> &amp; Plano-</w:t>
      </w:r>
      <w:proofErr w:type="spellStart"/>
      <w:r w:rsidRPr="0011461B">
        <w:rPr>
          <w:rFonts w:ascii="Georgia" w:hAnsi="Georgia" w:cs="Times New Roman"/>
          <w:sz w:val="24"/>
          <w:szCs w:val="24"/>
        </w:rPr>
        <w:t>Clak</w:t>
      </w:r>
      <w:proofErr w:type="spellEnd"/>
      <w:r w:rsidRPr="0011461B">
        <w:rPr>
          <w:rFonts w:ascii="Georgia" w:hAnsi="Georgia" w:cs="Times New Roman"/>
          <w:sz w:val="24"/>
          <w:szCs w:val="24"/>
        </w:rPr>
        <w:t>, 2014, p. 97). En otras palabras, el propósito de este diseño es que los datos cualitativos ayuden a explicar o construir significados sobre los resultados de la fase cuantitativa. A pesar de existir dos variantes de este tipo: el modelo de selección de participantes y el modelo de explicaciones por medio del seguimiento, en este caso se utilizó el segundo modelo, puesto que el énfasis está puesto sobre los elementos cuantitativos y no se seleccionaron los datos cualitativos.</w:t>
      </w:r>
    </w:p>
    <w:p w:rsidR="003653F7" w:rsidRPr="0011461B" w:rsidRDefault="00C749D6" w:rsidP="0011461B">
      <w:pPr>
        <w:spacing w:line="240" w:lineRule="auto"/>
        <w:rPr>
          <w:rFonts w:ascii="Georgia" w:hAnsi="Georgia" w:cs="Times New Roman"/>
          <w:b/>
          <w:sz w:val="24"/>
          <w:szCs w:val="24"/>
        </w:rPr>
      </w:pPr>
      <w:r w:rsidRPr="0011461B">
        <w:rPr>
          <w:rFonts w:ascii="Georgia" w:hAnsi="Georgia" w:cs="Times New Roman"/>
          <w:b/>
          <w:sz w:val="24"/>
          <w:szCs w:val="24"/>
        </w:rPr>
        <w:t>Participantes</w:t>
      </w:r>
      <w:r w:rsidR="003653F7" w:rsidRPr="0011461B">
        <w:rPr>
          <w:rFonts w:ascii="Georgia" w:hAnsi="Georgia" w:cs="Times New Roman"/>
          <w:b/>
          <w:sz w:val="24"/>
          <w:szCs w:val="24"/>
        </w:rPr>
        <w:t>.</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La muestra de participantes estuvo constituida por 442 familias ubicadas geográficamente en Bogotá (N=196), Santa Marta (N=81) y Cali-Palmira</w:t>
      </w:r>
      <w:r w:rsidRPr="0011461B">
        <w:rPr>
          <w:rStyle w:val="Refdenotaalpie"/>
          <w:rFonts w:ascii="Georgia" w:hAnsi="Georgia" w:cs="Times New Roman"/>
          <w:sz w:val="24"/>
          <w:szCs w:val="24"/>
        </w:rPr>
        <w:footnoteReference w:id="2"/>
      </w:r>
      <w:r w:rsidRPr="0011461B">
        <w:rPr>
          <w:rFonts w:ascii="Georgia" w:hAnsi="Georgia" w:cs="Times New Roman"/>
          <w:sz w:val="24"/>
          <w:szCs w:val="24"/>
        </w:rPr>
        <w:t xml:space="preserve"> (N=145). Teniendo en cuenta las características del país se seleccionó de manera intencional </w:t>
      </w:r>
      <w:r w:rsidRPr="0011461B">
        <w:rPr>
          <w:rFonts w:ascii="Georgia" w:hAnsi="Georgia" w:cs="Times New Roman"/>
          <w:sz w:val="24"/>
          <w:szCs w:val="24"/>
        </w:rPr>
        <w:lastRenderedPageBreak/>
        <w:t xml:space="preserve">el estrato del cual provenían cada una de las familias para que tuvieran un tamaño similar a las proporciones actuales del país. Del total de familias 53% corresponden al nivel de estatus socioeconómico bajo, 35% medio y 12% alto. Para tener un mayor control del constructo estatus socioeconómico el equipo desarrollo un índice compuesto que incluían </w:t>
      </w:r>
      <w:r w:rsidR="00B81F2E" w:rsidRPr="0011461B">
        <w:rPr>
          <w:rFonts w:ascii="Georgia" w:hAnsi="Georgia" w:cs="Times New Roman"/>
          <w:sz w:val="24"/>
          <w:szCs w:val="24"/>
        </w:rPr>
        <w:t>algunas</w:t>
      </w:r>
      <w:r w:rsidRPr="0011461B">
        <w:rPr>
          <w:rFonts w:ascii="Georgia" w:hAnsi="Georgia" w:cs="Times New Roman"/>
          <w:sz w:val="24"/>
          <w:szCs w:val="24"/>
        </w:rPr>
        <w:t xml:space="preserve"> variables económicas, familiares y de condiciones físicas que permitieron de manera más precisa identificar el estatus de cada una de las familias participantes (</w:t>
      </w:r>
      <w:r w:rsidR="00A075FD" w:rsidRPr="0011461B">
        <w:rPr>
          <w:rFonts w:ascii="Georgia" w:hAnsi="Georgia" w:cs="Times New Roman"/>
          <w:sz w:val="24"/>
          <w:szCs w:val="24"/>
        </w:rPr>
        <w:t>Autor</w:t>
      </w:r>
      <w:r w:rsidRPr="0011461B">
        <w:rPr>
          <w:rFonts w:ascii="Georgia" w:hAnsi="Georgia" w:cs="Times New Roman"/>
          <w:sz w:val="24"/>
          <w:szCs w:val="24"/>
        </w:rPr>
        <w:t>, 2018). Las edades de las mamás oscilaron entre los 21 y los 74 años (</w:t>
      </w:r>
      <w:r w:rsidRPr="0011461B">
        <w:rPr>
          <w:rFonts w:ascii="Georgia" w:hAnsi="Georgia" w:cs="Times New Roman"/>
          <w:i/>
          <w:sz w:val="24"/>
          <w:szCs w:val="24"/>
        </w:rPr>
        <w:t>M</w:t>
      </w:r>
      <w:r w:rsidRPr="0011461B">
        <w:rPr>
          <w:rFonts w:ascii="Georgia" w:hAnsi="Georgia" w:cs="Times New Roman"/>
          <w:sz w:val="24"/>
          <w:szCs w:val="24"/>
        </w:rPr>
        <w:t xml:space="preserve">=41.95; </w:t>
      </w:r>
      <w:r w:rsidRPr="0011461B">
        <w:rPr>
          <w:rFonts w:ascii="Georgia" w:hAnsi="Georgia" w:cs="Times New Roman"/>
          <w:i/>
          <w:sz w:val="24"/>
          <w:szCs w:val="24"/>
        </w:rPr>
        <w:t>DE</w:t>
      </w:r>
      <w:r w:rsidRPr="0011461B">
        <w:rPr>
          <w:rFonts w:ascii="Georgia" w:hAnsi="Georgia" w:cs="Times New Roman"/>
          <w:sz w:val="24"/>
          <w:szCs w:val="24"/>
        </w:rPr>
        <w:t>=7.29), las edades los papás oscilaron entre 27 y 70 años (</w:t>
      </w:r>
      <w:r w:rsidRPr="0011461B">
        <w:rPr>
          <w:rFonts w:ascii="Georgia" w:hAnsi="Georgia" w:cs="Times New Roman"/>
          <w:i/>
          <w:sz w:val="24"/>
          <w:szCs w:val="24"/>
        </w:rPr>
        <w:t>M</w:t>
      </w:r>
      <w:r w:rsidRPr="0011461B">
        <w:rPr>
          <w:rFonts w:ascii="Georgia" w:hAnsi="Georgia" w:cs="Times New Roman"/>
          <w:sz w:val="24"/>
          <w:szCs w:val="24"/>
        </w:rPr>
        <w:t xml:space="preserve">=45.34; </w:t>
      </w:r>
      <w:r w:rsidRPr="0011461B">
        <w:rPr>
          <w:rFonts w:ascii="Georgia" w:hAnsi="Georgia" w:cs="Times New Roman"/>
          <w:i/>
          <w:sz w:val="24"/>
          <w:szCs w:val="24"/>
        </w:rPr>
        <w:t>DE</w:t>
      </w:r>
      <w:r w:rsidRPr="0011461B">
        <w:rPr>
          <w:rFonts w:ascii="Georgia" w:hAnsi="Georgia" w:cs="Times New Roman"/>
          <w:sz w:val="24"/>
          <w:szCs w:val="24"/>
        </w:rPr>
        <w:t>=8.37) y las de los hijos (56% mujeres) oscilaron entre 6 y 17 años (</w:t>
      </w:r>
      <w:r w:rsidRPr="0011461B">
        <w:rPr>
          <w:rFonts w:ascii="Georgia" w:hAnsi="Georgia" w:cs="Times New Roman"/>
          <w:i/>
          <w:sz w:val="24"/>
          <w:szCs w:val="24"/>
        </w:rPr>
        <w:t>M</w:t>
      </w:r>
      <w:r w:rsidRPr="0011461B">
        <w:rPr>
          <w:rFonts w:ascii="Georgia" w:hAnsi="Georgia" w:cs="Times New Roman"/>
          <w:sz w:val="24"/>
          <w:szCs w:val="24"/>
        </w:rPr>
        <w:t xml:space="preserve">=12.68; </w:t>
      </w:r>
      <w:r w:rsidRPr="0011461B">
        <w:rPr>
          <w:rFonts w:ascii="Georgia" w:hAnsi="Georgia" w:cs="Times New Roman"/>
          <w:i/>
          <w:sz w:val="24"/>
          <w:szCs w:val="24"/>
        </w:rPr>
        <w:t>DE</w:t>
      </w:r>
      <w:r w:rsidRPr="0011461B">
        <w:rPr>
          <w:rFonts w:ascii="Georgia" w:hAnsi="Georgia" w:cs="Times New Roman"/>
          <w:sz w:val="24"/>
          <w:szCs w:val="24"/>
        </w:rPr>
        <w:t>=2.53). Las familias fueron reclutadas en zonas de influencia de las universidades a las cuales estaban vinculados los investigadores y en su gran mayoría mediante la técnica no probabilista de bola de nieve (Hernández, Fernández &amp; Baptista, 2016).</w:t>
      </w:r>
    </w:p>
    <w:p w:rsidR="003653F7" w:rsidRPr="0011461B" w:rsidRDefault="00C749D6" w:rsidP="0011461B">
      <w:pPr>
        <w:spacing w:line="240" w:lineRule="auto"/>
        <w:rPr>
          <w:rFonts w:ascii="Georgia" w:hAnsi="Georgia" w:cs="Times New Roman"/>
          <w:b/>
          <w:sz w:val="24"/>
          <w:szCs w:val="24"/>
        </w:rPr>
      </w:pPr>
      <w:r w:rsidRPr="0011461B">
        <w:rPr>
          <w:rFonts w:ascii="Georgia" w:hAnsi="Georgia" w:cs="Times New Roman"/>
          <w:b/>
          <w:sz w:val="24"/>
          <w:szCs w:val="24"/>
        </w:rPr>
        <w:t>Instrumentos</w:t>
      </w:r>
      <w:r w:rsidR="003653F7" w:rsidRPr="0011461B">
        <w:rPr>
          <w:rFonts w:ascii="Georgia" w:hAnsi="Georgia" w:cs="Times New Roman"/>
          <w:b/>
          <w:sz w:val="24"/>
          <w:szCs w:val="24"/>
        </w:rPr>
        <w:t>.</w:t>
      </w:r>
      <w:r w:rsidRPr="0011461B">
        <w:rPr>
          <w:rFonts w:ascii="Georgia" w:hAnsi="Georgia" w:cs="Times New Roman"/>
          <w:b/>
          <w:sz w:val="24"/>
          <w:szCs w:val="24"/>
        </w:rPr>
        <w:t xml:space="preserve"> </w:t>
      </w:r>
    </w:p>
    <w:p w:rsidR="00C749D6" w:rsidRPr="0011461B" w:rsidRDefault="00C749D6" w:rsidP="0011461B">
      <w:pPr>
        <w:spacing w:line="240" w:lineRule="auto"/>
        <w:rPr>
          <w:rFonts w:ascii="Georgia" w:hAnsi="Georgia" w:cs="Times New Roman"/>
          <w:sz w:val="24"/>
          <w:szCs w:val="24"/>
        </w:rPr>
      </w:pPr>
      <w:r w:rsidRPr="0011461B">
        <w:rPr>
          <w:rFonts w:ascii="Georgia" w:hAnsi="Georgia" w:cs="Times New Roman"/>
          <w:sz w:val="24"/>
          <w:szCs w:val="24"/>
        </w:rPr>
        <w:t>Se utilizaron tres instrumentos distintos para la recolección de datos cuantitativos:</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i/>
          <w:sz w:val="24"/>
          <w:szCs w:val="24"/>
        </w:rPr>
        <w:t xml:space="preserve">Bienestar Familiar: </w:t>
      </w:r>
      <w:r w:rsidRPr="0011461B">
        <w:rPr>
          <w:rFonts w:ascii="Georgia" w:hAnsi="Georgia" w:cs="Times New Roman"/>
          <w:sz w:val="24"/>
          <w:szCs w:val="24"/>
        </w:rPr>
        <w:t>Se utilizó una versión adaptada del Índice de Bienestar de los Miembros de la Familia (</w:t>
      </w:r>
      <w:proofErr w:type="spellStart"/>
      <w:r w:rsidRPr="0011461B">
        <w:rPr>
          <w:rFonts w:ascii="Georgia" w:hAnsi="Georgia" w:cs="Times New Roman"/>
          <w:sz w:val="24"/>
          <w:szCs w:val="24"/>
        </w:rPr>
        <w:t>Family</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Member</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Well-Being</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Index</w:t>
      </w:r>
      <w:proofErr w:type="spellEnd"/>
      <w:r w:rsidRPr="0011461B">
        <w:rPr>
          <w:rFonts w:ascii="Georgia" w:hAnsi="Georgia" w:cs="Times New Roman"/>
          <w:sz w:val="24"/>
          <w:szCs w:val="24"/>
        </w:rPr>
        <w:t xml:space="preserve">- FMWB- diseñado por </w:t>
      </w:r>
      <w:proofErr w:type="spellStart"/>
      <w:r w:rsidRPr="0011461B">
        <w:rPr>
          <w:rFonts w:ascii="Georgia" w:hAnsi="Georgia" w:cs="Times New Roman"/>
          <w:sz w:val="24"/>
          <w:szCs w:val="24"/>
        </w:rPr>
        <w:t>McCubbin</w:t>
      </w:r>
      <w:proofErr w:type="spellEnd"/>
      <w:r w:rsidRPr="0011461B">
        <w:rPr>
          <w:rFonts w:ascii="Georgia" w:hAnsi="Georgia" w:cs="Times New Roman"/>
          <w:sz w:val="24"/>
          <w:szCs w:val="24"/>
        </w:rPr>
        <w:t xml:space="preserve"> &amp; Patterson, 1982) para cada uno de los miembros de la familia. Este instrumento consta de 8 ítems y busca evaluar la actitud y nivel de preocupación frente a la salud mental y física de los miembros de la familia. Su confiabilidad fue de: α=0.793 versión papá, α=0.777 versión mamá y α=0.752 versión hijo/a.</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i/>
          <w:sz w:val="24"/>
          <w:szCs w:val="24"/>
        </w:rPr>
        <w:t xml:space="preserve">Bienestar Infantil: </w:t>
      </w:r>
      <w:r w:rsidRPr="0011461B">
        <w:rPr>
          <w:rFonts w:ascii="Georgia" w:hAnsi="Georgia" w:cs="Times New Roman"/>
          <w:sz w:val="24"/>
          <w:szCs w:val="24"/>
        </w:rPr>
        <w:t xml:space="preserve">Se utilizó la versión completa del Inventario de Bienestar Infantil (IBI), Instrumento desarrollado por </w:t>
      </w:r>
      <w:r w:rsidR="00A075FD" w:rsidRPr="0011461B">
        <w:rPr>
          <w:rFonts w:ascii="Georgia" w:hAnsi="Georgia" w:cs="Times New Roman"/>
          <w:sz w:val="24"/>
          <w:szCs w:val="24"/>
        </w:rPr>
        <w:t>Autor</w:t>
      </w:r>
      <w:r w:rsidRPr="0011461B">
        <w:rPr>
          <w:rFonts w:ascii="Georgia" w:hAnsi="Georgia" w:cs="Times New Roman"/>
          <w:sz w:val="24"/>
          <w:szCs w:val="24"/>
        </w:rPr>
        <w:t xml:space="preserve"> &amp; Carillo (2012) para evaluar dos dimensiones del bienestar infantil (objetivas y subjetivas). Este instrumento consta de 54 ítems 20 dicotómicos y 34 politómicos. Su confiabilidad fue de α=0.940.</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i/>
          <w:sz w:val="24"/>
          <w:szCs w:val="24"/>
        </w:rPr>
        <w:t>Nivel de Estatus Socioeconómico:</w:t>
      </w:r>
      <w:r w:rsidRPr="0011461B">
        <w:rPr>
          <w:rFonts w:ascii="Georgia" w:hAnsi="Georgia" w:cs="Times New Roman"/>
          <w:sz w:val="24"/>
          <w:szCs w:val="24"/>
        </w:rPr>
        <w:t xml:space="preserve"> Se utilizó un cuestionario que recogía información de 12 dimensiones de las familias y permite obtener un índice compuesto del nivel estatus socioeconómico </w:t>
      </w:r>
      <w:r w:rsidR="00B81F2E" w:rsidRPr="0011461B">
        <w:rPr>
          <w:rFonts w:ascii="Georgia" w:hAnsi="Georgia" w:cs="Times New Roman"/>
          <w:sz w:val="24"/>
          <w:szCs w:val="24"/>
        </w:rPr>
        <w:t>más</w:t>
      </w:r>
      <w:r w:rsidRPr="0011461B">
        <w:rPr>
          <w:rFonts w:ascii="Georgia" w:hAnsi="Georgia" w:cs="Times New Roman"/>
          <w:sz w:val="24"/>
          <w:szCs w:val="24"/>
        </w:rPr>
        <w:t xml:space="preserve"> allá de los ingresos económicos de la familia.</w:t>
      </w:r>
    </w:p>
    <w:p w:rsidR="003653F7" w:rsidRPr="0011461B" w:rsidRDefault="00C749D6" w:rsidP="0011461B">
      <w:pPr>
        <w:spacing w:line="240" w:lineRule="auto"/>
        <w:rPr>
          <w:rFonts w:ascii="Georgia" w:hAnsi="Georgia" w:cs="Times New Roman"/>
          <w:sz w:val="24"/>
          <w:szCs w:val="24"/>
        </w:rPr>
      </w:pPr>
      <w:r w:rsidRPr="0011461B">
        <w:rPr>
          <w:rFonts w:ascii="Georgia" w:hAnsi="Georgia" w:cs="Times New Roman"/>
          <w:b/>
          <w:sz w:val="24"/>
          <w:szCs w:val="24"/>
        </w:rPr>
        <w:t>Procedimiento</w:t>
      </w:r>
      <w:r w:rsidR="003653F7" w:rsidRPr="0011461B">
        <w:rPr>
          <w:rFonts w:ascii="Georgia" w:hAnsi="Georgia" w:cs="Times New Roman"/>
          <w:b/>
          <w:sz w:val="24"/>
          <w:szCs w:val="24"/>
        </w:rPr>
        <w:t>.</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La recolección de los datos en las tres ciudades se llevó a cabo durante 8 meses entre septiembre de 2017 y mayo de 2018, se realizó una visita domiciliaria en donde estuvieran presentes simultáneamente los tres miembros de interés, si la familia tenía más de un hijo, se establecía un consenso sobre que hijo podría participar de acuerdo a los criterios de edad (entre los 6 y los 17 años y que fuera hijo biológico de al menos uno de los padres). Las familias participantes deberían estar viviendo en la ciudad respectiva del sitio de estudio de manera ininterrumpida al menos los últimos 4 años y tener un </w:t>
      </w:r>
      <w:r w:rsidR="00B02DBC" w:rsidRPr="0011461B">
        <w:rPr>
          <w:rFonts w:ascii="Georgia" w:hAnsi="Georgia" w:cs="Times New Roman"/>
          <w:sz w:val="24"/>
          <w:szCs w:val="24"/>
        </w:rPr>
        <w:t>vínculo</w:t>
      </w:r>
      <w:r w:rsidRPr="0011461B">
        <w:rPr>
          <w:rFonts w:ascii="Georgia" w:hAnsi="Georgia" w:cs="Times New Roman"/>
          <w:sz w:val="24"/>
          <w:szCs w:val="24"/>
        </w:rPr>
        <w:t xml:space="preserve"> conyugal de al menos 2 años. Previo diligenciamiento del consentimiento informado y de asentamiento informado para los hijos, cada uno de los miembros contestaba por separado las versiones de los instrumentos de Bienestar Familiar y el hijo/a </w:t>
      </w:r>
      <w:r w:rsidRPr="0011461B">
        <w:rPr>
          <w:rFonts w:ascii="Georgia" w:hAnsi="Georgia" w:cs="Times New Roman"/>
          <w:sz w:val="24"/>
          <w:szCs w:val="24"/>
        </w:rPr>
        <w:lastRenderedPageBreak/>
        <w:t>diligenciaba el cuestionario del Inventario de Bienestar Infantil</w:t>
      </w:r>
      <w:r w:rsidR="00B02DBC" w:rsidRPr="0011461B">
        <w:rPr>
          <w:rFonts w:ascii="Georgia" w:hAnsi="Georgia" w:cs="Times New Roman"/>
          <w:sz w:val="24"/>
          <w:szCs w:val="24"/>
        </w:rPr>
        <w:t xml:space="preserve"> con el apoyo de los asistentes de investigación en caso de que surgieran dudas</w:t>
      </w:r>
      <w:r w:rsidRPr="0011461B">
        <w:rPr>
          <w:rFonts w:ascii="Georgia" w:hAnsi="Georgia" w:cs="Times New Roman"/>
          <w:sz w:val="24"/>
          <w:szCs w:val="24"/>
        </w:rPr>
        <w:t>.</w:t>
      </w:r>
    </w:p>
    <w:p w:rsidR="003653F7" w:rsidRPr="0011461B" w:rsidRDefault="00C749D6" w:rsidP="0011461B">
      <w:pPr>
        <w:spacing w:line="240" w:lineRule="auto"/>
        <w:rPr>
          <w:rFonts w:ascii="Georgia" w:hAnsi="Georgia" w:cs="Times New Roman"/>
          <w:sz w:val="24"/>
          <w:szCs w:val="24"/>
        </w:rPr>
      </w:pPr>
      <w:r w:rsidRPr="0011461B">
        <w:rPr>
          <w:rFonts w:ascii="Georgia" w:hAnsi="Georgia" w:cs="Times New Roman"/>
          <w:b/>
          <w:sz w:val="24"/>
          <w:szCs w:val="24"/>
        </w:rPr>
        <w:t>Plan de Análisis</w:t>
      </w:r>
      <w:r w:rsidR="003653F7" w:rsidRPr="0011461B">
        <w:rPr>
          <w:rFonts w:ascii="Georgia" w:hAnsi="Georgia" w:cs="Times New Roman"/>
          <w:b/>
          <w:sz w:val="24"/>
          <w:szCs w:val="24"/>
        </w:rPr>
        <w:t>.</w:t>
      </w:r>
      <w:r w:rsidRPr="0011461B">
        <w:rPr>
          <w:rFonts w:ascii="Georgia" w:hAnsi="Georgia" w:cs="Times New Roman"/>
          <w:sz w:val="24"/>
          <w:szCs w:val="24"/>
        </w:rPr>
        <w:t xml:space="preserve"> </w:t>
      </w:r>
    </w:p>
    <w:p w:rsidR="00C749D6" w:rsidRPr="0011461B" w:rsidRDefault="00C749D6" w:rsidP="0011461B">
      <w:pPr>
        <w:spacing w:line="240" w:lineRule="auto"/>
        <w:ind w:firstLine="708"/>
        <w:rPr>
          <w:rFonts w:ascii="Georgia" w:hAnsi="Georgia" w:cs="Times New Roman"/>
          <w:sz w:val="24"/>
          <w:szCs w:val="24"/>
        </w:rPr>
      </w:pPr>
      <w:r w:rsidRPr="0011461B">
        <w:rPr>
          <w:rFonts w:ascii="Georgia" w:hAnsi="Georgia" w:cs="Times New Roman"/>
          <w:sz w:val="24"/>
          <w:szCs w:val="24"/>
        </w:rPr>
        <w:t>Todos los análisis se llevaron a cabo con el paquete estadístico SPSS versión 24. En primera instancia se evaluó la consistencia interna para cada uno de los instrumentos y se calcularon los estadísticos descriptivos para cada dimensión de las escalas. En segundo lugar, se tipificaron todas las escalas para hacer comparables los datos en una escala de 1 a 6. Se calculó una variable adicional que estima el nivel del bienestar familiar promediado de los tres reportes de papá, mamá e hijo/a y se denominó bienestar familiar agregado. Posteriormente, se llevaron a cabo análisis de varianza (ANOVA) de manera separada para cada variable del bienestar (familiar e infantil) tomado con factor la variable geográfica y el nivel de estatus socioeconómico. A continuación, se llevaron a cabo los análisis de correlación y finalmente se ensayó un modelo de regresión lineal simple para determinar el nivel de predicción de la variable bienestar familiar sobre la variable bienestar infantil.</w:t>
      </w:r>
    </w:p>
    <w:p w:rsidR="00456D9A" w:rsidRPr="0011461B" w:rsidRDefault="00456D9A" w:rsidP="0011461B">
      <w:pPr>
        <w:spacing w:line="240" w:lineRule="auto"/>
        <w:jc w:val="center"/>
        <w:rPr>
          <w:rFonts w:ascii="Georgia" w:hAnsi="Georgia" w:cs="Times New Roman"/>
          <w:b/>
          <w:sz w:val="24"/>
          <w:szCs w:val="24"/>
        </w:rPr>
      </w:pPr>
      <w:r w:rsidRPr="0011461B">
        <w:rPr>
          <w:rFonts w:ascii="Georgia" w:hAnsi="Georgia" w:cs="Times New Roman"/>
          <w:b/>
          <w:sz w:val="24"/>
          <w:szCs w:val="24"/>
        </w:rPr>
        <w:t>Resultados</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A continuación, se presentan los resultados para cada una de las variables propuestas para el estudio realizado. En primera instancia en la tabla 1 se encuentran los descriptivos para las variables bienestar familiar y bienestar infantil.</w:t>
      </w:r>
    </w:p>
    <w:p w:rsidR="00456D9A" w:rsidRPr="0011461B" w:rsidRDefault="00F27571" w:rsidP="0011461B">
      <w:pPr>
        <w:autoSpaceDE w:val="0"/>
        <w:autoSpaceDN w:val="0"/>
        <w:adjustRightInd w:val="0"/>
        <w:spacing w:after="0" w:line="240" w:lineRule="auto"/>
        <w:rPr>
          <w:rFonts w:ascii="Georgia" w:hAnsi="Georgia" w:cs="Times New Roman"/>
          <w:sz w:val="24"/>
          <w:szCs w:val="24"/>
        </w:rPr>
      </w:pPr>
      <w:r w:rsidRPr="0011461B">
        <w:rPr>
          <w:rFonts w:ascii="Georgia" w:hAnsi="Georgia" w:cs="Times New Roman"/>
          <w:sz w:val="24"/>
          <w:szCs w:val="24"/>
        </w:rPr>
        <w:t>INSERTA TABLA 1</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 xml:space="preserve">Para evaluar </w:t>
      </w:r>
      <w:bookmarkStart w:id="5" w:name="_Hlk4863806"/>
      <w:r w:rsidRPr="0011461B">
        <w:rPr>
          <w:rFonts w:ascii="Georgia" w:hAnsi="Georgia" w:cs="Times New Roman"/>
          <w:sz w:val="24"/>
          <w:szCs w:val="24"/>
        </w:rPr>
        <w:t>la primera hipótesis: “Existen diferencias significativas en los niveles promedio de bienestar familiar dependiendo del contexto geográfico de las familias</w:t>
      </w:r>
      <w:bookmarkEnd w:id="5"/>
      <w:r w:rsidRPr="0011461B">
        <w:rPr>
          <w:rFonts w:ascii="Georgia" w:hAnsi="Georgia" w:cs="Times New Roman"/>
          <w:sz w:val="24"/>
          <w:szCs w:val="24"/>
        </w:rPr>
        <w:t>” se realizó un ANOVA tomando como factor la región en donde residía la familia. Los datos se resumen en la tabla 2.</w:t>
      </w:r>
    </w:p>
    <w:p w:rsidR="00F27571" w:rsidRPr="0011461B" w:rsidRDefault="00F27571" w:rsidP="0011461B">
      <w:pPr>
        <w:spacing w:line="240" w:lineRule="auto"/>
        <w:rPr>
          <w:rFonts w:ascii="Georgia" w:hAnsi="Georgia" w:cs="Times New Roman"/>
          <w:sz w:val="24"/>
          <w:szCs w:val="24"/>
        </w:rPr>
      </w:pPr>
      <w:r w:rsidRPr="0011461B">
        <w:rPr>
          <w:rFonts w:ascii="Georgia" w:hAnsi="Georgia" w:cs="Times New Roman"/>
          <w:sz w:val="24"/>
          <w:szCs w:val="24"/>
        </w:rPr>
        <w:t>INSERTA TABLA 2</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b/>
          <w:sz w:val="24"/>
          <w:szCs w:val="24"/>
        </w:rPr>
        <w:tab/>
      </w:r>
      <w:r w:rsidRPr="0011461B">
        <w:rPr>
          <w:rFonts w:ascii="Georgia" w:hAnsi="Georgia" w:cs="Times New Roman"/>
          <w:sz w:val="24"/>
          <w:szCs w:val="24"/>
        </w:rPr>
        <w:t>Como se aprecia solo se encontraron diferencias significativas en los niveles promedio de bienestar familiar reportados por mamás, se evaluaron las diferencias honestamente significativas con la prueba HDS de Tukey se encontraron diferencias significativas en los niveles promedio de bienestar familiar reportado por mamás entre Bogotá y Cali-Palmira (0.41*), es decir, las mamás de Cali-Palmira reportan niveles promedio más altos de bienestar familiar con un tamaño de efecto moderado. Tomando con referencia la variable construida bienestar familiar agregado, también se aprecian diferencias significativas las cuales al ser evaluadas con la prueba HDS de Tukey se presentan nuevamente entre mamás de Bogotá y Cali-Palmira (0.24*) con un tamaño de efecto moderado.</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Para la evaluación de la segunda hipótesis: “Existen diferencias significativas en los niveles promedio de bienestar familiar dependiendo del estatus socioeconómico de las familias” se realizó un ANOVA tomando como factor el nivel de estatus socioeconómico calculado para cada familia. Los datos se resumen en la tabla 3.</w:t>
      </w:r>
    </w:p>
    <w:p w:rsidR="00F27571" w:rsidRPr="0011461B" w:rsidRDefault="00F27571" w:rsidP="0011461B">
      <w:pPr>
        <w:spacing w:line="240" w:lineRule="auto"/>
        <w:rPr>
          <w:rFonts w:ascii="Georgia" w:hAnsi="Georgia" w:cs="Times New Roman"/>
          <w:sz w:val="24"/>
          <w:szCs w:val="24"/>
        </w:rPr>
      </w:pPr>
      <w:r w:rsidRPr="0011461B">
        <w:rPr>
          <w:rFonts w:ascii="Georgia" w:hAnsi="Georgia" w:cs="Times New Roman"/>
          <w:sz w:val="24"/>
          <w:szCs w:val="24"/>
        </w:rPr>
        <w:lastRenderedPageBreak/>
        <w:t>INSERTAR TABLA 3</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Los análisis indican que existen diferencias significativas en los niveles promedio de bienestar familiar reportados por mamás, éstas se evaluaron con la prueba HDS de Tukey y se encontraron diferencias significativas en los niveles promedio de bienestar familiar reportado por mamá entre estatus de nivel socioeconómico bajo y alto (0.65*), es decir, las mamás de estatus socioeconómico alto reportan niveles promedio más altos de bienestar familiar con un tamaño de efecto moderado. Tomando con referencia la variable construida bienestar familiar agregado también se aprecian diferencias significativas las cuales al ser evaluadas con la prueba HDS de Tukey se presentan diferencias significativas entre mamás de nivel de estatus socioeconómico bajo y medio (0.23*), bajo y alto (0.33*) con un tamaño de efecto moderado.</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Para la evaluación de la tercera hipótesis: “</w:t>
      </w:r>
      <w:bookmarkStart w:id="6" w:name="_Hlk4866464"/>
      <w:r w:rsidRPr="0011461B">
        <w:rPr>
          <w:rFonts w:ascii="Georgia" w:hAnsi="Georgia" w:cs="Times New Roman"/>
          <w:sz w:val="24"/>
          <w:szCs w:val="24"/>
        </w:rPr>
        <w:t>Existen diferencias significativas en los niveles promedio de bienestar infantil dependiendo del contexto geográfico de las familias”</w:t>
      </w:r>
      <w:bookmarkEnd w:id="6"/>
      <w:r w:rsidRPr="0011461B">
        <w:rPr>
          <w:rFonts w:ascii="Georgia" w:hAnsi="Georgia" w:cs="Times New Roman"/>
          <w:sz w:val="24"/>
          <w:szCs w:val="24"/>
        </w:rPr>
        <w:t>, se realizó un ANOVA tomando como factor la región en donde residía la familia. Los datos se resumen en la tabla 4.</w:t>
      </w:r>
    </w:p>
    <w:p w:rsidR="00F27571" w:rsidRPr="0011461B" w:rsidRDefault="00F27571" w:rsidP="0011461B">
      <w:pPr>
        <w:spacing w:line="240" w:lineRule="auto"/>
        <w:rPr>
          <w:rFonts w:ascii="Georgia" w:hAnsi="Georgia" w:cs="Times New Roman"/>
          <w:sz w:val="24"/>
          <w:szCs w:val="24"/>
        </w:rPr>
      </w:pPr>
      <w:r w:rsidRPr="0011461B">
        <w:rPr>
          <w:rFonts w:ascii="Georgia" w:hAnsi="Georgia" w:cs="Times New Roman"/>
          <w:sz w:val="24"/>
          <w:szCs w:val="24"/>
        </w:rPr>
        <w:t>INSERTA TABLA 4</w:t>
      </w:r>
    </w:p>
    <w:p w:rsidR="00456D9A" w:rsidRPr="0011461B" w:rsidRDefault="00456D9A"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Como se aprecia solo se encontraron diferencias significativas en los niveles promedio de bienestar objetivo reportados por los hijos, se evaluaron las diferencias con la prueba HDS de Tukey se encontraron diferencias significativas en los niveles promedio de bienestar objetivo reportado por los hijos entre Bogotá y Cali-Palmira (0.18*), es decir, los hijos de Bogotá reportan niveles promedio más altos de bienestar objetivo con un tamaño de efecto moderado. </w:t>
      </w:r>
    </w:p>
    <w:p w:rsidR="00456D9A" w:rsidRPr="0011461B" w:rsidRDefault="00456D9A" w:rsidP="0011461B">
      <w:pPr>
        <w:spacing w:line="240" w:lineRule="auto"/>
        <w:ind w:firstLine="708"/>
        <w:rPr>
          <w:rFonts w:ascii="Georgia" w:hAnsi="Georgia" w:cs="Times New Roman"/>
          <w:sz w:val="24"/>
          <w:szCs w:val="24"/>
        </w:rPr>
      </w:pPr>
      <w:r w:rsidRPr="0011461B">
        <w:rPr>
          <w:rFonts w:ascii="Georgia" w:hAnsi="Georgia" w:cs="Times New Roman"/>
          <w:sz w:val="24"/>
          <w:szCs w:val="24"/>
        </w:rPr>
        <w:t>Para la evaluación de la cuarta hipótesis: “Existen diferencias significativas en los niveles promedio de bienestar familiar dependiendo del estatus socioeconómico de las familias” se realizó un ANOVA tomando como factor el nivel de estatus socioeconómico calculado para cada familia. Los datos se resumen en la tabla 5.</w:t>
      </w:r>
    </w:p>
    <w:p w:rsidR="00F27571" w:rsidRPr="0011461B" w:rsidRDefault="00F27571" w:rsidP="0011461B">
      <w:pPr>
        <w:spacing w:line="240" w:lineRule="auto"/>
        <w:rPr>
          <w:rFonts w:ascii="Georgia" w:hAnsi="Georgia" w:cs="Times New Roman"/>
          <w:sz w:val="24"/>
          <w:szCs w:val="24"/>
        </w:rPr>
      </w:pPr>
      <w:r w:rsidRPr="0011461B">
        <w:rPr>
          <w:rFonts w:ascii="Georgia" w:hAnsi="Georgia" w:cs="Times New Roman"/>
          <w:sz w:val="24"/>
          <w:szCs w:val="24"/>
        </w:rPr>
        <w:t>INSERTAR TABLA 5</w:t>
      </w:r>
    </w:p>
    <w:p w:rsidR="00456D9A" w:rsidRPr="0011461B" w:rsidRDefault="00456D9A"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Como se aprecia solo se encontraron diferencias significativas en los niveles promedio de bienestar objetivo reportados por los hijos, se evaluaron las diferencias con la prueba HDS de Tukey se encontraron diferencias significativas en los niveles promedio de bienestar objetivo reportado por los hijos de los niveles de estatus socioeconómico bajo y medio (0.20*) y entre los niveles socioeconómicos bajo y alto (0.21*), es decir, los hijos de familias con niveles de estatus socioeconómico medio y alto reportan niveles promedio más altos de bienestar objetivo con un tamaño de efecto moderado. </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 xml:space="preserve">Se realizaron las correlaciones entre las variables de bienestar familiar y bienestar infantil con el objetivo de evaluar la quinta hipótesis. “Existen asociaciones significativas entre los niveles de bienestar familiar y bienestar infantil”. Debido a que la distribución de las dos variables no fue normal de acuerdo con la prueba de Normalidad de </w:t>
      </w:r>
      <w:proofErr w:type="spellStart"/>
      <w:r w:rsidRPr="0011461B">
        <w:rPr>
          <w:rFonts w:ascii="Georgia" w:hAnsi="Georgia" w:cs="Times New Roman"/>
          <w:sz w:val="24"/>
          <w:szCs w:val="24"/>
        </w:rPr>
        <w:t>Kolmogorov-Smirnov</w:t>
      </w:r>
      <w:proofErr w:type="spellEnd"/>
      <w:r w:rsidRPr="0011461B">
        <w:rPr>
          <w:rFonts w:ascii="Georgia" w:hAnsi="Georgia" w:cs="Times New Roman"/>
          <w:sz w:val="24"/>
          <w:szCs w:val="24"/>
        </w:rPr>
        <w:t xml:space="preserve"> para una muestra (K-S bienestar familiar= 0.20** y K-S bienestar infantil= 0.08**) se realizó una </w:t>
      </w:r>
      <w:r w:rsidRPr="0011461B">
        <w:rPr>
          <w:rFonts w:ascii="Georgia" w:hAnsi="Georgia" w:cs="Times New Roman"/>
          <w:sz w:val="24"/>
          <w:szCs w:val="24"/>
        </w:rPr>
        <w:lastRenderedPageBreak/>
        <w:t>correlación utilizando la prueba Tau B de Kendall con un valor de Tau B=0.21**, es decir, existen una asociación significativa positiva baja entre el bienestar familiar y el bienestar infantil.</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 xml:space="preserve">Finalmente, se construyó un modelo de regresión lineal simple para poder evaluar la sexta hipótesis: “Las dimensiones del bienestar familiar predicen las dimensiones del bienestar infantil en las familias”.  Encontrándose un valor de </w:t>
      </w:r>
      <w:r w:rsidRPr="0011461B">
        <w:rPr>
          <w:rFonts w:ascii="Georgia" w:hAnsi="Georgia" w:cs="Times New Roman"/>
          <w:i/>
          <w:sz w:val="24"/>
          <w:szCs w:val="24"/>
        </w:rPr>
        <w:t>R2</w:t>
      </w:r>
      <w:r w:rsidRPr="0011461B">
        <w:rPr>
          <w:rFonts w:ascii="Georgia" w:hAnsi="Georgia" w:cs="Times New Roman"/>
          <w:sz w:val="24"/>
          <w:szCs w:val="24"/>
        </w:rPr>
        <w:t xml:space="preserve">= 0.065, es decir, el bienestar familiar explica un 6% de la varianza del bienestar infantil. El valor de </w:t>
      </w:r>
      <w:r w:rsidRPr="0011461B">
        <w:rPr>
          <w:rFonts w:ascii="Georgia" w:hAnsi="Georgia" w:cs="Times New Roman"/>
          <w:i/>
          <w:sz w:val="24"/>
          <w:szCs w:val="24"/>
        </w:rPr>
        <w:t xml:space="preserve">B= </w:t>
      </w:r>
      <w:r w:rsidRPr="0011461B">
        <w:rPr>
          <w:rFonts w:ascii="Georgia" w:hAnsi="Georgia" w:cs="Times New Roman"/>
          <w:sz w:val="24"/>
          <w:szCs w:val="24"/>
        </w:rPr>
        <w:t>es de 0.25**, es decir, que, por cada unidad de bienestar familiar, el valor de bienestar infantil se incrementa en 0.25.</w:t>
      </w:r>
    </w:p>
    <w:p w:rsidR="00456D9A" w:rsidRPr="0011461B" w:rsidRDefault="00456D9A" w:rsidP="0011461B">
      <w:pPr>
        <w:spacing w:line="240" w:lineRule="auto"/>
        <w:jc w:val="center"/>
        <w:rPr>
          <w:rFonts w:ascii="Georgia" w:hAnsi="Georgia" w:cs="Times New Roman"/>
          <w:b/>
          <w:sz w:val="24"/>
          <w:szCs w:val="24"/>
        </w:rPr>
      </w:pPr>
      <w:r w:rsidRPr="0011461B">
        <w:rPr>
          <w:rFonts w:ascii="Georgia" w:hAnsi="Georgia" w:cs="Times New Roman"/>
          <w:b/>
          <w:sz w:val="24"/>
          <w:szCs w:val="24"/>
        </w:rPr>
        <w:t>Discusión.</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La evidencia empírica aportada en el presente artículo se articula a la investigación previa en el sentido de mostrar que no solo existen asociaciones importantes entre el bienestar familiar y el bienestar infantil, sino que posible anticipar un nivel predictivo entre estas dos dimensiones (</w:t>
      </w:r>
      <w:proofErr w:type="spellStart"/>
      <w:r w:rsidRPr="0011461B">
        <w:rPr>
          <w:rFonts w:ascii="Georgia" w:hAnsi="Georgia" w:cs="Times New Roman"/>
          <w:sz w:val="24"/>
          <w:szCs w:val="24"/>
        </w:rPr>
        <w:t>Newland</w:t>
      </w:r>
      <w:proofErr w:type="spellEnd"/>
      <w:r w:rsidRPr="0011461B">
        <w:rPr>
          <w:rFonts w:ascii="Georgia" w:hAnsi="Georgia" w:cs="Times New Roman"/>
          <w:sz w:val="24"/>
          <w:szCs w:val="24"/>
        </w:rPr>
        <w:t xml:space="preserve">, 2014; </w:t>
      </w:r>
      <w:proofErr w:type="spellStart"/>
      <w:r w:rsidRPr="0011461B">
        <w:rPr>
          <w:rFonts w:ascii="Georgia" w:hAnsi="Georgia" w:cs="Times New Roman"/>
          <w:sz w:val="24"/>
          <w:szCs w:val="24"/>
        </w:rPr>
        <w:t>Newland</w:t>
      </w:r>
      <w:proofErr w:type="spellEnd"/>
      <w:r w:rsidRPr="0011461B">
        <w:rPr>
          <w:rFonts w:ascii="Georgia" w:hAnsi="Georgia" w:cs="Times New Roman"/>
          <w:sz w:val="24"/>
          <w:szCs w:val="24"/>
        </w:rPr>
        <w:t xml:space="preserve"> et al., 2013). Un hallazgo importante del presente estudio es su contribución al tratar de construir un marco comprensivo más amplio de las asociaciones entre estas dos dimensiones, con la consideración de aspectos de índole contextual: los aspectos geográficos y los aspectos socioeconómicos. </w:t>
      </w:r>
    </w:p>
    <w:p w:rsidR="00456D9A" w:rsidRPr="0011461B" w:rsidRDefault="00456D9A" w:rsidP="0011461B">
      <w:pPr>
        <w:spacing w:line="240" w:lineRule="auto"/>
        <w:ind w:firstLine="708"/>
        <w:rPr>
          <w:rFonts w:ascii="Georgia" w:hAnsi="Georgia" w:cs="Times New Roman"/>
          <w:sz w:val="24"/>
          <w:szCs w:val="24"/>
        </w:rPr>
      </w:pPr>
      <w:r w:rsidRPr="0011461B">
        <w:rPr>
          <w:rFonts w:ascii="Georgia" w:hAnsi="Georgia" w:cs="Times New Roman"/>
          <w:sz w:val="24"/>
          <w:szCs w:val="24"/>
        </w:rPr>
        <w:t xml:space="preserve">Al retomar los resultados de cada una de las hipótesis del estudio, es posible apreciar en la primera hipótesis, que sí se hallaron diferencias significativas en los niveles promedio de bienestar familiar y del bienestar familiar agregado percibidos por las madres, dependiendo del contexto geográfico donde residían las familias, siendo menos favorable la percepción de las madres que habitaban la capital del país, que aquellas de dos ciudades intermedias del Valle del Cauca, siendo la primera una ciudad cosmopolita con mayores estresores en la calidad de vida objetiva respecto a las dos otras de provincia, lo cual podría estar afectando la percepción subjetiva de las madres sobre el bienestar propio y de su medio familiar, tal como señalan García y González (2000); igualmente, podrían estar jugándose factores culturales regionales respecto a las apreciaciones de mayor o menor felicidad o de disfrute respecto a la vida familiar (Uribe, 2004). Aspectos que se podrían indagar en estudios posteriores a través de abordajes metodológicos de tipo cualitativo. </w:t>
      </w:r>
    </w:p>
    <w:p w:rsidR="00456D9A" w:rsidRPr="0011461B" w:rsidRDefault="00456D9A" w:rsidP="0011461B">
      <w:pPr>
        <w:spacing w:line="240" w:lineRule="auto"/>
        <w:ind w:firstLine="708"/>
        <w:rPr>
          <w:rFonts w:ascii="Georgia" w:hAnsi="Georgia" w:cs="Times New Roman"/>
          <w:sz w:val="24"/>
          <w:szCs w:val="24"/>
        </w:rPr>
      </w:pPr>
      <w:r w:rsidRPr="0011461B">
        <w:rPr>
          <w:rFonts w:ascii="Georgia" w:hAnsi="Georgia" w:cs="Times New Roman"/>
          <w:sz w:val="24"/>
          <w:szCs w:val="24"/>
        </w:rPr>
        <w:t>En cuanto a la segunda hipótesis, se encontraron diferencias significativas de nuevo por parte de las madres en los niveles promedio de bienestar familiar dependiendo del estatus socioeconómico de las familias, siendo menor la percepción psicológica y de valoración del bienestar familiar en aquellas madres provenientes de los estratos socioeconómicos más bajos, lo cual estaría mostrando el papel que juegan las variables objetivas y externas provenientes de las condiciones de desventajas económica y social (Herrera, Salinas y  Valenzuela, 2011), así como sobre la percepción negativa de los logros y expectativas de vida percibidos en contextos más desfavorables y estresantes para satisfacer objetivamente las necesidades de la familia (Barrantes y Ureña, 2015).   De igual forma, en la tercera hipótesis</w:t>
      </w:r>
      <w:r w:rsidRPr="0011461B">
        <w:rPr>
          <w:rFonts w:ascii="Georgia" w:hAnsi="Georgia"/>
          <w:sz w:val="24"/>
          <w:szCs w:val="24"/>
        </w:rPr>
        <w:t xml:space="preserve"> </w:t>
      </w:r>
      <w:r w:rsidRPr="0011461B">
        <w:rPr>
          <w:rFonts w:ascii="Georgia" w:hAnsi="Georgia" w:cs="Times New Roman"/>
          <w:sz w:val="24"/>
          <w:szCs w:val="24"/>
        </w:rPr>
        <w:t xml:space="preserve">sobre las diferencias significativas en los niveles promedio de bienestar infantil dependiendo del contexto geográfico de las familias, </w:t>
      </w:r>
      <w:r w:rsidRPr="0011461B">
        <w:rPr>
          <w:rFonts w:ascii="Georgia" w:hAnsi="Georgia" w:cs="Times New Roman"/>
          <w:sz w:val="24"/>
          <w:szCs w:val="24"/>
        </w:rPr>
        <w:lastRenderedPageBreak/>
        <w:t>de nuevo se halla que los niños y adolescentes de las ciudades intermedias poseen percepciones más positivas de su bienestar que los de la capital del país, hallazgo que podría estar asociado con las condiciones objetivas de la calidad de vida de ambos contextos, tal como se señalaba en el caso de las madres. Aspectos para explorar en estudios posteriores con indagaciones cualitativas sobre las percepciones subjetivas respecto a factores como la calidad de vida percibida, satisfacción de logros y expectativas, a pesar de los mayores recursos y servicios que posee Bogotá.</w:t>
      </w:r>
    </w:p>
    <w:p w:rsidR="00456D9A" w:rsidRPr="0011461B" w:rsidRDefault="00456D9A" w:rsidP="0011461B">
      <w:pPr>
        <w:spacing w:line="240" w:lineRule="auto"/>
        <w:ind w:firstLine="708"/>
        <w:rPr>
          <w:rFonts w:ascii="Georgia" w:hAnsi="Georgia" w:cs="Times New Roman"/>
          <w:sz w:val="24"/>
          <w:szCs w:val="24"/>
        </w:rPr>
      </w:pPr>
      <w:r w:rsidRPr="0011461B">
        <w:rPr>
          <w:rFonts w:ascii="Georgia" w:hAnsi="Georgia" w:cs="Times New Roman"/>
          <w:sz w:val="24"/>
          <w:szCs w:val="24"/>
        </w:rPr>
        <w:t>Respecto a las hipótesis 4 y 5, los resultados mostraron diferencias significativas en los niveles promedio de bienestar infantil dependiendo del estatus socioeconómico de las familias, y así mismo, asociaciones significativas entre los niveles de bienestar familiar y bienestar infantil, lo cual está en consonancia con los hallazgos de otros estudios que señalan que la estructura familiar y el bienestar infantil están articulados por factores, tales como los recursos económicos y los entornos sociales menos favorables, como es el caso de estas familias en desventaja económica  (</w:t>
      </w:r>
      <w:proofErr w:type="spellStart"/>
      <w:r w:rsidRPr="0011461B">
        <w:rPr>
          <w:rFonts w:ascii="Georgia" w:hAnsi="Georgia" w:cs="Times New Roman"/>
          <w:sz w:val="24"/>
          <w:szCs w:val="24"/>
        </w:rPr>
        <w:t>Waldfogel</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Craigie</w:t>
      </w:r>
      <w:proofErr w:type="spellEnd"/>
      <w:r w:rsidRPr="0011461B">
        <w:rPr>
          <w:rFonts w:ascii="Georgia" w:hAnsi="Georgia" w:cs="Times New Roman"/>
          <w:sz w:val="24"/>
          <w:szCs w:val="24"/>
        </w:rPr>
        <w:t>, y Brooks-</w:t>
      </w:r>
      <w:proofErr w:type="spellStart"/>
      <w:r w:rsidRPr="0011461B">
        <w:rPr>
          <w:rFonts w:ascii="Georgia" w:hAnsi="Georgia" w:cs="Times New Roman"/>
          <w:sz w:val="24"/>
          <w:szCs w:val="24"/>
        </w:rPr>
        <w:t>Gunn</w:t>
      </w:r>
      <w:proofErr w:type="spellEnd"/>
      <w:r w:rsidRPr="0011461B">
        <w:rPr>
          <w:rFonts w:ascii="Georgia" w:hAnsi="Georgia" w:cs="Times New Roman"/>
          <w:sz w:val="24"/>
          <w:szCs w:val="24"/>
        </w:rPr>
        <w:t xml:space="preserve">, 2010). No obstante, en estudios posteriores, sería relevante plantearse indagaciones con metodologías cuantitativas y cualitativas, para explorar la estructura familiar, lo cual permitiría comprender el papel que juegan variables tales como calidad de la relación parental o el estatus civil de los padres (estar casados o vivir en unión libre) sobre la percepción de bienestar infantil y el bienestar familiar, tanto subjetivo como objetivo, tal como se han hallado en estudios en población norteamericana (Pliego, 2012; </w:t>
      </w:r>
      <w:proofErr w:type="spellStart"/>
      <w:r w:rsidRPr="0011461B">
        <w:rPr>
          <w:rFonts w:ascii="Georgia" w:hAnsi="Georgia" w:cs="Times New Roman"/>
          <w:sz w:val="24"/>
          <w:szCs w:val="24"/>
        </w:rPr>
        <w:t>Rawls</w:t>
      </w:r>
      <w:proofErr w:type="spellEnd"/>
      <w:r w:rsidRPr="0011461B">
        <w:rPr>
          <w:rFonts w:ascii="Georgia" w:hAnsi="Georgia" w:cs="Times New Roman"/>
          <w:sz w:val="24"/>
          <w:szCs w:val="24"/>
        </w:rPr>
        <w:t xml:space="preserve">, 1997; </w:t>
      </w:r>
      <w:proofErr w:type="spellStart"/>
      <w:r w:rsidRPr="0011461B">
        <w:rPr>
          <w:rFonts w:ascii="Georgia" w:hAnsi="Georgia" w:cs="Times New Roman"/>
          <w:sz w:val="24"/>
          <w:szCs w:val="24"/>
        </w:rPr>
        <w:t>Waldfogel</w:t>
      </w:r>
      <w:proofErr w:type="spellEnd"/>
      <w:r w:rsidRPr="0011461B">
        <w:rPr>
          <w:rFonts w:ascii="Georgia" w:hAnsi="Georgia" w:cs="Times New Roman"/>
          <w:sz w:val="24"/>
          <w:szCs w:val="24"/>
        </w:rPr>
        <w:t xml:space="preserve"> et al., 2010).</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Por otra parte, es relevante señalar para comprender los resultados de este estudio que existen dos maneras como la literatura a construido modelos que den cuenta de las asociaciones: un modelo de efectos directos y un modelo de efectos indirectos. El modelo de efecto directos plantea que la relación entre el bienestar familiar y el bienestar infantil no está mediatizada por ninguna otra variable y que muchos aspectos del bienestar familiar (como, por ejemplo, el estado mental de los padres, el nivel educativo, el estatus laboral) afecta de manera positiva o negativa el bienestar de los hijos (</w:t>
      </w:r>
      <w:proofErr w:type="spellStart"/>
      <w:r w:rsidRPr="0011461B">
        <w:rPr>
          <w:rFonts w:ascii="Georgia" w:hAnsi="Georgia" w:cs="Times New Roman"/>
          <w:sz w:val="24"/>
          <w:szCs w:val="24"/>
        </w:rPr>
        <w:t>Coyl</w:t>
      </w:r>
      <w:proofErr w:type="spellEnd"/>
      <w:r w:rsidRPr="0011461B">
        <w:rPr>
          <w:rFonts w:ascii="Georgia" w:hAnsi="Georgia" w:cs="Times New Roman"/>
          <w:sz w:val="24"/>
          <w:szCs w:val="24"/>
        </w:rPr>
        <w:t xml:space="preserve"> et al., 2002; </w:t>
      </w:r>
      <w:proofErr w:type="spellStart"/>
      <w:r w:rsidRPr="0011461B">
        <w:rPr>
          <w:rFonts w:ascii="Georgia" w:hAnsi="Georgia" w:cs="Times New Roman"/>
          <w:sz w:val="24"/>
          <w:szCs w:val="24"/>
        </w:rPr>
        <w:t>Farver</w:t>
      </w:r>
      <w:proofErr w:type="spellEnd"/>
      <w:r w:rsidRPr="0011461B">
        <w:rPr>
          <w:rFonts w:ascii="Georgia" w:hAnsi="Georgia" w:cs="Times New Roman"/>
          <w:sz w:val="24"/>
          <w:szCs w:val="24"/>
        </w:rPr>
        <w:t xml:space="preserve"> et al., 2005). El segundo modelo, plantea que es posible encontrar desde una perspectiva ecológica otros niveles de interacción o mediación del bienestar familiar con el bienestar de los hijos. Por ejemplo, algunos autores han planteado que variables asociadas a los patrones de crianza operan como mediadores de los efectos del bienestar familiar sobre el bienestar de los hijos (</w:t>
      </w:r>
      <w:proofErr w:type="spellStart"/>
      <w:r w:rsidRPr="0011461B">
        <w:rPr>
          <w:rFonts w:ascii="Georgia" w:hAnsi="Georgia" w:cs="Times New Roman"/>
          <w:sz w:val="24"/>
          <w:szCs w:val="24"/>
        </w:rPr>
        <w:t>Broberg</w:t>
      </w:r>
      <w:proofErr w:type="spellEnd"/>
      <w:r w:rsidRPr="0011461B">
        <w:rPr>
          <w:rFonts w:ascii="Georgia" w:hAnsi="Georgia" w:cs="Times New Roman"/>
          <w:sz w:val="24"/>
          <w:szCs w:val="24"/>
        </w:rPr>
        <w:t xml:space="preserve">, 2012; </w:t>
      </w:r>
      <w:proofErr w:type="spellStart"/>
      <w:r w:rsidRPr="0011461B">
        <w:rPr>
          <w:rFonts w:ascii="Georgia" w:hAnsi="Georgia" w:cs="Times New Roman"/>
          <w:sz w:val="24"/>
          <w:szCs w:val="24"/>
        </w:rPr>
        <w:t>Lawler</w:t>
      </w:r>
      <w:proofErr w:type="spellEnd"/>
      <w:r w:rsidRPr="0011461B">
        <w:rPr>
          <w:rFonts w:ascii="Georgia" w:hAnsi="Georgia" w:cs="Times New Roman"/>
          <w:sz w:val="24"/>
          <w:szCs w:val="24"/>
        </w:rPr>
        <w:t xml:space="preserve">, </w:t>
      </w:r>
      <w:proofErr w:type="spellStart"/>
      <w:r w:rsidRPr="0011461B">
        <w:rPr>
          <w:rFonts w:ascii="Georgia" w:hAnsi="Georgia" w:cs="Times New Roman"/>
          <w:sz w:val="24"/>
          <w:szCs w:val="24"/>
        </w:rPr>
        <w:t>Shaver</w:t>
      </w:r>
      <w:proofErr w:type="spellEnd"/>
      <w:r w:rsidRPr="0011461B">
        <w:rPr>
          <w:rFonts w:ascii="Georgia" w:hAnsi="Georgia" w:cs="Times New Roman"/>
          <w:sz w:val="24"/>
          <w:szCs w:val="24"/>
        </w:rPr>
        <w:t xml:space="preserve">, &amp; Goodman, 2011; </w:t>
      </w:r>
      <w:proofErr w:type="spellStart"/>
      <w:r w:rsidRPr="0011461B">
        <w:rPr>
          <w:rFonts w:ascii="Georgia" w:hAnsi="Georgia" w:cs="Times New Roman"/>
          <w:sz w:val="24"/>
          <w:szCs w:val="24"/>
        </w:rPr>
        <w:t>McDougall</w:t>
      </w:r>
      <w:proofErr w:type="spellEnd"/>
      <w:r w:rsidRPr="0011461B">
        <w:rPr>
          <w:rFonts w:ascii="Georgia" w:hAnsi="Georgia" w:cs="Times New Roman"/>
          <w:sz w:val="24"/>
          <w:szCs w:val="24"/>
        </w:rPr>
        <w:t>, 2011).</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 xml:space="preserve">En el mismo orden de ideas de este segundo modelo, </w:t>
      </w:r>
      <w:proofErr w:type="spellStart"/>
      <w:r w:rsidRPr="0011461B">
        <w:rPr>
          <w:rFonts w:ascii="Georgia" w:hAnsi="Georgia" w:cs="Times New Roman"/>
          <w:sz w:val="24"/>
          <w:szCs w:val="24"/>
        </w:rPr>
        <w:t>Roggman</w:t>
      </w:r>
      <w:proofErr w:type="spellEnd"/>
      <w:r w:rsidRPr="0011461B">
        <w:rPr>
          <w:rFonts w:ascii="Georgia" w:hAnsi="Georgia" w:cs="Times New Roman"/>
          <w:sz w:val="24"/>
          <w:szCs w:val="24"/>
        </w:rPr>
        <w:t xml:space="preserve"> y otros (2008) han encontrado que el desarrollo de algunas habilidades de crianza tales como el manejo del afecto, la capacidad de respuesta a las necesidades de los hijos, así como las habilidades para estimular la enseñanza en los hijos sirven como mediadoras de los efectos entre el bienestar familiar y el bienestar infantil. </w:t>
      </w:r>
      <w:proofErr w:type="spellStart"/>
      <w:r w:rsidRPr="0011461B">
        <w:rPr>
          <w:rFonts w:ascii="Georgia" w:hAnsi="Georgia" w:cs="Times New Roman"/>
          <w:sz w:val="24"/>
          <w:szCs w:val="24"/>
        </w:rPr>
        <w:t>Newland</w:t>
      </w:r>
      <w:proofErr w:type="spellEnd"/>
      <w:r w:rsidRPr="0011461B">
        <w:rPr>
          <w:rFonts w:ascii="Georgia" w:hAnsi="Georgia" w:cs="Times New Roman"/>
          <w:sz w:val="24"/>
          <w:szCs w:val="24"/>
        </w:rPr>
        <w:t xml:space="preserve"> (2014) amplia la lista de las dimensiones parentales en cuanto a la crianza, señalando el compromiso, la disciplina democrática y el apoyo a la paternidad o </w:t>
      </w:r>
      <w:proofErr w:type="spellStart"/>
      <w:r w:rsidRPr="0011461B">
        <w:rPr>
          <w:rFonts w:ascii="Georgia" w:hAnsi="Georgia" w:cs="Times New Roman"/>
          <w:sz w:val="24"/>
          <w:szCs w:val="24"/>
        </w:rPr>
        <w:t>co</w:t>
      </w:r>
      <w:proofErr w:type="spellEnd"/>
      <w:r w:rsidRPr="0011461B">
        <w:rPr>
          <w:rFonts w:ascii="Georgia" w:hAnsi="Georgia" w:cs="Times New Roman"/>
          <w:sz w:val="24"/>
          <w:szCs w:val="24"/>
        </w:rPr>
        <w:t xml:space="preserve">-crianza como variables mediadoras de dicha relación. Sin </w:t>
      </w:r>
      <w:r w:rsidRPr="0011461B">
        <w:rPr>
          <w:rFonts w:ascii="Georgia" w:hAnsi="Georgia" w:cs="Times New Roman"/>
          <w:sz w:val="24"/>
          <w:szCs w:val="24"/>
        </w:rPr>
        <w:lastRenderedPageBreak/>
        <w:t xml:space="preserve">embargo, no se lograron identificar reportes de como otras variables contextuales median los efectos entre bienestar familiar y bienestar infantil, y es aquí en donde cobran sentido algunos de los hallazgos de este estudio, en concreto, el posible papel que cumplen el contexto geográfico y el nivel de estatus socioeconómico, así como  la explicación del monto de predicción del bienestar infantil, que para el caso del presente estudio alcanzó un nivel del 25% en la tasa de cambio por unidad del bienestar familiar, valor muy significativo si se tiene en cuenta la novedad de la presente investigación en Colombia. </w:t>
      </w:r>
    </w:p>
    <w:p w:rsidR="00456D9A"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Si bien no estaba en los objetivos del estudio identificar un posible papel mediador de las variables contextuales en la explicación de las asociaciones entre las dos formas de bienestar, si se señala una veta importante de investigación a seguir siendo explorada, pues los contextos (geográficos y socioeconómicos) tienen efectos diferenciales importantes tal y como lo ilustran los hallazgos del presente estudio.</w:t>
      </w:r>
    </w:p>
    <w:p w:rsidR="00B37477" w:rsidRPr="0011461B" w:rsidRDefault="00456D9A" w:rsidP="0011461B">
      <w:pPr>
        <w:spacing w:line="240" w:lineRule="auto"/>
        <w:rPr>
          <w:rFonts w:ascii="Georgia" w:hAnsi="Georgia" w:cs="Times New Roman"/>
          <w:sz w:val="24"/>
          <w:szCs w:val="24"/>
        </w:rPr>
      </w:pPr>
      <w:r w:rsidRPr="0011461B">
        <w:rPr>
          <w:rFonts w:ascii="Georgia" w:hAnsi="Georgia" w:cs="Times New Roman"/>
          <w:sz w:val="24"/>
          <w:szCs w:val="24"/>
        </w:rPr>
        <w:tab/>
        <w:t xml:space="preserve">Pese a lo anterior, es importante señalar algunas limitaciones y plantear algunas sugerencias para desarrollo investigativos posteriores. Los hallazgos de la presente investigación,  si bien constituyen una fuente importante de información sobre la consideración de las diferencias regionales, es importante que se amplíe la información a las otras regiones del país: la Insular, la Orinoquia y la Amazonia, e igualmente, explorar los contextos rurales, los cuales pueden también marcar diferencias con los urbanos, con los cuales se contará con un amplio panorama que permita entender mejor las maneras particulares como los contextos naturales y culturales afectan al bienestar familiar y al bienestar infantil. </w:t>
      </w:r>
    </w:p>
    <w:p w:rsidR="00A35C4C" w:rsidRPr="0011461B" w:rsidRDefault="00A35C4C" w:rsidP="0011461B">
      <w:pPr>
        <w:spacing w:line="240" w:lineRule="auto"/>
        <w:rPr>
          <w:rFonts w:ascii="Georgia" w:hAnsi="Georgia" w:cs="Times New Roman"/>
          <w:sz w:val="24"/>
          <w:szCs w:val="24"/>
        </w:rPr>
      </w:pPr>
      <w:r w:rsidRPr="0011461B">
        <w:rPr>
          <w:rFonts w:ascii="Georgia" w:hAnsi="Georgia" w:cs="Times New Roman"/>
          <w:sz w:val="24"/>
          <w:szCs w:val="24"/>
        </w:rPr>
        <w:br w:type="page"/>
      </w:r>
    </w:p>
    <w:p w:rsidR="00A35C4C" w:rsidRPr="0011461B" w:rsidRDefault="00A35C4C" w:rsidP="0011461B">
      <w:pPr>
        <w:spacing w:line="240" w:lineRule="auto"/>
        <w:rPr>
          <w:rFonts w:ascii="Georgia" w:hAnsi="Georgia" w:cs="Times New Roman"/>
          <w:b/>
          <w:sz w:val="24"/>
          <w:szCs w:val="24"/>
        </w:rPr>
      </w:pPr>
      <w:r w:rsidRPr="0011461B">
        <w:rPr>
          <w:rFonts w:ascii="Georgia" w:hAnsi="Georgia" w:cs="Times New Roman"/>
          <w:b/>
          <w:sz w:val="24"/>
          <w:szCs w:val="24"/>
        </w:rPr>
        <w:lastRenderedPageBreak/>
        <w:t>Referencias</w:t>
      </w:r>
    </w:p>
    <w:p w:rsidR="00A35C4C" w:rsidRPr="0011461B" w:rsidRDefault="00A35C4C" w:rsidP="0011461B">
      <w:pPr>
        <w:spacing w:line="240" w:lineRule="auto"/>
        <w:ind w:left="567" w:hanging="567"/>
        <w:rPr>
          <w:rFonts w:ascii="Georgia" w:hAnsi="Georgia" w:cs="Times New Roman"/>
          <w:sz w:val="24"/>
          <w:szCs w:val="24"/>
        </w:rPr>
      </w:pPr>
      <w:r w:rsidRPr="0011461B">
        <w:rPr>
          <w:rFonts w:ascii="Georgia" w:hAnsi="Georgia" w:cs="Times New Roman"/>
          <w:sz w:val="24"/>
          <w:szCs w:val="24"/>
        </w:rPr>
        <w:t>Arango, M. A. (1993) La calidad de vida. Juicios de satisfacción y felicidad como indicadores actitudinales de bienestar. Revista de psicología social, 8(1), 101-110.</w:t>
      </w:r>
    </w:p>
    <w:p w:rsidR="00A35C4C" w:rsidRPr="0011461B" w:rsidRDefault="00A35C4C" w:rsidP="0011461B">
      <w:pPr>
        <w:spacing w:line="240" w:lineRule="auto"/>
        <w:ind w:left="567" w:hanging="567"/>
        <w:rPr>
          <w:rFonts w:ascii="Georgia" w:hAnsi="Georgia" w:cs="Times New Roman"/>
          <w:sz w:val="24"/>
          <w:szCs w:val="24"/>
          <w:lang w:val="es-MX"/>
        </w:rPr>
      </w:pPr>
      <w:r w:rsidRPr="0011461B">
        <w:rPr>
          <w:rFonts w:ascii="Georgia" w:hAnsi="Georgia" w:cs="Times New Roman"/>
          <w:sz w:val="24"/>
          <w:szCs w:val="24"/>
        </w:rPr>
        <w:t>Barrantes-</w:t>
      </w:r>
      <w:proofErr w:type="spellStart"/>
      <w:r w:rsidRPr="0011461B">
        <w:rPr>
          <w:rFonts w:ascii="Georgia" w:hAnsi="Georgia" w:cs="Times New Roman"/>
          <w:sz w:val="24"/>
          <w:szCs w:val="24"/>
        </w:rPr>
        <w:t>Brais</w:t>
      </w:r>
      <w:proofErr w:type="spellEnd"/>
      <w:r w:rsidRPr="0011461B">
        <w:rPr>
          <w:rFonts w:ascii="Georgia" w:hAnsi="Georgia" w:cs="Times New Roman"/>
          <w:sz w:val="24"/>
          <w:szCs w:val="24"/>
        </w:rPr>
        <w:t xml:space="preserve">. K. y Ureña-Bonilla, P. (2015) Bienestar psicológico y bienestar subjetivo en estudiantes universitarios costarricenses. </w:t>
      </w:r>
      <w:r w:rsidRPr="0011461B">
        <w:rPr>
          <w:rFonts w:ascii="Georgia" w:hAnsi="Georgia" w:cs="Times New Roman"/>
          <w:i/>
          <w:sz w:val="24"/>
          <w:szCs w:val="24"/>
          <w:lang w:val="es-MX"/>
        </w:rPr>
        <w:t>Revista Intercontinental de Psicología y Educación, 17</w:t>
      </w:r>
      <w:r w:rsidRPr="0011461B">
        <w:rPr>
          <w:rFonts w:ascii="Georgia" w:hAnsi="Georgia" w:cs="Times New Roman"/>
          <w:sz w:val="24"/>
          <w:szCs w:val="24"/>
          <w:lang w:val="es-MX"/>
        </w:rPr>
        <w:t>(1), 101-123.</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s-MX"/>
        </w:rPr>
        <w:t>Ben-</w:t>
      </w:r>
      <w:proofErr w:type="spellStart"/>
      <w:r w:rsidRPr="0011461B">
        <w:rPr>
          <w:rFonts w:ascii="Georgia" w:hAnsi="Georgia" w:cs="Times New Roman"/>
          <w:sz w:val="24"/>
          <w:szCs w:val="24"/>
          <w:lang w:val="es-MX"/>
        </w:rPr>
        <w:t>Arieh</w:t>
      </w:r>
      <w:proofErr w:type="spellEnd"/>
      <w:r w:rsidRPr="0011461B">
        <w:rPr>
          <w:rFonts w:ascii="Georgia" w:hAnsi="Georgia" w:cs="Times New Roman"/>
          <w:sz w:val="24"/>
          <w:szCs w:val="24"/>
          <w:lang w:val="es-MX"/>
        </w:rPr>
        <w:t xml:space="preserve">, A. (2005). </w:t>
      </w:r>
      <w:proofErr w:type="spellStart"/>
      <w:r w:rsidRPr="0011461B">
        <w:rPr>
          <w:rFonts w:ascii="Georgia" w:hAnsi="Georgia" w:cs="Times New Roman"/>
          <w:sz w:val="24"/>
          <w:szCs w:val="24"/>
          <w:lang w:val="es-MX"/>
        </w:rPr>
        <w:t>Where</w:t>
      </w:r>
      <w:proofErr w:type="spellEnd"/>
      <w:r w:rsidRPr="0011461B">
        <w:rPr>
          <w:rFonts w:ascii="Georgia" w:hAnsi="Georgia" w:cs="Times New Roman"/>
          <w:sz w:val="24"/>
          <w:szCs w:val="24"/>
          <w:lang w:val="es-MX"/>
        </w:rPr>
        <w:t xml:space="preserve"> are </w:t>
      </w:r>
      <w:proofErr w:type="spellStart"/>
      <w:r w:rsidRPr="0011461B">
        <w:rPr>
          <w:rFonts w:ascii="Georgia" w:hAnsi="Georgia" w:cs="Times New Roman"/>
          <w:sz w:val="24"/>
          <w:szCs w:val="24"/>
          <w:lang w:val="es-MX"/>
        </w:rPr>
        <w:t>the</w:t>
      </w:r>
      <w:proofErr w:type="spellEnd"/>
      <w:r w:rsidRPr="0011461B">
        <w:rPr>
          <w:rFonts w:ascii="Georgia" w:hAnsi="Georgia" w:cs="Times New Roman"/>
          <w:sz w:val="24"/>
          <w:szCs w:val="24"/>
          <w:lang w:val="es-MX"/>
        </w:rPr>
        <w:t xml:space="preserve"> </w:t>
      </w:r>
      <w:proofErr w:type="spellStart"/>
      <w:r w:rsidRPr="0011461B">
        <w:rPr>
          <w:rFonts w:ascii="Georgia" w:hAnsi="Georgia" w:cs="Times New Roman"/>
          <w:sz w:val="24"/>
          <w:szCs w:val="24"/>
          <w:lang w:val="es-MX"/>
        </w:rPr>
        <w:t>children</w:t>
      </w:r>
      <w:proofErr w:type="spellEnd"/>
      <w:r w:rsidRPr="0011461B">
        <w:rPr>
          <w:rFonts w:ascii="Georgia" w:hAnsi="Georgia" w:cs="Times New Roman"/>
          <w:sz w:val="24"/>
          <w:szCs w:val="24"/>
          <w:lang w:val="es-MX"/>
        </w:rPr>
        <w:t xml:space="preserve">? </w:t>
      </w:r>
      <w:r w:rsidRPr="0011461B">
        <w:rPr>
          <w:rFonts w:ascii="Georgia" w:hAnsi="Georgia" w:cs="Times New Roman"/>
          <w:sz w:val="24"/>
          <w:szCs w:val="24"/>
          <w:lang w:val="en-US"/>
        </w:rPr>
        <w:t xml:space="preserve">Children’s role in measuring and monitoring their well-being. </w:t>
      </w:r>
      <w:r w:rsidRPr="0011461B">
        <w:rPr>
          <w:rFonts w:ascii="Georgia" w:hAnsi="Georgia" w:cs="Times New Roman"/>
          <w:i/>
          <w:sz w:val="24"/>
          <w:szCs w:val="24"/>
          <w:lang w:val="en-US"/>
        </w:rPr>
        <w:t>Social Indicators Research, 74</w:t>
      </w:r>
      <w:r w:rsidRPr="0011461B">
        <w:rPr>
          <w:rFonts w:ascii="Georgia" w:hAnsi="Georgia" w:cs="Times New Roman"/>
          <w:sz w:val="24"/>
          <w:szCs w:val="24"/>
          <w:lang w:val="en-US"/>
        </w:rPr>
        <w:t>, 573-596.</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Ben-</w:t>
      </w:r>
      <w:proofErr w:type="spellStart"/>
      <w:r w:rsidRPr="0011461B">
        <w:rPr>
          <w:rFonts w:ascii="Georgia" w:hAnsi="Georgia" w:cs="Times New Roman"/>
          <w:sz w:val="24"/>
          <w:szCs w:val="24"/>
          <w:lang w:val="en-US"/>
        </w:rPr>
        <w:t>Arieh</w:t>
      </w:r>
      <w:proofErr w:type="spellEnd"/>
      <w:r w:rsidRPr="0011461B">
        <w:rPr>
          <w:rFonts w:ascii="Georgia" w:hAnsi="Georgia" w:cs="Times New Roman"/>
          <w:sz w:val="24"/>
          <w:szCs w:val="24"/>
          <w:lang w:val="en-US"/>
        </w:rPr>
        <w:t>, A. (2007) Measuring and monitoring the well-being of young children around the world. Education for All Global Monitoring Report 2007.</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Ben-</w:t>
      </w:r>
      <w:proofErr w:type="spellStart"/>
      <w:r w:rsidRPr="0011461B">
        <w:rPr>
          <w:rFonts w:ascii="Georgia" w:hAnsi="Georgia" w:cs="Times New Roman"/>
          <w:sz w:val="24"/>
          <w:szCs w:val="24"/>
          <w:lang w:val="en-US"/>
        </w:rPr>
        <w:t>Arieh</w:t>
      </w:r>
      <w:proofErr w:type="spellEnd"/>
      <w:r w:rsidRPr="0011461B">
        <w:rPr>
          <w:rFonts w:ascii="Georgia" w:hAnsi="Georgia" w:cs="Times New Roman"/>
          <w:sz w:val="24"/>
          <w:szCs w:val="24"/>
          <w:lang w:val="en-US"/>
        </w:rPr>
        <w:t xml:space="preserve">, A. (2008). Indicators and indices of children´s well-being: Towards a more policy-oriented perspective. </w:t>
      </w:r>
      <w:r w:rsidRPr="0011461B">
        <w:rPr>
          <w:rFonts w:ascii="Georgia" w:hAnsi="Georgia" w:cs="Times New Roman"/>
          <w:i/>
          <w:sz w:val="24"/>
          <w:szCs w:val="24"/>
          <w:lang w:val="en-US"/>
        </w:rPr>
        <w:t>European Journal of Education, 43</w:t>
      </w:r>
      <w:r w:rsidRPr="0011461B">
        <w:rPr>
          <w:rFonts w:ascii="Georgia" w:hAnsi="Georgia" w:cs="Times New Roman"/>
          <w:sz w:val="24"/>
          <w:szCs w:val="24"/>
          <w:lang w:val="en-US"/>
        </w:rPr>
        <w:t>(1), 38-47.</w:t>
      </w:r>
    </w:p>
    <w:p w:rsidR="00A35C4C" w:rsidRPr="0011461B" w:rsidRDefault="00A35C4C" w:rsidP="0011461B">
      <w:pPr>
        <w:spacing w:line="240" w:lineRule="auto"/>
        <w:ind w:left="567" w:hanging="567"/>
        <w:rPr>
          <w:rFonts w:ascii="Georgia" w:hAnsi="Georgia" w:cs="Times New Roman"/>
          <w:sz w:val="24"/>
          <w:szCs w:val="24"/>
          <w:lang w:val="es-MX"/>
        </w:rPr>
      </w:pPr>
      <w:r w:rsidRPr="0011461B">
        <w:rPr>
          <w:rFonts w:ascii="Georgia" w:hAnsi="Georgia" w:cs="Times New Roman"/>
          <w:sz w:val="24"/>
          <w:szCs w:val="24"/>
          <w:lang w:val="en-US"/>
        </w:rPr>
        <w:t>Ben-</w:t>
      </w:r>
      <w:proofErr w:type="spellStart"/>
      <w:r w:rsidRPr="0011461B">
        <w:rPr>
          <w:rFonts w:ascii="Georgia" w:hAnsi="Georgia" w:cs="Times New Roman"/>
          <w:sz w:val="24"/>
          <w:szCs w:val="24"/>
          <w:lang w:val="en-US"/>
        </w:rPr>
        <w:t>Arieh</w:t>
      </w:r>
      <w:proofErr w:type="spellEnd"/>
      <w:r w:rsidRPr="0011461B">
        <w:rPr>
          <w:rFonts w:ascii="Georgia" w:hAnsi="Georgia" w:cs="Times New Roman"/>
          <w:sz w:val="24"/>
          <w:szCs w:val="24"/>
          <w:lang w:val="en-US"/>
        </w:rPr>
        <w:t xml:space="preserve">, A. (2010). The child indicators movement: past, present and future. </w:t>
      </w:r>
      <w:proofErr w:type="spellStart"/>
      <w:r w:rsidRPr="0011461B">
        <w:rPr>
          <w:rFonts w:ascii="Georgia" w:hAnsi="Georgia" w:cs="Times New Roman"/>
          <w:sz w:val="24"/>
          <w:szCs w:val="24"/>
          <w:lang w:val="es-MX"/>
        </w:rPr>
        <w:t>Child</w:t>
      </w:r>
      <w:proofErr w:type="spellEnd"/>
      <w:r w:rsidRPr="0011461B">
        <w:rPr>
          <w:rFonts w:ascii="Georgia" w:hAnsi="Georgia" w:cs="Times New Roman"/>
          <w:sz w:val="24"/>
          <w:szCs w:val="24"/>
          <w:lang w:val="es-MX"/>
        </w:rPr>
        <w:t xml:space="preserve"> </w:t>
      </w:r>
      <w:proofErr w:type="spellStart"/>
      <w:r w:rsidRPr="0011461B">
        <w:rPr>
          <w:rFonts w:ascii="Georgia" w:hAnsi="Georgia" w:cs="Times New Roman"/>
          <w:i/>
          <w:sz w:val="24"/>
          <w:szCs w:val="24"/>
          <w:lang w:val="es-MX"/>
        </w:rPr>
        <w:t>Indicators</w:t>
      </w:r>
      <w:proofErr w:type="spellEnd"/>
      <w:r w:rsidRPr="0011461B">
        <w:rPr>
          <w:rFonts w:ascii="Georgia" w:hAnsi="Georgia" w:cs="Times New Roman"/>
          <w:i/>
          <w:sz w:val="24"/>
          <w:szCs w:val="24"/>
          <w:lang w:val="es-MX"/>
        </w:rPr>
        <w:t xml:space="preserve"> </w:t>
      </w:r>
      <w:proofErr w:type="spellStart"/>
      <w:r w:rsidRPr="0011461B">
        <w:rPr>
          <w:rFonts w:ascii="Georgia" w:hAnsi="Georgia" w:cs="Times New Roman"/>
          <w:i/>
          <w:sz w:val="24"/>
          <w:szCs w:val="24"/>
          <w:lang w:val="es-MX"/>
        </w:rPr>
        <w:t>Research</w:t>
      </w:r>
      <w:proofErr w:type="spellEnd"/>
      <w:r w:rsidRPr="0011461B">
        <w:rPr>
          <w:rFonts w:ascii="Georgia" w:hAnsi="Georgia" w:cs="Times New Roman"/>
          <w:i/>
          <w:sz w:val="24"/>
          <w:szCs w:val="24"/>
          <w:lang w:val="es-MX"/>
        </w:rPr>
        <w:t>, 1</w:t>
      </w:r>
      <w:r w:rsidRPr="0011461B">
        <w:rPr>
          <w:rFonts w:ascii="Georgia" w:hAnsi="Georgia" w:cs="Times New Roman"/>
          <w:sz w:val="24"/>
          <w:szCs w:val="24"/>
          <w:lang w:val="es-MX"/>
        </w:rPr>
        <w:t>, 3-16</w:t>
      </w:r>
    </w:p>
    <w:p w:rsidR="00A35C4C" w:rsidRPr="0011461B" w:rsidRDefault="00A075FD" w:rsidP="0011461B">
      <w:pPr>
        <w:spacing w:line="240" w:lineRule="auto"/>
        <w:ind w:left="567" w:hanging="567"/>
        <w:rPr>
          <w:rFonts w:ascii="Georgia" w:hAnsi="Georgia" w:cs="Times New Roman"/>
          <w:i/>
          <w:sz w:val="24"/>
          <w:szCs w:val="24"/>
        </w:rPr>
      </w:pPr>
      <w:r w:rsidRPr="0011461B">
        <w:rPr>
          <w:rFonts w:ascii="Georgia" w:hAnsi="Georgia" w:cs="Times New Roman"/>
          <w:sz w:val="24"/>
          <w:szCs w:val="24"/>
          <w:lang w:val="es-MX"/>
        </w:rPr>
        <w:t>Autor</w:t>
      </w:r>
      <w:r w:rsidR="00A35C4C" w:rsidRPr="0011461B">
        <w:rPr>
          <w:rFonts w:ascii="Georgia" w:hAnsi="Georgia" w:cs="Times New Roman"/>
          <w:sz w:val="24"/>
          <w:szCs w:val="24"/>
          <w:lang w:val="es-MX"/>
        </w:rPr>
        <w:t xml:space="preserve">. (2014). </w:t>
      </w:r>
      <w:r w:rsidR="00A35C4C" w:rsidRPr="0011461B">
        <w:rPr>
          <w:rFonts w:ascii="Georgia" w:hAnsi="Georgia" w:cs="Times New Roman"/>
          <w:i/>
          <w:sz w:val="24"/>
          <w:szCs w:val="24"/>
        </w:rPr>
        <w:t>El rol del padre y el desarrollo de los hijos: Contribuciones de papá y mamá al bienestar infantil y a la seguridad emocional de niños</w:t>
      </w:r>
      <w:r w:rsidR="00A35C4C" w:rsidRPr="0011461B">
        <w:rPr>
          <w:rFonts w:ascii="Georgia" w:hAnsi="Georgia" w:cs="Times New Roman"/>
          <w:sz w:val="24"/>
          <w:szCs w:val="24"/>
        </w:rPr>
        <w:t>. Tesis para obtener el título de doctor en psicología. Bogotá: Universidad de Los Andes.</w:t>
      </w:r>
    </w:p>
    <w:p w:rsidR="00A35C4C" w:rsidRPr="0011461B" w:rsidRDefault="00A075FD" w:rsidP="0011461B">
      <w:pPr>
        <w:spacing w:line="240" w:lineRule="auto"/>
        <w:ind w:left="567" w:hanging="567"/>
        <w:rPr>
          <w:rFonts w:ascii="Georgia" w:hAnsi="Georgia" w:cs="Times New Roman"/>
          <w:sz w:val="24"/>
          <w:szCs w:val="24"/>
        </w:rPr>
      </w:pPr>
      <w:r w:rsidRPr="0011461B">
        <w:rPr>
          <w:rFonts w:ascii="Georgia" w:hAnsi="Georgia" w:cs="Times New Roman"/>
          <w:sz w:val="24"/>
          <w:szCs w:val="24"/>
        </w:rPr>
        <w:t>Autor</w:t>
      </w:r>
      <w:r w:rsidR="00A35C4C" w:rsidRPr="0011461B">
        <w:rPr>
          <w:rFonts w:ascii="Georgia" w:hAnsi="Georgia" w:cs="Times New Roman"/>
          <w:sz w:val="24"/>
          <w:szCs w:val="24"/>
        </w:rPr>
        <w:t xml:space="preserve">., &amp; Carrillo, S. (2012). </w:t>
      </w:r>
      <w:r w:rsidR="00A35C4C" w:rsidRPr="0011461B">
        <w:rPr>
          <w:rFonts w:ascii="Georgia" w:hAnsi="Georgia" w:cs="Times New Roman"/>
          <w:i/>
          <w:sz w:val="24"/>
          <w:szCs w:val="24"/>
        </w:rPr>
        <w:t>Inventario de Bienestar Infantil: desarrollo psicométrico de un instrumento para niños y adolescentes entre 6 a 16 años de edad.</w:t>
      </w:r>
      <w:r w:rsidR="00A35C4C" w:rsidRPr="0011461B">
        <w:rPr>
          <w:rFonts w:ascii="Georgia" w:hAnsi="Georgia" w:cs="Times New Roman"/>
          <w:sz w:val="24"/>
          <w:szCs w:val="24"/>
        </w:rPr>
        <w:t xml:space="preserve"> Reporte de investigación no publicado. Bogotá: Universidad de Los Andes.</w:t>
      </w:r>
    </w:p>
    <w:p w:rsidR="00A35C4C" w:rsidRPr="0011461B" w:rsidRDefault="00A35C4C" w:rsidP="0011461B">
      <w:pPr>
        <w:spacing w:line="240" w:lineRule="auto"/>
        <w:ind w:left="709" w:hanging="709"/>
        <w:rPr>
          <w:rFonts w:ascii="Georgia" w:eastAsia="Calibri" w:hAnsi="Georgia" w:cs="Times New Roman"/>
          <w:sz w:val="24"/>
          <w:szCs w:val="24"/>
          <w:shd w:val="clear" w:color="auto" w:fill="FFFFFF"/>
        </w:rPr>
      </w:pPr>
      <w:proofErr w:type="spellStart"/>
      <w:r w:rsidRPr="0011461B">
        <w:rPr>
          <w:rFonts w:ascii="Georgia" w:eastAsia="Calibri" w:hAnsi="Georgia" w:cs="Times New Roman"/>
          <w:sz w:val="24"/>
          <w:szCs w:val="24"/>
          <w:shd w:val="clear" w:color="auto" w:fill="FFFFFF"/>
          <w:lang w:val="en-US"/>
        </w:rPr>
        <w:t>Broberg</w:t>
      </w:r>
      <w:proofErr w:type="spellEnd"/>
      <w:r w:rsidRPr="0011461B">
        <w:rPr>
          <w:rFonts w:ascii="Georgia" w:eastAsia="Calibri" w:hAnsi="Georgia" w:cs="Times New Roman"/>
          <w:sz w:val="24"/>
          <w:szCs w:val="24"/>
          <w:shd w:val="clear" w:color="auto" w:fill="FFFFFF"/>
          <w:lang w:val="en-US"/>
        </w:rPr>
        <w:t xml:space="preserve">, M. (2012). Young children’s well-being in Finnish stepfamilies. </w:t>
      </w:r>
      <w:proofErr w:type="spellStart"/>
      <w:r w:rsidRPr="0011461B">
        <w:rPr>
          <w:rFonts w:ascii="Georgia" w:eastAsia="Calibri" w:hAnsi="Georgia" w:cs="Times New Roman"/>
          <w:i/>
          <w:sz w:val="24"/>
          <w:szCs w:val="24"/>
          <w:shd w:val="clear" w:color="auto" w:fill="FFFFFF"/>
          <w:lang w:val="es-MX"/>
        </w:rPr>
        <w:t>Early</w:t>
      </w:r>
      <w:proofErr w:type="spellEnd"/>
      <w:r w:rsidRPr="0011461B">
        <w:rPr>
          <w:rFonts w:ascii="Georgia" w:eastAsia="Calibri" w:hAnsi="Georgia" w:cs="Times New Roman"/>
          <w:i/>
          <w:sz w:val="24"/>
          <w:szCs w:val="24"/>
          <w:shd w:val="clear" w:color="auto" w:fill="FFFFFF"/>
          <w:lang w:val="es-MX"/>
        </w:rPr>
        <w:t xml:space="preserve"> </w:t>
      </w:r>
      <w:proofErr w:type="spellStart"/>
      <w:r w:rsidRPr="0011461B">
        <w:rPr>
          <w:rFonts w:ascii="Georgia" w:eastAsia="Calibri" w:hAnsi="Georgia" w:cs="Times New Roman"/>
          <w:i/>
          <w:sz w:val="24"/>
          <w:szCs w:val="24"/>
          <w:shd w:val="clear" w:color="auto" w:fill="FFFFFF"/>
          <w:lang w:val="es-MX"/>
        </w:rPr>
        <w:t>Child</w:t>
      </w:r>
      <w:proofErr w:type="spellEnd"/>
      <w:r w:rsidRPr="0011461B">
        <w:rPr>
          <w:rFonts w:ascii="Georgia" w:eastAsia="Calibri" w:hAnsi="Georgia" w:cs="Times New Roman"/>
          <w:i/>
          <w:sz w:val="24"/>
          <w:szCs w:val="24"/>
          <w:shd w:val="clear" w:color="auto" w:fill="FFFFFF"/>
          <w:lang w:val="es-MX"/>
        </w:rPr>
        <w:t xml:space="preserve"> </w:t>
      </w:r>
      <w:proofErr w:type="spellStart"/>
      <w:r w:rsidRPr="0011461B">
        <w:rPr>
          <w:rFonts w:ascii="Georgia" w:eastAsia="Calibri" w:hAnsi="Georgia" w:cs="Times New Roman"/>
          <w:i/>
          <w:sz w:val="24"/>
          <w:szCs w:val="24"/>
          <w:shd w:val="clear" w:color="auto" w:fill="FFFFFF"/>
          <w:lang w:val="es-MX"/>
        </w:rPr>
        <w:t>Development</w:t>
      </w:r>
      <w:proofErr w:type="spellEnd"/>
      <w:r w:rsidRPr="0011461B">
        <w:rPr>
          <w:rFonts w:ascii="Georgia" w:eastAsia="Calibri" w:hAnsi="Georgia" w:cs="Times New Roman"/>
          <w:i/>
          <w:sz w:val="24"/>
          <w:szCs w:val="24"/>
          <w:shd w:val="clear" w:color="auto" w:fill="FFFFFF"/>
          <w:lang w:val="es-MX"/>
        </w:rPr>
        <w:t xml:space="preserve"> &amp; </w:t>
      </w:r>
      <w:proofErr w:type="spellStart"/>
      <w:r w:rsidRPr="0011461B">
        <w:rPr>
          <w:rFonts w:ascii="Georgia" w:eastAsia="Calibri" w:hAnsi="Georgia" w:cs="Times New Roman"/>
          <w:i/>
          <w:sz w:val="24"/>
          <w:szCs w:val="24"/>
          <w:shd w:val="clear" w:color="auto" w:fill="FFFFFF"/>
          <w:lang w:val="es-MX"/>
        </w:rPr>
        <w:t>Care</w:t>
      </w:r>
      <w:proofErr w:type="spellEnd"/>
      <w:r w:rsidRPr="0011461B">
        <w:rPr>
          <w:rFonts w:ascii="Georgia" w:eastAsia="Calibri" w:hAnsi="Georgia" w:cs="Times New Roman"/>
          <w:i/>
          <w:sz w:val="24"/>
          <w:szCs w:val="24"/>
          <w:shd w:val="clear" w:color="auto" w:fill="FFFFFF"/>
          <w:lang w:val="es-MX"/>
        </w:rPr>
        <w:t>, 182</w:t>
      </w:r>
      <w:r w:rsidRPr="0011461B">
        <w:rPr>
          <w:rFonts w:ascii="Georgia" w:eastAsia="Calibri" w:hAnsi="Georgia" w:cs="Times New Roman"/>
          <w:sz w:val="24"/>
          <w:szCs w:val="24"/>
          <w:shd w:val="clear" w:color="auto" w:fill="FFFFFF"/>
          <w:lang w:val="es-MX"/>
        </w:rPr>
        <w:t xml:space="preserve">(3/4), 401– </w:t>
      </w:r>
      <w:r w:rsidRPr="0011461B">
        <w:rPr>
          <w:rFonts w:ascii="Georgia" w:eastAsia="Calibri" w:hAnsi="Georgia" w:cs="Times New Roman"/>
          <w:sz w:val="24"/>
          <w:szCs w:val="24"/>
          <w:shd w:val="clear" w:color="auto" w:fill="FFFFFF"/>
        </w:rPr>
        <w:t>415. doi:10.1080/03004430.2011.646717</w:t>
      </w:r>
    </w:p>
    <w:p w:rsidR="00A35C4C" w:rsidRPr="0011461B" w:rsidRDefault="00A35C4C" w:rsidP="0011461B">
      <w:pPr>
        <w:spacing w:line="240" w:lineRule="auto"/>
        <w:ind w:left="709" w:hanging="709"/>
        <w:rPr>
          <w:rFonts w:ascii="Georgia" w:eastAsia="Calibri" w:hAnsi="Georgia" w:cs="Times New Roman"/>
          <w:sz w:val="24"/>
          <w:szCs w:val="24"/>
          <w:shd w:val="clear" w:color="auto" w:fill="FFFFFF"/>
        </w:rPr>
      </w:pPr>
      <w:r w:rsidRPr="0011461B">
        <w:rPr>
          <w:rFonts w:ascii="Georgia" w:eastAsia="Calibri" w:hAnsi="Georgia" w:cs="Times New Roman"/>
          <w:sz w:val="24"/>
          <w:szCs w:val="24"/>
          <w:shd w:val="clear" w:color="auto" w:fill="FFFFFF"/>
        </w:rPr>
        <w:t xml:space="preserve">Castro Salinas, R. J., Riesco </w:t>
      </w:r>
      <w:proofErr w:type="spellStart"/>
      <w:r w:rsidRPr="0011461B">
        <w:rPr>
          <w:rFonts w:ascii="Georgia" w:eastAsia="Calibri" w:hAnsi="Georgia" w:cs="Times New Roman"/>
          <w:sz w:val="24"/>
          <w:szCs w:val="24"/>
          <w:shd w:val="clear" w:color="auto" w:fill="FFFFFF"/>
        </w:rPr>
        <w:t>Lind</w:t>
      </w:r>
      <w:proofErr w:type="spellEnd"/>
      <w:r w:rsidRPr="0011461B">
        <w:rPr>
          <w:rFonts w:ascii="Georgia" w:eastAsia="Calibri" w:hAnsi="Georgia" w:cs="Times New Roman"/>
          <w:sz w:val="24"/>
          <w:szCs w:val="24"/>
          <w:shd w:val="clear" w:color="auto" w:fill="FFFFFF"/>
        </w:rPr>
        <w:t xml:space="preserve">, G., &amp; Bobadilla, R. A. (2016) </w:t>
      </w:r>
      <w:r w:rsidRPr="0011461B">
        <w:rPr>
          <w:rFonts w:ascii="Georgia" w:eastAsia="Calibri" w:hAnsi="Georgia" w:cs="Times New Roman"/>
          <w:i/>
          <w:sz w:val="24"/>
          <w:szCs w:val="24"/>
          <w:shd w:val="clear" w:color="auto" w:fill="FFFFFF"/>
        </w:rPr>
        <w:t>¿Familia y bienestar? Explorando la relación entre estructura familiar y satisfacción con la vida personal de las familias</w:t>
      </w:r>
      <w:r w:rsidRPr="0011461B">
        <w:rPr>
          <w:rFonts w:ascii="Georgia" w:eastAsia="Calibri" w:hAnsi="Georgia" w:cs="Times New Roman"/>
          <w:sz w:val="24"/>
          <w:szCs w:val="24"/>
          <w:shd w:val="clear" w:color="auto" w:fill="FFFFFF"/>
        </w:rPr>
        <w:t>. </w:t>
      </w:r>
      <w:proofErr w:type="spellStart"/>
      <w:r w:rsidRPr="0011461B">
        <w:rPr>
          <w:rFonts w:ascii="Georgia" w:eastAsia="Calibri" w:hAnsi="Georgia" w:cs="Times New Roman"/>
          <w:iCs/>
          <w:sz w:val="24"/>
          <w:szCs w:val="24"/>
          <w:shd w:val="clear" w:color="auto" w:fill="FFFFFF"/>
        </w:rPr>
        <w:t>Boletim</w:t>
      </w:r>
      <w:proofErr w:type="spellEnd"/>
      <w:r w:rsidRPr="0011461B">
        <w:rPr>
          <w:rFonts w:ascii="Georgia" w:eastAsia="Calibri" w:hAnsi="Georgia" w:cs="Times New Roman"/>
          <w:iCs/>
          <w:sz w:val="24"/>
          <w:szCs w:val="24"/>
          <w:shd w:val="clear" w:color="auto" w:fill="FFFFFF"/>
        </w:rPr>
        <w:t xml:space="preserve"> Academia Paulista de Psicologia</w:t>
      </w:r>
      <w:r w:rsidRPr="0011461B">
        <w:rPr>
          <w:rFonts w:ascii="Georgia" w:eastAsia="Calibri" w:hAnsi="Georgia" w:cs="Times New Roman"/>
          <w:sz w:val="24"/>
          <w:szCs w:val="24"/>
          <w:shd w:val="clear" w:color="auto" w:fill="FFFFFF"/>
        </w:rPr>
        <w:t>, </w:t>
      </w:r>
      <w:r w:rsidRPr="0011461B">
        <w:rPr>
          <w:rFonts w:ascii="Georgia" w:eastAsia="Calibri" w:hAnsi="Georgia" w:cs="Times New Roman"/>
          <w:sz w:val="24"/>
          <w:szCs w:val="24"/>
        </w:rPr>
        <w:t>vol. 36, núm. 90, enero-junio, 2016, pp. 86-104</w:t>
      </w:r>
      <w:r w:rsidRPr="0011461B">
        <w:rPr>
          <w:rFonts w:ascii="Georgia" w:eastAsia="Calibri" w:hAnsi="Georgia" w:cs="Times New Roman"/>
          <w:sz w:val="24"/>
          <w:szCs w:val="24"/>
          <w:shd w:val="clear" w:color="auto" w:fill="FFFFFF"/>
        </w:rPr>
        <w:t xml:space="preserve"> </w:t>
      </w:r>
    </w:p>
    <w:p w:rsidR="00A35C4C" w:rsidRPr="0011461B" w:rsidRDefault="00A35C4C" w:rsidP="0011461B">
      <w:pPr>
        <w:spacing w:line="240" w:lineRule="auto"/>
        <w:ind w:left="567" w:hanging="567"/>
        <w:rPr>
          <w:rFonts w:ascii="Georgia" w:hAnsi="Georgia" w:cs="Times New Roman"/>
          <w:sz w:val="24"/>
          <w:szCs w:val="24"/>
          <w:lang w:val="en-US"/>
        </w:rPr>
      </w:pPr>
      <w:proofErr w:type="spellStart"/>
      <w:r w:rsidRPr="0011461B">
        <w:rPr>
          <w:rFonts w:ascii="Georgia" w:hAnsi="Georgia" w:cs="Times New Roman"/>
          <w:sz w:val="24"/>
          <w:szCs w:val="24"/>
          <w:lang w:val="en-US"/>
        </w:rPr>
        <w:t>Coyl</w:t>
      </w:r>
      <w:proofErr w:type="spellEnd"/>
      <w:r w:rsidRPr="0011461B">
        <w:rPr>
          <w:rFonts w:ascii="Georgia" w:hAnsi="Georgia" w:cs="Times New Roman"/>
          <w:sz w:val="24"/>
          <w:szCs w:val="24"/>
          <w:lang w:val="en-US"/>
        </w:rPr>
        <w:t xml:space="preserve">, D. D., </w:t>
      </w:r>
      <w:proofErr w:type="spellStart"/>
      <w:r w:rsidRPr="0011461B">
        <w:rPr>
          <w:rFonts w:ascii="Georgia" w:hAnsi="Georgia" w:cs="Times New Roman"/>
          <w:sz w:val="24"/>
          <w:szCs w:val="24"/>
          <w:lang w:val="en-US"/>
        </w:rPr>
        <w:t>Roggman</w:t>
      </w:r>
      <w:proofErr w:type="spellEnd"/>
      <w:r w:rsidRPr="0011461B">
        <w:rPr>
          <w:rFonts w:ascii="Georgia" w:hAnsi="Georgia" w:cs="Times New Roman"/>
          <w:sz w:val="24"/>
          <w:szCs w:val="24"/>
          <w:lang w:val="en-US"/>
        </w:rPr>
        <w:t xml:space="preserve">, L. A., &amp; Newland, L. A. (2002). Stress, maternal depression and negative mother-infant interactions in relation to infant attachment. </w:t>
      </w:r>
      <w:r w:rsidRPr="0011461B">
        <w:rPr>
          <w:rFonts w:ascii="Georgia" w:hAnsi="Georgia" w:cs="Times New Roman"/>
          <w:i/>
          <w:sz w:val="24"/>
          <w:szCs w:val="24"/>
          <w:lang w:val="en-US"/>
        </w:rPr>
        <w:t>Infant Mental Health Journal, 23</w:t>
      </w:r>
      <w:r w:rsidRPr="0011461B">
        <w:rPr>
          <w:rFonts w:ascii="Georgia" w:hAnsi="Georgia" w:cs="Times New Roman"/>
          <w:sz w:val="24"/>
          <w:szCs w:val="24"/>
          <w:lang w:val="en-US"/>
        </w:rPr>
        <w:t>(1–2), 145–163. doi:10.1002/imhj.10009</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 xml:space="preserve">Creswell, J. W., &amp; Plano Clark, V. (2014). </w:t>
      </w:r>
      <w:r w:rsidRPr="0011461B">
        <w:rPr>
          <w:rFonts w:ascii="Georgia" w:hAnsi="Georgia" w:cs="Times New Roman"/>
          <w:i/>
          <w:sz w:val="24"/>
          <w:szCs w:val="24"/>
          <w:lang w:val="en-US"/>
        </w:rPr>
        <w:t>Designing and Conducting Mixed Methods Research.</w:t>
      </w:r>
      <w:r w:rsidRPr="0011461B">
        <w:rPr>
          <w:rFonts w:ascii="Georgia" w:hAnsi="Georgia" w:cs="Times New Roman"/>
          <w:sz w:val="24"/>
          <w:szCs w:val="24"/>
          <w:lang w:val="en-US"/>
        </w:rPr>
        <w:t xml:space="preserve"> Thousand Oaks, CA: Sage.</w:t>
      </w:r>
    </w:p>
    <w:p w:rsidR="00A35C4C" w:rsidRPr="0011461B" w:rsidRDefault="00A35C4C" w:rsidP="0011461B">
      <w:pPr>
        <w:spacing w:line="240" w:lineRule="auto"/>
        <w:ind w:left="567" w:hanging="567"/>
        <w:rPr>
          <w:rFonts w:ascii="Georgia" w:eastAsia="Calibri" w:hAnsi="Georgia" w:cs="Times New Roman"/>
          <w:sz w:val="24"/>
          <w:szCs w:val="24"/>
          <w:lang w:val="en-US"/>
        </w:rPr>
      </w:pPr>
      <w:proofErr w:type="spellStart"/>
      <w:r w:rsidRPr="0011461B">
        <w:rPr>
          <w:rFonts w:ascii="Georgia" w:eastAsia="Calibri" w:hAnsi="Georgia" w:cs="Times New Roman"/>
          <w:sz w:val="24"/>
          <w:szCs w:val="24"/>
          <w:lang w:val="en-US"/>
        </w:rPr>
        <w:t>DeFrain</w:t>
      </w:r>
      <w:proofErr w:type="spellEnd"/>
      <w:r w:rsidRPr="0011461B">
        <w:rPr>
          <w:rFonts w:ascii="Georgia" w:eastAsia="Calibri" w:hAnsi="Georgia" w:cs="Times New Roman"/>
          <w:sz w:val="24"/>
          <w:szCs w:val="24"/>
          <w:lang w:val="en-US"/>
        </w:rPr>
        <w:t xml:space="preserve">, J., &amp; </w:t>
      </w:r>
      <w:proofErr w:type="spellStart"/>
      <w:r w:rsidRPr="0011461B">
        <w:rPr>
          <w:rFonts w:ascii="Georgia" w:eastAsia="Calibri" w:hAnsi="Georgia" w:cs="Times New Roman"/>
          <w:sz w:val="24"/>
          <w:szCs w:val="24"/>
          <w:lang w:val="en-US"/>
        </w:rPr>
        <w:t>Asay</w:t>
      </w:r>
      <w:proofErr w:type="spellEnd"/>
      <w:r w:rsidRPr="0011461B">
        <w:rPr>
          <w:rFonts w:ascii="Georgia" w:eastAsia="Calibri" w:hAnsi="Georgia" w:cs="Times New Roman"/>
          <w:sz w:val="24"/>
          <w:szCs w:val="24"/>
          <w:lang w:val="en-US"/>
        </w:rPr>
        <w:t>, S. M. (2007) Strong families around the world: An introduction to the family strengths perspective. </w:t>
      </w:r>
      <w:r w:rsidRPr="0011461B">
        <w:rPr>
          <w:rFonts w:ascii="Georgia" w:eastAsia="Calibri" w:hAnsi="Georgia" w:cs="Times New Roman"/>
          <w:i/>
          <w:sz w:val="24"/>
          <w:szCs w:val="24"/>
          <w:lang w:val="en-US"/>
        </w:rPr>
        <w:t>Marriage &amp; Family Review, 41</w:t>
      </w:r>
      <w:r w:rsidRPr="0011461B">
        <w:rPr>
          <w:rFonts w:ascii="Georgia" w:eastAsia="Calibri" w:hAnsi="Georgia" w:cs="Times New Roman"/>
          <w:sz w:val="24"/>
          <w:szCs w:val="24"/>
          <w:lang w:val="en-US"/>
        </w:rPr>
        <w:t>(1-2), 1-10.</w:t>
      </w:r>
    </w:p>
    <w:p w:rsidR="00A35C4C" w:rsidRPr="0011461B" w:rsidRDefault="00A35C4C" w:rsidP="0011461B">
      <w:pPr>
        <w:spacing w:line="240" w:lineRule="auto"/>
        <w:ind w:left="567" w:hanging="567"/>
        <w:rPr>
          <w:rFonts w:ascii="Georgia" w:hAnsi="Georgia" w:cs="Times New Roman"/>
          <w:sz w:val="24"/>
          <w:szCs w:val="24"/>
        </w:rPr>
      </w:pPr>
      <w:proofErr w:type="spellStart"/>
      <w:r w:rsidRPr="0011461B">
        <w:rPr>
          <w:rFonts w:ascii="Georgia" w:eastAsia="Calibri" w:hAnsi="Georgia" w:cs="Times New Roman"/>
          <w:sz w:val="24"/>
          <w:szCs w:val="24"/>
          <w:lang w:val="en-US"/>
        </w:rPr>
        <w:lastRenderedPageBreak/>
        <w:t>DeLone</w:t>
      </w:r>
      <w:proofErr w:type="spellEnd"/>
      <w:r w:rsidRPr="0011461B">
        <w:rPr>
          <w:rFonts w:ascii="Georgia" w:eastAsia="Calibri" w:hAnsi="Georgia" w:cs="Times New Roman"/>
          <w:sz w:val="24"/>
          <w:szCs w:val="24"/>
          <w:lang w:val="en-US"/>
        </w:rPr>
        <w:t xml:space="preserve">, (1979) </w:t>
      </w:r>
      <w:r w:rsidRPr="0011461B">
        <w:rPr>
          <w:rFonts w:ascii="Georgia" w:eastAsia="Calibri" w:hAnsi="Georgia" w:cs="Times New Roman"/>
          <w:i/>
          <w:sz w:val="24"/>
          <w:szCs w:val="24"/>
          <w:lang w:val="en-US"/>
        </w:rPr>
        <w:t>Small Futures: Children, Inequity and the limits of liberal Reform</w:t>
      </w:r>
      <w:r w:rsidRPr="0011461B">
        <w:rPr>
          <w:rFonts w:ascii="Georgia" w:eastAsia="Calibri" w:hAnsi="Georgia" w:cs="Times New Roman"/>
          <w:sz w:val="24"/>
          <w:szCs w:val="24"/>
          <w:lang w:val="en-US"/>
        </w:rPr>
        <w:t xml:space="preserve">. </w:t>
      </w:r>
      <w:r w:rsidRPr="0011461B">
        <w:rPr>
          <w:rFonts w:ascii="Georgia" w:eastAsia="Calibri" w:hAnsi="Georgia" w:cs="Times New Roman"/>
          <w:sz w:val="24"/>
          <w:szCs w:val="24"/>
        </w:rPr>
        <w:t xml:space="preserve">Universidad de </w:t>
      </w:r>
      <w:proofErr w:type="spellStart"/>
      <w:r w:rsidRPr="0011461B">
        <w:rPr>
          <w:rFonts w:ascii="Georgia" w:eastAsia="Calibri" w:hAnsi="Georgia" w:cs="Times New Roman"/>
          <w:sz w:val="24"/>
          <w:szCs w:val="24"/>
        </w:rPr>
        <w:t>Virgina</w:t>
      </w:r>
      <w:proofErr w:type="spellEnd"/>
      <w:r w:rsidRPr="0011461B">
        <w:rPr>
          <w:rFonts w:ascii="Georgia" w:hAnsi="Georgia" w:cs="Times New Roman"/>
          <w:sz w:val="24"/>
          <w:szCs w:val="24"/>
        </w:rPr>
        <w:t xml:space="preserve"> </w:t>
      </w:r>
    </w:p>
    <w:p w:rsidR="00A35C4C" w:rsidRPr="0011461B" w:rsidRDefault="00A35C4C" w:rsidP="0011461B">
      <w:pPr>
        <w:spacing w:line="240" w:lineRule="auto"/>
        <w:ind w:left="567" w:hanging="567"/>
        <w:rPr>
          <w:rFonts w:ascii="Georgia" w:hAnsi="Georgia" w:cs="Times New Roman"/>
          <w:sz w:val="24"/>
          <w:szCs w:val="24"/>
        </w:rPr>
      </w:pPr>
      <w:r w:rsidRPr="0011461B">
        <w:rPr>
          <w:rFonts w:ascii="Georgia" w:hAnsi="Georgia" w:cs="Times New Roman"/>
          <w:sz w:val="24"/>
          <w:szCs w:val="24"/>
        </w:rPr>
        <w:t xml:space="preserve">Díaz Llanes, G. (2001) El bienestar subjetivo: Actualidad y perspectivas. </w:t>
      </w:r>
      <w:r w:rsidRPr="0011461B">
        <w:rPr>
          <w:rFonts w:ascii="Georgia" w:hAnsi="Georgia" w:cs="Times New Roman"/>
          <w:i/>
          <w:sz w:val="24"/>
          <w:szCs w:val="24"/>
        </w:rPr>
        <w:t>Revista Cubana de Medicina General Integral, 17</w:t>
      </w:r>
      <w:r w:rsidRPr="0011461B">
        <w:rPr>
          <w:rFonts w:ascii="Georgia" w:hAnsi="Georgia" w:cs="Times New Roman"/>
          <w:sz w:val="24"/>
          <w:szCs w:val="24"/>
        </w:rPr>
        <w:t>(6), 572-579.</w:t>
      </w:r>
    </w:p>
    <w:p w:rsidR="00E14474" w:rsidRPr="0011461B" w:rsidRDefault="00E14474" w:rsidP="0011461B">
      <w:pPr>
        <w:spacing w:line="240" w:lineRule="auto"/>
        <w:ind w:left="709" w:hanging="709"/>
        <w:jc w:val="both"/>
        <w:rPr>
          <w:rFonts w:ascii="Georgia" w:eastAsia="Calibri" w:hAnsi="Georgia" w:cs="Times New Roman"/>
          <w:sz w:val="24"/>
          <w:szCs w:val="24"/>
          <w:shd w:val="clear" w:color="auto" w:fill="FFFFFF"/>
          <w:lang w:val="en-US"/>
        </w:rPr>
      </w:pPr>
      <w:r w:rsidRPr="0011461B">
        <w:rPr>
          <w:rFonts w:ascii="Georgia" w:eastAsia="Calibri" w:hAnsi="Georgia" w:cs="Times New Roman"/>
          <w:sz w:val="24"/>
          <w:szCs w:val="24"/>
          <w:shd w:val="clear" w:color="auto" w:fill="FFFFFF"/>
          <w:lang w:val="es-MX"/>
        </w:rPr>
        <w:t xml:space="preserve">Diener, E., </w:t>
      </w:r>
      <w:proofErr w:type="spellStart"/>
      <w:r w:rsidRPr="0011461B">
        <w:rPr>
          <w:rFonts w:ascii="Georgia" w:eastAsia="Calibri" w:hAnsi="Georgia" w:cs="Times New Roman"/>
          <w:sz w:val="24"/>
          <w:szCs w:val="24"/>
          <w:shd w:val="clear" w:color="auto" w:fill="FFFFFF"/>
          <w:lang w:val="es-MX"/>
        </w:rPr>
        <w:t>Oishi</w:t>
      </w:r>
      <w:proofErr w:type="spellEnd"/>
      <w:r w:rsidRPr="0011461B">
        <w:rPr>
          <w:rFonts w:ascii="Georgia" w:eastAsia="Calibri" w:hAnsi="Georgia" w:cs="Times New Roman"/>
          <w:sz w:val="24"/>
          <w:szCs w:val="24"/>
          <w:shd w:val="clear" w:color="auto" w:fill="FFFFFF"/>
          <w:lang w:val="es-MX"/>
        </w:rPr>
        <w:t xml:space="preserve">, S., &amp; </w:t>
      </w:r>
      <w:proofErr w:type="spellStart"/>
      <w:r w:rsidRPr="0011461B">
        <w:rPr>
          <w:rFonts w:ascii="Georgia" w:eastAsia="Calibri" w:hAnsi="Georgia" w:cs="Times New Roman"/>
          <w:sz w:val="24"/>
          <w:szCs w:val="24"/>
          <w:shd w:val="clear" w:color="auto" w:fill="FFFFFF"/>
          <w:lang w:val="es-MX"/>
        </w:rPr>
        <w:t>Tay</w:t>
      </w:r>
      <w:proofErr w:type="spellEnd"/>
      <w:r w:rsidRPr="0011461B">
        <w:rPr>
          <w:rFonts w:ascii="Georgia" w:eastAsia="Calibri" w:hAnsi="Georgia" w:cs="Times New Roman"/>
          <w:sz w:val="24"/>
          <w:szCs w:val="24"/>
          <w:shd w:val="clear" w:color="auto" w:fill="FFFFFF"/>
          <w:lang w:val="es-MX"/>
        </w:rPr>
        <w:t xml:space="preserve">, L. (2018). </w:t>
      </w:r>
      <w:r w:rsidRPr="0011461B">
        <w:rPr>
          <w:rFonts w:ascii="Georgia" w:eastAsia="Calibri" w:hAnsi="Georgia" w:cs="Times New Roman"/>
          <w:sz w:val="24"/>
          <w:szCs w:val="24"/>
          <w:shd w:val="clear" w:color="auto" w:fill="FFFFFF"/>
          <w:lang w:val="en-US"/>
        </w:rPr>
        <w:t xml:space="preserve">Advances in subjective well-being research. </w:t>
      </w:r>
      <w:r w:rsidRPr="0011461B">
        <w:rPr>
          <w:rFonts w:ascii="Georgia" w:eastAsia="Calibri" w:hAnsi="Georgia" w:cs="Times New Roman"/>
          <w:i/>
          <w:sz w:val="24"/>
          <w:szCs w:val="24"/>
          <w:shd w:val="clear" w:color="auto" w:fill="FFFFFF"/>
          <w:lang w:val="en-US"/>
        </w:rPr>
        <w:t>Nature Human Behavior</w:t>
      </w:r>
      <w:r w:rsidRPr="0011461B">
        <w:rPr>
          <w:rFonts w:ascii="Georgia" w:eastAsia="Calibri" w:hAnsi="Georgia" w:cs="Times New Roman"/>
          <w:sz w:val="24"/>
          <w:szCs w:val="24"/>
          <w:shd w:val="clear" w:color="auto" w:fill="FFFFFF"/>
          <w:lang w:val="en-US"/>
        </w:rPr>
        <w:t>. doi:10.1038/s41562-018-0307-6</w:t>
      </w:r>
    </w:p>
    <w:p w:rsidR="00A35C4C" w:rsidRPr="0011461B" w:rsidRDefault="00A35C4C" w:rsidP="0011461B">
      <w:pPr>
        <w:spacing w:line="240" w:lineRule="auto"/>
        <w:ind w:left="709" w:hanging="709"/>
        <w:jc w:val="both"/>
        <w:rPr>
          <w:rFonts w:ascii="Georgia" w:eastAsia="Calibri" w:hAnsi="Georgia" w:cs="Times New Roman"/>
          <w:sz w:val="24"/>
          <w:szCs w:val="24"/>
          <w:shd w:val="clear" w:color="auto" w:fill="FFFFFF"/>
          <w:lang w:val="es-MX"/>
        </w:rPr>
      </w:pPr>
      <w:r w:rsidRPr="0011461B">
        <w:rPr>
          <w:rFonts w:ascii="Georgia" w:eastAsia="Calibri" w:hAnsi="Georgia" w:cs="Times New Roman"/>
          <w:sz w:val="24"/>
          <w:szCs w:val="24"/>
          <w:shd w:val="clear" w:color="auto" w:fill="FFFFFF"/>
          <w:lang w:val="en-US"/>
        </w:rPr>
        <w:t xml:space="preserve">Fuller, T. D., </w:t>
      </w:r>
      <w:proofErr w:type="spellStart"/>
      <w:r w:rsidRPr="0011461B">
        <w:rPr>
          <w:rFonts w:ascii="Georgia" w:eastAsia="Calibri" w:hAnsi="Georgia" w:cs="Times New Roman"/>
          <w:sz w:val="24"/>
          <w:szCs w:val="24"/>
          <w:shd w:val="clear" w:color="auto" w:fill="FFFFFF"/>
          <w:lang w:val="en-US"/>
        </w:rPr>
        <w:t>Ewards</w:t>
      </w:r>
      <w:proofErr w:type="spellEnd"/>
      <w:r w:rsidRPr="0011461B">
        <w:rPr>
          <w:rFonts w:ascii="Georgia" w:eastAsia="Calibri" w:hAnsi="Georgia" w:cs="Times New Roman"/>
          <w:sz w:val="24"/>
          <w:szCs w:val="24"/>
          <w:shd w:val="clear" w:color="auto" w:fill="FFFFFF"/>
          <w:lang w:val="en-US"/>
        </w:rPr>
        <w:t xml:space="preserve">, J. N., </w:t>
      </w:r>
      <w:proofErr w:type="spellStart"/>
      <w:r w:rsidRPr="0011461B">
        <w:rPr>
          <w:rFonts w:ascii="Georgia" w:eastAsia="Calibri" w:hAnsi="Georgia" w:cs="Times New Roman"/>
          <w:sz w:val="24"/>
          <w:szCs w:val="24"/>
          <w:shd w:val="clear" w:color="auto" w:fill="FFFFFF"/>
          <w:lang w:val="en-US"/>
        </w:rPr>
        <w:t>Vorakitphokatorn</w:t>
      </w:r>
      <w:proofErr w:type="spellEnd"/>
      <w:r w:rsidRPr="0011461B">
        <w:rPr>
          <w:rFonts w:ascii="Georgia" w:eastAsia="Calibri" w:hAnsi="Georgia" w:cs="Times New Roman"/>
          <w:sz w:val="24"/>
          <w:szCs w:val="24"/>
          <w:shd w:val="clear" w:color="auto" w:fill="FFFFFF"/>
          <w:lang w:val="en-US"/>
        </w:rPr>
        <w:t xml:space="preserve">, S., &amp; </w:t>
      </w:r>
      <w:proofErr w:type="spellStart"/>
      <w:r w:rsidRPr="0011461B">
        <w:rPr>
          <w:rFonts w:ascii="Georgia" w:eastAsia="Calibri" w:hAnsi="Georgia" w:cs="Times New Roman"/>
          <w:sz w:val="24"/>
          <w:szCs w:val="24"/>
          <w:shd w:val="clear" w:color="auto" w:fill="FFFFFF"/>
          <w:lang w:val="en-US"/>
        </w:rPr>
        <w:t>Sermsri</w:t>
      </w:r>
      <w:proofErr w:type="spellEnd"/>
      <w:r w:rsidRPr="0011461B">
        <w:rPr>
          <w:rFonts w:ascii="Georgia" w:eastAsia="Calibri" w:hAnsi="Georgia" w:cs="Times New Roman"/>
          <w:sz w:val="24"/>
          <w:szCs w:val="24"/>
          <w:shd w:val="clear" w:color="auto" w:fill="FFFFFF"/>
          <w:lang w:val="en-US"/>
        </w:rPr>
        <w:t>, S. (2004). Gender Differences in the Psychological Well</w:t>
      </w:r>
      <w:r w:rsidRPr="0011461B">
        <w:rPr>
          <w:rFonts w:ascii="Times New Roman" w:eastAsia="Calibri" w:hAnsi="Times New Roman" w:cs="Times New Roman"/>
          <w:sz w:val="24"/>
          <w:szCs w:val="24"/>
          <w:shd w:val="clear" w:color="auto" w:fill="FFFFFF"/>
          <w:lang w:val="en-US"/>
        </w:rPr>
        <w:t>‐</w:t>
      </w:r>
      <w:r w:rsidRPr="0011461B">
        <w:rPr>
          <w:rFonts w:ascii="Georgia" w:eastAsia="Calibri" w:hAnsi="Georgia" w:cs="Times New Roman"/>
          <w:sz w:val="24"/>
          <w:szCs w:val="24"/>
          <w:shd w:val="clear" w:color="auto" w:fill="FFFFFF"/>
          <w:lang w:val="en-US"/>
        </w:rPr>
        <w:t>being of Married Men and Women: an Asian Case. </w:t>
      </w:r>
      <w:proofErr w:type="spellStart"/>
      <w:r w:rsidRPr="0011461B">
        <w:rPr>
          <w:rFonts w:ascii="Georgia" w:eastAsia="Calibri" w:hAnsi="Georgia" w:cs="Times New Roman"/>
          <w:i/>
          <w:iCs/>
          <w:sz w:val="24"/>
          <w:szCs w:val="24"/>
          <w:shd w:val="clear" w:color="auto" w:fill="FFFFFF"/>
          <w:lang w:val="es-MX"/>
        </w:rPr>
        <w:t>The</w:t>
      </w:r>
      <w:proofErr w:type="spellEnd"/>
      <w:r w:rsidRPr="0011461B">
        <w:rPr>
          <w:rFonts w:ascii="Georgia" w:eastAsia="Calibri" w:hAnsi="Georgia" w:cs="Times New Roman"/>
          <w:i/>
          <w:iCs/>
          <w:sz w:val="24"/>
          <w:szCs w:val="24"/>
          <w:shd w:val="clear" w:color="auto" w:fill="FFFFFF"/>
          <w:lang w:val="es-MX"/>
        </w:rPr>
        <w:t xml:space="preserve"> </w:t>
      </w:r>
      <w:proofErr w:type="spellStart"/>
      <w:r w:rsidRPr="0011461B">
        <w:rPr>
          <w:rFonts w:ascii="Georgia" w:eastAsia="Calibri" w:hAnsi="Georgia" w:cs="Times New Roman"/>
          <w:i/>
          <w:iCs/>
          <w:sz w:val="24"/>
          <w:szCs w:val="24"/>
          <w:shd w:val="clear" w:color="auto" w:fill="FFFFFF"/>
          <w:lang w:val="es-MX"/>
        </w:rPr>
        <w:t>Sociological</w:t>
      </w:r>
      <w:proofErr w:type="spellEnd"/>
      <w:r w:rsidRPr="0011461B">
        <w:rPr>
          <w:rFonts w:ascii="Georgia" w:eastAsia="Calibri" w:hAnsi="Georgia" w:cs="Times New Roman"/>
          <w:i/>
          <w:iCs/>
          <w:sz w:val="24"/>
          <w:szCs w:val="24"/>
          <w:shd w:val="clear" w:color="auto" w:fill="FFFFFF"/>
          <w:lang w:val="es-MX"/>
        </w:rPr>
        <w:t xml:space="preserve"> </w:t>
      </w:r>
      <w:proofErr w:type="spellStart"/>
      <w:r w:rsidRPr="0011461B">
        <w:rPr>
          <w:rFonts w:ascii="Georgia" w:eastAsia="Calibri" w:hAnsi="Georgia" w:cs="Times New Roman"/>
          <w:i/>
          <w:iCs/>
          <w:sz w:val="24"/>
          <w:szCs w:val="24"/>
          <w:shd w:val="clear" w:color="auto" w:fill="FFFFFF"/>
          <w:lang w:val="es-MX"/>
        </w:rPr>
        <w:t>Quarterly</w:t>
      </w:r>
      <w:proofErr w:type="spellEnd"/>
      <w:r w:rsidRPr="0011461B">
        <w:rPr>
          <w:rFonts w:ascii="Georgia" w:eastAsia="Calibri" w:hAnsi="Georgia" w:cs="Times New Roman"/>
          <w:i/>
          <w:sz w:val="24"/>
          <w:szCs w:val="24"/>
          <w:shd w:val="clear" w:color="auto" w:fill="FFFFFF"/>
          <w:lang w:val="es-MX"/>
        </w:rPr>
        <w:t>, </w:t>
      </w:r>
      <w:r w:rsidRPr="0011461B">
        <w:rPr>
          <w:rFonts w:ascii="Georgia" w:eastAsia="Calibri" w:hAnsi="Georgia" w:cs="Times New Roman"/>
          <w:i/>
          <w:iCs/>
          <w:sz w:val="24"/>
          <w:szCs w:val="24"/>
          <w:shd w:val="clear" w:color="auto" w:fill="FFFFFF"/>
          <w:lang w:val="es-MX"/>
        </w:rPr>
        <w:t>45</w:t>
      </w:r>
      <w:r w:rsidRPr="0011461B">
        <w:rPr>
          <w:rFonts w:ascii="Georgia" w:eastAsia="Calibri" w:hAnsi="Georgia" w:cs="Times New Roman"/>
          <w:sz w:val="24"/>
          <w:szCs w:val="24"/>
          <w:shd w:val="clear" w:color="auto" w:fill="FFFFFF"/>
          <w:lang w:val="es-MX"/>
        </w:rPr>
        <w:t>(2), 355-378.</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rPr>
        <w:t>García-</w:t>
      </w:r>
      <w:proofErr w:type="spellStart"/>
      <w:r w:rsidRPr="0011461B">
        <w:rPr>
          <w:rFonts w:ascii="Georgia" w:hAnsi="Georgia" w:cs="Times New Roman"/>
          <w:sz w:val="24"/>
          <w:szCs w:val="24"/>
        </w:rPr>
        <w:t>Viniegras</w:t>
      </w:r>
      <w:proofErr w:type="spellEnd"/>
      <w:r w:rsidRPr="0011461B">
        <w:rPr>
          <w:rFonts w:ascii="Georgia" w:hAnsi="Georgia" w:cs="Times New Roman"/>
          <w:sz w:val="24"/>
          <w:szCs w:val="24"/>
        </w:rPr>
        <w:t xml:space="preserve">, C. R., &amp; González Benítez, I. (2000). La categoría bienestar psicológico: Su relación con otras categorías sociales. </w:t>
      </w:r>
      <w:r w:rsidRPr="0011461B">
        <w:rPr>
          <w:rFonts w:ascii="Georgia" w:hAnsi="Georgia" w:cs="Times New Roman"/>
          <w:i/>
          <w:sz w:val="24"/>
          <w:szCs w:val="24"/>
          <w:lang w:val="en-US"/>
        </w:rPr>
        <w:t xml:space="preserve">Revista </w:t>
      </w:r>
      <w:proofErr w:type="spellStart"/>
      <w:r w:rsidRPr="0011461B">
        <w:rPr>
          <w:rFonts w:ascii="Georgia" w:hAnsi="Georgia" w:cs="Times New Roman"/>
          <w:i/>
          <w:sz w:val="24"/>
          <w:szCs w:val="24"/>
          <w:lang w:val="en-US"/>
        </w:rPr>
        <w:t>Cubana</w:t>
      </w:r>
      <w:proofErr w:type="spellEnd"/>
      <w:r w:rsidRPr="0011461B">
        <w:rPr>
          <w:rFonts w:ascii="Georgia" w:hAnsi="Georgia" w:cs="Times New Roman"/>
          <w:i/>
          <w:sz w:val="24"/>
          <w:szCs w:val="24"/>
          <w:lang w:val="en-US"/>
        </w:rPr>
        <w:t xml:space="preserve"> de Medicina General Integral, 16</w:t>
      </w:r>
      <w:r w:rsidRPr="0011461B">
        <w:rPr>
          <w:rFonts w:ascii="Georgia" w:hAnsi="Georgia" w:cs="Times New Roman"/>
          <w:sz w:val="24"/>
          <w:szCs w:val="24"/>
          <w:lang w:val="en-US"/>
        </w:rPr>
        <w:t>(6), 586-592.</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 xml:space="preserve">Gasper, D. (2004). Human Well-being:  Concepts and Conceptualizations”. </w:t>
      </w:r>
      <w:proofErr w:type="spellStart"/>
      <w:r w:rsidRPr="0011461B">
        <w:rPr>
          <w:rFonts w:ascii="Georgia" w:hAnsi="Georgia" w:cs="Times New Roman"/>
          <w:sz w:val="24"/>
          <w:szCs w:val="24"/>
          <w:lang w:val="en-US"/>
        </w:rPr>
        <w:t>En</w:t>
      </w:r>
      <w:proofErr w:type="spellEnd"/>
      <w:r w:rsidRPr="0011461B">
        <w:rPr>
          <w:rFonts w:ascii="Georgia" w:hAnsi="Georgia" w:cs="Times New Roman"/>
          <w:sz w:val="24"/>
          <w:szCs w:val="24"/>
          <w:lang w:val="en-US"/>
        </w:rPr>
        <w:t xml:space="preserve"> </w:t>
      </w:r>
      <w:r w:rsidRPr="0011461B">
        <w:rPr>
          <w:rFonts w:ascii="Georgia" w:hAnsi="Georgia" w:cs="Times New Roman"/>
          <w:i/>
          <w:sz w:val="24"/>
          <w:szCs w:val="24"/>
          <w:lang w:val="en-US"/>
        </w:rPr>
        <w:t>Discussion Paper No. 2004/06 United Nations University</w:t>
      </w:r>
      <w:r w:rsidRPr="0011461B">
        <w:rPr>
          <w:rFonts w:ascii="Georgia" w:hAnsi="Georgia" w:cs="Times New Roman"/>
          <w:sz w:val="24"/>
          <w:szCs w:val="24"/>
          <w:lang w:val="en-US"/>
        </w:rPr>
        <w:t xml:space="preserve">, </w:t>
      </w:r>
      <w:proofErr w:type="spellStart"/>
      <w:r w:rsidRPr="0011461B">
        <w:rPr>
          <w:rFonts w:ascii="Georgia" w:hAnsi="Georgia" w:cs="Times New Roman"/>
          <w:sz w:val="24"/>
          <w:szCs w:val="24"/>
          <w:lang w:val="en-US"/>
        </w:rPr>
        <w:t>Estocolmo</w:t>
      </w:r>
      <w:proofErr w:type="spellEnd"/>
      <w:r w:rsidRPr="0011461B">
        <w:rPr>
          <w:rFonts w:ascii="Georgia" w:hAnsi="Georgia" w:cs="Times New Roman"/>
          <w:sz w:val="24"/>
          <w:szCs w:val="24"/>
          <w:lang w:val="en-US"/>
        </w:rPr>
        <w:t>: World Institute for Development Economics Research.</w:t>
      </w:r>
    </w:p>
    <w:p w:rsidR="00A35C4C" w:rsidRPr="0011461B" w:rsidRDefault="00A35C4C" w:rsidP="0011461B">
      <w:pPr>
        <w:autoSpaceDE w:val="0"/>
        <w:autoSpaceDN w:val="0"/>
        <w:adjustRightInd w:val="0"/>
        <w:spacing w:after="0" w:line="240" w:lineRule="auto"/>
        <w:ind w:left="709" w:hanging="709"/>
        <w:rPr>
          <w:rFonts w:ascii="Georgia" w:eastAsia="Calibri" w:hAnsi="Georgia" w:cs="Times New Roman"/>
          <w:sz w:val="24"/>
          <w:szCs w:val="24"/>
          <w:lang w:val="en-US"/>
        </w:rPr>
      </w:pPr>
      <w:r w:rsidRPr="0011461B">
        <w:rPr>
          <w:rFonts w:ascii="Georgia" w:eastAsia="Calibri" w:hAnsi="Georgia" w:cs="Times New Roman"/>
          <w:sz w:val="24"/>
          <w:szCs w:val="24"/>
          <w:lang w:val="en-US"/>
        </w:rPr>
        <w:t xml:space="preserve">Hauser, R.M., Brown, B.V., &amp; Prosser, W.R. (Eds.) (1997) </w:t>
      </w:r>
      <w:r w:rsidRPr="0011461B">
        <w:rPr>
          <w:rFonts w:ascii="Georgia" w:eastAsia="Calibri" w:hAnsi="Georgia" w:cs="Times New Roman"/>
          <w:i/>
          <w:iCs/>
          <w:sz w:val="24"/>
          <w:szCs w:val="24"/>
          <w:lang w:val="en-US"/>
        </w:rPr>
        <w:t>Indicators of children’s well-being</w:t>
      </w:r>
      <w:r w:rsidRPr="0011461B">
        <w:rPr>
          <w:rFonts w:ascii="Georgia" w:eastAsia="Calibri" w:hAnsi="Georgia" w:cs="Times New Roman"/>
          <w:i/>
          <w:sz w:val="24"/>
          <w:szCs w:val="24"/>
          <w:lang w:val="en-US"/>
        </w:rPr>
        <w:t>.</w:t>
      </w:r>
      <w:r w:rsidRPr="0011461B">
        <w:rPr>
          <w:rFonts w:ascii="Georgia" w:eastAsia="Calibri" w:hAnsi="Georgia" w:cs="Times New Roman"/>
          <w:sz w:val="24"/>
          <w:szCs w:val="24"/>
          <w:lang w:val="en-US"/>
        </w:rPr>
        <w:t xml:space="preserve"> New York: Russell Sage Foundation.</w:t>
      </w:r>
    </w:p>
    <w:p w:rsidR="00A35C4C" w:rsidRPr="0011461B" w:rsidRDefault="00A35C4C" w:rsidP="0011461B">
      <w:pPr>
        <w:spacing w:line="240" w:lineRule="auto"/>
        <w:ind w:left="709" w:hanging="709"/>
        <w:jc w:val="both"/>
        <w:rPr>
          <w:rFonts w:ascii="Georgia" w:eastAsia="Calibri" w:hAnsi="Georgia" w:cs="Times New Roman"/>
          <w:sz w:val="24"/>
          <w:szCs w:val="24"/>
        </w:rPr>
      </w:pPr>
      <w:proofErr w:type="spellStart"/>
      <w:r w:rsidRPr="0011461B">
        <w:rPr>
          <w:rFonts w:ascii="Georgia" w:eastAsia="Calibri" w:hAnsi="Georgia" w:cs="Times New Roman"/>
          <w:sz w:val="24"/>
          <w:szCs w:val="24"/>
          <w:lang w:val="en-US"/>
        </w:rPr>
        <w:t>Hertfelder</w:t>
      </w:r>
      <w:proofErr w:type="spellEnd"/>
      <w:r w:rsidRPr="0011461B">
        <w:rPr>
          <w:rFonts w:ascii="Georgia" w:eastAsia="Calibri" w:hAnsi="Georgia" w:cs="Times New Roman"/>
          <w:sz w:val="24"/>
          <w:szCs w:val="24"/>
          <w:lang w:val="en-US"/>
        </w:rPr>
        <w:t>, E. Martínez-</w:t>
      </w:r>
      <w:proofErr w:type="spellStart"/>
      <w:r w:rsidRPr="0011461B">
        <w:rPr>
          <w:rFonts w:ascii="Georgia" w:eastAsia="Calibri" w:hAnsi="Georgia" w:cs="Times New Roman"/>
          <w:sz w:val="24"/>
          <w:szCs w:val="24"/>
          <w:lang w:val="en-US"/>
        </w:rPr>
        <w:t>Aedo</w:t>
      </w:r>
      <w:proofErr w:type="spellEnd"/>
      <w:r w:rsidRPr="0011461B">
        <w:rPr>
          <w:rFonts w:ascii="Georgia" w:eastAsia="Calibri" w:hAnsi="Georgia" w:cs="Times New Roman"/>
          <w:sz w:val="24"/>
          <w:szCs w:val="24"/>
          <w:lang w:val="en-US"/>
        </w:rPr>
        <w:t xml:space="preserve">, M. &amp; Velarde, L. (2011). </w:t>
      </w:r>
      <w:r w:rsidRPr="0011461B">
        <w:rPr>
          <w:rFonts w:ascii="Georgia" w:eastAsia="Calibri" w:hAnsi="Georgia" w:cs="Times New Roman"/>
          <w:i/>
          <w:iCs/>
          <w:sz w:val="24"/>
          <w:szCs w:val="24"/>
        </w:rPr>
        <w:t>La familia, desafío para una nueva política: propuestas para una política pública con perspectiva de familia</w:t>
      </w:r>
      <w:r w:rsidRPr="0011461B">
        <w:rPr>
          <w:rFonts w:ascii="Georgia" w:eastAsia="Calibri" w:hAnsi="Georgia" w:cs="Times New Roman"/>
          <w:iCs/>
          <w:sz w:val="24"/>
          <w:szCs w:val="24"/>
        </w:rPr>
        <w:t xml:space="preserve">. </w:t>
      </w:r>
      <w:r w:rsidRPr="0011461B">
        <w:rPr>
          <w:rFonts w:ascii="Georgia" w:eastAsia="Calibri" w:hAnsi="Georgia" w:cs="Times New Roman"/>
          <w:sz w:val="24"/>
          <w:szCs w:val="24"/>
        </w:rPr>
        <w:t>Madrid: Instituto de Política Familiar. IPF.</w:t>
      </w:r>
    </w:p>
    <w:p w:rsidR="00A35C4C" w:rsidRPr="0011461B" w:rsidRDefault="00A35C4C" w:rsidP="0011461B">
      <w:pPr>
        <w:spacing w:line="240" w:lineRule="auto"/>
        <w:ind w:left="709" w:hanging="709"/>
        <w:jc w:val="both"/>
        <w:rPr>
          <w:rFonts w:ascii="Georgia" w:eastAsia="Calibri" w:hAnsi="Georgia" w:cs="Times New Roman"/>
          <w:sz w:val="24"/>
          <w:szCs w:val="24"/>
        </w:rPr>
      </w:pPr>
      <w:r w:rsidRPr="0011461B">
        <w:rPr>
          <w:rFonts w:ascii="Georgia" w:eastAsia="Calibri" w:hAnsi="Georgia" w:cs="Times New Roman"/>
          <w:sz w:val="24"/>
          <w:szCs w:val="24"/>
        </w:rPr>
        <w:t xml:space="preserve">Herrera, S., Salinas, V., &amp; Valenzuela, E. (2011). </w:t>
      </w:r>
      <w:r w:rsidRPr="0011461B">
        <w:rPr>
          <w:rFonts w:ascii="Georgia" w:eastAsia="Calibri" w:hAnsi="Georgia" w:cs="Times New Roman"/>
          <w:i/>
          <w:sz w:val="24"/>
          <w:szCs w:val="24"/>
        </w:rPr>
        <w:t xml:space="preserve">Familia pobreza y bienestar en Chile; un análisis empírico de las relaciones entre estructura familiar y bienestar. </w:t>
      </w:r>
      <w:r w:rsidRPr="0011461B">
        <w:rPr>
          <w:rFonts w:ascii="Georgia" w:eastAsia="Calibri" w:hAnsi="Georgia" w:cs="Times New Roman"/>
          <w:sz w:val="24"/>
          <w:szCs w:val="24"/>
        </w:rPr>
        <w:t>Santiago: Centro de Políticas Públicas UC.</w:t>
      </w:r>
    </w:p>
    <w:p w:rsidR="00A35C4C" w:rsidRPr="0011461B" w:rsidRDefault="00A35C4C" w:rsidP="0011461B">
      <w:pPr>
        <w:spacing w:line="240" w:lineRule="auto"/>
        <w:ind w:left="709" w:hanging="709"/>
        <w:jc w:val="both"/>
        <w:rPr>
          <w:rFonts w:ascii="Georgia" w:eastAsia="Calibri" w:hAnsi="Georgia" w:cs="Times New Roman"/>
          <w:sz w:val="24"/>
          <w:szCs w:val="24"/>
          <w:lang w:val="en-US"/>
        </w:rPr>
      </w:pPr>
      <w:proofErr w:type="spellStart"/>
      <w:r w:rsidRPr="0011461B">
        <w:rPr>
          <w:rFonts w:ascii="Georgia" w:eastAsia="Calibri" w:hAnsi="Georgia" w:cs="Times New Roman"/>
          <w:sz w:val="24"/>
          <w:szCs w:val="24"/>
          <w:lang w:val="es-MX"/>
        </w:rPr>
        <w:t>Kamerman</w:t>
      </w:r>
      <w:proofErr w:type="spellEnd"/>
      <w:r w:rsidRPr="0011461B">
        <w:rPr>
          <w:rFonts w:ascii="Georgia" w:eastAsia="Calibri" w:hAnsi="Georgia" w:cs="Times New Roman"/>
          <w:sz w:val="24"/>
          <w:szCs w:val="24"/>
          <w:lang w:val="es-MX"/>
        </w:rPr>
        <w:t xml:space="preserve">, B. S., Phipps. </w:t>
      </w:r>
      <w:r w:rsidRPr="0011461B">
        <w:rPr>
          <w:rFonts w:ascii="Georgia" w:eastAsia="Calibri" w:hAnsi="Georgia" w:cs="Times New Roman"/>
          <w:sz w:val="24"/>
          <w:szCs w:val="24"/>
          <w:lang w:val="en-US"/>
        </w:rPr>
        <w:t>S., Ben-</w:t>
      </w:r>
      <w:proofErr w:type="spellStart"/>
      <w:r w:rsidRPr="0011461B">
        <w:rPr>
          <w:rFonts w:ascii="Georgia" w:eastAsia="Calibri" w:hAnsi="Georgia" w:cs="Times New Roman"/>
          <w:sz w:val="24"/>
          <w:szCs w:val="24"/>
          <w:lang w:val="en-US"/>
        </w:rPr>
        <w:t>Arieh</w:t>
      </w:r>
      <w:proofErr w:type="spellEnd"/>
      <w:r w:rsidRPr="0011461B">
        <w:rPr>
          <w:rFonts w:ascii="Georgia" w:eastAsia="Calibri" w:hAnsi="Georgia" w:cs="Times New Roman"/>
          <w:sz w:val="24"/>
          <w:szCs w:val="24"/>
          <w:lang w:val="en-US"/>
        </w:rPr>
        <w:t>, A. (2010)</w:t>
      </w:r>
      <w:r w:rsidRPr="0011461B">
        <w:rPr>
          <w:rFonts w:ascii="Georgia" w:eastAsia="Calibri" w:hAnsi="Georgia" w:cs="Times New Roman"/>
          <w:i/>
          <w:sz w:val="24"/>
          <w:szCs w:val="24"/>
          <w:lang w:val="en-US"/>
        </w:rPr>
        <w:t xml:space="preserve"> From Child Welfare to Child Well-Being. An International Perspective on Knowledge in the Service of Police Making</w:t>
      </w:r>
      <w:r w:rsidRPr="0011461B">
        <w:rPr>
          <w:rFonts w:ascii="Georgia" w:eastAsia="Calibri" w:hAnsi="Georgia" w:cs="Times New Roman"/>
          <w:sz w:val="24"/>
          <w:szCs w:val="24"/>
          <w:lang w:val="en-US"/>
        </w:rPr>
        <w:t>. Springer.</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 xml:space="preserve">Lawler, M. J., Shaver, P. R., &amp; Goodman, G. S. (2011). Toward relationship-based child welfare services. </w:t>
      </w:r>
      <w:r w:rsidRPr="0011461B">
        <w:rPr>
          <w:rFonts w:ascii="Georgia" w:hAnsi="Georgia" w:cs="Times New Roman"/>
          <w:i/>
          <w:sz w:val="24"/>
          <w:szCs w:val="24"/>
          <w:lang w:val="en-US"/>
        </w:rPr>
        <w:t>Children and Youth Services Review, 33</w:t>
      </w:r>
      <w:r w:rsidRPr="0011461B">
        <w:rPr>
          <w:rFonts w:ascii="Georgia" w:hAnsi="Georgia" w:cs="Times New Roman"/>
          <w:sz w:val="24"/>
          <w:szCs w:val="24"/>
          <w:lang w:val="en-US"/>
        </w:rPr>
        <w:t>, 473–480. doi:10.1016/</w:t>
      </w:r>
      <w:proofErr w:type="spellStart"/>
      <w:r w:rsidRPr="0011461B">
        <w:rPr>
          <w:rFonts w:ascii="Georgia" w:hAnsi="Georgia" w:cs="Times New Roman"/>
          <w:sz w:val="24"/>
          <w:szCs w:val="24"/>
          <w:lang w:val="en-US"/>
        </w:rPr>
        <w:t>j.childyouth</w:t>
      </w:r>
      <w:proofErr w:type="spellEnd"/>
      <w:r w:rsidRPr="0011461B">
        <w:rPr>
          <w:rFonts w:ascii="Georgia" w:hAnsi="Georgia" w:cs="Times New Roman"/>
          <w:sz w:val="24"/>
          <w:szCs w:val="24"/>
          <w:lang w:val="en-US"/>
        </w:rPr>
        <w:t xml:space="preserve"> .2010.06.018</w:t>
      </w:r>
    </w:p>
    <w:p w:rsidR="00A35C4C" w:rsidRPr="0011461B" w:rsidRDefault="00A35C4C" w:rsidP="0011461B">
      <w:pPr>
        <w:spacing w:line="240" w:lineRule="auto"/>
        <w:ind w:left="567" w:hanging="567"/>
        <w:rPr>
          <w:rFonts w:ascii="Georgia" w:hAnsi="Georgia" w:cs="Times New Roman"/>
          <w:sz w:val="24"/>
          <w:szCs w:val="24"/>
        </w:rPr>
      </w:pPr>
      <w:proofErr w:type="spellStart"/>
      <w:r w:rsidRPr="0011461B">
        <w:rPr>
          <w:rFonts w:ascii="Georgia" w:hAnsi="Georgia" w:cs="Times New Roman"/>
          <w:sz w:val="24"/>
          <w:szCs w:val="24"/>
          <w:lang w:val="en-US"/>
        </w:rPr>
        <w:t>Mazaira</w:t>
      </w:r>
      <w:proofErr w:type="spellEnd"/>
      <w:r w:rsidRPr="0011461B">
        <w:rPr>
          <w:rFonts w:ascii="Georgia" w:hAnsi="Georgia" w:cs="Times New Roman"/>
          <w:sz w:val="24"/>
          <w:szCs w:val="24"/>
          <w:lang w:val="en-US"/>
        </w:rPr>
        <w:t xml:space="preserve">, Z., Becerra, F.A., &amp; Hernández, I.A- (2011). </w:t>
      </w:r>
      <w:r w:rsidRPr="0011461B">
        <w:rPr>
          <w:rFonts w:ascii="Georgia" w:hAnsi="Georgia" w:cs="Times New Roman"/>
          <w:sz w:val="24"/>
          <w:szCs w:val="24"/>
        </w:rPr>
        <w:t xml:space="preserve">Propuesta de un procedimiento metodológico para medir el bienestar social de la familia cubana. </w:t>
      </w:r>
      <w:r w:rsidRPr="0011461B">
        <w:rPr>
          <w:rFonts w:ascii="Georgia" w:hAnsi="Georgia" w:cs="Times New Roman"/>
          <w:i/>
          <w:sz w:val="24"/>
          <w:szCs w:val="24"/>
        </w:rPr>
        <w:t xml:space="preserve">Ciencia y Sociedad, Vol. XXXVI, </w:t>
      </w:r>
      <w:r w:rsidRPr="0011461B">
        <w:rPr>
          <w:rFonts w:ascii="Georgia" w:hAnsi="Georgia" w:cs="Times New Roman"/>
          <w:sz w:val="24"/>
          <w:szCs w:val="24"/>
        </w:rPr>
        <w:t>2, 212-238</w:t>
      </w:r>
    </w:p>
    <w:p w:rsidR="00A35C4C" w:rsidRPr="0011461B" w:rsidRDefault="00A35C4C" w:rsidP="0011461B">
      <w:pPr>
        <w:spacing w:line="240" w:lineRule="auto"/>
        <w:ind w:left="567" w:hanging="567"/>
        <w:rPr>
          <w:rFonts w:ascii="Georgia" w:hAnsi="Georgia" w:cs="Times New Roman"/>
          <w:sz w:val="24"/>
          <w:szCs w:val="24"/>
          <w:lang w:val="en-US"/>
        </w:rPr>
      </w:pPr>
      <w:proofErr w:type="spellStart"/>
      <w:r w:rsidRPr="0011461B">
        <w:rPr>
          <w:rFonts w:ascii="Georgia" w:hAnsi="Georgia" w:cs="Times New Roman"/>
          <w:sz w:val="24"/>
          <w:szCs w:val="24"/>
          <w:lang w:val="es-MX"/>
        </w:rPr>
        <w:t>McCubbin</w:t>
      </w:r>
      <w:proofErr w:type="spellEnd"/>
      <w:r w:rsidRPr="0011461B">
        <w:rPr>
          <w:rFonts w:ascii="Georgia" w:hAnsi="Georgia" w:cs="Times New Roman"/>
          <w:sz w:val="24"/>
          <w:szCs w:val="24"/>
          <w:lang w:val="es-MX"/>
        </w:rPr>
        <w:t xml:space="preserve">, H. I., &amp; Patterson, J. (1982). </w:t>
      </w:r>
      <w:r w:rsidRPr="0011461B">
        <w:rPr>
          <w:rFonts w:ascii="Georgia" w:hAnsi="Georgia" w:cs="Times New Roman"/>
          <w:sz w:val="24"/>
          <w:szCs w:val="24"/>
          <w:lang w:val="en-US"/>
        </w:rPr>
        <w:t xml:space="preserve">Family member well-being (FMWB). </w:t>
      </w:r>
      <w:proofErr w:type="spellStart"/>
      <w:r w:rsidRPr="0011461B">
        <w:rPr>
          <w:rFonts w:ascii="Georgia" w:hAnsi="Georgia" w:cs="Times New Roman"/>
          <w:sz w:val="24"/>
          <w:szCs w:val="24"/>
          <w:lang w:val="en-US"/>
        </w:rPr>
        <w:t>En</w:t>
      </w:r>
      <w:proofErr w:type="spellEnd"/>
      <w:r w:rsidRPr="0011461B">
        <w:rPr>
          <w:rFonts w:ascii="Georgia" w:hAnsi="Georgia" w:cs="Times New Roman"/>
          <w:sz w:val="24"/>
          <w:szCs w:val="24"/>
          <w:lang w:val="en-US"/>
        </w:rPr>
        <w:t xml:space="preserve"> H. I. McCubbin, A. I. Thompson, &amp; M. A. McCubbin (Eds.), </w:t>
      </w:r>
      <w:r w:rsidRPr="0011461B">
        <w:rPr>
          <w:rFonts w:ascii="Georgia" w:hAnsi="Georgia" w:cs="Times New Roman"/>
          <w:i/>
          <w:sz w:val="24"/>
          <w:szCs w:val="24"/>
          <w:lang w:val="en-US"/>
        </w:rPr>
        <w:t>Family assessment: Resiliency, coping and adaptation - Inventories for research and practice</w:t>
      </w:r>
      <w:r w:rsidRPr="0011461B">
        <w:rPr>
          <w:rFonts w:ascii="Georgia" w:hAnsi="Georgia" w:cs="Times New Roman"/>
          <w:sz w:val="24"/>
          <w:szCs w:val="24"/>
          <w:lang w:val="en-US"/>
        </w:rPr>
        <w:t xml:space="preserve"> (pp.753-782). Madison: University of Wisconsin System.</w:t>
      </w:r>
    </w:p>
    <w:p w:rsidR="00A35C4C" w:rsidRPr="0011461B" w:rsidRDefault="00A35C4C" w:rsidP="0011461B">
      <w:pPr>
        <w:spacing w:line="240" w:lineRule="auto"/>
        <w:ind w:left="567" w:hanging="567"/>
        <w:rPr>
          <w:rFonts w:ascii="Georgia" w:eastAsia="Calibri" w:hAnsi="Georgia" w:cs="Times New Roman"/>
          <w:sz w:val="24"/>
          <w:szCs w:val="24"/>
          <w:lang w:val="en-US"/>
        </w:rPr>
      </w:pPr>
      <w:r w:rsidRPr="0011461B">
        <w:rPr>
          <w:rFonts w:ascii="Georgia" w:eastAsia="Calibri" w:hAnsi="Georgia" w:cs="Times New Roman"/>
          <w:sz w:val="24"/>
          <w:szCs w:val="24"/>
          <w:lang w:val="en-US"/>
        </w:rPr>
        <w:t xml:space="preserve">McDougall, T. (2011). Mental health problems in childhood and adolescence. </w:t>
      </w:r>
      <w:r w:rsidRPr="0011461B">
        <w:rPr>
          <w:rFonts w:ascii="Georgia" w:eastAsia="Calibri" w:hAnsi="Georgia" w:cs="Times New Roman"/>
          <w:i/>
          <w:sz w:val="24"/>
          <w:szCs w:val="24"/>
          <w:lang w:val="en-US"/>
        </w:rPr>
        <w:t>Nursing Standard, 26</w:t>
      </w:r>
      <w:r w:rsidRPr="0011461B">
        <w:rPr>
          <w:rFonts w:ascii="Georgia" w:eastAsia="Calibri" w:hAnsi="Georgia" w:cs="Times New Roman"/>
          <w:sz w:val="24"/>
          <w:szCs w:val="24"/>
          <w:lang w:val="en-US"/>
        </w:rPr>
        <w:t>(14), 48–56. doi:10.7748/ns2011.12.26.14.48.c8857</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eastAsia="Calibri" w:hAnsi="Georgia" w:cs="Times New Roman"/>
          <w:sz w:val="24"/>
          <w:szCs w:val="24"/>
          <w:lang w:val="en-US"/>
        </w:rPr>
        <w:t xml:space="preserve">Moore, K., Lippman, L., &amp; Brown, V. B., (2004) </w:t>
      </w:r>
      <w:r w:rsidRPr="0011461B">
        <w:rPr>
          <w:rFonts w:ascii="Georgia" w:eastAsia="Calibri" w:hAnsi="Georgia" w:cs="Times New Roman"/>
          <w:i/>
          <w:sz w:val="24"/>
          <w:szCs w:val="24"/>
          <w:lang w:val="en-US"/>
        </w:rPr>
        <w:t xml:space="preserve">Indicators of child well-being: The promise for positive youth development. </w:t>
      </w:r>
      <w:r w:rsidRPr="0011461B">
        <w:rPr>
          <w:rFonts w:ascii="Georgia" w:eastAsia="Calibri" w:hAnsi="Georgia" w:cs="Times New Roman"/>
          <w:i/>
          <w:iCs/>
          <w:sz w:val="24"/>
          <w:szCs w:val="24"/>
          <w:lang w:val="en-US"/>
        </w:rPr>
        <w:t xml:space="preserve">Annals of the American Academy of </w:t>
      </w:r>
      <w:r w:rsidRPr="0011461B">
        <w:rPr>
          <w:rFonts w:ascii="Georgia" w:eastAsia="Calibri" w:hAnsi="Georgia" w:cs="Times New Roman"/>
          <w:i/>
          <w:iCs/>
          <w:sz w:val="24"/>
          <w:szCs w:val="24"/>
          <w:lang w:val="en-US"/>
        </w:rPr>
        <w:lastRenderedPageBreak/>
        <w:t xml:space="preserve">Political and Social Science. </w:t>
      </w:r>
      <w:r w:rsidRPr="0011461B">
        <w:rPr>
          <w:rFonts w:ascii="Georgia" w:eastAsia="Calibri" w:hAnsi="Georgia" w:cs="Times New Roman"/>
          <w:iCs/>
          <w:sz w:val="24"/>
          <w:szCs w:val="24"/>
          <w:lang w:val="en-US"/>
        </w:rPr>
        <w:t>Annals of the American Academy of Political and Social Science.</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 xml:space="preserve">Newland, L.A. (2015). Family well-being, parenting, and child well-being: Pathways to healthy adjustment. </w:t>
      </w:r>
      <w:r w:rsidRPr="0011461B">
        <w:rPr>
          <w:rFonts w:ascii="Georgia" w:hAnsi="Georgia" w:cs="Times New Roman"/>
          <w:i/>
          <w:sz w:val="24"/>
          <w:szCs w:val="24"/>
          <w:lang w:val="en-US"/>
        </w:rPr>
        <w:t xml:space="preserve">Clinical Psychologist, 9, </w:t>
      </w:r>
      <w:r w:rsidRPr="0011461B">
        <w:rPr>
          <w:rFonts w:ascii="Georgia" w:hAnsi="Georgia" w:cs="Times New Roman"/>
          <w:sz w:val="24"/>
          <w:szCs w:val="24"/>
          <w:lang w:val="en-US"/>
        </w:rPr>
        <w:t>3-14.</w:t>
      </w:r>
    </w:p>
    <w:p w:rsidR="00A35C4C" w:rsidRPr="0011461B" w:rsidRDefault="00A35C4C" w:rsidP="0011461B">
      <w:pPr>
        <w:spacing w:line="240" w:lineRule="auto"/>
        <w:ind w:left="567" w:hanging="567"/>
        <w:rPr>
          <w:rFonts w:ascii="Georgia" w:hAnsi="Georgia" w:cs="Times New Roman"/>
          <w:sz w:val="24"/>
          <w:szCs w:val="24"/>
          <w:lang w:val="es-MX"/>
        </w:rPr>
      </w:pPr>
      <w:r w:rsidRPr="0011461B">
        <w:rPr>
          <w:rFonts w:ascii="Georgia" w:hAnsi="Georgia" w:cs="Times New Roman"/>
          <w:sz w:val="24"/>
          <w:szCs w:val="24"/>
          <w:lang w:val="en-US"/>
        </w:rPr>
        <w:t xml:space="preserve">Newland, L. A. (2014). Supportive family contexts: Promoting child well-being and resilience. </w:t>
      </w:r>
      <w:proofErr w:type="spellStart"/>
      <w:r w:rsidRPr="0011461B">
        <w:rPr>
          <w:rFonts w:ascii="Georgia" w:hAnsi="Georgia" w:cs="Times New Roman"/>
          <w:i/>
          <w:sz w:val="24"/>
          <w:szCs w:val="24"/>
          <w:lang w:val="es-MX"/>
        </w:rPr>
        <w:t>Early</w:t>
      </w:r>
      <w:proofErr w:type="spellEnd"/>
      <w:r w:rsidRPr="0011461B">
        <w:rPr>
          <w:rFonts w:ascii="Georgia" w:hAnsi="Georgia" w:cs="Times New Roman"/>
          <w:i/>
          <w:sz w:val="24"/>
          <w:szCs w:val="24"/>
          <w:lang w:val="es-MX"/>
        </w:rPr>
        <w:t xml:space="preserve"> </w:t>
      </w:r>
      <w:proofErr w:type="spellStart"/>
      <w:r w:rsidRPr="0011461B">
        <w:rPr>
          <w:rFonts w:ascii="Georgia" w:hAnsi="Georgia" w:cs="Times New Roman"/>
          <w:i/>
          <w:sz w:val="24"/>
          <w:szCs w:val="24"/>
          <w:lang w:val="es-MX"/>
        </w:rPr>
        <w:t>Child</w:t>
      </w:r>
      <w:proofErr w:type="spellEnd"/>
      <w:r w:rsidRPr="0011461B">
        <w:rPr>
          <w:rFonts w:ascii="Georgia" w:hAnsi="Georgia" w:cs="Times New Roman"/>
          <w:i/>
          <w:sz w:val="24"/>
          <w:szCs w:val="24"/>
          <w:lang w:val="es-MX"/>
        </w:rPr>
        <w:t xml:space="preserve"> </w:t>
      </w:r>
      <w:proofErr w:type="spellStart"/>
      <w:r w:rsidRPr="0011461B">
        <w:rPr>
          <w:rFonts w:ascii="Georgia" w:hAnsi="Georgia" w:cs="Times New Roman"/>
          <w:i/>
          <w:sz w:val="24"/>
          <w:szCs w:val="24"/>
          <w:lang w:val="es-MX"/>
        </w:rPr>
        <w:t>Development</w:t>
      </w:r>
      <w:proofErr w:type="spellEnd"/>
      <w:r w:rsidRPr="0011461B">
        <w:rPr>
          <w:rFonts w:ascii="Georgia" w:hAnsi="Georgia" w:cs="Times New Roman"/>
          <w:i/>
          <w:sz w:val="24"/>
          <w:szCs w:val="24"/>
          <w:lang w:val="es-MX"/>
        </w:rPr>
        <w:t xml:space="preserve"> and</w:t>
      </w:r>
      <w:r w:rsidRPr="0011461B">
        <w:rPr>
          <w:rFonts w:ascii="Georgia" w:hAnsi="Georgia"/>
          <w:i/>
          <w:sz w:val="24"/>
          <w:szCs w:val="24"/>
          <w:lang w:val="es-MX"/>
        </w:rPr>
        <w:t xml:space="preserve"> </w:t>
      </w:r>
      <w:proofErr w:type="spellStart"/>
      <w:r w:rsidRPr="0011461B">
        <w:rPr>
          <w:rFonts w:ascii="Georgia" w:hAnsi="Georgia" w:cs="Times New Roman"/>
          <w:i/>
          <w:sz w:val="24"/>
          <w:szCs w:val="24"/>
          <w:lang w:val="es-MX"/>
        </w:rPr>
        <w:t>Care</w:t>
      </w:r>
      <w:proofErr w:type="spellEnd"/>
      <w:r w:rsidRPr="0011461B">
        <w:rPr>
          <w:rFonts w:ascii="Georgia" w:hAnsi="Georgia" w:cs="Times New Roman"/>
          <w:i/>
          <w:sz w:val="24"/>
          <w:szCs w:val="24"/>
          <w:lang w:val="es-MX"/>
        </w:rPr>
        <w:t xml:space="preserve">, 184 </w:t>
      </w:r>
      <w:r w:rsidRPr="0011461B">
        <w:rPr>
          <w:rFonts w:ascii="Georgia" w:hAnsi="Georgia" w:cs="Times New Roman"/>
          <w:sz w:val="24"/>
          <w:szCs w:val="24"/>
          <w:lang w:val="es-MX"/>
        </w:rPr>
        <w:t>(9–10), 1336–1346. doi:10.1080/03004430.2013.875543.</w:t>
      </w:r>
    </w:p>
    <w:p w:rsidR="00A35C4C" w:rsidRPr="0011461B" w:rsidRDefault="00A35C4C" w:rsidP="0011461B">
      <w:pPr>
        <w:spacing w:after="0" w:line="240" w:lineRule="auto"/>
        <w:ind w:left="709" w:hanging="709"/>
        <w:rPr>
          <w:rFonts w:ascii="Georgia" w:eastAsia="Calibri" w:hAnsi="Georgia" w:cs="Times New Roman"/>
          <w:sz w:val="24"/>
          <w:szCs w:val="24"/>
        </w:rPr>
      </w:pPr>
      <w:r w:rsidRPr="0011461B">
        <w:rPr>
          <w:rFonts w:ascii="Georgia" w:eastAsia="Calibri" w:hAnsi="Georgia" w:cs="Times New Roman"/>
          <w:sz w:val="24"/>
          <w:szCs w:val="24"/>
        </w:rPr>
        <w:t xml:space="preserve">Pliego, F. (2012) </w:t>
      </w:r>
      <w:r w:rsidRPr="0011461B">
        <w:rPr>
          <w:rFonts w:ascii="Georgia" w:eastAsia="Calibri" w:hAnsi="Georgia" w:cs="Times New Roman"/>
          <w:i/>
          <w:sz w:val="24"/>
          <w:szCs w:val="24"/>
        </w:rPr>
        <w:t>Familias y Bienestar en Sociedades Democráticas. El debate cultural del siglo XXI.</w:t>
      </w:r>
      <w:r w:rsidRPr="0011461B">
        <w:rPr>
          <w:rFonts w:ascii="Georgia" w:eastAsia="Calibri" w:hAnsi="Georgia" w:cs="Times New Roman"/>
          <w:sz w:val="24"/>
          <w:szCs w:val="24"/>
        </w:rPr>
        <w:t xml:space="preserve"> México, Ed. Miguel Angel </w:t>
      </w:r>
      <w:proofErr w:type="spellStart"/>
      <w:r w:rsidRPr="0011461B">
        <w:rPr>
          <w:rFonts w:ascii="Georgia" w:eastAsia="Calibri" w:hAnsi="Georgia" w:cs="Times New Roman"/>
          <w:sz w:val="24"/>
          <w:szCs w:val="24"/>
        </w:rPr>
        <w:t>Porrua</w:t>
      </w:r>
      <w:proofErr w:type="spellEnd"/>
      <w:r w:rsidRPr="0011461B">
        <w:rPr>
          <w:rFonts w:ascii="Georgia" w:eastAsia="Calibri" w:hAnsi="Georgia" w:cs="Times New Roman"/>
          <w:sz w:val="24"/>
          <w:szCs w:val="24"/>
        </w:rPr>
        <w:t>.</w:t>
      </w:r>
    </w:p>
    <w:p w:rsidR="00A35C4C" w:rsidRPr="0011461B" w:rsidRDefault="00A35C4C" w:rsidP="0011461B">
      <w:pPr>
        <w:spacing w:after="0" w:line="240" w:lineRule="auto"/>
        <w:ind w:left="709" w:hanging="709"/>
        <w:rPr>
          <w:rFonts w:ascii="Georgia" w:eastAsia="Calibri" w:hAnsi="Georgia" w:cs="Times New Roman"/>
          <w:sz w:val="24"/>
          <w:szCs w:val="24"/>
        </w:rPr>
      </w:pPr>
      <w:r w:rsidRPr="0011461B">
        <w:rPr>
          <w:rFonts w:ascii="Georgia" w:eastAsia="Calibri" w:hAnsi="Georgia" w:cs="Times New Roman"/>
          <w:sz w:val="24"/>
          <w:szCs w:val="24"/>
        </w:rPr>
        <w:t xml:space="preserve">Rawls, J. (1997) </w:t>
      </w:r>
      <w:r w:rsidRPr="0011461B">
        <w:rPr>
          <w:rFonts w:ascii="Georgia" w:eastAsia="Calibri" w:hAnsi="Georgia" w:cs="Times New Roman"/>
          <w:i/>
          <w:iCs/>
          <w:sz w:val="24"/>
          <w:szCs w:val="24"/>
        </w:rPr>
        <w:t xml:space="preserve">Teoría de la justicia. </w:t>
      </w:r>
      <w:r w:rsidRPr="0011461B">
        <w:rPr>
          <w:rFonts w:ascii="Georgia" w:eastAsia="Calibri" w:hAnsi="Georgia" w:cs="Times New Roman"/>
          <w:sz w:val="24"/>
          <w:szCs w:val="24"/>
        </w:rPr>
        <w:t>México: Fondo de Cultura Económica. </w:t>
      </w:r>
    </w:p>
    <w:p w:rsidR="00A35C4C" w:rsidRPr="0011461B" w:rsidRDefault="00A35C4C" w:rsidP="0011461B">
      <w:pPr>
        <w:spacing w:line="240" w:lineRule="auto"/>
        <w:ind w:left="567" w:hanging="567"/>
        <w:rPr>
          <w:rFonts w:ascii="Georgia" w:hAnsi="Georgia" w:cs="Times New Roman"/>
          <w:sz w:val="24"/>
          <w:szCs w:val="24"/>
          <w:lang w:val="es-MX"/>
        </w:rPr>
      </w:pPr>
      <w:proofErr w:type="spellStart"/>
      <w:r w:rsidRPr="0011461B">
        <w:rPr>
          <w:rFonts w:ascii="Georgia" w:hAnsi="Georgia" w:cs="Times New Roman"/>
          <w:sz w:val="24"/>
          <w:szCs w:val="24"/>
          <w:lang w:val="en-US"/>
        </w:rPr>
        <w:t>Roggman</w:t>
      </w:r>
      <w:proofErr w:type="spellEnd"/>
      <w:r w:rsidRPr="0011461B">
        <w:rPr>
          <w:rFonts w:ascii="Georgia" w:hAnsi="Georgia" w:cs="Times New Roman"/>
          <w:sz w:val="24"/>
          <w:szCs w:val="24"/>
          <w:lang w:val="en-US"/>
        </w:rPr>
        <w:t xml:space="preserve">, L. A., Boyce, L. K., &amp; </w:t>
      </w:r>
      <w:proofErr w:type="spellStart"/>
      <w:r w:rsidRPr="0011461B">
        <w:rPr>
          <w:rFonts w:ascii="Georgia" w:hAnsi="Georgia" w:cs="Times New Roman"/>
          <w:sz w:val="24"/>
          <w:szCs w:val="24"/>
          <w:lang w:val="en-US"/>
        </w:rPr>
        <w:t>Innocenti</w:t>
      </w:r>
      <w:proofErr w:type="spellEnd"/>
      <w:r w:rsidRPr="0011461B">
        <w:rPr>
          <w:rFonts w:ascii="Georgia" w:hAnsi="Georgia" w:cs="Times New Roman"/>
          <w:sz w:val="24"/>
          <w:szCs w:val="24"/>
          <w:lang w:val="en-US"/>
        </w:rPr>
        <w:t xml:space="preserve">, M. S. (2008). </w:t>
      </w:r>
      <w:r w:rsidRPr="0011461B">
        <w:rPr>
          <w:rFonts w:ascii="Georgia" w:hAnsi="Georgia" w:cs="Times New Roman"/>
          <w:i/>
          <w:sz w:val="24"/>
          <w:szCs w:val="24"/>
          <w:lang w:val="en-US"/>
        </w:rPr>
        <w:t>Developmental parenting: A guide for early childhood practitioners.</w:t>
      </w:r>
      <w:r w:rsidRPr="0011461B">
        <w:rPr>
          <w:rFonts w:ascii="Georgia" w:hAnsi="Georgia" w:cs="Times New Roman"/>
          <w:sz w:val="24"/>
          <w:szCs w:val="24"/>
          <w:lang w:val="en-US"/>
        </w:rPr>
        <w:t xml:space="preserve"> </w:t>
      </w:r>
      <w:r w:rsidRPr="0011461B">
        <w:rPr>
          <w:rFonts w:ascii="Georgia" w:hAnsi="Georgia" w:cs="Times New Roman"/>
          <w:sz w:val="24"/>
          <w:szCs w:val="24"/>
          <w:lang w:val="es-MX"/>
        </w:rPr>
        <w:t xml:space="preserve">Baltimore: Paul H. </w:t>
      </w:r>
      <w:proofErr w:type="spellStart"/>
      <w:r w:rsidRPr="0011461B">
        <w:rPr>
          <w:rFonts w:ascii="Georgia" w:hAnsi="Georgia" w:cs="Times New Roman"/>
          <w:sz w:val="24"/>
          <w:szCs w:val="24"/>
          <w:lang w:val="es-MX"/>
        </w:rPr>
        <w:t>Brookes</w:t>
      </w:r>
      <w:proofErr w:type="spellEnd"/>
      <w:r w:rsidRPr="0011461B">
        <w:rPr>
          <w:rFonts w:ascii="Georgia" w:hAnsi="Georgia" w:cs="Times New Roman"/>
          <w:sz w:val="24"/>
          <w:szCs w:val="24"/>
          <w:lang w:val="es-MX"/>
        </w:rPr>
        <w:t xml:space="preserve"> Publishing.</w:t>
      </w:r>
    </w:p>
    <w:p w:rsidR="00A35C4C" w:rsidRPr="0011461B" w:rsidRDefault="00A35C4C" w:rsidP="0011461B">
      <w:pPr>
        <w:spacing w:line="240" w:lineRule="auto"/>
        <w:ind w:left="567" w:hanging="567"/>
        <w:rPr>
          <w:rFonts w:ascii="Georgia" w:hAnsi="Georgia" w:cs="Times New Roman"/>
          <w:sz w:val="24"/>
          <w:szCs w:val="24"/>
          <w:lang w:val="es-MX"/>
        </w:rPr>
      </w:pPr>
      <w:r w:rsidRPr="0011461B">
        <w:rPr>
          <w:rFonts w:ascii="Georgia" w:hAnsi="Georgia" w:cs="Times New Roman"/>
          <w:sz w:val="24"/>
          <w:szCs w:val="24"/>
        </w:rPr>
        <w:t xml:space="preserve">Uribe, Mallarino, C. (2004) Desarrollo Social y Bienestar. </w:t>
      </w:r>
      <w:proofErr w:type="spellStart"/>
      <w:r w:rsidRPr="0011461B">
        <w:rPr>
          <w:rFonts w:ascii="Georgia" w:hAnsi="Georgia" w:cs="Times New Roman"/>
          <w:i/>
          <w:sz w:val="24"/>
          <w:szCs w:val="24"/>
        </w:rPr>
        <w:t>Universitas</w:t>
      </w:r>
      <w:proofErr w:type="spellEnd"/>
      <w:r w:rsidRPr="0011461B">
        <w:rPr>
          <w:rFonts w:ascii="Georgia" w:hAnsi="Georgia" w:cs="Times New Roman"/>
          <w:i/>
          <w:sz w:val="24"/>
          <w:szCs w:val="24"/>
        </w:rPr>
        <w:t xml:space="preserve"> Humanística, vol. XXXI</w:t>
      </w:r>
      <w:r w:rsidRPr="0011461B">
        <w:rPr>
          <w:rFonts w:ascii="Georgia" w:hAnsi="Georgia" w:cs="Times New Roman"/>
          <w:sz w:val="24"/>
          <w:szCs w:val="24"/>
        </w:rPr>
        <w:t xml:space="preserve">, núm. 58, 2004, pp. 11-25. </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Vanderbilt-</w:t>
      </w:r>
      <w:proofErr w:type="spellStart"/>
      <w:r w:rsidRPr="0011461B">
        <w:rPr>
          <w:rFonts w:ascii="Georgia" w:hAnsi="Georgia" w:cs="Times New Roman"/>
          <w:sz w:val="24"/>
          <w:szCs w:val="24"/>
          <w:lang w:val="en-US"/>
        </w:rPr>
        <w:t>Adriance</w:t>
      </w:r>
      <w:proofErr w:type="spellEnd"/>
      <w:r w:rsidRPr="0011461B">
        <w:rPr>
          <w:rFonts w:ascii="Georgia" w:hAnsi="Georgia" w:cs="Times New Roman"/>
          <w:sz w:val="24"/>
          <w:szCs w:val="24"/>
          <w:lang w:val="en-US"/>
        </w:rPr>
        <w:t xml:space="preserve">, E., &amp; Shaw, D. S. (2008). Protective factors and the development of resilience in the context of neighborhood disadvantage. </w:t>
      </w:r>
      <w:r w:rsidRPr="0011461B">
        <w:rPr>
          <w:rFonts w:ascii="Georgia" w:hAnsi="Georgia" w:cs="Times New Roman"/>
          <w:i/>
          <w:sz w:val="24"/>
          <w:szCs w:val="24"/>
          <w:lang w:val="en-US"/>
        </w:rPr>
        <w:t>Journal of Abnormal Child Psychology, 36</w:t>
      </w:r>
      <w:r w:rsidRPr="0011461B">
        <w:rPr>
          <w:rFonts w:ascii="Georgia" w:hAnsi="Georgia" w:cs="Times New Roman"/>
          <w:sz w:val="24"/>
          <w:szCs w:val="24"/>
          <w:lang w:val="en-US"/>
        </w:rPr>
        <w:t>, 887–901. doi:10.1007/s10802-008-9220-1</w:t>
      </w:r>
    </w:p>
    <w:p w:rsidR="00A35C4C" w:rsidRPr="0011461B" w:rsidRDefault="00A35C4C" w:rsidP="0011461B">
      <w:pPr>
        <w:spacing w:line="240" w:lineRule="auto"/>
        <w:ind w:left="709" w:hanging="709"/>
        <w:jc w:val="both"/>
        <w:rPr>
          <w:rFonts w:ascii="Georgia" w:eastAsia="Calibri" w:hAnsi="Georgia" w:cs="Times New Roman"/>
          <w:sz w:val="24"/>
          <w:szCs w:val="24"/>
          <w:lang w:val="en-US"/>
        </w:rPr>
      </w:pPr>
      <w:proofErr w:type="spellStart"/>
      <w:r w:rsidRPr="0011461B">
        <w:rPr>
          <w:rFonts w:ascii="Georgia" w:eastAsia="Calibri" w:hAnsi="Georgia" w:cs="Times New Roman"/>
          <w:sz w:val="24"/>
          <w:szCs w:val="24"/>
          <w:shd w:val="clear" w:color="auto" w:fill="FFFFFF"/>
          <w:lang w:val="en-US"/>
        </w:rPr>
        <w:t>Waldfogel</w:t>
      </w:r>
      <w:proofErr w:type="spellEnd"/>
      <w:r w:rsidRPr="0011461B">
        <w:rPr>
          <w:rFonts w:ascii="Georgia" w:eastAsia="Calibri" w:hAnsi="Georgia" w:cs="Times New Roman"/>
          <w:sz w:val="24"/>
          <w:szCs w:val="24"/>
          <w:shd w:val="clear" w:color="auto" w:fill="FFFFFF"/>
          <w:lang w:val="en-US"/>
        </w:rPr>
        <w:t xml:space="preserve">, J., Craigie, T. A., &amp; Brooks-Gunn, J. (2010). </w:t>
      </w:r>
      <w:r w:rsidRPr="0011461B">
        <w:rPr>
          <w:rFonts w:ascii="Georgia" w:eastAsia="Calibri" w:hAnsi="Georgia" w:cs="Times New Roman"/>
          <w:i/>
          <w:sz w:val="24"/>
          <w:szCs w:val="24"/>
          <w:shd w:val="clear" w:color="auto" w:fill="FFFFFF"/>
          <w:lang w:val="en-US"/>
        </w:rPr>
        <w:t>Fragile families and child wellbeing. </w:t>
      </w:r>
      <w:r w:rsidRPr="0011461B">
        <w:rPr>
          <w:rFonts w:ascii="Georgia" w:eastAsia="Calibri" w:hAnsi="Georgia" w:cs="Times New Roman"/>
          <w:i/>
          <w:iCs/>
          <w:sz w:val="24"/>
          <w:szCs w:val="24"/>
          <w:shd w:val="clear" w:color="auto" w:fill="FFFFFF"/>
          <w:lang w:val="en-US"/>
        </w:rPr>
        <w:t xml:space="preserve">The Future of children. </w:t>
      </w:r>
      <w:r w:rsidRPr="0011461B">
        <w:rPr>
          <w:rFonts w:ascii="Georgia" w:eastAsia="Calibri" w:hAnsi="Georgia" w:cs="Times New Roman"/>
          <w:iCs/>
          <w:sz w:val="24"/>
          <w:szCs w:val="24"/>
          <w:shd w:val="clear" w:color="auto" w:fill="FFFFFF"/>
          <w:lang w:val="en-US"/>
        </w:rPr>
        <w:t>Center for the Future of Children, the David and Lucile Packard Foundation</w:t>
      </w:r>
      <w:r w:rsidRPr="0011461B">
        <w:rPr>
          <w:rFonts w:ascii="Georgia" w:eastAsia="Calibri" w:hAnsi="Georgia" w:cs="Times New Roman"/>
          <w:sz w:val="24"/>
          <w:szCs w:val="24"/>
          <w:shd w:val="clear" w:color="auto" w:fill="FFFFFF"/>
          <w:lang w:val="en-US"/>
        </w:rPr>
        <w:t>, </w:t>
      </w:r>
      <w:r w:rsidRPr="0011461B">
        <w:rPr>
          <w:rFonts w:ascii="Georgia" w:eastAsia="Calibri" w:hAnsi="Georgia" w:cs="Times New Roman"/>
          <w:iCs/>
          <w:sz w:val="24"/>
          <w:szCs w:val="24"/>
          <w:shd w:val="clear" w:color="auto" w:fill="FFFFFF"/>
          <w:lang w:val="en-US"/>
        </w:rPr>
        <w:t>20</w:t>
      </w:r>
      <w:r w:rsidRPr="0011461B">
        <w:rPr>
          <w:rFonts w:ascii="Georgia" w:eastAsia="Calibri" w:hAnsi="Georgia" w:cs="Times New Roman"/>
          <w:sz w:val="24"/>
          <w:szCs w:val="24"/>
          <w:shd w:val="clear" w:color="auto" w:fill="FFFFFF"/>
          <w:lang w:val="en-US"/>
        </w:rPr>
        <w:t>(2), 87.</w:t>
      </w:r>
    </w:p>
    <w:p w:rsidR="00A35C4C" w:rsidRPr="0011461B" w:rsidRDefault="00A35C4C" w:rsidP="0011461B">
      <w:pPr>
        <w:spacing w:line="240" w:lineRule="auto"/>
        <w:ind w:left="567" w:hanging="567"/>
        <w:rPr>
          <w:rFonts w:ascii="Georgia" w:hAnsi="Georgia" w:cs="Times New Roman"/>
          <w:sz w:val="24"/>
          <w:szCs w:val="24"/>
          <w:lang w:val="es-MX"/>
        </w:rPr>
      </w:pPr>
      <w:r w:rsidRPr="0011461B">
        <w:rPr>
          <w:rFonts w:ascii="Georgia" w:hAnsi="Georgia" w:cs="Times New Roman"/>
          <w:sz w:val="24"/>
          <w:szCs w:val="24"/>
          <w:lang w:val="en-US"/>
        </w:rPr>
        <w:t xml:space="preserve">Walsh, F. (2003). Family resilience: A framework for clinical practice. </w:t>
      </w:r>
      <w:proofErr w:type="spellStart"/>
      <w:r w:rsidRPr="0011461B">
        <w:rPr>
          <w:rFonts w:ascii="Georgia" w:hAnsi="Georgia" w:cs="Times New Roman"/>
          <w:i/>
          <w:sz w:val="24"/>
          <w:szCs w:val="24"/>
          <w:lang w:val="es-MX"/>
        </w:rPr>
        <w:t>Family</w:t>
      </w:r>
      <w:proofErr w:type="spellEnd"/>
      <w:r w:rsidRPr="0011461B">
        <w:rPr>
          <w:rFonts w:ascii="Georgia" w:hAnsi="Georgia" w:cs="Times New Roman"/>
          <w:i/>
          <w:sz w:val="24"/>
          <w:szCs w:val="24"/>
          <w:lang w:val="es-MX"/>
        </w:rPr>
        <w:t xml:space="preserve"> </w:t>
      </w:r>
      <w:proofErr w:type="spellStart"/>
      <w:r w:rsidRPr="0011461B">
        <w:rPr>
          <w:rFonts w:ascii="Georgia" w:hAnsi="Georgia" w:cs="Times New Roman"/>
          <w:i/>
          <w:sz w:val="24"/>
          <w:szCs w:val="24"/>
          <w:lang w:val="es-MX"/>
        </w:rPr>
        <w:t>Process</w:t>
      </w:r>
      <w:proofErr w:type="spellEnd"/>
      <w:r w:rsidRPr="0011461B">
        <w:rPr>
          <w:rFonts w:ascii="Georgia" w:hAnsi="Georgia" w:cs="Times New Roman"/>
          <w:i/>
          <w:sz w:val="24"/>
          <w:szCs w:val="24"/>
          <w:lang w:val="es-MX"/>
        </w:rPr>
        <w:t xml:space="preserve">, 43 </w:t>
      </w:r>
      <w:r w:rsidRPr="0011461B">
        <w:rPr>
          <w:rFonts w:ascii="Georgia" w:hAnsi="Georgia" w:cs="Times New Roman"/>
          <w:sz w:val="24"/>
          <w:szCs w:val="24"/>
          <w:lang w:val="es-MX"/>
        </w:rPr>
        <w:t>(1), 1–18. doi:10.1111/j.1545- 5300.2003.00001.x</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eastAsia="Calibri" w:hAnsi="Georgia" w:cs="Times New Roman"/>
          <w:sz w:val="24"/>
          <w:szCs w:val="24"/>
        </w:rPr>
        <w:t>Wilcox, B. (2006</w:t>
      </w:r>
      <w:r w:rsidRPr="0011461B">
        <w:rPr>
          <w:rFonts w:ascii="Georgia" w:eastAsia="Calibri" w:hAnsi="Georgia" w:cs="Times New Roman"/>
          <w:iCs/>
          <w:sz w:val="24"/>
          <w:szCs w:val="24"/>
        </w:rPr>
        <w:t xml:space="preserve">). </w:t>
      </w:r>
      <w:r w:rsidRPr="0011461B">
        <w:rPr>
          <w:rFonts w:ascii="Georgia" w:eastAsia="Calibri" w:hAnsi="Georgia" w:cs="Times New Roman"/>
          <w:i/>
          <w:iCs/>
          <w:sz w:val="24"/>
          <w:szCs w:val="24"/>
        </w:rPr>
        <w:t>El Matrimonio sí importa</w:t>
      </w:r>
      <w:r w:rsidRPr="0011461B">
        <w:rPr>
          <w:rFonts w:ascii="Georgia" w:eastAsia="Calibri" w:hAnsi="Georgia" w:cs="Times New Roman"/>
          <w:i/>
          <w:sz w:val="24"/>
          <w:szCs w:val="24"/>
        </w:rPr>
        <w:t xml:space="preserve">: </w:t>
      </w:r>
      <w:r w:rsidRPr="0011461B">
        <w:rPr>
          <w:rFonts w:ascii="Georgia" w:eastAsia="Calibri" w:hAnsi="Georgia" w:cs="Times New Roman"/>
          <w:i/>
          <w:iCs/>
          <w:sz w:val="24"/>
          <w:szCs w:val="24"/>
        </w:rPr>
        <w:t>veintiséis conclusiones de las</w:t>
      </w:r>
      <w:r w:rsidRPr="0011461B">
        <w:rPr>
          <w:rFonts w:ascii="Georgia" w:eastAsia="Calibri" w:hAnsi="Georgia" w:cs="Times New Roman"/>
          <w:i/>
          <w:sz w:val="24"/>
          <w:szCs w:val="24"/>
        </w:rPr>
        <w:t xml:space="preserve"> </w:t>
      </w:r>
      <w:r w:rsidRPr="0011461B">
        <w:rPr>
          <w:rFonts w:ascii="Georgia" w:eastAsia="Calibri" w:hAnsi="Georgia" w:cs="Times New Roman"/>
          <w:i/>
          <w:iCs/>
          <w:sz w:val="24"/>
          <w:szCs w:val="24"/>
        </w:rPr>
        <w:t>Ciencias Sociales.</w:t>
      </w:r>
      <w:r w:rsidRPr="0011461B">
        <w:rPr>
          <w:rFonts w:ascii="Georgia" w:eastAsia="Calibri" w:hAnsi="Georgia" w:cs="Times New Roman"/>
          <w:iCs/>
          <w:sz w:val="24"/>
          <w:szCs w:val="24"/>
        </w:rPr>
        <w:t xml:space="preserve"> </w:t>
      </w:r>
      <w:r w:rsidRPr="0011461B">
        <w:rPr>
          <w:rFonts w:ascii="Georgia" w:eastAsia="Calibri" w:hAnsi="Georgia" w:cs="Times New Roman"/>
          <w:sz w:val="24"/>
          <w:szCs w:val="24"/>
          <w:lang w:val="en-US"/>
        </w:rPr>
        <w:t>Charlottesville: Social Trends Institute</w:t>
      </w:r>
      <w:r w:rsidRPr="0011461B">
        <w:rPr>
          <w:rFonts w:ascii="Georgia" w:hAnsi="Georgia" w:cs="Times New Roman"/>
          <w:sz w:val="24"/>
          <w:szCs w:val="24"/>
          <w:lang w:val="en-US"/>
        </w:rPr>
        <w:t xml:space="preserve"> </w:t>
      </w:r>
    </w:p>
    <w:p w:rsidR="00A35C4C" w:rsidRPr="0011461B" w:rsidRDefault="00A35C4C" w:rsidP="0011461B">
      <w:pPr>
        <w:spacing w:line="240" w:lineRule="auto"/>
        <w:ind w:left="567" w:hanging="567"/>
        <w:rPr>
          <w:rFonts w:ascii="Georgia" w:hAnsi="Georgia" w:cs="Times New Roman"/>
          <w:sz w:val="24"/>
          <w:szCs w:val="24"/>
          <w:lang w:val="en-US"/>
        </w:rPr>
      </w:pPr>
      <w:r w:rsidRPr="0011461B">
        <w:rPr>
          <w:rFonts w:ascii="Georgia" w:hAnsi="Georgia" w:cs="Times New Roman"/>
          <w:sz w:val="24"/>
          <w:szCs w:val="24"/>
          <w:lang w:val="en-US"/>
        </w:rPr>
        <w:t xml:space="preserve">Wyman, P. A., Cowen, E. L., Work, W. C., Hoyt-Meyers, L., Magnus, K. B., &amp; </w:t>
      </w:r>
      <w:proofErr w:type="spellStart"/>
      <w:r w:rsidRPr="0011461B">
        <w:rPr>
          <w:rFonts w:ascii="Georgia" w:hAnsi="Georgia" w:cs="Times New Roman"/>
          <w:sz w:val="24"/>
          <w:szCs w:val="24"/>
          <w:lang w:val="en-US"/>
        </w:rPr>
        <w:t>Fagen</w:t>
      </w:r>
      <w:proofErr w:type="spellEnd"/>
      <w:r w:rsidRPr="0011461B">
        <w:rPr>
          <w:rFonts w:ascii="Georgia" w:hAnsi="Georgia" w:cs="Times New Roman"/>
          <w:sz w:val="24"/>
          <w:szCs w:val="24"/>
          <w:lang w:val="en-US"/>
        </w:rPr>
        <w:t xml:space="preserve">, D. B. (1999). Caregiving and developmental factors differentiating young at-risk urban children showing resilient versus stress-affected outcomes: A replication and extension. </w:t>
      </w:r>
      <w:r w:rsidRPr="0011461B">
        <w:rPr>
          <w:rFonts w:ascii="Georgia" w:hAnsi="Georgia" w:cs="Times New Roman"/>
          <w:i/>
          <w:sz w:val="24"/>
          <w:szCs w:val="24"/>
          <w:lang w:val="en-US"/>
        </w:rPr>
        <w:t>Child Development, 70</w:t>
      </w:r>
      <w:r w:rsidRPr="0011461B">
        <w:rPr>
          <w:rFonts w:ascii="Georgia" w:hAnsi="Georgia" w:cs="Times New Roman"/>
          <w:sz w:val="24"/>
          <w:szCs w:val="24"/>
          <w:lang w:val="en-US"/>
        </w:rPr>
        <w:t>, 645– 659. doi:10.1111/1467-8624.00047.</w:t>
      </w:r>
    </w:p>
    <w:p w:rsidR="00A35C4C" w:rsidRPr="0011461B" w:rsidRDefault="00A35C4C" w:rsidP="0011461B">
      <w:pPr>
        <w:spacing w:line="240" w:lineRule="auto"/>
        <w:ind w:left="567" w:hanging="567"/>
        <w:rPr>
          <w:rFonts w:ascii="Georgia" w:hAnsi="Georgia" w:cs="Times New Roman"/>
          <w:sz w:val="24"/>
          <w:szCs w:val="24"/>
          <w:lang w:val="en-US"/>
        </w:rPr>
      </w:pPr>
      <w:proofErr w:type="spellStart"/>
      <w:r w:rsidRPr="0011461B">
        <w:rPr>
          <w:rFonts w:ascii="Georgia" w:hAnsi="Georgia" w:cs="Times New Roman"/>
          <w:sz w:val="24"/>
          <w:szCs w:val="24"/>
          <w:lang w:val="en-US"/>
        </w:rPr>
        <w:t>Ziegert</w:t>
      </w:r>
      <w:proofErr w:type="spellEnd"/>
      <w:r w:rsidRPr="0011461B">
        <w:rPr>
          <w:rFonts w:ascii="Georgia" w:hAnsi="Georgia" w:cs="Times New Roman"/>
          <w:sz w:val="24"/>
          <w:szCs w:val="24"/>
          <w:lang w:val="en-US"/>
        </w:rPr>
        <w:t xml:space="preserve">, K. (2011). Maintaining families’ well-being in everyday life. </w:t>
      </w:r>
      <w:r w:rsidRPr="0011461B">
        <w:rPr>
          <w:rFonts w:ascii="Georgia" w:hAnsi="Georgia" w:cs="Times New Roman"/>
          <w:i/>
          <w:sz w:val="24"/>
          <w:szCs w:val="24"/>
          <w:lang w:val="en-US"/>
        </w:rPr>
        <w:t>International Journal of Qualitative Studies on Health &amp; Well-Being, 6</w:t>
      </w:r>
      <w:r w:rsidRPr="0011461B">
        <w:rPr>
          <w:rFonts w:ascii="Georgia" w:hAnsi="Georgia" w:cs="Times New Roman"/>
          <w:sz w:val="24"/>
          <w:szCs w:val="24"/>
          <w:lang w:val="en-US"/>
        </w:rPr>
        <w:t>(2), 1–5. doi:10.3402/qhw.v6i2.7206</w:t>
      </w:r>
    </w:p>
    <w:p w:rsidR="00361758" w:rsidRPr="0011461B" w:rsidRDefault="00361758" w:rsidP="0011461B">
      <w:pPr>
        <w:spacing w:line="240" w:lineRule="auto"/>
        <w:ind w:left="567" w:hanging="567"/>
        <w:rPr>
          <w:rFonts w:ascii="Georgia" w:hAnsi="Georgia" w:cs="Times New Roman"/>
          <w:sz w:val="24"/>
          <w:szCs w:val="24"/>
          <w:lang w:val="en-US"/>
        </w:rPr>
      </w:pPr>
    </w:p>
    <w:p w:rsidR="00361758" w:rsidRPr="0011461B" w:rsidRDefault="00361758" w:rsidP="0011461B">
      <w:pPr>
        <w:spacing w:line="240" w:lineRule="auto"/>
        <w:rPr>
          <w:rFonts w:ascii="Georgia" w:hAnsi="Georgia" w:cs="Times New Roman"/>
          <w:sz w:val="24"/>
          <w:szCs w:val="24"/>
          <w:lang w:val="en-US"/>
        </w:rPr>
      </w:pPr>
      <w:r w:rsidRPr="0011461B">
        <w:rPr>
          <w:rFonts w:ascii="Georgia" w:hAnsi="Georgia" w:cs="Times New Roman"/>
          <w:sz w:val="24"/>
          <w:szCs w:val="24"/>
          <w:lang w:val="en-US"/>
        </w:rPr>
        <w:br w:type="page"/>
      </w:r>
    </w:p>
    <w:p w:rsidR="00361758" w:rsidRPr="0011461B" w:rsidRDefault="00361758" w:rsidP="0011461B">
      <w:pPr>
        <w:spacing w:line="240" w:lineRule="auto"/>
        <w:ind w:left="567" w:hanging="567"/>
        <w:rPr>
          <w:rFonts w:ascii="Georgia" w:hAnsi="Georgia" w:cs="Times New Roman"/>
          <w:b/>
          <w:sz w:val="24"/>
          <w:szCs w:val="24"/>
        </w:rPr>
      </w:pPr>
      <w:r w:rsidRPr="0011461B">
        <w:rPr>
          <w:rFonts w:ascii="Georgia" w:hAnsi="Georgia" w:cs="Times New Roman"/>
          <w:b/>
          <w:sz w:val="24"/>
          <w:szCs w:val="24"/>
        </w:rPr>
        <w:lastRenderedPageBreak/>
        <w:t>Nota del Autor</w:t>
      </w:r>
    </w:p>
    <w:p w:rsidR="00361758" w:rsidRPr="0011461B" w:rsidRDefault="00361758" w:rsidP="0011461B">
      <w:pPr>
        <w:spacing w:line="240" w:lineRule="auto"/>
        <w:ind w:firstLine="567"/>
        <w:rPr>
          <w:rFonts w:ascii="Georgia" w:hAnsi="Georgia" w:cs="Times New Roman"/>
          <w:sz w:val="24"/>
          <w:szCs w:val="24"/>
        </w:rPr>
      </w:pPr>
      <w:r w:rsidRPr="0011461B">
        <w:rPr>
          <w:rFonts w:ascii="Georgia" w:hAnsi="Georgia" w:cs="Times New Roman"/>
          <w:sz w:val="24"/>
          <w:szCs w:val="24"/>
        </w:rPr>
        <w:t>Milton E. Bermúdez-Jaimes y Olga Alicia Carbonell Blanco, Facultad de Psicología, Pontificia Universidad Javeriana, Sede Bogotá, Colombia;</w:t>
      </w:r>
      <w:r w:rsidRPr="0011461B">
        <w:rPr>
          <w:rFonts w:ascii="Georgia" w:hAnsi="Georgia"/>
          <w:sz w:val="24"/>
          <w:szCs w:val="24"/>
        </w:rPr>
        <w:t xml:space="preserve"> </w:t>
      </w:r>
      <w:r w:rsidRPr="0011461B">
        <w:rPr>
          <w:rFonts w:ascii="Georgia" w:hAnsi="Georgia" w:cs="Times New Roman"/>
          <w:sz w:val="24"/>
          <w:szCs w:val="24"/>
        </w:rPr>
        <w:t>Mónica Reyes Rojas</w:t>
      </w:r>
      <w:r w:rsidR="00832D47" w:rsidRPr="0011461B">
        <w:rPr>
          <w:rFonts w:ascii="Georgia" w:hAnsi="Georgia" w:cs="Times New Roman"/>
          <w:sz w:val="24"/>
          <w:szCs w:val="24"/>
        </w:rPr>
        <w:t xml:space="preserve"> y </w:t>
      </w:r>
      <w:r w:rsidRPr="0011461B">
        <w:rPr>
          <w:rFonts w:ascii="Georgia" w:hAnsi="Georgia" w:cs="Times New Roman"/>
          <w:sz w:val="24"/>
          <w:szCs w:val="24"/>
        </w:rPr>
        <w:t>Elda Cerchiaro Ceballos</w:t>
      </w:r>
      <w:r w:rsidR="00832D47" w:rsidRPr="0011461B">
        <w:rPr>
          <w:rFonts w:ascii="Georgia" w:hAnsi="Georgia" w:cs="Times New Roman"/>
          <w:sz w:val="24"/>
          <w:szCs w:val="24"/>
        </w:rPr>
        <w:t>, Facultad de Ciencias de la Salud, Universidad</w:t>
      </w:r>
      <w:r w:rsidRPr="0011461B">
        <w:rPr>
          <w:rFonts w:ascii="Georgia" w:hAnsi="Georgia" w:cs="Times New Roman"/>
          <w:sz w:val="24"/>
          <w:szCs w:val="24"/>
        </w:rPr>
        <w:t xml:space="preserve"> del Magdalena, Santa Marta, Colombia; José Eduardo Sánchez</w:t>
      </w:r>
      <w:r w:rsidR="00832D47" w:rsidRPr="0011461B">
        <w:rPr>
          <w:rFonts w:ascii="Georgia" w:hAnsi="Georgia" w:cs="Times New Roman"/>
          <w:sz w:val="24"/>
          <w:szCs w:val="24"/>
        </w:rPr>
        <w:t xml:space="preserve"> </w:t>
      </w:r>
      <w:r w:rsidR="00E02D19" w:rsidRPr="0011461B">
        <w:rPr>
          <w:rFonts w:ascii="Georgia" w:hAnsi="Georgia" w:cs="Times New Roman"/>
          <w:sz w:val="24"/>
          <w:szCs w:val="24"/>
        </w:rPr>
        <w:t>y Jackeline</w:t>
      </w:r>
      <w:r w:rsidRPr="0011461B">
        <w:rPr>
          <w:rFonts w:ascii="Georgia" w:hAnsi="Georgia" w:cs="Times New Roman"/>
          <w:sz w:val="24"/>
          <w:szCs w:val="24"/>
        </w:rPr>
        <w:t xml:space="preserve"> Cantor Jiménez, </w:t>
      </w:r>
      <w:r w:rsidR="00832D47" w:rsidRPr="0011461B">
        <w:rPr>
          <w:rFonts w:ascii="Georgia" w:hAnsi="Georgia" w:cs="Times New Roman"/>
          <w:sz w:val="24"/>
          <w:szCs w:val="24"/>
        </w:rPr>
        <w:t xml:space="preserve">Departamento de Estudios Psicológicos, </w:t>
      </w:r>
      <w:r w:rsidRPr="0011461B">
        <w:rPr>
          <w:rFonts w:ascii="Georgia" w:hAnsi="Georgia" w:cs="Times New Roman"/>
          <w:sz w:val="24"/>
          <w:szCs w:val="24"/>
        </w:rPr>
        <w:t xml:space="preserve">Universidad ICESI, Cali, Colombia; Mónica Roncancio Moreno, </w:t>
      </w:r>
      <w:r w:rsidR="00832D47" w:rsidRPr="0011461B">
        <w:rPr>
          <w:rFonts w:ascii="Georgia" w:hAnsi="Georgia" w:cs="Times New Roman"/>
          <w:sz w:val="24"/>
          <w:szCs w:val="24"/>
        </w:rPr>
        <w:t xml:space="preserve">Facultad de Psicología, </w:t>
      </w:r>
      <w:r w:rsidRPr="0011461B">
        <w:rPr>
          <w:rFonts w:ascii="Georgia" w:hAnsi="Georgia" w:cs="Times New Roman"/>
          <w:sz w:val="24"/>
          <w:szCs w:val="24"/>
        </w:rPr>
        <w:t>Universidad Pontificia Bolivariana, Palmira, Colombia</w:t>
      </w:r>
      <w:r w:rsidR="00832D47" w:rsidRPr="0011461B">
        <w:rPr>
          <w:rFonts w:ascii="Georgia" w:hAnsi="Georgia" w:cs="Times New Roman"/>
          <w:sz w:val="24"/>
          <w:szCs w:val="24"/>
        </w:rPr>
        <w:t>.</w:t>
      </w:r>
    </w:p>
    <w:p w:rsidR="00E02D19" w:rsidRPr="0011461B" w:rsidRDefault="00E02D19" w:rsidP="0011461B">
      <w:pPr>
        <w:spacing w:line="240" w:lineRule="auto"/>
        <w:ind w:firstLine="567"/>
        <w:rPr>
          <w:rFonts w:ascii="Georgia" w:hAnsi="Georgia" w:cs="Times New Roman"/>
          <w:sz w:val="24"/>
          <w:szCs w:val="24"/>
        </w:rPr>
      </w:pPr>
      <w:r w:rsidRPr="0011461B">
        <w:rPr>
          <w:rFonts w:ascii="Georgia" w:hAnsi="Georgia" w:cs="Times New Roman"/>
          <w:sz w:val="24"/>
          <w:szCs w:val="24"/>
        </w:rPr>
        <w:t xml:space="preserve">La correspondencia relativa a este artículo debe ser dirigida a: Milton E. Bermúdez-Jaimes, PhD, Facultad de Psicología, Pontificia Universidad Javeriana, Sede Bogotá, Colombia </w:t>
      </w:r>
      <w:hyperlink r:id="rId6" w:history="1">
        <w:r w:rsidRPr="0011461B">
          <w:rPr>
            <w:rStyle w:val="Hipervnculo"/>
            <w:rFonts w:ascii="Georgia" w:hAnsi="Georgia" w:cs="Times New Roman"/>
            <w:sz w:val="24"/>
            <w:szCs w:val="24"/>
          </w:rPr>
          <w:t>milton.bermudez@javeriana.edu.co</w:t>
        </w:r>
      </w:hyperlink>
    </w:p>
    <w:p w:rsidR="00BE1F0A" w:rsidRPr="0011461B" w:rsidRDefault="00BE1F0A" w:rsidP="0011461B">
      <w:pPr>
        <w:spacing w:line="240" w:lineRule="auto"/>
        <w:rPr>
          <w:rFonts w:ascii="Georgia" w:hAnsi="Georgia" w:cs="Times New Roman"/>
          <w:sz w:val="24"/>
          <w:szCs w:val="24"/>
        </w:rPr>
      </w:pPr>
      <w:r w:rsidRPr="0011461B">
        <w:rPr>
          <w:rFonts w:ascii="Georgia" w:hAnsi="Georgia" w:cs="Times New Roman"/>
          <w:sz w:val="24"/>
          <w:szCs w:val="24"/>
        </w:rPr>
        <w:br w:type="page"/>
      </w:r>
    </w:p>
    <w:p w:rsidR="00E02D19" w:rsidRPr="0011461B" w:rsidRDefault="00BE1F0A" w:rsidP="0011461B">
      <w:pPr>
        <w:spacing w:line="240" w:lineRule="auto"/>
        <w:rPr>
          <w:rFonts w:ascii="Georgia" w:hAnsi="Georgia" w:cs="Times New Roman"/>
          <w:b/>
          <w:sz w:val="24"/>
          <w:szCs w:val="24"/>
        </w:rPr>
      </w:pPr>
      <w:r w:rsidRPr="0011461B">
        <w:rPr>
          <w:rFonts w:ascii="Georgia" w:hAnsi="Georgia" w:cs="Times New Roman"/>
          <w:b/>
          <w:sz w:val="24"/>
          <w:szCs w:val="24"/>
        </w:rPr>
        <w:lastRenderedPageBreak/>
        <w:t>Notas al pie de página</w:t>
      </w:r>
    </w:p>
    <w:p w:rsidR="00BE1F0A" w:rsidRPr="0011461B" w:rsidRDefault="00BE1F0A" w:rsidP="0011461B">
      <w:pPr>
        <w:pStyle w:val="Textonotapie"/>
        <w:rPr>
          <w:rFonts w:ascii="Georgia" w:hAnsi="Georgia" w:cs="Times New Roman"/>
          <w:sz w:val="24"/>
          <w:szCs w:val="24"/>
        </w:rPr>
      </w:pPr>
      <w:r w:rsidRPr="0011461B">
        <w:rPr>
          <w:rStyle w:val="Refdenotaalpie"/>
          <w:rFonts w:ascii="Georgia" w:hAnsi="Georgia" w:cs="Times New Roman"/>
          <w:sz w:val="24"/>
          <w:szCs w:val="24"/>
        </w:rPr>
        <w:footnoteRef/>
      </w:r>
      <w:r w:rsidRPr="0011461B">
        <w:rPr>
          <w:rFonts w:ascii="Georgia" w:hAnsi="Georgia" w:cs="Times New Roman"/>
          <w:sz w:val="24"/>
          <w:szCs w:val="24"/>
        </w:rPr>
        <w:t xml:space="preserve"> El presente artículo se deriva de los apoyos económicos al proyecto de investigación titulado: “Contribuciones del involucramiento, la calidad de la relación y la competencia paterna de papás y mamás al bienestar y la seguridad emocional de los hijos en familias de tres contextos distintos”, Código SIAP: 7253 de la Vicerrectoría de Investigaciones de la Pontificia Universidad Javeriana, sede Bogotá.</w:t>
      </w:r>
    </w:p>
    <w:p w:rsidR="00F27571" w:rsidRPr="0011461B" w:rsidRDefault="00F27571" w:rsidP="0011461B">
      <w:pPr>
        <w:pStyle w:val="Textonotapie"/>
        <w:rPr>
          <w:rFonts w:ascii="Georgia" w:hAnsi="Georgia"/>
          <w:sz w:val="24"/>
          <w:szCs w:val="24"/>
        </w:rPr>
      </w:pPr>
    </w:p>
    <w:p w:rsidR="00F27571" w:rsidRPr="0011461B" w:rsidRDefault="00F27571" w:rsidP="0011461B">
      <w:pPr>
        <w:pStyle w:val="Textonotapie"/>
        <w:rPr>
          <w:rFonts w:ascii="Georgia" w:hAnsi="Georgia" w:cs="Times New Roman"/>
          <w:sz w:val="24"/>
          <w:szCs w:val="24"/>
        </w:rPr>
      </w:pPr>
      <w:r w:rsidRPr="0011461B">
        <w:rPr>
          <w:rStyle w:val="Refdenotaalpie"/>
          <w:rFonts w:ascii="Georgia" w:hAnsi="Georgia"/>
          <w:sz w:val="24"/>
          <w:szCs w:val="24"/>
        </w:rPr>
        <w:t>2</w:t>
      </w:r>
      <w:r w:rsidRPr="0011461B">
        <w:rPr>
          <w:rFonts w:ascii="Georgia" w:hAnsi="Georgia"/>
          <w:sz w:val="24"/>
          <w:szCs w:val="24"/>
        </w:rPr>
        <w:t xml:space="preserve"> </w:t>
      </w:r>
      <w:r w:rsidRPr="0011461B">
        <w:rPr>
          <w:rFonts w:ascii="Georgia" w:hAnsi="Georgia" w:cs="Times New Roman"/>
          <w:sz w:val="24"/>
          <w:szCs w:val="24"/>
        </w:rPr>
        <w:t>Si bien son dos ciudades, para este estudio se utilizaron los datos de ambas ciudades dada la proximidad geográfica y que comparten una tradición cultural similar.</w:t>
      </w:r>
    </w:p>
    <w:p w:rsidR="00F27571" w:rsidRPr="0011461B" w:rsidRDefault="00F27571" w:rsidP="0011461B">
      <w:pPr>
        <w:spacing w:line="240" w:lineRule="auto"/>
        <w:rPr>
          <w:rFonts w:ascii="Georgia" w:hAnsi="Georgia" w:cs="Times New Roman"/>
          <w:sz w:val="24"/>
          <w:szCs w:val="24"/>
        </w:rPr>
      </w:pPr>
      <w:r w:rsidRPr="0011461B">
        <w:rPr>
          <w:rFonts w:ascii="Georgia" w:hAnsi="Georgia" w:cs="Times New Roman"/>
          <w:sz w:val="24"/>
          <w:szCs w:val="24"/>
        </w:rPr>
        <w:br w:type="page"/>
      </w:r>
    </w:p>
    <w:bookmarkEnd w:id="1"/>
    <w:p w:rsidR="00F27571" w:rsidRPr="00F27571" w:rsidRDefault="00F27571" w:rsidP="00F27571">
      <w:pPr>
        <w:pStyle w:val="Textonotapie"/>
        <w:spacing w:line="480" w:lineRule="auto"/>
        <w:rPr>
          <w:rFonts w:ascii="Century Schoolbook" w:hAnsi="Century Schoolbook" w:cs="Times New Roman"/>
          <w:b/>
        </w:rPr>
      </w:pPr>
      <w:r w:rsidRPr="00F27571">
        <w:rPr>
          <w:rFonts w:ascii="Century Schoolbook" w:hAnsi="Century Schoolbook" w:cs="Times New Roman"/>
          <w:b/>
        </w:rPr>
        <w:lastRenderedPageBreak/>
        <w:t>Tablas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359"/>
        <w:gridCol w:w="1002"/>
        <w:gridCol w:w="1002"/>
        <w:gridCol w:w="1032"/>
        <w:gridCol w:w="1002"/>
        <w:gridCol w:w="1441"/>
      </w:tblGrid>
      <w:tr w:rsidR="00F27571" w:rsidRPr="00456D9A" w:rsidTr="00CA7C60">
        <w:trPr>
          <w:cantSplit/>
        </w:trPr>
        <w:tc>
          <w:tcPr>
            <w:tcW w:w="5000" w:type="pct"/>
            <w:gridSpan w:val="6"/>
            <w:tcBorders>
              <w:top w:val="nil"/>
              <w:left w:val="nil"/>
              <w:bottom w:val="nil"/>
              <w:right w:val="nil"/>
            </w:tcBorders>
            <w:shd w:val="clear" w:color="auto" w:fill="FFFFFF"/>
            <w:vAlign w:val="center"/>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sz w:val="20"/>
                <w:szCs w:val="20"/>
              </w:rPr>
            </w:pPr>
            <w:r w:rsidRPr="00456D9A">
              <w:rPr>
                <w:rFonts w:ascii="Century Schoolbook" w:hAnsi="Century Schoolbook" w:cs="Times New Roman"/>
                <w:sz w:val="20"/>
                <w:szCs w:val="20"/>
              </w:rPr>
              <w:t>Tabla 1</w:t>
            </w:r>
          </w:p>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i/>
                <w:iCs/>
                <w:color w:val="000000"/>
                <w:sz w:val="20"/>
                <w:szCs w:val="20"/>
              </w:rPr>
              <w:t>Descriptivos de los niveles de bienestar familiar y bienestar infantil</w:t>
            </w:r>
          </w:p>
        </w:tc>
      </w:tr>
      <w:tr w:rsidR="00F27571" w:rsidRPr="00456D9A" w:rsidTr="00CA7C60">
        <w:trPr>
          <w:cantSplit/>
        </w:trPr>
        <w:tc>
          <w:tcPr>
            <w:tcW w:w="1900" w:type="pct"/>
            <w:tcBorders>
              <w:left w:val="nil"/>
              <w:right w:val="nil"/>
            </w:tcBorders>
            <w:shd w:val="clear" w:color="auto" w:fill="FFFFFF"/>
            <w:vAlign w:val="bottom"/>
          </w:tcPr>
          <w:p w:rsidR="00F27571" w:rsidRPr="00456D9A" w:rsidRDefault="00F27571" w:rsidP="00CA7C60">
            <w:pPr>
              <w:autoSpaceDE w:val="0"/>
              <w:autoSpaceDN w:val="0"/>
              <w:adjustRightInd w:val="0"/>
              <w:spacing w:after="0" w:line="480" w:lineRule="auto"/>
              <w:rPr>
                <w:rFonts w:ascii="Century Schoolbook" w:hAnsi="Century Schoolbook" w:cs="Times New Roman"/>
                <w:sz w:val="20"/>
                <w:szCs w:val="20"/>
              </w:rPr>
            </w:pPr>
            <w:r w:rsidRPr="00456D9A">
              <w:rPr>
                <w:rFonts w:ascii="Century Schoolbook" w:hAnsi="Century Schoolbook" w:cs="Times New Roman"/>
                <w:sz w:val="20"/>
                <w:szCs w:val="20"/>
              </w:rPr>
              <w:t>Variable</w:t>
            </w:r>
          </w:p>
        </w:tc>
        <w:tc>
          <w:tcPr>
            <w:tcW w:w="567" w:type="pct"/>
            <w:tcBorders>
              <w:left w:val="nil"/>
              <w:right w:val="nil"/>
            </w:tcBorders>
            <w:shd w:val="clear" w:color="auto" w:fill="FFFFFF"/>
            <w:vAlign w:val="bottom"/>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N</w:t>
            </w:r>
          </w:p>
        </w:tc>
        <w:tc>
          <w:tcPr>
            <w:tcW w:w="567" w:type="pct"/>
            <w:tcBorders>
              <w:left w:val="nil"/>
              <w:right w:val="nil"/>
            </w:tcBorders>
            <w:shd w:val="clear" w:color="auto" w:fill="FFFFFF"/>
            <w:vAlign w:val="bottom"/>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Mínimo</w:t>
            </w:r>
          </w:p>
        </w:tc>
        <w:tc>
          <w:tcPr>
            <w:tcW w:w="584" w:type="pct"/>
            <w:tcBorders>
              <w:left w:val="nil"/>
              <w:right w:val="nil"/>
            </w:tcBorders>
            <w:shd w:val="clear" w:color="auto" w:fill="FFFFFF"/>
            <w:vAlign w:val="bottom"/>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Máximo</w:t>
            </w:r>
          </w:p>
        </w:tc>
        <w:tc>
          <w:tcPr>
            <w:tcW w:w="567" w:type="pct"/>
            <w:tcBorders>
              <w:left w:val="nil"/>
              <w:right w:val="nil"/>
            </w:tcBorders>
            <w:shd w:val="clear" w:color="auto" w:fill="FFFFFF"/>
            <w:vAlign w:val="bottom"/>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Media</w:t>
            </w:r>
          </w:p>
        </w:tc>
        <w:tc>
          <w:tcPr>
            <w:tcW w:w="815" w:type="pct"/>
            <w:tcBorders>
              <w:left w:val="nil"/>
              <w:right w:val="nil"/>
            </w:tcBorders>
            <w:shd w:val="clear" w:color="auto" w:fill="FFFFFF"/>
            <w:vAlign w:val="bottom"/>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Pr>
                <w:rFonts w:ascii="Century Schoolbook" w:hAnsi="Century Schoolbook" w:cs="Times New Roman"/>
                <w:color w:val="000000"/>
                <w:sz w:val="20"/>
                <w:szCs w:val="20"/>
              </w:rPr>
              <w:t>DE</w:t>
            </w:r>
          </w:p>
        </w:tc>
      </w:tr>
      <w:tr w:rsidR="00F27571" w:rsidRPr="00456D9A" w:rsidTr="00CA7C60">
        <w:trPr>
          <w:cantSplit/>
        </w:trPr>
        <w:tc>
          <w:tcPr>
            <w:tcW w:w="1900" w:type="pct"/>
            <w:tcBorders>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Familiar Papá</w:t>
            </w:r>
          </w:p>
        </w:tc>
        <w:tc>
          <w:tcPr>
            <w:tcW w:w="567" w:type="pct"/>
            <w:tcBorders>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1,00</w:t>
            </w:r>
          </w:p>
        </w:tc>
        <w:tc>
          <w:tcPr>
            <w:tcW w:w="584" w:type="pct"/>
            <w:tcBorders>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3,73</w:t>
            </w:r>
          </w:p>
        </w:tc>
        <w:tc>
          <w:tcPr>
            <w:tcW w:w="815" w:type="pct"/>
            <w:tcBorders>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1,20</w:t>
            </w:r>
          </w:p>
        </w:tc>
      </w:tr>
      <w:tr w:rsidR="00F27571" w:rsidRPr="00456D9A" w:rsidTr="00CA7C60">
        <w:trPr>
          <w:cantSplit/>
        </w:trPr>
        <w:tc>
          <w:tcPr>
            <w:tcW w:w="1900"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Familiar Mamá</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1,00</w:t>
            </w:r>
          </w:p>
        </w:tc>
        <w:tc>
          <w:tcPr>
            <w:tcW w:w="584"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3,31</w:t>
            </w:r>
          </w:p>
        </w:tc>
        <w:tc>
          <w:tcPr>
            <w:tcW w:w="815"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1,18</w:t>
            </w:r>
          </w:p>
        </w:tc>
      </w:tr>
      <w:tr w:rsidR="00F27571" w:rsidRPr="00456D9A" w:rsidTr="00CA7C60">
        <w:trPr>
          <w:cantSplit/>
        </w:trPr>
        <w:tc>
          <w:tcPr>
            <w:tcW w:w="1900"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familiar Hijo</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1,00</w:t>
            </w:r>
          </w:p>
        </w:tc>
        <w:tc>
          <w:tcPr>
            <w:tcW w:w="584"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4,10</w:t>
            </w:r>
          </w:p>
        </w:tc>
        <w:tc>
          <w:tcPr>
            <w:tcW w:w="815"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1,18</w:t>
            </w:r>
          </w:p>
        </w:tc>
      </w:tr>
      <w:tr w:rsidR="00F27571" w:rsidRPr="00456D9A" w:rsidTr="00CA7C60">
        <w:trPr>
          <w:cantSplit/>
        </w:trPr>
        <w:tc>
          <w:tcPr>
            <w:tcW w:w="1900"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Familiar Agregado</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1,00</w:t>
            </w:r>
          </w:p>
        </w:tc>
        <w:tc>
          <w:tcPr>
            <w:tcW w:w="584"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3,71</w:t>
            </w:r>
          </w:p>
        </w:tc>
        <w:tc>
          <w:tcPr>
            <w:tcW w:w="815"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,88</w:t>
            </w:r>
          </w:p>
        </w:tc>
      </w:tr>
      <w:tr w:rsidR="00F27571" w:rsidRPr="00456D9A" w:rsidTr="00CA7C60">
        <w:trPr>
          <w:cantSplit/>
        </w:trPr>
        <w:tc>
          <w:tcPr>
            <w:tcW w:w="1900"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Objetivo</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1,00</w:t>
            </w:r>
          </w:p>
        </w:tc>
        <w:tc>
          <w:tcPr>
            <w:tcW w:w="584"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2,84</w:t>
            </w:r>
          </w:p>
        </w:tc>
        <w:tc>
          <w:tcPr>
            <w:tcW w:w="815"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,65</w:t>
            </w:r>
          </w:p>
        </w:tc>
      </w:tr>
      <w:tr w:rsidR="00F27571" w:rsidRPr="00456D9A" w:rsidTr="00CA7C60">
        <w:trPr>
          <w:cantSplit/>
        </w:trPr>
        <w:tc>
          <w:tcPr>
            <w:tcW w:w="1900"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Subjetivo</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2,00</w:t>
            </w:r>
          </w:p>
        </w:tc>
        <w:tc>
          <w:tcPr>
            <w:tcW w:w="584"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4,87</w:t>
            </w:r>
          </w:p>
        </w:tc>
        <w:tc>
          <w:tcPr>
            <w:tcW w:w="815" w:type="pct"/>
            <w:tcBorders>
              <w:top w:val="nil"/>
              <w:left w:val="nil"/>
              <w:bottom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,70</w:t>
            </w:r>
          </w:p>
        </w:tc>
      </w:tr>
      <w:tr w:rsidR="00F27571" w:rsidRPr="00456D9A" w:rsidTr="00CA7C60">
        <w:trPr>
          <w:cantSplit/>
        </w:trPr>
        <w:tc>
          <w:tcPr>
            <w:tcW w:w="1900" w:type="pct"/>
            <w:tcBorders>
              <w:top w:val="nil"/>
              <w:left w:val="nil"/>
              <w:right w:val="nil"/>
            </w:tcBorders>
            <w:shd w:val="clear" w:color="auto" w:fill="FFFFFF"/>
          </w:tcPr>
          <w:p w:rsidR="00F27571" w:rsidRPr="00456D9A" w:rsidRDefault="00F27571" w:rsidP="00CA7C60">
            <w:pPr>
              <w:autoSpaceDE w:val="0"/>
              <w:autoSpaceDN w:val="0"/>
              <w:adjustRightInd w:val="0"/>
              <w:spacing w:after="0"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Bienestar Infantil</w:t>
            </w:r>
          </w:p>
        </w:tc>
        <w:tc>
          <w:tcPr>
            <w:tcW w:w="567" w:type="pct"/>
            <w:tcBorders>
              <w:top w:val="nil"/>
              <w:left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422</w:t>
            </w:r>
          </w:p>
        </w:tc>
        <w:tc>
          <w:tcPr>
            <w:tcW w:w="567" w:type="pct"/>
            <w:tcBorders>
              <w:top w:val="nil"/>
              <w:left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2,00</w:t>
            </w:r>
          </w:p>
        </w:tc>
        <w:tc>
          <w:tcPr>
            <w:tcW w:w="584" w:type="pct"/>
            <w:tcBorders>
              <w:top w:val="nil"/>
              <w:left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6,00</w:t>
            </w:r>
          </w:p>
        </w:tc>
        <w:tc>
          <w:tcPr>
            <w:tcW w:w="567" w:type="pct"/>
            <w:tcBorders>
              <w:top w:val="nil"/>
              <w:left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3,86</w:t>
            </w:r>
          </w:p>
        </w:tc>
        <w:tc>
          <w:tcPr>
            <w:tcW w:w="815" w:type="pct"/>
            <w:tcBorders>
              <w:top w:val="nil"/>
              <w:left w:val="nil"/>
              <w:right w:val="nil"/>
            </w:tcBorders>
            <w:shd w:val="clear" w:color="auto" w:fill="FFFFFF"/>
          </w:tcPr>
          <w:p w:rsidR="00F27571" w:rsidRPr="00456D9A" w:rsidRDefault="00F27571" w:rsidP="00CA7C60">
            <w:pPr>
              <w:autoSpaceDE w:val="0"/>
              <w:autoSpaceDN w:val="0"/>
              <w:adjustRightInd w:val="0"/>
              <w:spacing w:after="0" w:line="480" w:lineRule="auto"/>
              <w:ind w:left="60" w:right="60"/>
              <w:jc w:val="center"/>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,55</w:t>
            </w:r>
          </w:p>
        </w:tc>
      </w:tr>
    </w:tbl>
    <w:p w:rsidR="00F27571" w:rsidRDefault="00F27571" w:rsidP="00F27571">
      <w:pPr>
        <w:pStyle w:val="Textonotapie"/>
        <w:spacing w:line="480" w:lineRule="auto"/>
        <w:rPr>
          <w:rFonts w:ascii="Century Schoolbook" w:hAnsi="Century Schoolbook" w:cs="Times New Roman"/>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F27571" w:rsidRPr="00456D9A" w:rsidRDefault="00F27571" w:rsidP="00F27571">
      <w:pPr>
        <w:autoSpaceDE w:val="0"/>
        <w:autoSpaceDN w:val="0"/>
        <w:adjustRightInd w:val="0"/>
        <w:spacing w:after="0" w:line="480" w:lineRule="auto"/>
        <w:ind w:right="60"/>
        <w:rPr>
          <w:rFonts w:ascii="Century Schoolbook" w:hAnsi="Century Schoolbook" w:cs="Times New Roman"/>
          <w:sz w:val="20"/>
          <w:szCs w:val="20"/>
        </w:rPr>
      </w:pPr>
      <w:r w:rsidRPr="00456D9A">
        <w:rPr>
          <w:rFonts w:ascii="Century Schoolbook" w:hAnsi="Century Schoolbook" w:cs="Times New Roman"/>
          <w:sz w:val="20"/>
          <w:szCs w:val="20"/>
        </w:rPr>
        <w:lastRenderedPageBreak/>
        <w:t>Tabla 2</w:t>
      </w:r>
    </w:p>
    <w:p w:rsidR="00F27571" w:rsidRPr="00456D9A" w:rsidRDefault="00F27571" w:rsidP="00F27571">
      <w:pPr>
        <w:spacing w:line="480" w:lineRule="auto"/>
        <w:rPr>
          <w:rFonts w:ascii="Century Schoolbook" w:hAnsi="Century Schoolbook" w:cs="Times New Roman"/>
          <w:sz w:val="20"/>
          <w:szCs w:val="20"/>
        </w:rPr>
      </w:pPr>
      <w:r w:rsidRPr="00456D9A">
        <w:rPr>
          <w:rFonts w:ascii="Century Schoolbook" w:hAnsi="Century Schoolbook" w:cs="Times New Roman"/>
          <w:i/>
          <w:iCs/>
          <w:color w:val="000000"/>
          <w:sz w:val="20"/>
          <w:szCs w:val="20"/>
        </w:rPr>
        <w:t>Medias, desviaciones estándar y ANOVAS de bienestar familiar</w:t>
      </w:r>
      <w:r w:rsidR="00DA3968">
        <w:rPr>
          <w:rFonts w:ascii="Century Schoolbook" w:hAnsi="Century Schoolbook" w:cs="Times New Roman"/>
          <w:i/>
          <w:iCs/>
          <w:color w:val="000000"/>
          <w:sz w:val="20"/>
          <w:szCs w:val="20"/>
        </w:rPr>
        <w:t xml:space="preserve"> (</w:t>
      </w:r>
      <w:r w:rsidR="00823E1B">
        <w:rPr>
          <w:rFonts w:ascii="Century Schoolbook" w:hAnsi="Century Schoolbook" w:cs="Times New Roman"/>
          <w:i/>
          <w:iCs/>
          <w:color w:val="000000"/>
          <w:sz w:val="20"/>
          <w:szCs w:val="20"/>
        </w:rPr>
        <w:t>B.F)</w:t>
      </w:r>
      <w:r w:rsidRPr="00456D9A">
        <w:rPr>
          <w:rFonts w:ascii="Century Schoolbook" w:hAnsi="Century Schoolbook" w:cs="Times New Roman"/>
          <w:i/>
          <w:iCs/>
          <w:color w:val="000000"/>
          <w:sz w:val="20"/>
          <w:szCs w:val="20"/>
        </w:rPr>
        <w:t xml:space="preserve"> tomando como factor la región </w:t>
      </w:r>
    </w:p>
    <w:tbl>
      <w:tblPr>
        <w:tblStyle w:val="Tablaconcuadrcula"/>
        <w:tblW w:w="8803" w:type="dxa"/>
        <w:tblLayout w:type="fixed"/>
        <w:tblLook w:val="04A0" w:firstRow="1" w:lastRow="0" w:firstColumn="1" w:lastColumn="0" w:noHBand="0" w:noVBand="1"/>
      </w:tblPr>
      <w:tblGrid>
        <w:gridCol w:w="1866"/>
        <w:gridCol w:w="864"/>
        <w:gridCol w:w="864"/>
        <w:gridCol w:w="865"/>
        <w:gridCol w:w="865"/>
        <w:gridCol w:w="865"/>
        <w:gridCol w:w="757"/>
        <w:gridCol w:w="992"/>
        <w:gridCol w:w="865"/>
      </w:tblGrid>
      <w:tr w:rsidR="00F27571" w:rsidRPr="00456D9A" w:rsidTr="00CA7C60">
        <w:tc>
          <w:tcPr>
            <w:tcW w:w="1866" w:type="dxa"/>
            <w:vMerge w:val="restart"/>
            <w:tcBorders>
              <w:left w:val="nil"/>
              <w:right w:val="nil"/>
            </w:tcBorders>
          </w:tcPr>
          <w:p w:rsidR="00F27571" w:rsidRPr="00456D9A" w:rsidRDefault="00F27571" w:rsidP="00CA7C60">
            <w:pPr>
              <w:spacing w:line="480" w:lineRule="auto"/>
              <w:rPr>
                <w:rFonts w:ascii="Century Schoolbook" w:hAnsi="Century Schoolbook" w:cs="Times New Roman"/>
                <w:sz w:val="20"/>
                <w:szCs w:val="20"/>
              </w:rPr>
            </w:pPr>
          </w:p>
          <w:p w:rsidR="00F27571" w:rsidRPr="00456D9A" w:rsidRDefault="00F27571" w:rsidP="00CA7C60">
            <w:pPr>
              <w:spacing w:line="480" w:lineRule="auto"/>
              <w:rPr>
                <w:rFonts w:ascii="Century Schoolbook" w:hAnsi="Century Schoolbook" w:cs="Times New Roman"/>
                <w:sz w:val="20"/>
                <w:szCs w:val="20"/>
              </w:rPr>
            </w:pPr>
            <w:r w:rsidRPr="00456D9A">
              <w:rPr>
                <w:rFonts w:ascii="Century Schoolbook" w:hAnsi="Century Schoolbook" w:cs="Times New Roman"/>
                <w:sz w:val="20"/>
                <w:szCs w:val="20"/>
              </w:rPr>
              <w:t>Variable</w:t>
            </w:r>
          </w:p>
        </w:tc>
        <w:tc>
          <w:tcPr>
            <w:tcW w:w="1728"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Bogotá</w:t>
            </w:r>
          </w:p>
        </w:tc>
        <w:tc>
          <w:tcPr>
            <w:tcW w:w="1730"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Santa Marta</w:t>
            </w:r>
          </w:p>
        </w:tc>
        <w:tc>
          <w:tcPr>
            <w:tcW w:w="1622"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Cali-Palmira</w:t>
            </w:r>
          </w:p>
        </w:tc>
        <w:tc>
          <w:tcPr>
            <w:tcW w:w="1854"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ANOVA</w:t>
            </w:r>
          </w:p>
        </w:tc>
      </w:tr>
      <w:tr w:rsidR="00F27571" w:rsidRPr="00456D9A" w:rsidTr="00CA7C60">
        <w:tc>
          <w:tcPr>
            <w:tcW w:w="1866" w:type="dxa"/>
            <w:vMerge/>
            <w:tcBorders>
              <w:left w:val="nil"/>
              <w:bottom w:val="single" w:sz="4" w:space="0" w:color="auto"/>
              <w:right w:val="nil"/>
            </w:tcBorders>
          </w:tcPr>
          <w:p w:rsidR="00F27571" w:rsidRPr="00456D9A" w:rsidRDefault="00F27571" w:rsidP="00CA7C60">
            <w:pPr>
              <w:spacing w:line="480" w:lineRule="auto"/>
              <w:rPr>
                <w:rFonts w:ascii="Century Schoolbook" w:hAnsi="Century Schoolbook" w:cs="Times New Roman"/>
                <w:sz w:val="20"/>
                <w:szCs w:val="20"/>
              </w:rPr>
            </w:pP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757"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992"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i/>
                <w:sz w:val="20"/>
                <w:szCs w:val="20"/>
              </w:rPr>
            </w:pPr>
            <w:r w:rsidRPr="00456D9A">
              <w:rPr>
                <w:rFonts w:ascii="Century Schoolbook" w:hAnsi="Century Schoolbook" w:cs="Times New Roman"/>
                <w:i/>
                <w:sz w:val="20"/>
                <w:szCs w:val="20"/>
              </w:rPr>
              <w:t>F</w:t>
            </w:r>
            <w:r w:rsidRPr="00456D9A">
              <w:rPr>
                <w:rFonts w:ascii="Century Schoolbook" w:hAnsi="Century Schoolbook" w:cs="Times New Roman"/>
                <w:i/>
                <w:sz w:val="20"/>
                <w:szCs w:val="20"/>
                <w:vertAlign w:val="subscript"/>
              </w:rPr>
              <w:t xml:space="preserve"> (2,419</w:t>
            </w:r>
            <w:r w:rsidRPr="00456D9A">
              <w:rPr>
                <w:rFonts w:ascii="Century Schoolbook" w:hAnsi="Century Schoolbook" w:cs="Times New Roman"/>
                <w:i/>
                <w:sz w:val="20"/>
                <w:szCs w:val="20"/>
              </w:rPr>
              <w:t>)</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η2</w:t>
            </w:r>
          </w:p>
        </w:tc>
      </w:tr>
      <w:tr w:rsidR="00F27571" w:rsidRPr="00456D9A" w:rsidTr="00CA7C60">
        <w:tc>
          <w:tcPr>
            <w:tcW w:w="1866" w:type="dxa"/>
            <w:tcBorders>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Papá</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3.58</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1.18</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3.82</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1.26</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3.88</w:t>
            </w:r>
          </w:p>
        </w:tc>
        <w:tc>
          <w:tcPr>
            <w:tcW w:w="757"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1.19</w:t>
            </w:r>
          </w:p>
        </w:tc>
        <w:tc>
          <w:tcPr>
            <w:tcW w:w="992"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2.94</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0.014</w:t>
            </w:r>
          </w:p>
        </w:tc>
      </w:tr>
      <w:tr w:rsidR="00F27571" w:rsidRPr="00456D9A" w:rsidTr="00CA7C60">
        <w:tc>
          <w:tcPr>
            <w:tcW w:w="1866" w:type="dxa"/>
            <w:tcBorders>
              <w:top w:val="nil"/>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Mamá</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3.14</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1.18</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3.28</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1.28</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3.55</w:t>
            </w:r>
          </w:p>
        </w:tc>
        <w:tc>
          <w:tcPr>
            <w:tcW w:w="757"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1.09</w:t>
            </w:r>
          </w:p>
        </w:tc>
        <w:tc>
          <w:tcPr>
            <w:tcW w:w="992"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5.11**</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0.024</w:t>
            </w:r>
          </w:p>
        </w:tc>
      </w:tr>
      <w:tr w:rsidR="00F27571" w:rsidRPr="00456D9A" w:rsidTr="00CA7C60">
        <w:tc>
          <w:tcPr>
            <w:tcW w:w="1866" w:type="dxa"/>
            <w:tcBorders>
              <w:top w:val="nil"/>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Hijo</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4.05</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4.27</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4.06</w:t>
            </w:r>
          </w:p>
        </w:tc>
        <w:tc>
          <w:tcPr>
            <w:tcW w:w="757"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1.19</w:t>
            </w:r>
          </w:p>
        </w:tc>
        <w:tc>
          <w:tcPr>
            <w:tcW w:w="992"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0.005</w:t>
            </w:r>
          </w:p>
        </w:tc>
      </w:tr>
      <w:tr w:rsidR="00F27571" w:rsidRPr="00456D9A" w:rsidTr="00CA7C60">
        <w:tc>
          <w:tcPr>
            <w:tcW w:w="1866" w:type="dxa"/>
            <w:tcBorders>
              <w:top w:val="nil"/>
              <w:left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Agregado</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3.59</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0.90</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3.79</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0.93</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3.83</w:t>
            </w:r>
          </w:p>
        </w:tc>
        <w:tc>
          <w:tcPr>
            <w:tcW w:w="757"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0.81</w:t>
            </w:r>
          </w:p>
        </w:tc>
        <w:tc>
          <w:tcPr>
            <w:tcW w:w="992"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3.58*</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0.017</w:t>
            </w:r>
          </w:p>
        </w:tc>
      </w:tr>
    </w:tbl>
    <w:p w:rsidR="00F27571" w:rsidRPr="00456D9A" w:rsidRDefault="00F27571" w:rsidP="00F27571">
      <w:pPr>
        <w:spacing w:line="480" w:lineRule="auto"/>
        <w:rPr>
          <w:rFonts w:ascii="Century Schoolbook" w:hAnsi="Century Schoolbook" w:cs="Times New Roman"/>
          <w:i/>
          <w:sz w:val="20"/>
          <w:szCs w:val="20"/>
        </w:rPr>
      </w:pPr>
      <w:r w:rsidRPr="00456D9A">
        <w:rPr>
          <w:rFonts w:ascii="Century Schoolbook" w:hAnsi="Century Schoolbook" w:cs="Times New Roman"/>
          <w:sz w:val="20"/>
          <w:szCs w:val="20"/>
        </w:rPr>
        <w:t xml:space="preserve">Nota: η2 Magnitud del efecto, * </w:t>
      </w:r>
      <w:r w:rsidRPr="00456D9A">
        <w:rPr>
          <w:rFonts w:ascii="Century Schoolbook" w:hAnsi="Century Schoolbook" w:cs="Times New Roman"/>
          <w:i/>
          <w:sz w:val="20"/>
          <w:szCs w:val="20"/>
        </w:rPr>
        <w:t>p&lt;0.05, **p&lt;0.01</w:t>
      </w: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Pr="00456D9A" w:rsidRDefault="00F27571" w:rsidP="00F27571">
      <w:pPr>
        <w:autoSpaceDE w:val="0"/>
        <w:autoSpaceDN w:val="0"/>
        <w:adjustRightInd w:val="0"/>
        <w:spacing w:after="0" w:line="480" w:lineRule="auto"/>
        <w:ind w:right="60"/>
        <w:rPr>
          <w:rFonts w:ascii="Century Schoolbook" w:hAnsi="Century Schoolbook" w:cs="Times New Roman"/>
          <w:sz w:val="20"/>
          <w:szCs w:val="20"/>
        </w:rPr>
      </w:pPr>
      <w:r w:rsidRPr="00456D9A">
        <w:rPr>
          <w:rFonts w:ascii="Century Schoolbook" w:hAnsi="Century Schoolbook" w:cs="Times New Roman"/>
          <w:sz w:val="20"/>
          <w:szCs w:val="20"/>
        </w:rPr>
        <w:lastRenderedPageBreak/>
        <w:t>Tabla 3</w:t>
      </w:r>
    </w:p>
    <w:p w:rsidR="00F27571" w:rsidRPr="00456D9A" w:rsidRDefault="00F27571" w:rsidP="00F27571">
      <w:pPr>
        <w:spacing w:line="480" w:lineRule="auto"/>
        <w:rPr>
          <w:rFonts w:ascii="Century Schoolbook" w:hAnsi="Century Schoolbook" w:cs="Times New Roman"/>
          <w:sz w:val="20"/>
          <w:szCs w:val="20"/>
        </w:rPr>
      </w:pPr>
      <w:r w:rsidRPr="00456D9A">
        <w:rPr>
          <w:rFonts w:ascii="Century Schoolbook" w:hAnsi="Century Schoolbook" w:cs="Times New Roman"/>
          <w:i/>
          <w:iCs/>
          <w:color w:val="000000"/>
          <w:sz w:val="20"/>
          <w:szCs w:val="20"/>
        </w:rPr>
        <w:t>Medias, desviaciones estándar y ANOVAS de bienestar familiar</w:t>
      </w:r>
      <w:r w:rsidR="00823E1B">
        <w:rPr>
          <w:rFonts w:ascii="Century Schoolbook" w:hAnsi="Century Schoolbook" w:cs="Times New Roman"/>
          <w:i/>
          <w:iCs/>
          <w:color w:val="000000"/>
          <w:sz w:val="20"/>
          <w:szCs w:val="20"/>
        </w:rPr>
        <w:t xml:space="preserve"> (B.F.)</w:t>
      </w:r>
      <w:r w:rsidRPr="00456D9A">
        <w:rPr>
          <w:rFonts w:ascii="Century Schoolbook" w:hAnsi="Century Schoolbook" w:cs="Times New Roman"/>
          <w:i/>
          <w:iCs/>
          <w:color w:val="000000"/>
          <w:sz w:val="20"/>
          <w:szCs w:val="20"/>
        </w:rPr>
        <w:t xml:space="preserve"> tomando como factor el nivel de estatus socioeconómico</w:t>
      </w:r>
    </w:p>
    <w:tbl>
      <w:tblPr>
        <w:tblStyle w:val="Tablaconcuadrcula"/>
        <w:tblW w:w="8803" w:type="dxa"/>
        <w:tblLayout w:type="fixed"/>
        <w:tblLook w:val="04A0" w:firstRow="1" w:lastRow="0" w:firstColumn="1" w:lastColumn="0" w:noHBand="0" w:noVBand="1"/>
      </w:tblPr>
      <w:tblGrid>
        <w:gridCol w:w="1866"/>
        <w:gridCol w:w="864"/>
        <w:gridCol w:w="864"/>
        <w:gridCol w:w="865"/>
        <w:gridCol w:w="865"/>
        <w:gridCol w:w="865"/>
        <w:gridCol w:w="757"/>
        <w:gridCol w:w="992"/>
        <w:gridCol w:w="865"/>
      </w:tblGrid>
      <w:tr w:rsidR="00F27571" w:rsidRPr="00456D9A" w:rsidTr="00CA7C60">
        <w:tc>
          <w:tcPr>
            <w:tcW w:w="1866" w:type="dxa"/>
            <w:vMerge w:val="restart"/>
            <w:tcBorders>
              <w:left w:val="nil"/>
              <w:right w:val="nil"/>
            </w:tcBorders>
          </w:tcPr>
          <w:p w:rsidR="00F27571" w:rsidRPr="00456D9A" w:rsidRDefault="00F27571" w:rsidP="00CA7C60">
            <w:pPr>
              <w:spacing w:line="480" w:lineRule="auto"/>
              <w:rPr>
                <w:rFonts w:ascii="Century Schoolbook" w:hAnsi="Century Schoolbook" w:cs="Times New Roman"/>
                <w:sz w:val="20"/>
                <w:szCs w:val="20"/>
              </w:rPr>
            </w:pPr>
          </w:p>
          <w:p w:rsidR="00F27571" w:rsidRPr="00456D9A" w:rsidRDefault="00F27571" w:rsidP="00CA7C60">
            <w:pPr>
              <w:spacing w:line="480" w:lineRule="auto"/>
              <w:rPr>
                <w:rFonts w:ascii="Century Schoolbook" w:hAnsi="Century Schoolbook" w:cs="Times New Roman"/>
                <w:sz w:val="20"/>
                <w:szCs w:val="20"/>
              </w:rPr>
            </w:pPr>
            <w:r w:rsidRPr="00456D9A">
              <w:rPr>
                <w:rFonts w:ascii="Century Schoolbook" w:hAnsi="Century Schoolbook" w:cs="Times New Roman"/>
                <w:sz w:val="20"/>
                <w:szCs w:val="20"/>
              </w:rPr>
              <w:t>Variable</w:t>
            </w:r>
          </w:p>
        </w:tc>
        <w:tc>
          <w:tcPr>
            <w:tcW w:w="1728"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Bajo</w:t>
            </w:r>
          </w:p>
        </w:tc>
        <w:tc>
          <w:tcPr>
            <w:tcW w:w="1730"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Medio</w:t>
            </w:r>
          </w:p>
        </w:tc>
        <w:tc>
          <w:tcPr>
            <w:tcW w:w="1622"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Alto</w:t>
            </w:r>
          </w:p>
        </w:tc>
        <w:tc>
          <w:tcPr>
            <w:tcW w:w="1854"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ANOVA</w:t>
            </w:r>
          </w:p>
        </w:tc>
      </w:tr>
      <w:tr w:rsidR="00F27571" w:rsidRPr="00456D9A" w:rsidTr="00CA7C60">
        <w:tc>
          <w:tcPr>
            <w:tcW w:w="1866" w:type="dxa"/>
            <w:vMerge/>
            <w:tcBorders>
              <w:left w:val="nil"/>
              <w:bottom w:val="single" w:sz="4" w:space="0" w:color="auto"/>
              <w:right w:val="nil"/>
            </w:tcBorders>
          </w:tcPr>
          <w:p w:rsidR="00F27571" w:rsidRPr="00456D9A" w:rsidRDefault="00F27571" w:rsidP="00CA7C60">
            <w:pPr>
              <w:spacing w:line="480" w:lineRule="auto"/>
              <w:rPr>
                <w:rFonts w:ascii="Century Schoolbook" w:hAnsi="Century Schoolbook" w:cs="Times New Roman"/>
                <w:sz w:val="20"/>
                <w:szCs w:val="20"/>
              </w:rPr>
            </w:pP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757"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992"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i/>
                <w:sz w:val="20"/>
                <w:szCs w:val="20"/>
              </w:rPr>
            </w:pPr>
            <w:r w:rsidRPr="00456D9A">
              <w:rPr>
                <w:rFonts w:ascii="Century Schoolbook" w:hAnsi="Century Schoolbook" w:cs="Times New Roman"/>
                <w:i/>
                <w:sz w:val="20"/>
                <w:szCs w:val="20"/>
              </w:rPr>
              <w:t>F</w:t>
            </w:r>
            <w:r w:rsidRPr="00456D9A">
              <w:rPr>
                <w:rFonts w:ascii="Century Schoolbook" w:hAnsi="Century Schoolbook" w:cs="Times New Roman"/>
                <w:i/>
                <w:sz w:val="20"/>
                <w:szCs w:val="20"/>
                <w:vertAlign w:val="subscript"/>
              </w:rPr>
              <w:t xml:space="preserve"> (2,419</w:t>
            </w:r>
            <w:r w:rsidRPr="00456D9A">
              <w:rPr>
                <w:rFonts w:ascii="Century Schoolbook" w:hAnsi="Century Schoolbook" w:cs="Times New Roman"/>
                <w:i/>
                <w:sz w:val="20"/>
                <w:szCs w:val="20"/>
              </w:rPr>
              <w:t>)</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η2</w:t>
            </w:r>
          </w:p>
        </w:tc>
      </w:tr>
      <w:tr w:rsidR="00F27571" w:rsidRPr="00456D9A" w:rsidTr="00CA7C60">
        <w:tc>
          <w:tcPr>
            <w:tcW w:w="1866" w:type="dxa"/>
            <w:tcBorders>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Papá</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3.62</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1.20</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3.85</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1.19</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3.85</w:t>
            </w:r>
          </w:p>
        </w:tc>
        <w:tc>
          <w:tcPr>
            <w:tcW w:w="757"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1.21</w:t>
            </w:r>
          </w:p>
        </w:tc>
        <w:tc>
          <w:tcPr>
            <w:tcW w:w="992"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1.98</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0.009</w:t>
            </w:r>
          </w:p>
        </w:tc>
      </w:tr>
      <w:tr w:rsidR="00F27571" w:rsidRPr="00456D9A" w:rsidTr="00CA7C60">
        <w:tc>
          <w:tcPr>
            <w:tcW w:w="1866" w:type="dxa"/>
            <w:tcBorders>
              <w:top w:val="nil"/>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Mamá</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3.14</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3.40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1.14</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3.79</w:t>
            </w:r>
          </w:p>
        </w:tc>
        <w:tc>
          <w:tcPr>
            <w:tcW w:w="757"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1.11</w:t>
            </w:r>
          </w:p>
        </w:tc>
        <w:tc>
          <w:tcPr>
            <w:tcW w:w="992"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7.19**</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0.033</w:t>
            </w:r>
          </w:p>
        </w:tc>
      </w:tr>
      <w:tr w:rsidR="00F27571" w:rsidRPr="00456D9A" w:rsidTr="00CA7C60">
        <w:tc>
          <w:tcPr>
            <w:tcW w:w="1866" w:type="dxa"/>
            <w:tcBorders>
              <w:top w:val="nil"/>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Hijo</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4.01</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4.22</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1.13</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4.13</w:t>
            </w:r>
          </w:p>
        </w:tc>
        <w:tc>
          <w:tcPr>
            <w:tcW w:w="757"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1.22</w:t>
            </w:r>
          </w:p>
        </w:tc>
        <w:tc>
          <w:tcPr>
            <w:tcW w:w="992"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1.40</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0.007</w:t>
            </w:r>
          </w:p>
        </w:tc>
      </w:tr>
      <w:tr w:rsidR="00F27571" w:rsidRPr="00456D9A" w:rsidTr="00CA7C60">
        <w:tc>
          <w:tcPr>
            <w:tcW w:w="1866" w:type="dxa"/>
            <w:tcBorders>
              <w:top w:val="nil"/>
              <w:left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B.F Agregado</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3.59</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0.88</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3.82</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0.84</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3.92</w:t>
            </w:r>
          </w:p>
        </w:tc>
        <w:tc>
          <w:tcPr>
            <w:tcW w:w="757"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0.92</w:t>
            </w:r>
          </w:p>
        </w:tc>
        <w:tc>
          <w:tcPr>
            <w:tcW w:w="992"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4.92**</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0.023</w:t>
            </w:r>
          </w:p>
        </w:tc>
      </w:tr>
    </w:tbl>
    <w:p w:rsidR="00F27571" w:rsidRPr="00456D9A" w:rsidRDefault="00F27571" w:rsidP="00F27571">
      <w:pPr>
        <w:spacing w:line="480" w:lineRule="auto"/>
        <w:rPr>
          <w:rFonts w:ascii="Century Schoolbook" w:hAnsi="Century Schoolbook" w:cs="Times New Roman"/>
          <w:i/>
          <w:sz w:val="20"/>
          <w:szCs w:val="20"/>
        </w:rPr>
      </w:pPr>
      <w:r w:rsidRPr="00456D9A">
        <w:rPr>
          <w:rFonts w:ascii="Century Schoolbook" w:hAnsi="Century Schoolbook" w:cs="Times New Roman"/>
          <w:sz w:val="20"/>
          <w:szCs w:val="20"/>
        </w:rPr>
        <w:t xml:space="preserve">Nota: η2 Magnitud del efecto, * </w:t>
      </w:r>
      <w:r w:rsidRPr="00456D9A">
        <w:rPr>
          <w:rFonts w:ascii="Century Schoolbook" w:hAnsi="Century Schoolbook" w:cs="Times New Roman"/>
          <w:i/>
          <w:sz w:val="20"/>
          <w:szCs w:val="20"/>
        </w:rPr>
        <w:t>p&lt;0.05, **p&lt;0.01</w:t>
      </w:r>
    </w:p>
    <w:p w:rsidR="00F27571" w:rsidRPr="0011461B" w:rsidRDefault="00F27571" w:rsidP="00361758">
      <w:pPr>
        <w:spacing w:line="480" w:lineRule="auto"/>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F27571" w:rsidRPr="00456D9A" w:rsidRDefault="00F27571" w:rsidP="00F27571">
      <w:pPr>
        <w:autoSpaceDE w:val="0"/>
        <w:autoSpaceDN w:val="0"/>
        <w:adjustRightInd w:val="0"/>
        <w:spacing w:after="0" w:line="480" w:lineRule="auto"/>
        <w:ind w:right="60"/>
        <w:rPr>
          <w:rFonts w:ascii="Century Schoolbook" w:hAnsi="Century Schoolbook" w:cs="Times New Roman"/>
          <w:sz w:val="20"/>
          <w:szCs w:val="20"/>
        </w:rPr>
      </w:pPr>
      <w:r w:rsidRPr="00456D9A">
        <w:rPr>
          <w:rFonts w:ascii="Century Schoolbook" w:hAnsi="Century Schoolbook" w:cs="Times New Roman"/>
          <w:sz w:val="20"/>
          <w:szCs w:val="20"/>
        </w:rPr>
        <w:lastRenderedPageBreak/>
        <w:t>Tabla 4</w:t>
      </w:r>
    </w:p>
    <w:p w:rsidR="00F27571" w:rsidRPr="00456D9A" w:rsidRDefault="00F27571" w:rsidP="00F27571">
      <w:pPr>
        <w:spacing w:line="480" w:lineRule="auto"/>
        <w:rPr>
          <w:rFonts w:ascii="Century Schoolbook" w:hAnsi="Century Schoolbook" w:cs="Times New Roman"/>
          <w:sz w:val="20"/>
          <w:szCs w:val="20"/>
        </w:rPr>
      </w:pPr>
      <w:r w:rsidRPr="00456D9A">
        <w:rPr>
          <w:rFonts w:ascii="Century Schoolbook" w:hAnsi="Century Schoolbook" w:cs="Times New Roman"/>
          <w:i/>
          <w:iCs/>
          <w:color w:val="000000"/>
          <w:sz w:val="20"/>
          <w:szCs w:val="20"/>
        </w:rPr>
        <w:t xml:space="preserve">Medias, desviaciones estándar y ANOVAS de bienestar </w:t>
      </w:r>
      <w:r w:rsidR="00823E1B">
        <w:rPr>
          <w:rFonts w:ascii="Century Schoolbook" w:hAnsi="Century Schoolbook" w:cs="Times New Roman"/>
          <w:i/>
          <w:iCs/>
          <w:color w:val="000000"/>
          <w:sz w:val="20"/>
          <w:szCs w:val="20"/>
        </w:rPr>
        <w:t xml:space="preserve">(B) </w:t>
      </w:r>
      <w:r w:rsidRPr="00456D9A">
        <w:rPr>
          <w:rFonts w:ascii="Century Schoolbook" w:hAnsi="Century Schoolbook" w:cs="Times New Roman"/>
          <w:i/>
          <w:iCs/>
          <w:color w:val="000000"/>
          <w:sz w:val="20"/>
          <w:szCs w:val="20"/>
        </w:rPr>
        <w:t xml:space="preserve"> tomando como factor la región </w:t>
      </w:r>
    </w:p>
    <w:tbl>
      <w:tblPr>
        <w:tblStyle w:val="Tablaconcuadrcula"/>
        <w:tblW w:w="8803" w:type="dxa"/>
        <w:tblLayout w:type="fixed"/>
        <w:tblLook w:val="04A0" w:firstRow="1" w:lastRow="0" w:firstColumn="1" w:lastColumn="0" w:noHBand="0" w:noVBand="1"/>
      </w:tblPr>
      <w:tblGrid>
        <w:gridCol w:w="1866"/>
        <w:gridCol w:w="864"/>
        <w:gridCol w:w="864"/>
        <w:gridCol w:w="865"/>
        <w:gridCol w:w="865"/>
        <w:gridCol w:w="865"/>
        <w:gridCol w:w="757"/>
        <w:gridCol w:w="992"/>
        <w:gridCol w:w="865"/>
      </w:tblGrid>
      <w:tr w:rsidR="00F27571" w:rsidRPr="00456D9A" w:rsidTr="00CA7C60">
        <w:tc>
          <w:tcPr>
            <w:tcW w:w="1866" w:type="dxa"/>
            <w:vMerge w:val="restart"/>
            <w:tcBorders>
              <w:left w:val="nil"/>
              <w:right w:val="nil"/>
            </w:tcBorders>
          </w:tcPr>
          <w:p w:rsidR="00F27571" w:rsidRPr="00456D9A" w:rsidRDefault="00F27571" w:rsidP="00CA7C60">
            <w:pPr>
              <w:spacing w:line="480" w:lineRule="auto"/>
              <w:rPr>
                <w:rFonts w:ascii="Century Schoolbook" w:hAnsi="Century Schoolbook" w:cs="Times New Roman"/>
                <w:sz w:val="20"/>
                <w:szCs w:val="20"/>
              </w:rPr>
            </w:pPr>
          </w:p>
          <w:p w:rsidR="00F27571" w:rsidRPr="00456D9A" w:rsidRDefault="00F27571" w:rsidP="00CA7C60">
            <w:pPr>
              <w:spacing w:line="480" w:lineRule="auto"/>
              <w:rPr>
                <w:rFonts w:ascii="Century Schoolbook" w:hAnsi="Century Schoolbook" w:cs="Times New Roman"/>
                <w:sz w:val="20"/>
                <w:szCs w:val="20"/>
              </w:rPr>
            </w:pPr>
            <w:r w:rsidRPr="00456D9A">
              <w:rPr>
                <w:rFonts w:ascii="Century Schoolbook" w:hAnsi="Century Schoolbook" w:cs="Times New Roman"/>
                <w:sz w:val="20"/>
                <w:szCs w:val="20"/>
              </w:rPr>
              <w:t>Variable</w:t>
            </w:r>
          </w:p>
        </w:tc>
        <w:tc>
          <w:tcPr>
            <w:tcW w:w="1728"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Bogotá</w:t>
            </w:r>
          </w:p>
        </w:tc>
        <w:tc>
          <w:tcPr>
            <w:tcW w:w="1730"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Santa Marta</w:t>
            </w:r>
          </w:p>
        </w:tc>
        <w:tc>
          <w:tcPr>
            <w:tcW w:w="1622"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Cali-Palmira</w:t>
            </w:r>
          </w:p>
        </w:tc>
        <w:tc>
          <w:tcPr>
            <w:tcW w:w="1857"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ANOVA</w:t>
            </w:r>
          </w:p>
        </w:tc>
      </w:tr>
      <w:tr w:rsidR="00F27571" w:rsidRPr="00456D9A" w:rsidTr="00CA7C60">
        <w:tc>
          <w:tcPr>
            <w:tcW w:w="1866" w:type="dxa"/>
            <w:vMerge/>
            <w:tcBorders>
              <w:left w:val="nil"/>
              <w:bottom w:val="single" w:sz="4" w:space="0" w:color="auto"/>
              <w:right w:val="nil"/>
            </w:tcBorders>
          </w:tcPr>
          <w:p w:rsidR="00F27571" w:rsidRPr="00456D9A" w:rsidRDefault="00F27571" w:rsidP="00CA7C60">
            <w:pPr>
              <w:spacing w:line="480" w:lineRule="auto"/>
              <w:rPr>
                <w:rFonts w:ascii="Century Schoolbook" w:hAnsi="Century Schoolbook" w:cs="Times New Roman"/>
                <w:sz w:val="20"/>
                <w:szCs w:val="20"/>
              </w:rPr>
            </w:pP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757"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992"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i/>
                <w:sz w:val="20"/>
                <w:szCs w:val="20"/>
              </w:rPr>
            </w:pPr>
            <w:r w:rsidRPr="00456D9A">
              <w:rPr>
                <w:rFonts w:ascii="Century Schoolbook" w:hAnsi="Century Schoolbook" w:cs="Times New Roman"/>
                <w:i/>
                <w:sz w:val="20"/>
                <w:szCs w:val="20"/>
              </w:rPr>
              <w:t>F</w:t>
            </w:r>
            <w:r w:rsidRPr="00456D9A">
              <w:rPr>
                <w:rFonts w:ascii="Century Schoolbook" w:hAnsi="Century Schoolbook" w:cs="Times New Roman"/>
                <w:i/>
                <w:sz w:val="20"/>
                <w:szCs w:val="20"/>
                <w:vertAlign w:val="subscript"/>
              </w:rPr>
              <w:t xml:space="preserve"> (2,419</w:t>
            </w:r>
            <w:r w:rsidRPr="00456D9A">
              <w:rPr>
                <w:rFonts w:ascii="Century Schoolbook" w:hAnsi="Century Schoolbook" w:cs="Times New Roman"/>
                <w:i/>
                <w:sz w:val="20"/>
                <w:szCs w:val="20"/>
              </w:rPr>
              <w:t>)</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η2</w:t>
            </w:r>
          </w:p>
        </w:tc>
      </w:tr>
      <w:tr w:rsidR="00F27571" w:rsidRPr="00456D9A" w:rsidTr="00CA7C60">
        <w:tc>
          <w:tcPr>
            <w:tcW w:w="1866" w:type="dxa"/>
            <w:tcBorders>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 Objetivo</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2.92</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0.72</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2.83</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0.52</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2.74</w:t>
            </w:r>
          </w:p>
        </w:tc>
        <w:tc>
          <w:tcPr>
            <w:tcW w:w="757"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0.61</w:t>
            </w:r>
          </w:p>
        </w:tc>
        <w:tc>
          <w:tcPr>
            <w:tcW w:w="992"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3.18*</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0.024</w:t>
            </w:r>
          </w:p>
        </w:tc>
      </w:tr>
      <w:tr w:rsidR="00F27571" w:rsidRPr="00456D9A" w:rsidTr="00CA7C60">
        <w:tc>
          <w:tcPr>
            <w:tcW w:w="1866" w:type="dxa"/>
            <w:tcBorders>
              <w:top w:val="nil"/>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 Subjetivo</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4.87</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0.71</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4.91</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0.53</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4.85</w:t>
            </w:r>
          </w:p>
        </w:tc>
        <w:tc>
          <w:tcPr>
            <w:tcW w:w="757"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0.77</w:t>
            </w:r>
          </w:p>
        </w:tc>
        <w:tc>
          <w:tcPr>
            <w:tcW w:w="992"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0.28</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0.001</w:t>
            </w:r>
          </w:p>
        </w:tc>
      </w:tr>
      <w:tr w:rsidR="00F27571" w:rsidRPr="00456D9A" w:rsidTr="00CA7C60">
        <w:tc>
          <w:tcPr>
            <w:tcW w:w="1866" w:type="dxa"/>
            <w:tcBorders>
              <w:top w:val="nil"/>
              <w:left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 Infantil</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3.90</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0.58</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3.87</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0.37</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3.80</w:t>
            </w:r>
          </w:p>
        </w:tc>
        <w:tc>
          <w:tcPr>
            <w:tcW w:w="757"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0.55</w:t>
            </w:r>
          </w:p>
        </w:tc>
        <w:tc>
          <w:tcPr>
            <w:tcW w:w="992"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1.46</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0.007</w:t>
            </w:r>
          </w:p>
        </w:tc>
      </w:tr>
    </w:tbl>
    <w:p w:rsidR="00F27571" w:rsidRPr="00456D9A" w:rsidRDefault="00F27571" w:rsidP="00F27571">
      <w:pPr>
        <w:spacing w:line="480" w:lineRule="auto"/>
        <w:rPr>
          <w:rFonts w:ascii="Century Schoolbook" w:hAnsi="Century Schoolbook" w:cs="Times New Roman"/>
          <w:i/>
          <w:sz w:val="20"/>
          <w:szCs w:val="20"/>
        </w:rPr>
      </w:pPr>
      <w:r w:rsidRPr="00456D9A">
        <w:rPr>
          <w:rFonts w:ascii="Century Schoolbook" w:hAnsi="Century Schoolbook" w:cs="Times New Roman"/>
          <w:sz w:val="20"/>
          <w:szCs w:val="20"/>
        </w:rPr>
        <w:t xml:space="preserve">Nota: η2 Magnitud del efecto, * </w:t>
      </w:r>
      <w:r w:rsidRPr="00456D9A">
        <w:rPr>
          <w:rFonts w:ascii="Century Schoolbook" w:hAnsi="Century Schoolbook" w:cs="Times New Roman"/>
          <w:i/>
          <w:sz w:val="20"/>
          <w:szCs w:val="20"/>
        </w:rPr>
        <w:t>p&lt;0.05, **p&lt;0.01</w:t>
      </w: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F27571" w:rsidRDefault="00F27571"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365890" w:rsidRDefault="00365890" w:rsidP="00F27571">
      <w:pPr>
        <w:autoSpaceDE w:val="0"/>
        <w:autoSpaceDN w:val="0"/>
        <w:adjustRightInd w:val="0"/>
        <w:spacing w:after="0" w:line="480" w:lineRule="auto"/>
        <w:ind w:right="60"/>
        <w:rPr>
          <w:rFonts w:ascii="Century Schoolbook" w:hAnsi="Century Schoolbook" w:cs="Times New Roman"/>
          <w:sz w:val="20"/>
          <w:szCs w:val="20"/>
        </w:rPr>
      </w:pPr>
    </w:p>
    <w:p w:rsidR="00F27571" w:rsidRPr="00456D9A" w:rsidRDefault="00F27571" w:rsidP="00F27571">
      <w:pPr>
        <w:autoSpaceDE w:val="0"/>
        <w:autoSpaceDN w:val="0"/>
        <w:adjustRightInd w:val="0"/>
        <w:spacing w:after="0" w:line="480" w:lineRule="auto"/>
        <w:ind w:right="60"/>
        <w:rPr>
          <w:rFonts w:ascii="Century Schoolbook" w:hAnsi="Century Schoolbook" w:cs="Times New Roman"/>
          <w:sz w:val="20"/>
          <w:szCs w:val="20"/>
        </w:rPr>
      </w:pPr>
      <w:r w:rsidRPr="00456D9A">
        <w:rPr>
          <w:rFonts w:ascii="Century Schoolbook" w:hAnsi="Century Schoolbook" w:cs="Times New Roman"/>
          <w:sz w:val="20"/>
          <w:szCs w:val="20"/>
        </w:rPr>
        <w:lastRenderedPageBreak/>
        <w:t>Tabla 5</w:t>
      </w:r>
    </w:p>
    <w:p w:rsidR="00F27571" w:rsidRPr="00456D9A" w:rsidRDefault="00F27571" w:rsidP="00F27571">
      <w:pPr>
        <w:spacing w:line="480" w:lineRule="auto"/>
        <w:rPr>
          <w:rFonts w:ascii="Century Schoolbook" w:hAnsi="Century Schoolbook" w:cs="Times New Roman"/>
          <w:sz w:val="20"/>
          <w:szCs w:val="20"/>
        </w:rPr>
      </w:pPr>
      <w:r w:rsidRPr="00456D9A">
        <w:rPr>
          <w:rFonts w:ascii="Century Schoolbook" w:hAnsi="Century Schoolbook" w:cs="Times New Roman"/>
          <w:i/>
          <w:iCs/>
          <w:color w:val="000000"/>
          <w:sz w:val="20"/>
          <w:szCs w:val="20"/>
        </w:rPr>
        <w:t xml:space="preserve">Medias, desviaciones estándar y ANOVAS de bienestar </w:t>
      </w:r>
      <w:r w:rsidR="00823E1B">
        <w:rPr>
          <w:rFonts w:ascii="Century Schoolbook" w:hAnsi="Century Schoolbook" w:cs="Times New Roman"/>
          <w:i/>
          <w:iCs/>
          <w:color w:val="000000"/>
          <w:sz w:val="20"/>
          <w:szCs w:val="20"/>
        </w:rPr>
        <w:t>(B)</w:t>
      </w:r>
      <w:r w:rsidRPr="00456D9A">
        <w:rPr>
          <w:rFonts w:ascii="Century Schoolbook" w:hAnsi="Century Schoolbook" w:cs="Times New Roman"/>
          <w:i/>
          <w:iCs/>
          <w:color w:val="000000"/>
          <w:sz w:val="20"/>
          <w:szCs w:val="20"/>
        </w:rPr>
        <w:t xml:space="preserve"> tomando como factor el nivel de estatus socioeconómico</w:t>
      </w:r>
    </w:p>
    <w:tbl>
      <w:tblPr>
        <w:tblStyle w:val="Tablaconcuadrcula"/>
        <w:tblW w:w="8803" w:type="dxa"/>
        <w:tblLayout w:type="fixed"/>
        <w:tblLook w:val="04A0" w:firstRow="1" w:lastRow="0" w:firstColumn="1" w:lastColumn="0" w:noHBand="0" w:noVBand="1"/>
      </w:tblPr>
      <w:tblGrid>
        <w:gridCol w:w="1866"/>
        <w:gridCol w:w="864"/>
        <w:gridCol w:w="864"/>
        <w:gridCol w:w="865"/>
        <w:gridCol w:w="865"/>
        <w:gridCol w:w="865"/>
        <w:gridCol w:w="757"/>
        <w:gridCol w:w="992"/>
        <w:gridCol w:w="865"/>
      </w:tblGrid>
      <w:tr w:rsidR="00F27571" w:rsidRPr="00456D9A" w:rsidTr="00CA7C60">
        <w:tc>
          <w:tcPr>
            <w:tcW w:w="1866" w:type="dxa"/>
            <w:vMerge w:val="restart"/>
            <w:tcBorders>
              <w:left w:val="nil"/>
              <w:right w:val="nil"/>
            </w:tcBorders>
          </w:tcPr>
          <w:p w:rsidR="00F27571" w:rsidRPr="00456D9A" w:rsidRDefault="00F27571" w:rsidP="00CA7C60">
            <w:pPr>
              <w:spacing w:line="480" w:lineRule="auto"/>
              <w:rPr>
                <w:rFonts w:ascii="Century Schoolbook" w:hAnsi="Century Schoolbook" w:cs="Times New Roman"/>
                <w:sz w:val="20"/>
                <w:szCs w:val="20"/>
              </w:rPr>
            </w:pPr>
          </w:p>
          <w:p w:rsidR="00F27571" w:rsidRPr="00456D9A" w:rsidRDefault="00F27571" w:rsidP="00CA7C60">
            <w:pPr>
              <w:spacing w:line="480" w:lineRule="auto"/>
              <w:rPr>
                <w:rFonts w:ascii="Century Schoolbook" w:hAnsi="Century Schoolbook" w:cs="Times New Roman"/>
                <w:sz w:val="20"/>
                <w:szCs w:val="20"/>
              </w:rPr>
            </w:pPr>
            <w:r w:rsidRPr="00456D9A">
              <w:rPr>
                <w:rFonts w:ascii="Century Schoolbook" w:hAnsi="Century Schoolbook" w:cs="Times New Roman"/>
                <w:sz w:val="20"/>
                <w:szCs w:val="20"/>
              </w:rPr>
              <w:t>Variable</w:t>
            </w:r>
          </w:p>
        </w:tc>
        <w:tc>
          <w:tcPr>
            <w:tcW w:w="1728"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Bajo</w:t>
            </w:r>
          </w:p>
        </w:tc>
        <w:tc>
          <w:tcPr>
            <w:tcW w:w="1730"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Medio</w:t>
            </w:r>
          </w:p>
        </w:tc>
        <w:tc>
          <w:tcPr>
            <w:tcW w:w="1622"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Alto</w:t>
            </w:r>
          </w:p>
        </w:tc>
        <w:tc>
          <w:tcPr>
            <w:tcW w:w="1857" w:type="dxa"/>
            <w:gridSpan w:val="2"/>
            <w:tcBorders>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ANOVA</w:t>
            </w:r>
          </w:p>
        </w:tc>
      </w:tr>
      <w:tr w:rsidR="00F27571" w:rsidRPr="00456D9A" w:rsidTr="00CA7C60">
        <w:tc>
          <w:tcPr>
            <w:tcW w:w="1866" w:type="dxa"/>
            <w:vMerge/>
            <w:tcBorders>
              <w:left w:val="nil"/>
              <w:bottom w:val="single" w:sz="4" w:space="0" w:color="auto"/>
              <w:right w:val="nil"/>
            </w:tcBorders>
          </w:tcPr>
          <w:p w:rsidR="00F27571" w:rsidRPr="00456D9A" w:rsidRDefault="00F27571" w:rsidP="00CA7C60">
            <w:pPr>
              <w:spacing w:line="480" w:lineRule="auto"/>
              <w:rPr>
                <w:rFonts w:ascii="Century Schoolbook" w:hAnsi="Century Schoolbook" w:cs="Times New Roman"/>
                <w:sz w:val="20"/>
                <w:szCs w:val="20"/>
              </w:rPr>
            </w:pP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4"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M</w:t>
            </w:r>
          </w:p>
        </w:tc>
        <w:tc>
          <w:tcPr>
            <w:tcW w:w="757"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Pr>
                <w:rFonts w:ascii="Century Schoolbook" w:hAnsi="Century Schoolbook" w:cs="Times New Roman"/>
                <w:sz w:val="20"/>
                <w:szCs w:val="20"/>
              </w:rPr>
              <w:t>DE</w:t>
            </w:r>
          </w:p>
        </w:tc>
        <w:tc>
          <w:tcPr>
            <w:tcW w:w="992"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i/>
                <w:sz w:val="20"/>
                <w:szCs w:val="20"/>
              </w:rPr>
            </w:pPr>
            <w:r w:rsidRPr="00456D9A">
              <w:rPr>
                <w:rFonts w:ascii="Century Schoolbook" w:hAnsi="Century Schoolbook" w:cs="Times New Roman"/>
                <w:i/>
                <w:sz w:val="20"/>
                <w:szCs w:val="20"/>
              </w:rPr>
              <w:t>F</w:t>
            </w:r>
            <w:r w:rsidRPr="00456D9A">
              <w:rPr>
                <w:rFonts w:ascii="Century Schoolbook" w:hAnsi="Century Schoolbook" w:cs="Times New Roman"/>
                <w:i/>
                <w:sz w:val="20"/>
                <w:szCs w:val="20"/>
                <w:vertAlign w:val="subscript"/>
              </w:rPr>
              <w:t xml:space="preserve"> (2,419</w:t>
            </w:r>
            <w:r w:rsidRPr="00456D9A">
              <w:rPr>
                <w:rFonts w:ascii="Century Schoolbook" w:hAnsi="Century Schoolbook" w:cs="Times New Roman"/>
                <w:i/>
                <w:sz w:val="20"/>
                <w:szCs w:val="20"/>
              </w:rPr>
              <w:t>)</w:t>
            </w:r>
          </w:p>
        </w:tc>
        <w:tc>
          <w:tcPr>
            <w:tcW w:w="865" w:type="dxa"/>
            <w:tcBorders>
              <w:left w:val="nil"/>
              <w:bottom w:val="single" w:sz="4" w:space="0" w:color="auto"/>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η2</w:t>
            </w:r>
          </w:p>
        </w:tc>
      </w:tr>
      <w:tr w:rsidR="00F27571" w:rsidRPr="00456D9A" w:rsidTr="00CA7C60">
        <w:tc>
          <w:tcPr>
            <w:tcW w:w="1866" w:type="dxa"/>
            <w:tcBorders>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 Objetivo</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2.74</w:t>
            </w:r>
          </w:p>
        </w:tc>
        <w:tc>
          <w:tcPr>
            <w:tcW w:w="864"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0.62</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2.94</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0.71</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2.96</w:t>
            </w:r>
          </w:p>
        </w:tc>
        <w:tc>
          <w:tcPr>
            <w:tcW w:w="757"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0.59</w:t>
            </w:r>
          </w:p>
        </w:tc>
        <w:tc>
          <w:tcPr>
            <w:tcW w:w="992"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5.15**</w:t>
            </w:r>
          </w:p>
        </w:tc>
        <w:tc>
          <w:tcPr>
            <w:tcW w:w="865" w:type="dxa"/>
            <w:tcBorders>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0.024</w:t>
            </w:r>
          </w:p>
        </w:tc>
      </w:tr>
      <w:tr w:rsidR="00F27571" w:rsidRPr="00456D9A" w:rsidTr="00CA7C60">
        <w:tc>
          <w:tcPr>
            <w:tcW w:w="1866" w:type="dxa"/>
            <w:tcBorders>
              <w:top w:val="nil"/>
              <w:left w:val="nil"/>
              <w:bottom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 Subjetivo</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4.86</w:t>
            </w:r>
          </w:p>
        </w:tc>
        <w:tc>
          <w:tcPr>
            <w:tcW w:w="864"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0.71</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4.87</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0.68</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4.94</w:t>
            </w:r>
          </w:p>
        </w:tc>
        <w:tc>
          <w:tcPr>
            <w:tcW w:w="757"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0.70</w:t>
            </w:r>
          </w:p>
        </w:tc>
        <w:tc>
          <w:tcPr>
            <w:tcW w:w="992"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0.32</w:t>
            </w:r>
          </w:p>
        </w:tc>
        <w:tc>
          <w:tcPr>
            <w:tcW w:w="865" w:type="dxa"/>
            <w:tcBorders>
              <w:top w:val="nil"/>
              <w:left w:val="nil"/>
              <w:bottom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0.002</w:t>
            </w:r>
          </w:p>
        </w:tc>
      </w:tr>
      <w:tr w:rsidR="00F27571" w:rsidRPr="00456D9A" w:rsidTr="00CA7C60">
        <w:tc>
          <w:tcPr>
            <w:tcW w:w="1866" w:type="dxa"/>
            <w:tcBorders>
              <w:top w:val="nil"/>
              <w:left w:val="nil"/>
              <w:right w:val="nil"/>
            </w:tcBorders>
          </w:tcPr>
          <w:p w:rsidR="00F27571" w:rsidRPr="00456D9A" w:rsidRDefault="00F27571" w:rsidP="00CA7C60">
            <w:pPr>
              <w:autoSpaceDE w:val="0"/>
              <w:autoSpaceDN w:val="0"/>
              <w:adjustRightInd w:val="0"/>
              <w:spacing w:line="480" w:lineRule="auto"/>
              <w:ind w:left="60" w:right="60"/>
              <w:rPr>
                <w:rFonts w:ascii="Century Schoolbook" w:hAnsi="Century Schoolbook" w:cs="Times New Roman"/>
                <w:color w:val="000000"/>
                <w:sz w:val="20"/>
                <w:szCs w:val="20"/>
              </w:rPr>
            </w:pPr>
            <w:r w:rsidRPr="00456D9A">
              <w:rPr>
                <w:rFonts w:ascii="Century Schoolbook" w:hAnsi="Century Schoolbook" w:cs="Times New Roman"/>
                <w:color w:val="000000"/>
                <w:sz w:val="20"/>
                <w:szCs w:val="20"/>
              </w:rPr>
              <w:t>B. Infantil</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3.80</w:t>
            </w:r>
          </w:p>
        </w:tc>
        <w:tc>
          <w:tcPr>
            <w:tcW w:w="864"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0.54</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3.91</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0.56</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3.95</w:t>
            </w:r>
          </w:p>
        </w:tc>
        <w:tc>
          <w:tcPr>
            <w:tcW w:w="757"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0.51</w:t>
            </w:r>
          </w:p>
        </w:tc>
        <w:tc>
          <w:tcPr>
            <w:tcW w:w="992"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2.60</w:t>
            </w:r>
          </w:p>
        </w:tc>
        <w:tc>
          <w:tcPr>
            <w:tcW w:w="865" w:type="dxa"/>
            <w:tcBorders>
              <w:top w:val="nil"/>
              <w:left w:val="nil"/>
              <w:right w:val="nil"/>
            </w:tcBorders>
          </w:tcPr>
          <w:p w:rsidR="00F27571" w:rsidRPr="00456D9A" w:rsidRDefault="00F27571" w:rsidP="00CA7C60">
            <w:pPr>
              <w:spacing w:line="480" w:lineRule="auto"/>
              <w:jc w:val="center"/>
              <w:rPr>
                <w:rFonts w:ascii="Century Schoolbook" w:hAnsi="Century Schoolbook" w:cs="Times New Roman"/>
                <w:sz w:val="20"/>
                <w:szCs w:val="20"/>
              </w:rPr>
            </w:pPr>
            <w:r w:rsidRPr="00456D9A">
              <w:rPr>
                <w:rFonts w:ascii="Century Schoolbook" w:hAnsi="Century Schoolbook" w:cs="Times New Roman"/>
                <w:sz w:val="20"/>
                <w:szCs w:val="20"/>
              </w:rPr>
              <w:t>0.012</w:t>
            </w:r>
          </w:p>
        </w:tc>
      </w:tr>
    </w:tbl>
    <w:p w:rsidR="00F27571" w:rsidRPr="00456D9A" w:rsidRDefault="00F27571" w:rsidP="00F27571">
      <w:pPr>
        <w:spacing w:line="480" w:lineRule="auto"/>
        <w:rPr>
          <w:rFonts w:ascii="Century Schoolbook" w:hAnsi="Century Schoolbook" w:cs="Times New Roman"/>
          <w:i/>
          <w:sz w:val="20"/>
          <w:szCs w:val="20"/>
        </w:rPr>
      </w:pPr>
      <w:r w:rsidRPr="00456D9A">
        <w:rPr>
          <w:rFonts w:ascii="Century Schoolbook" w:hAnsi="Century Schoolbook" w:cs="Times New Roman"/>
          <w:sz w:val="20"/>
          <w:szCs w:val="20"/>
        </w:rPr>
        <w:t xml:space="preserve">Nota: η2 Magnitud del efecto, * </w:t>
      </w:r>
      <w:r w:rsidRPr="00456D9A">
        <w:rPr>
          <w:rFonts w:ascii="Century Schoolbook" w:hAnsi="Century Schoolbook" w:cs="Times New Roman"/>
          <w:i/>
          <w:sz w:val="20"/>
          <w:szCs w:val="20"/>
        </w:rPr>
        <w:t>p&lt;0.05, **p&lt;0.01</w:t>
      </w:r>
    </w:p>
    <w:p w:rsidR="00F27571" w:rsidRPr="0011461B" w:rsidRDefault="00F27571" w:rsidP="00361758">
      <w:pPr>
        <w:spacing w:line="480" w:lineRule="auto"/>
        <w:rPr>
          <w:rFonts w:ascii="Century Schoolbook" w:hAnsi="Century Schoolbook" w:cs="Times New Roman"/>
          <w:sz w:val="20"/>
          <w:szCs w:val="20"/>
        </w:rPr>
      </w:pPr>
    </w:p>
    <w:p w:rsidR="00832D47" w:rsidRPr="0011461B" w:rsidRDefault="00832D47" w:rsidP="00361758">
      <w:pPr>
        <w:spacing w:line="480" w:lineRule="auto"/>
        <w:rPr>
          <w:rFonts w:ascii="Century Schoolbook" w:hAnsi="Century Schoolbook" w:cs="Times New Roman"/>
          <w:sz w:val="20"/>
          <w:szCs w:val="20"/>
        </w:rPr>
      </w:pPr>
    </w:p>
    <w:p w:rsidR="00A35C4C" w:rsidRPr="0011461B" w:rsidRDefault="00A35C4C" w:rsidP="00A35C4C">
      <w:pPr>
        <w:spacing w:line="480" w:lineRule="auto"/>
        <w:ind w:left="567" w:hanging="567"/>
        <w:rPr>
          <w:rFonts w:ascii="Century Schoolbook" w:hAnsi="Century Schoolbook" w:cs="Times New Roman"/>
          <w:sz w:val="20"/>
          <w:szCs w:val="20"/>
        </w:rPr>
      </w:pPr>
    </w:p>
    <w:p w:rsidR="00A35C4C" w:rsidRPr="0011461B" w:rsidRDefault="00A35C4C" w:rsidP="00A35C4C">
      <w:pPr>
        <w:spacing w:line="480" w:lineRule="auto"/>
        <w:ind w:left="567" w:hanging="567"/>
        <w:rPr>
          <w:rFonts w:ascii="Century Schoolbook" w:hAnsi="Century Schoolbook" w:cs="Times New Roman"/>
          <w:sz w:val="20"/>
          <w:szCs w:val="20"/>
        </w:rPr>
      </w:pPr>
    </w:p>
    <w:p w:rsidR="00A35C4C" w:rsidRPr="00A35C4C" w:rsidRDefault="00A35C4C" w:rsidP="00A35C4C">
      <w:pPr>
        <w:spacing w:line="480" w:lineRule="auto"/>
        <w:rPr>
          <w:rFonts w:ascii="Century Schoolbook" w:hAnsi="Century Schoolbook" w:cs="Times New Roman"/>
          <w:sz w:val="20"/>
          <w:szCs w:val="20"/>
        </w:rPr>
      </w:pPr>
    </w:p>
    <w:sectPr w:rsidR="00A35C4C" w:rsidRPr="00A35C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34" w:rsidRDefault="00955734" w:rsidP="00B37477">
      <w:pPr>
        <w:spacing w:after="0" w:line="240" w:lineRule="auto"/>
      </w:pPr>
      <w:r>
        <w:separator/>
      </w:r>
    </w:p>
  </w:endnote>
  <w:endnote w:type="continuationSeparator" w:id="0">
    <w:p w:rsidR="00955734" w:rsidRDefault="00955734" w:rsidP="00B3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34" w:rsidRDefault="00955734" w:rsidP="00B37477">
      <w:pPr>
        <w:spacing w:after="0" w:line="240" w:lineRule="auto"/>
      </w:pPr>
      <w:r>
        <w:separator/>
      </w:r>
    </w:p>
  </w:footnote>
  <w:footnote w:type="continuationSeparator" w:id="0">
    <w:p w:rsidR="00955734" w:rsidRDefault="00955734" w:rsidP="00B37477">
      <w:pPr>
        <w:spacing w:after="0" w:line="240" w:lineRule="auto"/>
      </w:pPr>
      <w:r>
        <w:continuationSeparator/>
      </w:r>
    </w:p>
  </w:footnote>
  <w:footnote w:id="1">
    <w:p w:rsidR="00B37477" w:rsidRPr="00CA5551" w:rsidRDefault="00B37477" w:rsidP="00B37477">
      <w:pPr>
        <w:pStyle w:val="Textonotapie"/>
        <w:rPr>
          <w:rFonts w:ascii="Times New Roman" w:hAnsi="Times New Roman" w:cs="Times New Roman"/>
        </w:rPr>
      </w:pPr>
      <w:r w:rsidRPr="00CA5551">
        <w:rPr>
          <w:rStyle w:val="Refdenotaalpie"/>
          <w:rFonts w:ascii="Times New Roman" w:hAnsi="Times New Roman" w:cs="Times New Roman"/>
        </w:rPr>
        <w:footnoteRef/>
      </w:r>
      <w:r w:rsidRPr="00CA5551">
        <w:rPr>
          <w:rFonts w:ascii="Times New Roman" w:hAnsi="Times New Roman" w:cs="Times New Roman"/>
        </w:rPr>
        <w:t xml:space="preserve"> El </w:t>
      </w:r>
      <w:r>
        <w:rPr>
          <w:rFonts w:ascii="Times New Roman" w:hAnsi="Times New Roman" w:cs="Times New Roman"/>
        </w:rPr>
        <w:t>presente artículo se deriva de los apoyos económicos al proyecto de investigación titulado: “</w:t>
      </w:r>
      <w:r w:rsidRPr="00CA5551">
        <w:rPr>
          <w:rFonts w:ascii="Times New Roman" w:hAnsi="Times New Roman" w:cs="Times New Roman"/>
        </w:rPr>
        <w:t>Contribuciones del involucramiento, la calidad de la relación y la competencia paterna de papás y mamás al bienestar y la seguridad emocional de los hijos en familias de tres contextos distintos</w:t>
      </w:r>
      <w:r>
        <w:rPr>
          <w:rFonts w:ascii="Times New Roman" w:hAnsi="Times New Roman" w:cs="Times New Roman"/>
        </w:rPr>
        <w:t xml:space="preserve">”, Código SIAP: </w:t>
      </w:r>
      <w:r w:rsidRPr="00CA5551">
        <w:rPr>
          <w:rFonts w:ascii="Times New Roman" w:hAnsi="Times New Roman" w:cs="Times New Roman"/>
        </w:rPr>
        <w:t>7253</w:t>
      </w:r>
      <w:r>
        <w:rPr>
          <w:rFonts w:ascii="Times New Roman" w:hAnsi="Times New Roman" w:cs="Times New Roman"/>
        </w:rPr>
        <w:t xml:space="preserve"> de la Vicerrectoría de Investigaciones de la Pontificia Universidad Javeriana, sede Bogotá.</w:t>
      </w:r>
    </w:p>
  </w:footnote>
  <w:footnote w:id="2">
    <w:p w:rsidR="00C749D6" w:rsidRPr="00C308E9" w:rsidRDefault="00C749D6" w:rsidP="00C749D6">
      <w:pPr>
        <w:pStyle w:val="Textonotapie"/>
        <w:rPr>
          <w:rFonts w:ascii="Times New Roman" w:hAnsi="Times New Roman" w:cs="Times New Roman"/>
        </w:rPr>
      </w:pPr>
      <w:r>
        <w:rPr>
          <w:rStyle w:val="Refdenotaalpie"/>
        </w:rPr>
        <w:footnoteRef/>
      </w:r>
      <w:r>
        <w:t xml:space="preserve"> </w:t>
      </w:r>
      <w:r>
        <w:rPr>
          <w:rFonts w:ascii="Times New Roman" w:hAnsi="Times New Roman" w:cs="Times New Roman"/>
        </w:rPr>
        <w:t>Si bien son dos ciudades, para este estudio se utilizaron los datos de ambas ciudades dada la proximidad geográfica y que comparten una tradición cultural similar.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41"/>
    <w:rsid w:val="00027375"/>
    <w:rsid w:val="000A5C01"/>
    <w:rsid w:val="0011461B"/>
    <w:rsid w:val="001275C5"/>
    <w:rsid w:val="002F3641"/>
    <w:rsid w:val="00324870"/>
    <w:rsid w:val="00361758"/>
    <w:rsid w:val="003653F7"/>
    <w:rsid w:val="00365890"/>
    <w:rsid w:val="00456D9A"/>
    <w:rsid w:val="00823E1B"/>
    <w:rsid w:val="00832D47"/>
    <w:rsid w:val="00955734"/>
    <w:rsid w:val="00A075FD"/>
    <w:rsid w:val="00A35C4C"/>
    <w:rsid w:val="00B02DBC"/>
    <w:rsid w:val="00B37477"/>
    <w:rsid w:val="00B81F2E"/>
    <w:rsid w:val="00BE1F0A"/>
    <w:rsid w:val="00C4171E"/>
    <w:rsid w:val="00C749D6"/>
    <w:rsid w:val="00DA3968"/>
    <w:rsid w:val="00E02D19"/>
    <w:rsid w:val="00E14474"/>
    <w:rsid w:val="00E86551"/>
    <w:rsid w:val="00F27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EB191-CDDE-4F2D-838A-69E63C99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374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7477"/>
    <w:rPr>
      <w:sz w:val="20"/>
      <w:szCs w:val="20"/>
    </w:rPr>
  </w:style>
  <w:style w:type="character" w:styleId="Refdenotaalpie">
    <w:name w:val="footnote reference"/>
    <w:basedOn w:val="Fuentedeprrafopredeter"/>
    <w:uiPriority w:val="99"/>
    <w:semiHidden/>
    <w:unhideWhenUsed/>
    <w:rsid w:val="00B37477"/>
    <w:rPr>
      <w:vertAlign w:val="superscript"/>
    </w:rPr>
  </w:style>
  <w:style w:type="character" w:styleId="Refdecomentario">
    <w:name w:val="annotation reference"/>
    <w:basedOn w:val="Fuentedeprrafopredeter"/>
    <w:uiPriority w:val="99"/>
    <w:semiHidden/>
    <w:unhideWhenUsed/>
    <w:rsid w:val="00324870"/>
    <w:rPr>
      <w:sz w:val="16"/>
      <w:szCs w:val="16"/>
    </w:rPr>
  </w:style>
  <w:style w:type="paragraph" w:styleId="Textocomentario">
    <w:name w:val="annotation text"/>
    <w:basedOn w:val="Normal"/>
    <w:link w:val="TextocomentarioCar"/>
    <w:uiPriority w:val="99"/>
    <w:semiHidden/>
    <w:unhideWhenUsed/>
    <w:rsid w:val="003248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4870"/>
    <w:rPr>
      <w:sz w:val="20"/>
      <w:szCs w:val="20"/>
    </w:rPr>
  </w:style>
  <w:style w:type="paragraph" w:styleId="Textodeglobo">
    <w:name w:val="Balloon Text"/>
    <w:basedOn w:val="Normal"/>
    <w:link w:val="TextodegloboCar"/>
    <w:uiPriority w:val="99"/>
    <w:semiHidden/>
    <w:unhideWhenUsed/>
    <w:rsid w:val="003248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870"/>
    <w:rPr>
      <w:rFonts w:ascii="Segoe UI" w:hAnsi="Segoe UI" w:cs="Segoe UI"/>
      <w:sz w:val="18"/>
      <w:szCs w:val="18"/>
    </w:rPr>
  </w:style>
  <w:style w:type="table" w:styleId="Tablaconcuadrcula">
    <w:name w:val="Table Grid"/>
    <w:basedOn w:val="Tablanormal"/>
    <w:uiPriority w:val="39"/>
    <w:rsid w:val="0045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02D19"/>
    <w:rPr>
      <w:color w:val="0563C1" w:themeColor="hyperlink"/>
      <w:u w:val="single"/>
    </w:rPr>
  </w:style>
  <w:style w:type="character" w:customStyle="1" w:styleId="UnresolvedMention">
    <w:name w:val="Unresolved Mention"/>
    <w:basedOn w:val="Fuentedeprrafopredeter"/>
    <w:uiPriority w:val="99"/>
    <w:semiHidden/>
    <w:unhideWhenUsed/>
    <w:rsid w:val="00E0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ton.bermudez@javeriana.edu.c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8266</Words>
  <Characters>45467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Eduardo Bermúdez Jaimes</dc:creator>
  <cp:keywords/>
  <dc:description/>
  <cp:lastModifiedBy>Milton Eduardo Bermudez Jaimes</cp:lastModifiedBy>
  <cp:revision>3</cp:revision>
  <dcterms:created xsi:type="dcterms:W3CDTF">2019-08-05T14:10:00Z</dcterms:created>
  <dcterms:modified xsi:type="dcterms:W3CDTF">2019-08-05T14:10:00Z</dcterms:modified>
</cp:coreProperties>
</file>