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7B7D1" w14:textId="65F77B7E" w:rsidR="002C1AEB" w:rsidRPr="004B60A0" w:rsidRDefault="002C1AEB" w:rsidP="004B7389">
      <w:pPr>
        <w:pStyle w:val="Ttulo1"/>
        <w:spacing w:line="240" w:lineRule="auto"/>
        <w:rPr>
          <w:rFonts w:cs="Times New Roman"/>
          <w:b/>
          <w:szCs w:val="24"/>
        </w:rPr>
      </w:pPr>
      <w:bookmarkStart w:id="0" w:name="OLE_LINK1"/>
      <w:bookmarkStart w:id="1" w:name="OLE_LINK2"/>
      <w:r w:rsidRPr="004B60A0">
        <w:rPr>
          <w:rFonts w:cs="Times New Roman"/>
          <w:b/>
          <w:szCs w:val="24"/>
        </w:rPr>
        <w:t>Abstract</w:t>
      </w:r>
    </w:p>
    <w:p w14:paraId="17137444" w14:textId="77777777" w:rsidR="002C1AEB" w:rsidRPr="004B60A0" w:rsidRDefault="002C1AEB" w:rsidP="004B7389">
      <w:pPr>
        <w:pStyle w:val="AbstractText"/>
        <w:spacing w:line="240" w:lineRule="auto"/>
      </w:pPr>
      <w:r w:rsidRPr="004B60A0">
        <w:t xml:space="preserve">The present study suggests that the amplitude of the error-related negativity (Ne/ERN) potential can be modified by over-learning and by correct/incorrect response feedback. </w:t>
      </w:r>
      <w:r>
        <w:t>32 female Mexican college students</w:t>
      </w:r>
      <w:r w:rsidRPr="004B60A0">
        <w:t xml:space="preserve">, ages between 18 and 24, were recruited </w:t>
      </w:r>
      <w:r>
        <w:t>to participate</w:t>
      </w:r>
      <w:r w:rsidRPr="004B60A0">
        <w:t xml:space="preserve">. </w:t>
      </w:r>
      <w:r>
        <w:t>Previously to the electroencephalographic (EEG) recordings, participants were divided for training i</w:t>
      </w:r>
      <w:r w:rsidRPr="004B60A0">
        <w:t xml:space="preserve">nto 4 groups and were exposed to a) over-learning and correct response feedback learning; b) over-learning and incorrect response feedback learning; c) correct response feedback learning without over-learning and d) incorrect response feedback learning without over-learning. </w:t>
      </w:r>
      <w:r>
        <w:t>During</w:t>
      </w:r>
      <w:r w:rsidRPr="004B60A0">
        <w:t xml:space="preserve"> EEG recording, participants were asked to press the key that matched a previously presented stimulus (“X</w:t>
      </w:r>
      <w:r>
        <w:t>”/“+”).</w:t>
      </w:r>
      <w:r w:rsidRPr="004B60A0">
        <w:t xml:space="preserve"> Greater negativity in Ne/ERN amplitude was found during over-learning conditions compared to conditions without over-learning. Similar results were found in the over-learning/correct response feedback phase as opposed to the incorrect response without over-learning condition.</w:t>
      </w:r>
    </w:p>
    <w:p w14:paraId="6060160A" w14:textId="77777777" w:rsidR="002C1AEB" w:rsidRDefault="002C1AEB" w:rsidP="004B7389">
      <w:pPr>
        <w:pStyle w:val="Ttulo1"/>
        <w:spacing w:line="240" w:lineRule="auto"/>
        <w:ind w:right="1440" w:firstLine="720"/>
        <w:jc w:val="left"/>
        <w:rPr>
          <w:rFonts w:cs="Times New Roman"/>
          <w:szCs w:val="24"/>
        </w:rPr>
      </w:pPr>
      <w:r w:rsidRPr="004B60A0">
        <w:rPr>
          <w:rFonts w:cs="Times New Roman"/>
          <w:i/>
          <w:szCs w:val="24"/>
        </w:rPr>
        <w:t xml:space="preserve">Keywords: </w:t>
      </w:r>
      <w:r w:rsidRPr="004B60A0">
        <w:rPr>
          <w:rFonts w:cs="Times New Roman"/>
          <w:szCs w:val="24"/>
        </w:rPr>
        <w:t xml:space="preserve">Ne; ERN; feedback; over-learning; Loreta. </w:t>
      </w:r>
    </w:p>
    <w:p w14:paraId="613A6675" w14:textId="77777777" w:rsidR="002C1AEB" w:rsidRDefault="002C1AEB" w:rsidP="004B7389">
      <w:pPr>
        <w:pStyle w:val="Textoindependiente"/>
        <w:spacing w:line="240" w:lineRule="auto"/>
      </w:pPr>
    </w:p>
    <w:p w14:paraId="187974C4" w14:textId="77777777" w:rsidR="002C1AEB" w:rsidRPr="004F1E41" w:rsidRDefault="002C1AEB" w:rsidP="004B7389">
      <w:pPr>
        <w:jc w:val="center"/>
        <w:rPr>
          <w:b/>
          <w:bCs/>
        </w:rPr>
      </w:pPr>
      <w:r w:rsidRPr="004F1E41">
        <w:rPr>
          <w:b/>
          <w:bCs/>
        </w:rPr>
        <w:t>Resumen</w:t>
      </w:r>
    </w:p>
    <w:p w14:paraId="06814A04" w14:textId="77777777" w:rsidR="002C1AEB" w:rsidRDefault="002C1AEB" w:rsidP="004B7389">
      <w:pPr>
        <w:ind w:firstLine="720"/>
      </w:pPr>
      <w:r w:rsidRPr="4AB799A8">
        <w:t>El presente estudio sugiere que la amplitud de la negatividad relacionada con el error (Ne/ERN) puede ser modificada por el sobre-aprendizaje y p</w:t>
      </w:r>
      <w:bookmarkStart w:id="2" w:name="_GoBack"/>
      <w:bookmarkEnd w:id="2"/>
      <w:r w:rsidRPr="4AB799A8">
        <w:t>or la retroalimentación de respuesta correcta/incorrecta. Para evaluar lo anterior, se seleccionaron cómo participantes a 32 mujeres universitarias mexicanas, de entre 18 y 24 años. Previo al registro del electroencefalográfico (EEG), las participantes se dividieron para el entrenamiento en cuatro grupos y para ser expuesta a alguna de las siguientes condiciones: a) sobre-aprendizaje y aprendizaje de retroalimentación de respuesta correcta; b) sobre-aprendizaje y aprendizaje de retroalimentación de respuesta incorrecta; c) aprendizaje de retroalimentación de respuesta correcta sin sobre-aprendizaje y d) aprendizaje de retroalimentación de respuesta incorrecta sin sobre-aprendizaje. Durante la grabación del EEG, se pidió a las participantes que presionaran la tecla que coincidiera con un estímulo previamente presentado ("X"/"+"). Se encontró una mayor negatividad en la amplitud de Ne/ERN durante las condiciones de sobre-aprendizaje en comparación con las condiciones sin sobre-aprendizaje. Se encontraron resultados similares en la fase de sobre-aprendizaje/retroalimentación de respuesta correcta, en oposición a la condición retroalimentación de respuesta incorrecta sin sobre-aprendizaje.</w:t>
      </w:r>
    </w:p>
    <w:p w14:paraId="29012185" w14:textId="77777777" w:rsidR="002C1AEB" w:rsidRDefault="002C1AEB" w:rsidP="004B7389">
      <w:pPr>
        <w:ind w:firstLine="720"/>
      </w:pPr>
      <w:r w:rsidRPr="4AB799A8">
        <w:rPr>
          <w:i/>
          <w:iCs/>
        </w:rPr>
        <w:t>Palabras clave</w:t>
      </w:r>
      <w:r w:rsidRPr="4AB799A8">
        <w:t>: Ne; ERN; retroalimentación; sobre-aprendizaje; Loreta.</w:t>
      </w:r>
    </w:p>
    <w:p w14:paraId="2B6FA949" w14:textId="77777777" w:rsidR="002C1AEB" w:rsidRPr="002C1AEB" w:rsidRDefault="002C1AEB" w:rsidP="004B7389">
      <w:pPr>
        <w:pStyle w:val="Textoindependiente"/>
        <w:spacing w:line="240" w:lineRule="auto"/>
        <w:rPr>
          <w:lang w:val="es-ES"/>
        </w:rPr>
        <w:sectPr w:rsidR="002C1AEB" w:rsidRPr="002C1AEB">
          <w:footerReference w:type="default" r:id="rId11"/>
          <w:footerReference w:type="first" r:id="rId12"/>
          <w:pgSz w:w="12240" w:h="15840" w:code="1"/>
          <w:pgMar w:top="1440" w:right="1440" w:bottom="1440" w:left="1440" w:header="720" w:footer="720" w:gutter="0"/>
          <w:cols w:space="720"/>
          <w:titlePg/>
          <w:docGrid w:linePitch="360"/>
        </w:sectPr>
      </w:pPr>
      <w:r w:rsidRPr="002C1AEB">
        <w:rPr>
          <w:lang w:val="es-ES"/>
        </w:rPr>
        <w:br/>
      </w:r>
    </w:p>
    <w:p w14:paraId="75BE114F" w14:textId="77777777" w:rsidR="002C1AEB" w:rsidRDefault="002C1AEB" w:rsidP="004B7389">
      <w:pPr>
        <w:pStyle w:val="Textoindependiente"/>
        <w:spacing w:line="240" w:lineRule="auto"/>
        <w:ind w:firstLine="0"/>
        <w:jc w:val="center"/>
        <w:rPr>
          <w:b/>
          <w:bCs/>
        </w:rPr>
      </w:pPr>
      <w:r w:rsidRPr="4AB799A8">
        <w:rPr>
          <w:b/>
          <w:bCs/>
        </w:rPr>
        <w:lastRenderedPageBreak/>
        <w:t>Effects of overlearning and correct-incorrect response feedback on Ne/ERN amplitude</w:t>
      </w:r>
    </w:p>
    <w:p w14:paraId="17AB01F5" w14:textId="77777777" w:rsidR="002C1AEB" w:rsidRDefault="002C1AEB" w:rsidP="004B7389">
      <w:pPr>
        <w:pStyle w:val="Textoindependiente"/>
        <w:spacing w:line="240" w:lineRule="auto"/>
        <w:ind w:firstLine="0"/>
        <w:jc w:val="center"/>
        <w:rPr>
          <w:b/>
          <w:bCs/>
        </w:rPr>
      </w:pPr>
    </w:p>
    <w:p w14:paraId="1676CA08" w14:textId="14774E0A" w:rsidR="002C1AEB" w:rsidRPr="004B60A0" w:rsidRDefault="002C1AEB" w:rsidP="004B7389">
      <w:pPr>
        <w:pStyle w:val="Textoindependiente"/>
        <w:spacing w:line="240" w:lineRule="auto"/>
      </w:pPr>
      <w:r w:rsidRPr="004B60A0">
        <w:t xml:space="preserve">Permanent </w:t>
      </w:r>
      <w:r>
        <w:t>c</w:t>
      </w:r>
      <w:r w:rsidRPr="004B60A0">
        <w:t>hanges in behavior due to the learning process (</w:t>
      </w:r>
      <w:proofErr w:type="spellStart"/>
      <w:r>
        <w:t>Domjan</w:t>
      </w:r>
      <w:proofErr w:type="spellEnd"/>
      <w:r>
        <w:t>, 2018</w:t>
      </w:r>
      <w:r w:rsidRPr="004B60A0">
        <w:t>) are inherent to changes in neural mechanisms (</w:t>
      </w:r>
      <w:r w:rsidRPr="00F66E9E">
        <w:t>Penagos</w:t>
      </w:r>
      <w:r>
        <w:t>-Corzo</w:t>
      </w:r>
      <w:r w:rsidRPr="00F66E9E">
        <w:t>, Bonilla,</w:t>
      </w:r>
      <w:r>
        <w:t xml:space="preserve"> </w:t>
      </w:r>
      <w:r w:rsidRPr="00F66E9E">
        <w:t>Rodríguez,</w:t>
      </w:r>
      <w:r>
        <w:t xml:space="preserve"> </w:t>
      </w:r>
      <w:r w:rsidRPr="00F66E9E">
        <w:t xml:space="preserve">Flores, &amp; Negrete, </w:t>
      </w:r>
      <w:r>
        <w:t>2015</w:t>
      </w:r>
      <w:r w:rsidRPr="004B60A0">
        <w:t xml:space="preserve">) and can be studied from different approaches, including </w:t>
      </w:r>
      <w:r>
        <w:t>fMRI</w:t>
      </w:r>
      <w:r w:rsidRPr="004B60A0">
        <w:t xml:space="preserve"> and event related potentials (ERPs) paradigm</w:t>
      </w:r>
      <w:r>
        <w:t xml:space="preserve"> (Sun, Sun, &amp; Fu, 2019).</w:t>
      </w:r>
      <w:r w:rsidRPr="004B60A0">
        <w:t xml:space="preserve"> ERPs can be related to a variety of processes that are invoked by the psychological demands of a given situation (</w:t>
      </w:r>
      <w:r>
        <w:t>Luck, 2014</w:t>
      </w:r>
      <w:r w:rsidRPr="004B60A0">
        <w:t xml:space="preserve">), for instance, learning tasks. </w:t>
      </w:r>
    </w:p>
    <w:p w14:paraId="663146F5" w14:textId="77777777" w:rsidR="002C1AEB" w:rsidRPr="004B60A0" w:rsidRDefault="002C1AEB" w:rsidP="004B7389">
      <w:pPr>
        <w:pStyle w:val="Textoindependiente"/>
        <w:spacing w:line="240" w:lineRule="auto"/>
      </w:pPr>
      <w:r w:rsidRPr="004B60A0">
        <w:t xml:space="preserve">There are a vast variety of studies on the relation between ERPs and cognitive tasks, but there seems to be a lack of information on the Ne or ERN potential and the </w:t>
      </w:r>
      <w:r>
        <w:t>over-</w:t>
      </w:r>
      <w:r w:rsidRPr="004B60A0">
        <w:t>learning experience. This event-related potential (ERP) known as negativity error (Ne) (</w:t>
      </w:r>
      <w:proofErr w:type="spellStart"/>
      <w:r w:rsidRPr="004B60A0">
        <w:t>Falkenstein</w:t>
      </w:r>
      <w:proofErr w:type="spellEnd"/>
      <w:r w:rsidRPr="004B60A0">
        <w:t xml:space="preserve">, </w:t>
      </w:r>
      <w:proofErr w:type="spellStart"/>
      <w:r w:rsidRPr="004B60A0">
        <w:t>Hohnsbein</w:t>
      </w:r>
      <w:proofErr w:type="spellEnd"/>
      <w:r w:rsidRPr="004B60A0">
        <w:t xml:space="preserve">, </w:t>
      </w:r>
      <w:proofErr w:type="spellStart"/>
      <w:r w:rsidRPr="004B60A0">
        <w:t>Hoorman</w:t>
      </w:r>
      <w:proofErr w:type="spellEnd"/>
      <w:r>
        <w:t>,</w:t>
      </w:r>
      <w:r w:rsidRPr="004B60A0">
        <w:t xml:space="preserve"> &amp; </w:t>
      </w:r>
      <w:proofErr w:type="spellStart"/>
      <w:r w:rsidRPr="004B60A0">
        <w:t>Blanke</w:t>
      </w:r>
      <w:proofErr w:type="spellEnd"/>
      <w:r w:rsidRPr="004B60A0">
        <w:t>, 1990; 1991) or error-related negativity (ERN) (Gehring, Coles, Meyer</w:t>
      </w:r>
      <w:r>
        <w:t>,</w:t>
      </w:r>
      <w:r w:rsidRPr="004B60A0">
        <w:t xml:space="preserve"> &amp; </w:t>
      </w:r>
      <w:proofErr w:type="spellStart"/>
      <w:r w:rsidRPr="004B60A0">
        <w:t>Donchin</w:t>
      </w:r>
      <w:proofErr w:type="spellEnd"/>
      <w:r w:rsidRPr="004B60A0">
        <w:t>, 1990), was originally described by </w:t>
      </w:r>
      <w:proofErr w:type="spellStart"/>
      <w:r w:rsidRPr="004B60A0">
        <w:t>Falkenstein</w:t>
      </w:r>
      <w:proofErr w:type="spellEnd"/>
      <w:r w:rsidRPr="004B60A0">
        <w:t xml:space="preserve">, </w:t>
      </w:r>
      <w:proofErr w:type="spellStart"/>
      <w:r w:rsidRPr="004B60A0">
        <w:t>Hohnsbein</w:t>
      </w:r>
      <w:proofErr w:type="spellEnd"/>
      <w:r w:rsidRPr="004B60A0">
        <w:t xml:space="preserve">, </w:t>
      </w:r>
      <w:proofErr w:type="spellStart"/>
      <w:r w:rsidRPr="004B60A0">
        <w:t>Hoorman</w:t>
      </w:r>
      <w:proofErr w:type="spellEnd"/>
      <w:r w:rsidRPr="004B60A0">
        <w:t xml:space="preserve"> </w:t>
      </w:r>
      <w:r>
        <w:t>and</w:t>
      </w:r>
      <w:r w:rsidRPr="004B60A0">
        <w:t xml:space="preserve"> </w:t>
      </w:r>
      <w:proofErr w:type="spellStart"/>
      <w:r w:rsidRPr="004B60A0">
        <w:t>Blanke</w:t>
      </w:r>
      <w:proofErr w:type="spellEnd"/>
      <w:r w:rsidRPr="004B60A0">
        <w:t xml:space="preserve"> (1989), and conceived as an error monitoring system that, in the event of a mistake, would allow the necessary adjustments to correct or avoid them in the future (Gehring, Goss, Coles, Meyer</w:t>
      </w:r>
      <w:r>
        <w:t>,</w:t>
      </w:r>
      <w:r w:rsidRPr="004B60A0">
        <w:t xml:space="preserve"> &amp; </w:t>
      </w:r>
      <w:proofErr w:type="spellStart"/>
      <w:r w:rsidRPr="004B60A0">
        <w:t>Donchin</w:t>
      </w:r>
      <w:proofErr w:type="spellEnd"/>
      <w:r w:rsidRPr="004B60A0">
        <w:t>, 1993). </w:t>
      </w:r>
      <w:r w:rsidRPr="004B60A0">
        <w:rPr>
          <w:bCs/>
        </w:rPr>
        <w:t xml:space="preserve"> </w:t>
      </w:r>
      <w:r w:rsidRPr="00296EF4">
        <w:t>Subsequent studies have</w:t>
      </w:r>
      <w:r w:rsidRPr="004B60A0">
        <w:t xml:space="preserve"> pointed out that this potential is a manifestation of error processing </w:t>
      </w:r>
      <w:r w:rsidRPr="004B60A0">
        <w:rPr>
          <w:bCs/>
        </w:rPr>
        <w:t>(</w:t>
      </w:r>
      <w:proofErr w:type="spellStart"/>
      <w:r w:rsidRPr="004B60A0">
        <w:t>Scheffers</w:t>
      </w:r>
      <w:proofErr w:type="spellEnd"/>
      <w:r w:rsidRPr="004B60A0">
        <w:t xml:space="preserve">, </w:t>
      </w:r>
      <w:r w:rsidRPr="004B60A0">
        <w:rPr>
          <w:bCs/>
        </w:rPr>
        <w:t xml:space="preserve">Coles, Bernstein, Gehring, &amp; </w:t>
      </w:r>
      <w:proofErr w:type="spellStart"/>
      <w:r w:rsidRPr="004B60A0">
        <w:rPr>
          <w:bCs/>
        </w:rPr>
        <w:t>Donchin</w:t>
      </w:r>
      <w:proofErr w:type="spellEnd"/>
      <w:r w:rsidRPr="004B60A0">
        <w:rPr>
          <w:bCs/>
        </w:rPr>
        <w:t>, 1996), which reflects a general error-detection mechanism, not limited to the identification of certain types of errors in particular tasks (</w:t>
      </w:r>
      <w:proofErr w:type="spellStart"/>
      <w:r w:rsidRPr="004B60A0">
        <w:rPr>
          <w:bCs/>
        </w:rPr>
        <w:t>Miltner</w:t>
      </w:r>
      <w:proofErr w:type="spellEnd"/>
      <w:r w:rsidRPr="004B60A0">
        <w:rPr>
          <w:bCs/>
        </w:rPr>
        <w:t>, Braun</w:t>
      </w:r>
      <w:r>
        <w:t>,</w:t>
      </w:r>
      <w:r w:rsidRPr="004B60A0">
        <w:rPr>
          <w:bCs/>
        </w:rPr>
        <w:t xml:space="preserve"> &amp; Coles, 1997). Thus, the previously mentioned potential, is an index of unfavorable results in general</w:t>
      </w:r>
      <w:r w:rsidRPr="004B60A0">
        <w:t xml:space="preserve"> (Holroyd &amp; Coles, 2002).</w:t>
      </w:r>
      <w:r w:rsidRPr="004B60A0">
        <w:rPr>
          <w:bCs/>
        </w:rPr>
        <w:t xml:space="preserve">  The Ne/ERN is a negative deflection that shows on EEG recordings after having made a mistake and extends to approximately 100 </w:t>
      </w:r>
      <w:proofErr w:type="spellStart"/>
      <w:r w:rsidRPr="004B60A0">
        <w:rPr>
          <w:bCs/>
        </w:rPr>
        <w:t>ms</w:t>
      </w:r>
      <w:proofErr w:type="spellEnd"/>
      <w:r w:rsidRPr="004B60A0">
        <w:rPr>
          <w:bCs/>
        </w:rPr>
        <w:t xml:space="preserve"> (</w:t>
      </w:r>
      <w:proofErr w:type="spellStart"/>
      <w:r w:rsidRPr="009A6EA4">
        <w:t>Hoogeveen</w:t>
      </w:r>
      <w:proofErr w:type="spellEnd"/>
      <w:r w:rsidRPr="009A6EA4">
        <w:t xml:space="preserve">, </w:t>
      </w:r>
      <w:proofErr w:type="spellStart"/>
      <w:r w:rsidRPr="009A6EA4">
        <w:t>Schjoedt</w:t>
      </w:r>
      <w:proofErr w:type="spellEnd"/>
      <w:r w:rsidRPr="009A6EA4">
        <w:t>, &amp; van Elk</w:t>
      </w:r>
      <w:r>
        <w:t>, 2018</w:t>
      </w:r>
      <w:r w:rsidRPr="004B60A0">
        <w:rPr>
          <w:bCs/>
        </w:rPr>
        <w:t xml:space="preserve">). Its amplitude varies from 2 to 10 </w:t>
      </w:r>
      <w:r w:rsidRPr="16A294BA">
        <w:rPr>
          <w:lang w:val="es-ES"/>
        </w:rPr>
        <w:t>μ</w:t>
      </w:r>
      <w:r w:rsidRPr="004B60A0">
        <w:t>V and it</w:t>
      </w:r>
      <w:r>
        <w:t xml:space="preserve"> is</w:t>
      </w:r>
      <w:r w:rsidRPr="004B60A0">
        <w:t xml:space="preserve"> bilaterally symmetrical, having a maximal distribution around the scalp in the </w:t>
      </w:r>
      <w:r>
        <w:t>central and frontal regions</w:t>
      </w:r>
      <w:r w:rsidRPr="004B60A0">
        <w:t xml:space="preserve"> (</w:t>
      </w:r>
      <w:proofErr w:type="spellStart"/>
      <w:r w:rsidRPr="004B60A0">
        <w:t>Grützmann</w:t>
      </w:r>
      <w:proofErr w:type="spellEnd"/>
      <w:r w:rsidRPr="004B60A0">
        <w:t xml:space="preserve">, </w:t>
      </w:r>
      <w:proofErr w:type="spellStart"/>
      <w:r w:rsidRPr="004B60A0">
        <w:t>Endrass</w:t>
      </w:r>
      <w:proofErr w:type="spellEnd"/>
      <w:r w:rsidRPr="004B60A0">
        <w:t xml:space="preserve">, </w:t>
      </w:r>
      <w:proofErr w:type="spellStart"/>
      <w:r w:rsidRPr="004B60A0">
        <w:t>Klawohn</w:t>
      </w:r>
      <w:proofErr w:type="spellEnd"/>
      <w:r>
        <w:t>,</w:t>
      </w:r>
      <w:r w:rsidRPr="004B60A0">
        <w:t xml:space="preserve"> &amp; </w:t>
      </w:r>
      <w:proofErr w:type="spellStart"/>
      <w:r w:rsidRPr="004B60A0">
        <w:t>Kathmann</w:t>
      </w:r>
      <w:proofErr w:type="spellEnd"/>
      <w:r w:rsidRPr="004B60A0">
        <w:t xml:space="preserve">, 2014; Riesel, Weinberg, </w:t>
      </w:r>
      <w:proofErr w:type="spellStart"/>
      <w:r w:rsidRPr="004B60A0">
        <w:t>Endrass</w:t>
      </w:r>
      <w:proofErr w:type="spellEnd"/>
      <w:r w:rsidRPr="004B60A0">
        <w:t>, Meyer</w:t>
      </w:r>
      <w:r>
        <w:t>,</w:t>
      </w:r>
      <w:r w:rsidRPr="004B60A0">
        <w:t xml:space="preserve"> &amp; </w:t>
      </w:r>
      <w:proofErr w:type="spellStart"/>
      <w:r w:rsidRPr="004B60A0">
        <w:t>Hajcak</w:t>
      </w:r>
      <w:proofErr w:type="spellEnd"/>
      <w:r w:rsidRPr="004B60A0">
        <w:t xml:space="preserve">, 2013). The origin of this component has been located in some brain structures, </w:t>
      </w:r>
      <w:proofErr w:type="spellStart"/>
      <w:r w:rsidRPr="004B60A0">
        <w:t>i</w:t>
      </w:r>
      <w:proofErr w:type="spellEnd"/>
      <w:r w:rsidRPr="004B60A0">
        <w:t xml:space="preserve">. e. the anterior cingulate cortex (ACC), related to attention, executive functions, error detection and emotional processing (Holroyd &amp; Coles, 2002; </w:t>
      </w:r>
      <w:proofErr w:type="spellStart"/>
      <w:r w:rsidRPr="004B60A0">
        <w:t>Luu</w:t>
      </w:r>
      <w:proofErr w:type="spellEnd"/>
      <w:r w:rsidRPr="004B60A0">
        <w:t xml:space="preserve">, Tucker, </w:t>
      </w:r>
      <w:proofErr w:type="spellStart"/>
      <w:r w:rsidRPr="004B60A0">
        <w:t>Derryberry</w:t>
      </w:r>
      <w:proofErr w:type="spellEnd"/>
      <w:r w:rsidRPr="004B60A0">
        <w:t>, Reed</w:t>
      </w:r>
      <w:r>
        <w:t>,</w:t>
      </w:r>
      <w:r w:rsidRPr="004B60A0">
        <w:t xml:space="preserve"> &amp; Poulsen, 2003; Van Veen &amp; Carter, 2002); also in the dopaminergic pathways (</w:t>
      </w:r>
      <w:proofErr w:type="spellStart"/>
      <w:r w:rsidRPr="004B60A0">
        <w:t>Boksem</w:t>
      </w:r>
      <w:proofErr w:type="spellEnd"/>
      <w:r w:rsidRPr="004B60A0">
        <w:t xml:space="preserve">, </w:t>
      </w:r>
      <w:proofErr w:type="spellStart"/>
      <w:r w:rsidRPr="004B60A0">
        <w:t>Meijman</w:t>
      </w:r>
      <w:proofErr w:type="spellEnd"/>
      <w:r>
        <w:t>,</w:t>
      </w:r>
      <w:r w:rsidRPr="004B60A0">
        <w:t xml:space="preserve"> &amp; </w:t>
      </w:r>
      <w:proofErr w:type="spellStart"/>
      <w:r w:rsidRPr="004B60A0">
        <w:t>Lorist</w:t>
      </w:r>
      <w:proofErr w:type="spellEnd"/>
      <w:r w:rsidRPr="004B60A0">
        <w:t xml:space="preserve">, 2006; de </w:t>
      </w:r>
      <w:proofErr w:type="spellStart"/>
      <w:r w:rsidRPr="004B60A0">
        <w:t>Bruijn</w:t>
      </w:r>
      <w:proofErr w:type="spellEnd"/>
      <w:r w:rsidRPr="004B60A0">
        <w:t xml:space="preserve">, </w:t>
      </w:r>
      <w:proofErr w:type="spellStart"/>
      <w:r w:rsidRPr="004B60A0">
        <w:t>Hulstijn</w:t>
      </w:r>
      <w:proofErr w:type="spellEnd"/>
      <w:r w:rsidRPr="004B60A0">
        <w:t xml:space="preserve">, </w:t>
      </w:r>
      <w:proofErr w:type="spellStart"/>
      <w:r w:rsidRPr="004B60A0">
        <w:t>Verkes</w:t>
      </w:r>
      <w:proofErr w:type="spellEnd"/>
      <w:r w:rsidRPr="004B60A0">
        <w:t xml:space="preserve">, </w:t>
      </w:r>
      <w:proofErr w:type="spellStart"/>
      <w:r w:rsidRPr="004B60A0">
        <w:t>Ruigt</w:t>
      </w:r>
      <w:proofErr w:type="spellEnd"/>
      <w:r>
        <w:t>,</w:t>
      </w:r>
      <w:r w:rsidRPr="004B60A0">
        <w:t xml:space="preserve"> &amp; </w:t>
      </w:r>
      <w:proofErr w:type="spellStart"/>
      <w:r w:rsidRPr="004B60A0">
        <w:t>Sabbe</w:t>
      </w:r>
      <w:proofErr w:type="spellEnd"/>
      <w:r w:rsidRPr="004B60A0">
        <w:t xml:space="preserve">, 2004; </w:t>
      </w:r>
      <w:proofErr w:type="spellStart"/>
      <w:r w:rsidRPr="004B60A0">
        <w:t>Ridderinkhof</w:t>
      </w:r>
      <w:proofErr w:type="spellEnd"/>
      <w:r w:rsidRPr="004B60A0">
        <w:t xml:space="preserve"> et al. 2002; </w:t>
      </w:r>
      <w:proofErr w:type="spellStart"/>
      <w:r w:rsidRPr="004B60A0">
        <w:t>Tieges</w:t>
      </w:r>
      <w:proofErr w:type="spellEnd"/>
      <w:r w:rsidRPr="004B60A0">
        <w:t xml:space="preserve">, </w:t>
      </w:r>
      <w:proofErr w:type="spellStart"/>
      <w:r w:rsidRPr="004B60A0">
        <w:t>Ridderinkhof</w:t>
      </w:r>
      <w:proofErr w:type="spellEnd"/>
      <w:r w:rsidRPr="004B60A0">
        <w:t xml:space="preserve">, </w:t>
      </w:r>
      <w:proofErr w:type="spellStart"/>
      <w:r w:rsidRPr="004B60A0">
        <w:t>Snel</w:t>
      </w:r>
      <w:proofErr w:type="spellEnd"/>
      <w:r>
        <w:t>,</w:t>
      </w:r>
      <w:r w:rsidRPr="004B60A0">
        <w:t xml:space="preserve"> &amp; </w:t>
      </w:r>
      <w:proofErr w:type="spellStart"/>
      <w:r w:rsidRPr="004B60A0">
        <w:t>Kok</w:t>
      </w:r>
      <w:proofErr w:type="spellEnd"/>
      <w:r w:rsidRPr="004B60A0">
        <w:t>, 2004). Holroyd and Coles (2002) propose a model where they mentioned that ERN amplitude is linked to the mesencephalic dopamine system. They suggest that the presence of reward or punishment situations has an impact in dopaminergic activity and thus, in the studied component.</w:t>
      </w:r>
    </w:p>
    <w:p w14:paraId="0B7C0BBC" w14:textId="77777777" w:rsidR="002C1AEB" w:rsidRPr="004B60A0" w:rsidRDefault="002C1AEB" w:rsidP="004B7389">
      <w:pPr>
        <w:pStyle w:val="Textoindependiente"/>
        <w:spacing w:line="240" w:lineRule="auto"/>
      </w:pPr>
      <w:r w:rsidRPr="004B60A0">
        <w:t xml:space="preserve">In reward-learning processes, the mesencephalic dopamine system encodes certain hedonic aspects of the reward (Ferdinand, </w:t>
      </w:r>
      <w:proofErr w:type="spellStart"/>
      <w:r w:rsidRPr="004B60A0">
        <w:t>Mecklinger</w:t>
      </w:r>
      <w:proofErr w:type="spellEnd"/>
      <w:r>
        <w:t>,</w:t>
      </w:r>
      <w:r w:rsidRPr="004B60A0">
        <w:t xml:space="preserve"> &amp; Kray, 2008; Schultz, 2002; Schultz, Dayan</w:t>
      </w:r>
      <w:r>
        <w:t>,</w:t>
      </w:r>
      <w:r w:rsidRPr="004B60A0">
        <w:t xml:space="preserve"> &amp; Montague, 1997).  This system acts as an error signal, in order to adjust the power of association between the stimulus and the responses. In this sense, when an event turns out better than expected, a positive dopaminergic signal is triggered. When the event turns out to be worse, the signal is negative (Schultz, 2002). Similar information encoded by dopaminergic neural activity –related to reward-learning and error prediction– is processed in the prefrontal cortex and the ACC. The latter has different neural populations, which encode separately positive and negative error predictions; this structure’s activity is particularly linked to the action to undertake than to the stimulus itself (Rushworth &amp; Behrens, 2008). </w:t>
      </w:r>
    </w:p>
    <w:p w14:paraId="30DADFE6" w14:textId="77777777" w:rsidR="002C1AEB" w:rsidRPr="005012EB" w:rsidRDefault="002C1AEB" w:rsidP="004B7389">
      <w:pPr>
        <w:pStyle w:val="Textoindependiente"/>
        <w:spacing w:line="240" w:lineRule="auto"/>
        <w:rPr>
          <w:color w:val="00B0F0"/>
        </w:rPr>
      </w:pPr>
      <w:r>
        <w:t xml:space="preserve">On the other hand, as Ne/ERN is an electroencephalographic component related to error detection, is highly probable that it might be modified by the precision level of a task, which can be obtained and evaluated by the means of over-learning. Over-learning is the ongoing </w:t>
      </w:r>
      <w:r>
        <w:lastRenderedPageBreak/>
        <w:t xml:space="preserve">performance of a task immediately after its initial mastery, an error-free performance or when an improvement has plateaued (Driskell, Willis, &amp; Copper, 1992; Rohrer &amp; </w:t>
      </w:r>
      <w:proofErr w:type="spellStart"/>
      <w:r>
        <w:t>Pashler</w:t>
      </w:r>
      <w:proofErr w:type="spellEnd"/>
      <w:r>
        <w:t xml:space="preserve">, 2007; Shibata, 2017). In general, over-learning is an inefficient strategy in long-term learning (Rohrer, Taylor, </w:t>
      </w:r>
      <w:proofErr w:type="spellStart"/>
      <w:r w:rsidRPr="16A294BA">
        <w:t>Pashler</w:t>
      </w:r>
      <w:proofErr w:type="spellEnd"/>
      <w:r w:rsidRPr="16A294BA">
        <w:t xml:space="preserve">, </w:t>
      </w:r>
      <w:proofErr w:type="spellStart"/>
      <w:r w:rsidRPr="16A294BA">
        <w:t>Wixted</w:t>
      </w:r>
      <w:proofErr w:type="spellEnd"/>
      <w:r>
        <w:t>,</w:t>
      </w:r>
      <w:r w:rsidRPr="16A294BA">
        <w:t xml:space="preserve"> &amp; Cepeda, 2005) and has an effect on the error rate. For example, it has been found that perseverative errors are higher in over-learning conditions, although in such conditions there is better performance in a reversal learning task (</w:t>
      </w:r>
      <w:r w:rsidRPr="00E6644B">
        <w:t>Dhawan, Tait, &amp; Brown, 2019</w:t>
      </w:r>
      <w:r w:rsidRPr="16DB047D">
        <w:rPr>
          <w:color w:val="FF0000"/>
        </w:rPr>
        <w:t>)</w:t>
      </w:r>
      <w:r>
        <w:t xml:space="preserve">. </w:t>
      </w:r>
      <w:proofErr w:type="spellStart"/>
      <w:r>
        <w:t>Scheffers</w:t>
      </w:r>
      <w:proofErr w:type="spellEnd"/>
      <w:r>
        <w:t xml:space="preserve"> and Coles (2000) found that Ne/ERN varies with the perception of an imprecise behavior. The relationship between speed/precision and Ne/ERN suggests that this process is influenced by the importance given to errors by the participants: the greater the importance given, the stronger the Ne/ERN manifestation (Gehring Goss, Coles, Meyer, &amp; </w:t>
      </w:r>
      <w:proofErr w:type="spellStart"/>
      <w:r>
        <w:t>Donchin</w:t>
      </w:r>
      <w:proofErr w:type="spellEnd"/>
      <w:r>
        <w:t>, 2018). In this sense, there is evidence to suggest that motivational influences on monitoring performance have effects on Ne/ERN (</w:t>
      </w:r>
      <w:r w:rsidRPr="005012EB">
        <w:t xml:space="preserve">Unger, </w:t>
      </w:r>
      <w:proofErr w:type="spellStart"/>
      <w:r w:rsidRPr="005012EB">
        <w:t>Greulich</w:t>
      </w:r>
      <w:proofErr w:type="spellEnd"/>
      <w:r w:rsidRPr="005012EB">
        <w:t>, &amp; Kray, 2014</w:t>
      </w:r>
      <w:r>
        <w:t xml:space="preserve">) </w:t>
      </w:r>
      <w:r w:rsidRPr="005012EB">
        <w:t>Thus, in the present study, we hypothesize that over-learning and Correct-Response Feedback, increase Ne/ERN amplitude.</w:t>
      </w:r>
    </w:p>
    <w:p w14:paraId="57CC41A9" w14:textId="77777777" w:rsidR="002C1AEB" w:rsidRPr="005012EB" w:rsidRDefault="002C1AEB" w:rsidP="004B7389">
      <w:pPr>
        <w:pStyle w:val="Textoindependiente"/>
        <w:spacing w:line="240" w:lineRule="auto"/>
      </w:pPr>
    </w:p>
    <w:p w14:paraId="51FFD8B2" w14:textId="77777777" w:rsidR="002C1AEB" w:rsidRPr="004B60A0" w:rsidRDefault="002C1AEB" w:rsidP="004B7389">
      <w:pPr>
        <w:pStyle w:val="Textoindependiente"/>
        <w:spacing w:line="240" w:lineRule="auto"/>
        <w:ind w:firstLine="0"/>
        <w:jc w:val="center"/>
        <w:rPr>
          <w:b/>
        </w:rPr>
      </w:pPr>
      <w:r w:rsidRPr="004B60A0">
        <w:rPr>
          <w:b/>
        </w:rPr>
        <w:t>Method</w:t>
      </w:r>
    </w:p>
    <w:p w14:paraId="5F28F882" w14:textId="77777777" w:rsidR="002C1AEB" w:rsidRPr="004B60A0" w:rsidRDefault="002C1AEB" w:rsidP="004B7389">
      <w:pPr>
        <w:pStyle w:val="Textoindependiente"/>
        <w:spacing w:line="240" w:lineRule="auto"/>
        <w:ind w:firstLine="0"/>
        <w:rPr>
          <w:b/>
        </w:rPr>
      </w:pPr>
      <w:r w:rsidRPr="004B60A0">
        <w:rPr>
          <w:b/>
        </w:rPr>
        <w:t>Participants</w:t>
      </w:r>
    </w:p>
    <w:p w14:paraId="41D276E2" w14:textId="6355DD76" w:rsidR="002C1AEB" w:rsidRDefault="002C1AEB" w:rsidP="004B7389">
      <w:pPr>
        <w:pStyle w:val="Textoindependiente"/>
        <w:spacing w:line="240" w:lineRule="auto"/>
      </w:pPr>
      <w:r w:rsidRPr="004B60A0">
        <w:t>Thirty</w:t>
      </w:r>
      <w:r>
        <w:t>-</w:t>
      </w:r>
      <w:r w:rsidRPr="004B60A0">
        <w:t xml:space="preserve">two female participants were recruited from a Mexican university subject pool, ages between 18 and 24. The mean of age of the group was 22. None of the participants reported having any neurological disorder or condition. None of them were currently taking any prescription medications, alcohol or drugs. All participants had normal or corrected-to-normal vision.  Ethical criteria </w:t>
      </w:r>
      <w:r>
        <w:t>were</w:t>
      </w:r>
      <w:r w:rsidRPr="004B60A0">
        <w:t xml:space="preserve"> conducted in accordance with the Declaration of Helsinki (World Medical Association, 2013), including informed consent of the participants. The research protocol was approved by the Research Board of the Department of Psychology.</w:t>
      </w:r>
    </w:p>
    <w:p w14:paraId="09AEFE2D" w14:textId="77777777" w:rsidR="004B7389" w:rsidRDefault="004B7389" w:rsidP="004B7389">
      <w:pPr>
        <w:pStyle w:val="Textoindependiente"/>
        <w:spacing w:line="240" w:lineRule="auto"/>
        <w:ind w:firstLine="0"/>
        <w:rPr>
          <w:b/>
          <w:bCs/>
        </w:rPr>
      </w:pPr>
    </w:p>
    <w:p w14:paraId="701DE183" w14:textId="104A33B9" w:rsidR="002C1AEB" w:rsidRPr="002C1AEB" w:rsidRDefault="002C1AEB" w:rsidP="004B7389">
      <w:pPr>
        <w:pStyle w:val="Textoindependiente"/>
        <w:spacing w:line="240" w:lineRule="auto"/>
        <w:ind w:firstLine="0"/>
        <w:rPr>
          <w:b/>
          <w:bCs/>
        </w:rPr>
      </w:pPr>
      <w:r>
        <w:rPr>
          <w:b/>
          <w:bCs/>
        </w:rPr>
        <w:t>Material</w:t>
      </w:r>
      <w:r w:rsidR="00EB0362">
        <w:rPr>
          <w:b/>
          <w:bCs/>
        </w:rPr>
        <w:t xml:space="preserve">s and Procedure </w:t>
      </w:r>
    </w:p>
    <w:p w14:paraId="0148EBE7" w14:textId="317A29F4" w:rsidR="002C1AEB" w:rsidRPr="00EB0362" w:rsidRDefault="002C1AEB" w:rsidP="004B7389">
      <w:pPr>
        <w:pStyle w:val="Textoindependiente"/>
        <w:spacing w:line="240" w:lineRule="auto"/>
        <w:rPr>
          <w:b/>
        </w:rPr>
      </w:pPr>
      <w:r w:rsidRPr="00EB0362">
        <w:rPr>
          <w:b/>
        </w:rPr>
        <w:t>First phase: Training</w:t>
      </w:r>
      <w:r w:rsidR="00EB0362">
        <w:rPr>
          <w:b/>
        </w:rPr>
        <w:t xml:space="preserve">. </w:t>
      </w:r>
      <w:r w:rsidRPr="004B60A0">
        <w:t>Previous to ERP evaluation, participants were randomly divided into four groups and were exposed to four different experimental conditions: a) over-learning and correct response feedback learning (</w:t>
      </w:r>
      <w:r w:rsidRPr="004B60A0">
        <w:rPr>
          <w:i/>
          <w:iCs/>
        </w:rPr>
        <w:t>N</w:t>
      </w:r>
      <w:r w:rsidRPr="004B60A0">
        <w:t xml:space="preserve"> = 8); b) over-learning and incorrect response feedback learning (</w:t>
      </w:r>
      <w:r w:rsidRPr="004B60A0">
        <w:rPr>
          <w:i/>
          <w:iCs/>
        </w:rPr>
        <w:t>N</w:t>
      </w:r>
      <w:r w:rsidRPr="004B60A0">
        <w:t xml:space="preserve"> = 7); c) correct response feedback learning without over-learning (</w:t>
      </w:r>
      <w:r w:rsidRPr="004B60A0">
        <w:rPr>
          <w:i/>
          <w:iCs/>
        </w:rPr>
        <w:t>N</w:t>
      </w:r>
      <w:r w:rsidRPr="004B60A0">
        <w:t xml:space="preserve"> = 7) and d) incorrect response feedback learning without over-learning (</w:t>
      </w:r>
      <w:r w:rsidRPr="004B60A0">
        <w:rPr>
          <w:i/>
          <w:iCs/>
        </w:rPr>
        <w:t>N</w:t>
      </w:r>
      <w:r w:rsidRPr="004B60A0">
        <w:t xml:space="preserve"> = 10). Feedback on correct or incorrect responses was presented in the form of a visual and auditory reward or punishment. In this phase, participants were exposed to a visual discrimination task, presented on </w:t>
      </w:r>
      <w:proofErr w:type="spellStart"/>
      <w:r w:rsidRPr="004B60A0">
        <w:t>SuperLab</w:t>
      </w:r>
      <w:proofErr w:type="spellEnd"/>
      <w:r w:rsidRPr="004B60A0">
        <w:t xml:space="preserve"> v. 4.08 (</w:t>
      </w:r>
      <w:proofErr w:type="spellStart"/>
      <w:r w:rsidRPr="004B60A0">
        <w:t>Cedrus</w:t>
      </w:r>
      <w:proofErr w:type="spellEnd"/>
      <w:r w:rsidRPr="004B60A0">
        <w:t xml:space="preserve">, 2009).  Subjects were presented with an asterisk on the screen as a warning cue. Random stimuli were presented in the forms of crosses (+) and exes (x), for 1000 </w:t>
      </w:r>
      <w:proofErr w:type="spellStart"/>
      <w:r w:rsidRPr="004B60A0">
        <w:t>ms</w:t>
      </w:r>
      <w:proofErr w:type="spellEnd"/>
      <w:r w:rsidRPr="004B60A0">
        <w:t xml:space="preserve">, in 260 pt. Helvetic, on a 21” screen, with 1680 x 1050 pixel resolution. Participants were instructed to press the key that matched the stimulus as fast as possible on a </w:t>
      </w:r>
      <w:proofErr w:type="spellStart"/>
      <w:r w:rsidRPr="004B60A0">
        <w:t>Cedrus</w:t>
      </w:r>
      <w:proofErr w:type="spellEnd"/>
      <w:r w:rsidRPr="004B60A0">
        <w:t xml:space="preserve"> RB-830answer keyboard.  The task was the same throughout all four experimental conditions (and during EEG recording).</w:t>
      </w:r>
    </w:p>
    <w:p w14:paraId="658EAF7E" w14:textId="77777777" w:rsidR="002C1AEB" w:rsidRPr="004B60A0" w:rsidRDefault="002C1AEB" w:rsidP="004B7389">
      <w:pPr>
        <w:pStyle w:val="Textoindependiente"/>
        <w:spacing w:line="240" w:lineRule="auto"/>
      </w:pPr>
      <w:r w:rsidRPr="004B60A0">
        <w:t xml:space="preserve">During over-learning, participants reached the correct/incorrect feedback phase only after achieving 60 correct responses plus 30 correct practice trials in a row. If participants were correct during the correct answer feedback phase, they were rewarded with a bell-like success sound accompanied by the word “bien” (good, in English). During the incorrect response feedback condition, when participants made a mistake, a “wrong answer” buzzer indicated failure and the word “mal” (bad, in English) appeared on screen. Feedback was absent when subjects answered correctly. In conditions without over-learning and with correct/incorrect response feedback, </w:t>
      </w:r>
      <w:r>
        <w:t>aversive</w:t>
      </w:r>
      <w:r w:rsidRPr="004B60A0">
        <w:t xml:space="preserve"> and rewarding sounds were present, without </w:t>
      </w:r>
      <w:r>
        <w:t>considering</w:t>
      </w:r>
      <w:r w:rsidRPr="004B60A0">
        <w:t xml:space="preserve"> the 60 correct responses plus </w:t>
      </w:r>
      <w:r w:rsidRPr="004B60A0">
        <w:lastRenderedPageBreak/>
        <w:t xml:space="preserve">the 30 correct practice trials criteria. Under these conditions, only 10 trials were performed prior to electroencephalographic recording. </w:t>
      </w:r>
    </w:p>
    <w:p w14:paraId="5425B1F3" w14:textId="46023B48" w:rsidR="002C1AEB" w:rsidRPr="00EB0362" w:rsidRDefault="002C1AEB" w:rsidP="004B7389">
      <w:pPr>
        <w:pStyle w:val="Textoindependiente"/>
        <w:spacing w:line="240" w:lineRule="auto"/>
        <w:rPr>
          <w:b/>
        </w:rPr>
      </w:pPr>
      <w:r w:rsidRPr="004B60A0">
        <w:rPr>
          <w:b/>
        </w:rPr>
        <w:t>Second phase: Recording task</w:t>
      </w:r>
      <w:r w:rsidR="00EB0362">
        <w:rPr>
          <w:b/>
        </w:rPr>
        <w:t xml:space="preserve">. </w:t>
      </w:r>
      <w:r w:rsidRPr="004B60A0">
        <w:t>During the Ne/ERN recording task, participants were presented with four blocks of 50 random stimuli each, with a one</w:t>
      </w:r>
      <w:r>
        <w:t>-</w:t>
      </w:r>
      <w:r w:rsidRPr="004B60A0">
        <w:t xml:space="preserve">minute pause between blocks. 20 percent of stimuli were targets. Stimuli were presented according to the </w:t>
      </w:r>
      <w:r w:rsidRPr="004B60A0">
        <w:rPr>
          <w:i/>
        </w:rPr>
        <w:t xml:space="preserve">oddball </w:t>
      </w:r>
      <w:r w:rsidRPr="004B60A0">
        <w:t>paradigm standard</w:t>
      </w:r>
      <w:r>
        <w:t xml:space="preserve"> (see figure 1).</w:t>
      </w:r>
      <w:r w:rsidRPr="004B60A0">
        <w:t xml:space="preserve"> The stimuli were presented in a similar way to the one used in the previous phase on a 17” LCD screen with 1024 x 768 pixels resolution, using E-Prime v. 2.0 program (Psychology Software Tools, Inc., 2008). </w:t>
      </w:r>
    </w:p>
    <w:p w14:paraId="45289F5A" w14:textId="77777777" w:rsidR="002C1AEB" w:rsidRDefault="002C1AEB" w:rsidP="004B7389">
      <w:pPr>
        <w:pStyle w:val="Textoindependiente"/>
        <w:spacing w:line="240" w:lineRule="auto"/>
        <w:ind w:firstLine="0"/>
      </w:pPr>
    </w:p>
    <w:p w14:paraId="42762500" w14:textId="77777777" w:rsidR="002C1AEB" w:rsidRDefault="002C1AEB" w:rsidP="004B7389">
      <w:pPr>
        <w:pStyle w:val="Textoindependiente"/>
        <w:spacing w:line="240" w:lineRule="auto"/>
        <w:ind w:firstLine="0"/>
      </w:pPr>
      <w:r>
        <w:rPr>
          <w:noProof/>
        </w:rPr>
        <w:drawing>
          <wp:inline distT="0" distB="0" distL="0" distR="0" wp14:anchorId="34722748" wp14:editId="1A59C3E9">
            <wp:extent cx="2474452" cy="1443430"/>
            <wp:effectExtent l="0" t="0" r="0" b="0"/>
            <wp:docPr id="2" name="Imagen 849347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9347160"/>
                    <pic:cNvPicPr/>
                  </pic:nvPicPr>
                  <pic:blipFill>
                    <a:blip r:embed="rId13">
                      <a:extLst>
                        <a:ext uri="{28A0092B-C50C-407E-A947-70E740481C1C}">
                          <a14:useLocalDpi xmlns:a14="http://schemas.microsoft.com/office/drawing/2010/main" val="0"/>
                        </a:ext>
                      </a:extLst>
                    </a:blip>
                    <a:stretch>
                      <a:fillRect/>
                    </a:stretch>
                  </pic:blipFill>
                  <pic:spPr>
                    <a:xfrm>
                      <a:off x="0" y="0"/>
                      <a:ext cx="2474452" cy="1443430"/>
                    </a:xfrm>
                    <a:prstGeom prst="rect">
                      <a:avLst/>
                    </a:prstGeom>
                  </pic:spPr>
                </pic:pic>
              </a:graphicData>
            </a:graphic>
          </wp:inline>
        </w:drawing>
      </w:r>
    </w:p>
    <w:p w14:paraId="49763AA7" w14:textId="77777777" w:rsidR="002C1AEB" w:rsidRDefault="002C1AEB" w:rsidP="004B7389">
      <w:pPr>
        <w:pStyle w:val="Textoindependiente"/>
        <w:spacing w:line="240" w:lineRule="auto"/>
        <w:ind w:firstLine="0"/>
      </w:pPr>
      <w:r w:rsidRPr="303FBE37">
        <w:rPr>
          <w:i/>
          <w:iCs/>
        </w:rPr>
        <w:t>Figure 1</w:t>
      </w:r>
      <w:r>
        <w:t>. Paradigm for ERN.</w:t>
      </w:r>
    </w:p>
    <w:p w14:paraId="56F5B24C" w14:textId="0882DA33" w:rsidR="002C1AEB" w:rsidRPr="004B7389" w:rsidRDefault="002C1AEB" w:rsidP="004B7389">
      <w:pPr>
        <w:pStyle w:val="Textoindependiente"/>
        <w:spacing w:line="240" w:lineRule="auto"/>
        <w:rPr>
          <w:b/>
        </w:rPr>
      </w:pPr>
      <w:r w:rsidRPr="004B60A0">
        <w:rPr>
          <w:b/>
        </w:rPr>
        <w:t>EEG recording and analysis</w:t>
      </w:r>
      <w:r w:rsidR="004B7389">
        <w:rPr>
          <w:b/>
        </w:rPr>
        <w:t xml:space="preserve">. </w:t>
      </w:r>
      <w:r w:rsidRPr="004B60A0">
        <w:t xml:space="preserve">EEG was recorded from 256 </w:t>
      </w:r>
      <w:proofErr w:type="spellStart"/>
      <w:r w:rsidRPr="004B60A0">
        <w:t>Hydrocel</w:t>
      </w:r>
      <w:proofErr w:type="spellEnd"/>
      <w:r w:rsidRPr="004B60A0">
        <w:t xml:space="preserve"> Geodesic Sensor scalp sites using the Geodesic EEG System 300, with an EEG </w:t>
      </w:r>
      <w:r w:rsidRPr="004B60A0">
        <w:rPr>
          <w:i/>
        </w:rPr>
        <w:t xml:space="preserve">Dense Array </w:t>
      </w:r>
      <w:r w:rsidRPr="004B60A0">
        <w:t>system</w:t>
      </w:r>
      <w:r w:rsidRPr="004B60A0">
        <w:rPr>
          <w:i/>
        </w:rPr>
        <w:t xml:space="preserve"> </w:t>
      </w:r>
      <w:r w:rsidRPr="004B60A0">
        <w:t xml:space="preserve">(Electrical Geodesics [EGI], 2010), with a </w:t>
      </w:r>
      <w:proofErr w:type="spellStart"/>
      <w:r w:rsidRPr="004B60A0">
        <w:t>HydroCel</w:t>
      </w:r>
      <w:proofErr w:type="spellEnd"/>
      <w:r w:rsidRPr="004B60A0">
        <w:t xml:space="preserve"> GSN 256 1.0 montage (EGI, 2001). All electrode impedances were kept below 50 </w:t>
      </w:r>
      <w:proofErr w:type="spellStart"/>
      <w:r>
        <w:t>kΩ</w:t>
      </w:r>
      <w:proofErr w:type="spellEnd"/>
      <w:r w:rsidRPr="004B60A0">
        <w:t xml:space="preserve"> at the beginning of the recording. All channels were referenced to </w:t>
      </w:r>
      <w:proofErr w:type="spellStart"/>
      <w:r w:rsidRPr="004B60A0">
        <w:t>Cz</w:t>
      </w:r>
      <w:proofErr w:type="spellEnd"/>
      <w:r w:rsidRPr="004B60A0">
        <w:t xml:space="preserve"> and collected using 0.3-100 Hz bandpass. Afterwards, all channels were referenced to polar average reference effect (PARE) correction (EGI, 2006) and baseline corrected using 100 </w:t>
      </w:r>
      <w:proofErr w:type="spellStart"/>
      <w:r w:rsidRPr="004B60A0">
        <w:t>ms</w:t>
      </w:r>
      <w:proofErr w:type="spellEnd"/>
      <w:r w:rsidRPr="004B60A0">
        <w:t xml:space="preserve"> baseline </w:t>
      </w:r>
      <w:r>
        <w:t>period</w:t>
      </w:r>
      <w:r w:rsidRPr="004B60A0">
        <w:t xml:space="preserve"> relative to segment start. The EEG data were filtered allowing frequencies between 0.01-30 Hz. Segments with artifacts due to 10 or more channels with data with fast average amplitude &gt;200µV or differential amplitude &gt;100µV, eye movement and blinking (&gt;70µV) were eliminated from the recording. For the recording segmentation we took the subject’s response as a starting point of the segment, extending it as far as 200 </w:t>
      </w:r>
      <w:proofErr w:type="spellStart"/>
      <w:r w:rsidRPr="004B60A0">
        <w:t>ms</w:t>
      </w:r>
      <w:proofErr w:type="spellEnd"/>
      <w:r w:rsidRPr="004B60A0">
        <w:t xml:space="preserve">, interval in which Ne/ERN event related potential appears according to literature (Gehring et al. 1990). For the statistical treatment only the recordings that surpassed 95.7% of correct channels or without significant artifacts were used. Spherical Spline Interpolation was used to recalculate bad-channel recordings. For the numerical data we only considered those errors made by mistake, not the ones made by omission. For the statistical treatment of Ne/ERN data was defined as the highest negative peak </w:t>
      </w:r>
      <w:r>
        <w:t xml:space="preserve">exhibited in </w:t>
      </w:r>
      <w:r w:rsidRPr="004B60A0">
        <w:t xml:space="preserve">a </w:t>
      </w:r>
      <w:r>
        <w:t>-</w:t>
      </w:r>
      <w:r w:rsidRPr="004B60A0">
        <w:t>100 ms</w:t>
      </w:r>
      <w:r>
        <w:t xml:space="preserve">-to-100 </w:t>
      </w:r>
      <w:proofErr w:type="spellStart"/>
      <w:r w:rsidRPr="004B60A0">
        <w:rPr>
          <w:lang w:eastAsia="es-ES"/>
        </w:rPr>
        <w:t>ms</w:t>
      </w:r>
      <w:proofErr w:type="spellEnd"/>
      <w:r w:rsidRPr="004B60A0">
        <w:rPr>
          <w:lang w:eastAsia="es-ES"/>
        </w:rPr>
        <w:t xml:space="preserve"> window relative to</w:t>
      </w:r>
      <w:r w:rsidRPr="303FBE37">
        <w:rPr>
          <w:lang w:eastAsia="es-ES"/>
        </w:rPr>
        <w:t xml:space="preserve"> incorrect response for each participant. </w:t>
      </w:r>
      <w:r w:rsidRPr="004B60A0">
        <w:rPr>
          <w:lang w:eastAsia="es-ES"/>
        </w:rPr>
        <w:t>Segments baseline were corrected as mentioned before.</w:t>
      </w:r>
    </w:p>
    <w:p w14:paraId="2AC5FE01" w14:textId="77777777" w:rsidR="002C1AEB" w:rsidRPr="004B60A0" w:rsidRDefault="002C1AEB" w:rsidP="004B7389">
      <w:pPr>
        <w:pStyle w:val="Textoindependiente"/>
        <w:spacing w:line="240" w:lineRule="auto"/>
      </w:pPr>
      <w:r w:rsidRPr="004B60A0">
        <w:t xml:space="preserve">Finally, following </w:t>
      </w:r>
      <w:proofErr w:type="spellStart"/>
      <w:r w:rsidRPr="004B60A0">
        <w:t>Falkenstein</w:t>
      </w:r>
      <w:proofErr w:type="spellEnd"/>
      <w:r w:rsidRPr="004B60A0">
        <w:t xml:space="preserve"> et al. (1991) and Gehring et al. (1990), studies in which Ne/ERN appears in frontal-central and central areas, respectively, two different montages were created: frontal-central layout including 26 electrode positions and central layout with 15 electrodes (see figure </w:t>
      </w:r>
      <w:r>
        <w:t>2</w:t>
      </w:r>
      <w:r w:rsidRPr="004B60A0">
        <w:t xml:space="preserve">). </w:t>
      </w:r>
    </w:p>
    <w:p w14:paraId="08AE3187" w14:textId="77777777" w:rsidR="002C1AEB" w:rsidRPr="004B60A0" w:rsidRDefault="002C1AEB" w:rsidP="004B7389">
      <w:pPr>
        <w:pStyle w:val="Textoindependiente"/>
        <w:spacing w:line="240" w:lineRule="auto"/>
      </w:pPr>
      <w:r w:rsidRPr="004B60A0">
        <w:rPr>
          <w:noProof/>
          <w:color w:val="2B579A"/>
          <w:shd w:val="clear" w:color="auto" w:fill="E6E6E6"/>
        </w:rPr>
        <w:lastRenderedPageBreak/>
        <mc:AlternateContent>
          <mc:Choice Requires="wps">
            <w:drawing>
              <wp:anchor distT="0" distB="0" distL="114300" distR="114300" simplePos="0" relativeHeight="251660288" behindDoc="0" locked="0" layoutInCell="1" allowOverlap="1" wp14:anchorId="00BD7174" wp14:editId="7EB61E44">
                <wp:simplePos x="0" y="0"/>
                <wp:positionH relativeFrom="column">
                  <wp:posOffset>626533</wp:posOffset>
                </wp:positionH>
                <wp:positionV relativeFrom="paragraph">
                  <wp:posOffset>84666</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9BAD34" w14:textId="77777777" w:rsidR="002C1AEB" w:rsidRPr="00884653" w:rsidRDefault="002C1AEB" w:rsidP="002C1AEB">
                            <w:pPr>
                              <w:pStyle w:val="Textoindependiente"/>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4653">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884653">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84653">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84653">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84653">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84653">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84653">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84653">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0BD7174" id="_x0000_t202" coordsize="21600,21600" o:spt="202" path="m,l,21600r21600,l21600,xe">
                <v:stroke joinstyle="miter"/>
                <v:path gradientshapeok="t" o:connecttype="rect"/>
              </v:shapetype>
              <v:shape id="Text Box 1" o:spid="_x0000_s1026" type="#_x0000_t202" style="position:absolute;left:0;text-align:left;margin-left:49.35pt;margin-top:6.6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" filled="f" stroked="f">
                <v:textbox style="mso-fit-shape-to-text:t">
                  <w:txbxContent>
                    <w:p w14:paraId="569BAD34" w14:textId="77777777" w:rsidR="002C1AEB" w:rsidRPr="00884653" w:rsidRDefault="002C1AEB" w:rsidP="002C1AEB">
                      <w:pPr>
                        <w:pStyle w:val="BodyText"/>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4653">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884653">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84653">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84653">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84653">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84653">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84653">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84653">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B</w:t>
                      </w:r>
                    </w:p>
                  </w:txbxContent>
                </v:textbox>
              </v:shape>
            </w:pict>
          </mc:Fallback>
        </mc:AlternateContent>
      </w:r>
      <w:r w:rsidRPr="004B60A0">
        <w:rPr>
          <w:noProof/>
          <w:color w:val="2B579A"/>
          <w:shd w:val="clear" w:color="auto" w:fill="E6E6E6"/>
        </w:rPr>
        <w:drawing>
          <wp:inline distT="0" distB="0" distL="0" distR="0" wp14:anchorId="2BB42093" wp14:editId="38526ECF">
            <wp:extent cx="4572000" cy="2238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238375"/>
                    </a:xfrm>
                    <a:prstGeom prst="rect">
                      <a:avLst/>
                    </a:prstGeom>
                  </pic:spPr>
                </pic:pic>
              </a:graphicData>
            </a:graphic>
          </wp:inline>
        </w:drawing>
      </w:r>
    </w:p>
    <w:p w14:paraId="1DAEAE42" w14:textId="77777777" w:rsidR="002C1AEB" w:rsidRPr="004B60A0" w:rsidRDefault="002C1AEB" w:rsidP="004B7389">
      <w:pPr>
        <w:rPr>
          <w:lang w:val="en-US"/>
        </w:rPr>
      </w:pPr>
      <w:r w:rsidRPr="004B60A0">
        <w:rPr>
          <w:i/>
          <w:iCs/>
          <w:lang w:val="en-US"/>
        </w:rPr>
        <w:t xml:space="preserve">Figure </w:t>
      </w:r>
      <w:r w:rsidRPr="303FBE37">
        <w:rPr>
          <w:i/>
          <w:iCs/>
          <w:lang w:val="en-US"/>
        </w:rPr>
        <w:t>2</w:t>
      </w:r>
      <w:r w:rsidRPr="004B60A0">
        <w:rPr>
          <w:i/>
          <w:iCs/>
          <w:lang w:val="en-US"/>
        </w:rPr>
        <w:t xml:space="preserve">. </w:t>
      </w:r>
      <w:r w:rsidRPr="004B60A0">
        <w:rPr>
          <w:lang w:val="en-US"/>
        </w:rPr>
        <w:t>A) Central montage, B) Frontal-central montage.</w:t>
      </w:r>
    </w:p>
    <w:p w14:paraId="515FE5E1" w14:textId="3FF99DF0" w:rsidR="002C1AEB" w:rsidRDefault="002C1AEB" w:rsidP="004B7389">
      <w:pPr>
        <w:pStyle w:val="Textoindependiente"/>
        <w:spacing w:line="240" w:lineRule="auto"/>
        <w:ind w:firstLine="0"/>
        <w:rPr>
          <w:b/>
          <w:i/>
        </w:rPr>
      </w:pPr>
    </w:p>
    <w:p w14:paraId="662CE4E4" w14:textId="77777777" w:rsidR="002C1AEB" w:rsidRPr="004B60A0" w:rsidRDefault="002C1AEB" w:rsidP="004B7389">
      <w:pPr>
        <w:pStyle w:val="Textoindependiente"/>
        <w:spacing w:line="240" w:lineRule="auto"/>
        <w:ind w:firstLine="0"/>
        <w:rPr>
          <w:b/>
          <w:i/>
        </w:rPr>
      </w:pPr>
    </w:p>
    <w:p w14:paraId="6FF2594E" w14:textId="21B1F26B" w:rsidR="002C1AEB" w:rsidRPr="004B7389" w:rsidRDefault="002C1AEB" w:rsidP="004B7389">
      <w:pPr>
        <w:pStyle w:val="Textoindependiente"/>
        <w:spacing w:line="240" w:lineRule="auto"/>
        <w:rPr>
          <w:b/>
          <w:iCs/>
        </w:rPr>
      </w:pPr>
      <w:r w:rsidRPr="004B7389">
        <w:rPr>
          <w:b/>
          <w:iCs/>
        </w:rPr>
        <w:t>Statistical analysis</w:t>
      </w:r>
      <w:r w:rsidR="004B7389">
        <w:rPr>
          <w:b/>
          <w:iCs/>
        </w:rPr>
        <w:t xml:space="preserve">. </w:t>
      </w:r>
      <w:r w:rsidRPr="004B60A0">
        <w:t>Final data for the statistical analysis were a) Adaptive mean of Ne/ERN amplitude – redefined mean from a new interval, after calculating the mean of Ne/ERN original amplitude (EGI, 2006)–; b) Minimal Ne/ERN amplitude -the highest negative value in the defined interval-.</w:t>
      </w:r>
      <w:r w:rsidRPr="004B60A0">
        <w:rPr>
          <w:color w:val="FF0000"/>
        </w:rPr>
        <w:t xml:space="preserve"> </w:t>
      </w:r>
      <w:r w:rsidRPr="004B60A0">
        <w:t>A multivariate analysis was performed with two-way ANOVA, for comparisons between all conditions. For comparisons between two conditions, Mann Whitney's U was used.</w:t>
      </w:r>
    </w:p>
    <w:p w14:paraId="3F5900F8" w14:textId="77777777" w:rsidR="002C1AEB" w:rsidRPr="004B60A0" w:rsidRDefault="002C1AEB" w:rsidP="004B7389">
      <w:pPr>
        <w:pStyle w:val="Textoindependiente"/>
        <w:spacing w:line="240" w:lineRule="auto"/>
        <w:ind w:firstLine="0"/>
        <w:jc w:val="center"/>
        <w:rPr>
          <w:b/>
        </w:rPr>
      </w:pPr>
    </w:p>
    <w:p w14:paraId="5486F8D8" w14:textId="77777777" w:rsidR="002C1AEB" w:rsidRPr="004B60A0" w:rsidRDefault="002C1AEB" w:rsidP="004B7389">
      <w:pPr>
        <w:pStyle w:val="Textoindependiente"/>
        <w:spacing w:line="240" w:lineRule="auto"/>
        <w:ind w:firstLine="0"/>
        <w:jc w:val="center"/>
        <w:rPr>
          <w:b/>
        </w:rPr>
      </w:pPr>
      <w:r w:rsidRPr="004B60A0">
        <w:rPr>
          <w:b/>
        </w:rPr>
        <w:t>Results</w:t>
      </w:r>
    </w:p>
    <w:p w14:paraId="59054CA3" w14:textId="77777777" w:rsidR="002C1AEB" w:rsidRPr="002C1AEB" w:rsidRDefault="002C1AEB" w:rsidP="004B7389">
      <w:pPr>
        <w:pStyle w:val="Textoindependiente"/>
        <w:spacing w:line="240" w:lineRule="auto"/>
        <w:ind w:firstLine="0"/>
        <w:rPr>
          <w:i/>
          <w:iCs/>
        </w:rPr>
      </w:pPr>
      <w:r w:rsidRPr="002C1AEB">
        <w:rPr>
          <w:i/>
          <w:iCs/>
        </w:rPr>
        <w:t>Behavior performance</w:t>
      </w:r>
    </w:p>
    <w:p w14:paraId="3B59DEB5" w14:textId="77777777" w:rsidR="002C1AEB" w:rsidRPr="004B60A0" w:rsidRDefault="002C1AEB" w:rsidP="004B7389">
      <w:pPr>
        <w:pStyle w:val="Textoindependiente"/>
        <w:spacing w:line="240" w:lineRule="auto"/>
      </w:pPr>
      <w:r w:rsidRPr="004B60A0">
        <w:t>The behavioral performance of the participants shows increased reaction time for correct responses in all conditions (</w:t>
      </w:r>
      <w:r w:rsidRPr="004B60A0">
        <w:rPr>
          <w:noProof/>
          <w:color w:val="2B579A"/>
          <w:shd w:val="clear" w:color="auto" w:fill="E6E6E6"/>
          <w:lang w:val="es-ES_tradnl" w:eastAsia="es-ES_tradnl"/>
        </w:rPr>
        <w:drawing>
          <wp:inline distT="0" distB="0" distL="0" distR="0" wp14:anchorId="4D71D902" wp14:editId="239F0B74">
            <wp:extent cx="162560" cy="162560"/>
            <wp:effectExtent l="0" t="0" r="0" b="0"/>
            <wp:docPr id="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r w:rsidRPr="004B60A0">
        <w:t xml:space="preserve"> = 4 05.25) than for incorrect responses (</w:t>
      </w:r>
      <w:r w:rsidRPr="004B60A0">
        <w:rPr>
          <w:noProof/>
          <w:color w:val="2B579A"/>
          <w:shd w:val="clear" w:color="auto" w:fill="E6E6E6"/>
          <w:lang w:val="es-ES_tradnl" w:eastAsia="es-ES_tradnl"/>
        </w:rPr>
        <w:drawing>
          <wp:inline distT="0" distB="0" distL="0" distR="0" wp14:anchorId="27871FEF" wp14:editId="05E0CF8C">
            <wp:extent cx="162560" cy="162560"/>
            <wp:effectExtent l="0" t="0" r="0" b="0"/>
            <wp:docPr id="5"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r w:rsidRPr="004B60A0">
        <w:t xml:space="preserve"> = 345.21). These differences are significant (</w:t>
      </w:r>
      <w:r w:rsidRPr="4AB799A8">
        <w:rPr>
          <w:i/>
          <w:iCs/>
        </w:rPr>
        <w:t xml:space="preserve">t </w:t>
      </w:r>
      <w:r w:rsidRPr="004B60A0">
        <w:t xml:space="preserve">= 4.84, </w:t>
      </w:r>
      <w:r w:rsidRPr="4AB799A8">
        <w:rPr>
          <w:i/>
          <w:iCs/>
        </w:rPr>
        <w:t>df</w:t>
      </w:r>
      <w:r w:rsidRPr="004B60A0">
        <w:t xml:space="preserve"> = 31, </w:t>
      </w:r>
      <w:r w:rsidRPr="4AB799A8">
        <w:rPr>
          <w:i/>
          <w:iCs/>
        </w:rPr>
        <w:t>p</w:t>
      </w:r>
      <w:r w:rsidRPr="004B60A0">
        <w:t xml:space="preserve"> &lt; .001). No statistically significant differences were found either in reaction times, or the number of errors between the different conditions.</w:t>
      </w:r>
    </w:p>
    <w:p w14:paraId="01C1A943" w14:textId="77777777" w:rsidR="002C1AEB" w:rsidRPr="004B60A0" w:rsidRDefault="002C1AEB" w:rsidP="004B7389">
      <w:pPr>
        <w:pStyle w:val="Textoindependiente"/>
        <w:spacing w:line="240" w:lineRule="auto"/>
        <w:rPr>
          <w:highlight w:val="yellow"/>
        </w:rPr>
      </w:pPr>
      <w:r>
        <w:t xml:space="preserve">The incorrect and correct responses data for each condition are showed in figure 3. The responses occurred in invalid epochs were not considered. For example, segments with artifacts, as noted before. </w:t>
      </w:r>
      <w:r w:rsidRPr="004B60A0">
        <w:t>These responses were analyzed for both</w:t>
      </w:r>
      <w:r>
        <w:t>,</w:t>
      </w:r>
      <w:r w:rsidRPr="004B60A0">
        <w:t xml:space="preserve"> errors and hits, under all conditions. Only differences in error or incorrect responses were found in the OL vs WOL comparison, through a two-way ANOVA (</w:t>
      </w:r>
      <w:r w:rsidRPr="303FBE37">
        <w:rPr>
          <w:i/>
        </w:rPr>
        <w:t>F</w:t>
      </w:r>
      <w:r w:rsidRPr="004B60A0">
        <w:t xml:space="preserve"> (1,28) = 5.745, </w:t>
      </w:r>
      <w:r w:rsidRPr="303FBE37">
        <w:rPr>
          <w:i/>
        </w:rPr>
        <w:t>p</w:t>
      </w:r>
      <w:r w:rsidRPr="004B60A0">
        <w:t xml:space="preserve"> &lt; .05)</w:t>
      </w:r>
    </w:p>
    <w:p w14:paraId="7D872B34" w14:textId="77777777" w:rsidR="002C1AEB" w:rsidRPr="004B60A0" w:rsidRDefault="002C1AEB" w:rsidP="004B7389">
      <w:pPr>
        <w:rPr>
          <w:lang w:val="en-US"/>
        </w:rPr>
      </w:pPr>
    </w:p>
    <w:p w14:paraId="45916F1E" w14:textId="77777777" w:rsidR="002C1AEB" w:rsidRPr="004B60A0" w:rsidRDefault="002C1AEB" w:rsidP="004B7389">
      <w:pPr>
        <w:pStyle w:val="Textoindependiente"/>
        <w:spacing w:line="240" w:lineRule="auto"/>
        <w:rPr>
          <w:i/>
          <w:iCs/>
        </w:rPr>
      </w:pPr>
      <w:r w:rsidRPr="004B60A0">
        <w:rPr>
          <w:noProof/>
          <w:color w:val="2B579A"/>
          <w:shd w:val="clear" w:color="auto" w:fill="E6E6E6"/>
        </w:rPr>
        <w:lastRenderedPageBreak/>
        <w:drawing>
          <wp:inline distT="0" distB="0" distL="0" distR="0" wp14:anchorId="1C86D86C" wp14:editId="7C29614D">
            <wp:extent cx="4548516" cy="2752841"/>
            <wp:effectExtent l="0" t="0" r="0" b="3175"/>
            <wp:docPr id="6" name="Gráfico 57560962">
              <a:extLst xmlns:a="http://schemas.openxmlformats.org/drawingml/2006/main">
                <a:ext uri="{FF2B5EF4-FFF2-40B4-BE49-F238E27FC236}">
                  <a16:creationId xmlns:a16="http://schemas.microsoft.com/office/drawing/2014/main" id="{427962FE-3322-E54F-9E81-5B6C89622F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609ACD" w14:textId="77777777" w:rsidR="002C1AEB" w:rsidRPr="004B60A0" w:rsidRDefault="002C1AEB" w:rsidP="004B7389">
      <w:pPr>
        <w:pStyle w:val="Textoindependiente"/>
        <w:spacing w:line="240" w:lineRule="auto"/>
        <w:ind w:firstLine="0"/>
      </w:pPr>
      <w:r w:rsidRPr="004B60A0">
        <w:rPr>
          <w:i/>
          <w:iCs/>
        </w:rPr>
        <w:t xml:space="preserve">Figure </w:t>
      </w:r>
      <w:r w:rsidRPr="303FBE37">
        <w:rPr>
          <w:i/>
          <w:iCs/>
        </w:rPr>
        <w:t>3</w:t>
      </w:r>
      <w:r w:rsidRPr="004B60A0">
        <w:rPr>
          <w:i/>
          <w:iCs/>
        </w:rPr>
        <w:t>.</w:t>
      </w:r>
      <w:r w:rsidRPr="004B60A0">
        <w:t xml:space="preserve"> Behavioral performance during recording task</w:t>
      </w:r>
    </w:p>
    <w:p w14:paraId="1EA1EA2A" w14:textId="77777777" w:rsidR="004B7389" w:rsidRDefault="004B7389" w:rsidP="004B7389">
      <w:pPr>
        <w:pStyle w:val="Textoindependiente"/>
        <w:spacing w:line="240" w:lineRule="auto"/>
        <w:ind w:firstLine="0"/>
        <w:rPr>
          <w:i/>
          <w:iCs/>
        </w:rPr>
      </w:pPr>
    </w:p>
    <w:p w14:paraId="501FA08F" w14:textId="42ADBFBF" w:rsidR="002C1AEB" w:rsidRPr="004B60A0" w:rsidRDefault="002C1AEB" w:rsidP="004B7389">
      <w:pPr>
        <w:pStyle w:val="Textoindependiente"/>
        <w:spacing w:line="240" w:lineRule="auto"/>
        <w:ind w:firstLine="0"/>
        <w:rPr>
          <w:i/>
          <w:iCs/>
        </w:rPr>
      </w:pPr>
      <w:r w:rsidRPr="004B60A0">
        <w:rPr>
          <w:i/>
          <w:iCs/>
        </w:rPr>
        <w:t>ERN Analysis</w:t>
      </w:r>
    </w:p>
    <w:p w14:paraId="685F71FA" w14:textId="77777777" w:rsidR="002C1AEB" w:rsidRPr="004B60A0" w:rsidRDefault="002C1AEB" w:rsidP="004B7389">
      <w:pPr>
        <w:pStyle w:val="Textoindependiente"/>
        <w:spacing w:line="240" w:lineRule="auto"/>
      </w:pPr>
      <w:r w:rsidRPr="004B60A0">
        <w:t xml:space="preserve">When </w:t>
      </w:r>
      <w:r>
        <w:t>comparing maximum negativity amplitudes,</w:t>
      </w:r>
      <w:r w:rsidRPr="004B60A0">
        <w:t xml:space="preserve"> significant differences were found in </w:t>
      </w:r>
      <w:r>
        <w:t>Ne/ERN minimum amplitude,</w:t>
      </w:r>
      <w:r w:rsidRPr="004B60A0">
        <w:t xml:space="preserve"> in OL/WOL conditions (see figure </w:t>
      </w:r>
      <w:r>
        <w:t>4</w:t>
      </w:r>
      <w:r w:rsidRPr="004B60A0">
        <w:t xml:space="preserve">) for </w:t>
      </w:r>
      <w:r>
        <w:t>central montage</w:t>
      </w:r>
      <w:r w:rsidRPr="004B60A0">
        <w:t xml:space="preserve"> </w:t>
      </w:r>
      <w:r w:rsidRPr="004B60A0">
        <w:rPr>
          <w:i/>
          <w:iCs/>
        </w:rPr>
        <w:t>F</w:t>
      </w:r>
      <w:r w:rsidRPr="004B60A0">
        <w:t xml:space="preserve"> (1, 28) = 4.680, </w:t>
      </w:r>
      <w:r w:rsidRPr="004B60A0">
        <w:rPr>
          <w:i/>
          <w:iCs/>
        </w:rPr>
        <w:t>p</w:t>
      </w:r>
      <w:r w:rsidRPr="004B60A0">
        <w:t xml:space="preserve"> = </w:t>
      </w:r>
      <w:r>
        <w:t>.039, but not in other comparisons (</w:t>
      </w:r>
      <w:r w:rsidRPr="303FBE37">
        <w:rPr>
          <w:i/>
        </w:rPr>
        <w:t>p</w:t>
      </w:r>
      <w:r>
        <w:t xml:space="preserve"> &gt; .05).</w:t>
      </w:r>
      <w:r w:rsidRPr="004B60A0">
        <w:t xml:space="preserve"> The </w:t>
      </w:r>
      <w:r>
        <w:t xml:space="preserve">higher </w:t>
      </w:r>
      <w:r w:rsidRPr="004B60A0">
        <w:t>mean was found in the OL condition (</w:t>
      </w:r>
      <w:r w:rsidRPr="004B60A0">
        <w:rPr>
          <w:i/>
        </w:rPr>
        <w:t>M</w:t>
      </w:r>
      <w:r w:rsidRPr="004B60A0">
        <w:rPr>
          <w:i/>
          <w:iCs/>
        </w:rPr>
        <w:t xml:space="preserve"> </w:t>
      </w:r>
      <w:r w:rsidRPr="004B60A0">
        <w:t xml:space="preserve">= -6.01, </w:t>
      </w:r>
      <w:r w:rsidRPr="004B60A0">
        <w:rPr>
          <w:i/>
          <w:iCs/>
        </w:rPr>
        <w:t>DE</w:t>
      </w:r>
      <w:r w:rsidRPr="004B60A0">
        <w:t>= 2.58,</w:t>
      </w:r>
      <w:r w:rsidRPr="004B60A0">
        <w:rPr>
          <w:i/>
          <w:iCs/>
        </w:rPr>
        <w:t xml:space="preserve"> N</w:t>
      </w:r>
      <w:r w:rsidRPr="004B60A0">
        <w:t xml:space="preserve"> = 15), and </w:t>
      </w:r>
      <w:r>
        <w:t>a lower</w:t>
      </w:r>
      <w:r w:rsidRPr="004B60A0">
        <w:t xml:space="preserve"> mean in the WOL condition (</w:t>
      </w:r>
      <w:r w:rsidRPr="004B60A0">
        <w:rPr>
          <w:i/>
          <w:iCs/>
        </w:rPr>
        <w:t xml:space="preserve">M </w:t>
      </w:r>
      <w:r w:rsidRPr="004B60A0">
        <w:t xml:space="preserve">= -4.54, </w:t>
      </w:r>
      <w:r w:rsidRPr="004B60A0">
        <w:rPr>
          <w:i/>
          <w:iCs/>
        </w:rPr>
        <w:t xml:space="preserve">DE </w:t>
      </w:r>
      <w:r w:rsidRPr="004B60A0">
        <w:t>= 1.95,</w:t>
      </w:r>
      <w:r w:rsidRPr="004B60A0">
        <w:rPr>
          <w:i/>
          <w:iCs/>
        </w:rPr>
        <w:t xml:space="preserve"> N</w:t>
      </w:r>
      <w:r w:rsidRPr="004B60A0">
        <w:t xml:space="preserve"> = 17), </w:t>
      </w:r>
      <w:r w:rsidRPr="004B60A0">
        <w:rPr>
          <w:i/>
          <w:iCs/>
        </w:rPr>
        <w:t>d</w:t>
      </w:r>
      <w:r w:rsidRPr="004B60A0">
        <w:t xml:space="preserve"> = -.643.</w:t>
      </w:r>
    </w:p>
    <w:p w14:paraId="30A47078" w14:textId="77777777" w:rsidR="002C1AEB" w:rsidRPr="00583973" w:rsidRDefault="002C1AEB" w:rsidP="004B7389">
      <w:pPr>
        <w:rPr>
          <w:lang w:val="en-US"/>
        </w:rPr>
      </w:pPr>
    </w:p>
    <w:p w14:paraId="2F7B6D9B" w14:textId="77777777" w:rsidR="002C1AEB" w:rsidRDefault="002C1AEB" w:rsidP="004B7389">
      <w:r>
        <w:rPr>
          <w:noProof/>
        </w:rPr>
        <w:drawing>
          <wp:inline distT="0" distB="0" distL="0" distR="0" wp14:anchorId="5A86BE68" wp14:editId="7E438A4C">
            <wp:extent cx="5543550" cy="3372326"/>
            <wp:effectExtent l="0" t="0" r="0" b="0"/>
            <wp:docPr id="7" name="Picture 14478505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85058"/>
                    <pic:cNvPicPr/>
                  </pic:nvPicPr>
                  <pic:blipFill>
                    <a:blip r:embed="rId17">
                      <a:extLst>
                        <a:ext uri="{28A0092B-C50C-407E-A947-70E740481C1C}">
                          <a14:useLocalDpi xmlns:a14="http://schemas.microsoft.com/office/drawing/2010/main" val="0"/>
                        </a:ext>
                      </a:extLst>
                    </a:blip>
                    <a:stretch>
                      <a:fillRect/>
                    </a:stretch>
                  </pic:blipFill>
                  <pic:spPr>
                    <a:xfrm>
                      <a:off x="0" y="0"/>
                      <a:ext cx="5543550" cy="3372326"/>
                    </a:xfrm>
                    <a:prstGeom prst="rect">
                      <a:avLst/>
                    </a:prstGeom>
                  </pic:spPr>
                </pic:pic>
              </a:graphicData>
            </a:graphic>
          </wp:inline>
        </w:drawing>
      </w:r>
    </w:p>
    <w:p w14:paraId="2D28AE20" w14:textId="77777777" w:rsidR="002C1AEB" w:rsidRDefault="002C1AEB" w:rsidP="004B7389">
      <w:pPr>
        <w:rPr>
          <w:lang w:val="en-US"/>
        </w:rPr>
      </w:pPr>
      <w:r w:rsidRPr="303FBE37">
        <w:rPr>
          <w:i/>
          <w:iCs/>
          <w:lang w:val="en-US"/>
        </w:rPr>
        <w:t xml:space="preserve">Figure 4. </w:t>
      </w:r>
      <w:r w:rsidRPr="303FBE37">
        <w:rPr>
          <w:lang w:val="en-US"/>
        </w:rPr>
        <w:t xml:space="preserve">Grand-average Ne/ERN potential voltages comparison between OL vs. WOL conditions in </w:t>
      </w:r>
      <w:proofErr w:type="spellStart"/>
      <w:r w:rsidRPr="303FBE37">
        <w:rPr>
          <w:lang w:val="en-US"/>
        </w:rPr>
        <w:t>Cz</w:t>
      </w:r>
      <w:proofErr w:type="spellEnd"/>
      <w:r w:rsidRPr="303FBE37">
        <w:rPr>
          <w:lang w:val="en-US"/>
        </w:rPr>
        <w:t xml:space="preserve">, </w:t>
      </w:r>
      <w:proofErr w:type="spellStart"/>
      <w:r w:rsidRPr="303FBE37">
        <w:rPr>
          <w:lang w:val="en-US"/>
        </w:rPr>
        <w:t>Fz</w:t>
      </w:r>
      <w:proofErr w:type="spellEnd"/>
      <w:r w:rsidRPr="303FBE37">
        <w:rPr>
          <w:lang w:val="en-US"/>
        </w:rPr>
        <w:t xml:space="preserve"> electrodes, and voltage maps.</w:t>
      </w:r>
    </w:p>
    <w:p w14:paraId="0CACBACC" w14:textId="77777777" w:rsidR="002C1AEB" w:rsidRPr="004B60A0" w:rsidRDefault="002C1AEB" w:rsidP="004B7389">
      <w:pPr>
        <w:rPr>
          <w:bCs/>
          <w:lang w:val="en-US"/>
        </w:rPr>
      </w:pPr>
    </w:p>
    <w:p w14:paraId="5986EE4A" w14:textId="77777777" w:rsidR="002C1AEB" w:rsidRPr="004B60A0" w:rsidRDefault="002C1AEB" w:rsidP="004B7389">
      <w:pPr>
        <w:pStyle w:val="Textoindependiente"/>
        <w:spacing w:line="240" w:lineRule="auto"/>
        <w:rPr>
          <w:i/>
        </w:rPr>
      </w:pPr>
      <w:r w:rsidRPr="004B60A0">
        <w:t xml:space="preserve">The highest negative voltage was found on the </w:t>
      </w:r>
      <w:proofErr w:type="spellStart"/>
      <w:r>
        <w:t>Cz</w:t>
      </w:r>
      <w:proofErr w:type="spellEnd"/>
      <w:r>
        <w:t xml:space="preserve"> elect</w:t>
      </w:r>
      <w:r w:rsidRPr="004B60A0">
        <w:t xml:space="preserve">rode, in which the OL condition has a greater-negative peak amplitude (-6.8 µV) than the one in the WOL condition (-4.1 µV) </w:t>
      </w:r>
      <w:r>
        <w:t>(</w:t>
      </w:r>
      <w:r w:rsidRPr="303FBE37">
        <w:rPr>
          <w:i/>
        </w:rPr>
        <w:t>t</w:t>
      </w:r>
      <w:r>
        <w:t xml:space="preserve"> (290) = 1.968 </w:t>
      </w:r>
      <w:r w:rsidRPr="303FBE37">
        <w:rPr>
          <w:i/>
        </w:rPr>
        <w:t>p</w:t>
      </w:r>
      <w:r>
        <w:t xml:space="preserve"> &lt; .001)</w:t>
      </w:r>
      <w:r w:rsidRPr="004B60A0">
        <w:t xml:space="preserve"> (see figure 4). A similar situation is observed for the </w:t>
      </w:r>
      <w:proofErr w:type="spellStart"/>
      <w:r>
        <w:t>Fz</w:t>
      </w:r>
      <w:proofErr w:type="spellEnd"/>
      <w:r>
        <w:t xml:space="preserve"> electro</w:t>
      </w:r>
      <w:r w:rsidRPr="004B60A0">
        <w:t>de (electrode No. 15), where the negative peak for the OL condition has a greater amplitude (-4.7 µV) than the one in the WOL condition (-2.4 µV</w:t>
      </w:r>
      <w:r>
        <w:t>) (</w:t>
      </w:r>
      <w:r w:rsidRPr="303FBE37">
        <w:rPr>
          <w:i/>
        </w:rPr>
        <w:t>t</w:t>
      </w:r>
      <w:r>
        <w:t xml:space="preserve"> (254) = 1.969 </w:t>
      </w:r>
      <w:r w:rsidRPr="303FBE37">
        <w:rPr>
          <w:i/>
        </w:rPr>
        <w:t>p</w:t>
      </w:r>
      <w:r>
        <w:t xml:space="preserve"> &lt; .001)</w:t>
      </w:r>
      <w:r w:rsidRPr="004B60A0">
        <w:t xml:space="preserve"> (see figure </w:t>
      </w:r>
      <w:r>
        <w:t>4).</w:t>
      </w:r>
    </w:p>
    <w:p w14:paraId="28705FFB" w14:textId="77777777" w:rsidR="002C1AEB" w:rsidRPr="004B60A0" w:rsidRDefault="002C1AEB" w:rsidP="004B7389">
      <w:pPr>
        <w:pStyle w:val="Textoindependiente"/>
        <w:spacing w:line="240" w:lineRule="auto"/>
        <w:rPr>
          <w:i/>
        </w:rPr>
      </w:pPr>
      <w:r w:rsidRPr="004B60A0">
        <w:t>When comparing Over-learning with Correct Response Feedback vs. Incorrect Response Feedback conditions, significant differences (</w:t>
      </w:r>
      <w:r w:rsidRPr="004B60A0">
        <w:rPr>
          <w:i/>
        </w:rPr>
        <w:t>U</w:t>
      </w:r>
      <w:r w:rsidRPr="004B60A0">
        <w:t xml:space="preserve"> = 8, </w:t>
      </w:r>
      <w:r w:rsidRPr="004B60A0">
        <w:rPr>
          <w:i/>
        </w:rPr>
        <w:t>p</w:t>
      </w:r>
      <w:r w:rsidRPr="004B60A0">
        <w:t xml:space="preserve"> = .039) were found for the adaptive mean of the Ne/ERN amplitude with a </w:t>
      </w:r>
      <w:r>
        <w:t>central montage</w:t>
      </w:r>
      <w:r w:rsidRPr="004B60A0">
        <w:t xml:space="preserve">. In this comparison, the adaptive mean of the Ne/ERN amplitude for the OL/CRF condition, is greater (M = -4.67, SD = 2.58, </w:t>
      </w:r>
      <w:r w:rsidRPr="004B60A0">
        <w:rPr>
          <w:i/>
          <w:iCs/>
        </w:rPr>
        <w:t>N</w:t>
      </w:r>
      <w:r w:rsidRPr="004B60A0">
        <w:t xml:space="preserve"> = 8) than the one for the IRF condition</w:t>
      </w:r>
      <w:r w:rsidRPr="004B60A0">
        <w:rPr>
          <w:i/>
          <w:iCs/>
        </w:rPr>
        <w:t xml:space="preserve"> </w:t>
      </w:r>
      <w:r w:rsidRPr="004B60A0">
        <w:t xml:space="preserve">(M = -1.95, SD = 1.88, </w:t>
      </w:r>
      <w:r w:rsidRPr="004B60A0">
        <w:rPr>
          <w:i/>
          <w:iCs/>
        </w:rPr>
        <w:t>N</w:t>
      </w:r>
      <w:r w:rsidRPr="004B60A0">
        <w:t xml:space="preserve"> = 6), </w:t>
      </w:r>
      <w:r w:rsidRPr="004B60A0">
        <w:rPr>
          <w:i/>
          <w:iCs/>
        </w:rPr>
        <w:t>d</w:t>
      </w:r>
      <w:r w:rsidRPr="004B60A0">
        <w:t xml:space="preserve"> = -1.205. The areas with the highest negative voltages are located in the c</w:t>
      </w:r>
      <w:r>
        <w:t>entral</w:t>
      </w:r>
      <w:r w:rsidRPr="004B60A0">
        <w:t xml:space="preserve"> (-7.5 µV for the OL/CRF condition) and </w:t>
      </w:r>
      <w:r>
        <w:t>frontal-central areas</w:t>
      </w:r>
      <w:r w:rsidRPr="004B60A0">
        <w:t xml:space="preserve"> (-4.3 µV for the IRF condition) (see figure </w:t>
      </w:r>
      <w:r>
        <w:t>5</w:t>
      </w:r>
      <w:r w:rsidRPr="004B60A0">
        <w:t xml:space="preserve">). </w:t>
      </w:r>
    </w:p>
    <w:p w14:paraId="7A1EE484" w14:textId="77777777" w:rsidR="002C1AEB" w:rsidRPr="004B60A0" w:rsidRDefault="002C1AEB" w:rsidP="004B7389">
      <w:pPr>
        <w:ind w:firstLine="720"/>
        <w:rPr>
          <w:lang w:val="en-US"/>
        </w:rPr>
      </w:pPr>
      <w:r w:rsidRPr="004B60A0">
        <w:rPr>
          <w:lang w:val="en-US"/>
        </w:rPr>
        <w:t xml:space="preserve">The highest negative voltage was found (see figure </w:t>
      </w:r>
      <w:r w:rsidRPr="303FBE37">
        <w:rPr>
          <w:lang w:val="en-US"/>
        </w:rPr>
        <w:t>5</w:t>
      </w:r>
      <w:r w:rsidRPr="004B60A0">
        <w:rPr>
          <w:lang w:val="en-US"/>
        </w:rPr>
        <w:t xml:space="preserve">) around the </w:t>
      </w:r>
      <w:proofErr w:type="spellStart"/>
      <w:r w:rsidRPr="303FBE37">
        <w:rPr>
          <w:lang w:val="en-US"/>
        </w:rPr>
        <w:t>Cz</w:t>
      </w:r>
      <w:proofErr w:type="spellEnd"/>
      <w:r w:rsidRPr="303FBE37">
        <w:rPr>
          <w:lang w:val="en-US"/>
        </w:rPr>
        <w:t xml:space="preserve"> el</w:t>
      </w:r>
      <w:r w:rsidRPr="004B60A0">
        <w:rPr>
          <w:lang w:val="en-US"/>
        </w:rPr>
        <w:t xml:space="preserve">ectrode, in which the OL/CRF has a greater-negative voltage (-7.5  µV) than the one in the OL/IRF  condition (-2.7 µV) </w:t>
      </w:r>
      <w:r w:rsidRPr="303FBE37">
        <w:rPr>
          <w:lang w:val="en-US"/>
        </w:rPr>
        <w:t xml:space="preserve">(t(279) = 1.968, </w:t>
      </w:r>
      <w:r w:rsidRPr="303FBE37">
        <w:rPr>
          <w:i/>
          <w:lang w:val="en-US"/>
        </w:rPr>
        <w:t>p</w:t>
      </w:r>
      <w:r w:rsidRPr="303FBE37">
        <w:rPr>
          <w:lang w:val="en-US"/>
        </w:rPr>
        <w:t xml:space="preserve"> &lt; .001)</w:t>
      </w:r>
      <w:r w:rsidRPr="004B60A0">
        <w:rPr>
          <w:lang w:val="en-US"/>
        </w:rPr>
        <w:t xml:space="preserve"> (see figure </w:t>
      </w:r>
      <w:r w:rsidRPr="303FBE37">
        <w:rPr>
          <w:lang w:val="en-US"/>
        </w:rPr>
        <w:t>4</w:t>
      </w:r>
      <w:r w:rsidRPr="004B60A0">
        <w:rPr>
          <w:lang w:val="en-US"/>
        </w:rPr>
        <w:t xml:space="preserve">). In the </w:t>
      </w:r>
      <w:proofErr w:type="spellStart"/>
      <w:r w:rsidRPr="303FBE37">
        <w:rPr>
          <w:lang w:val="en-US"/>
        </w:rPr>
        <w:t>Fz</w:t>
      </w:r>
      <w:proofErr w:type="spellEnd"/>
      <w:r w:rsidRPr="303FBE37">
        <w:rPr>
          <w:lang w:val="en-US"/>
        </w:rPr>
        <w:t xml:space="preserve"> ele</w:t>
      </w:r>
      <w:r w:rsidRPr="004B60A0">
        <w:rPr>
          <w:lang w:val="en-US"/>
        </w:rPr>
        <w:t xml:space="preserve">ctrode a smaller amplitude negative voltage is found (-4.1 µV) for the OL/CRF condition than for the OL/IRF condition (-4.3 µV) </w:t>
      </w:r>
      <w:r w:rsidRPr="303FBE37">
        <w:rPr>
          <w:lang w:val="en-US"/>
        </w:rPr>
        <w:t>(</w:t>
      </w:r>
      <w:r w:rsidRPr="303FBE37">
        <w:rPr>
          <w:i/>
          <w:lang w:val="en-US"/>
        </w:rPr>
        <w:t>t</w:t>
      </w:r>
      <w:r w:rsidRPr="303FBE37">
        <w:rPr>
          <w:lang w:val="en-US"/>
        </w:rPr>
        <w:t xml:space="preserve">(293) = 1.968, </w:t>
      </w:r>
      <w:r w:rsidRPr="303FBE37">
        <w:rPr>
          <w:i/>
          <w:lang w:val="en-US"/>
        </w:rPr>
        <w:t>p</w:t>
      </w:r>
      <w:r w:rsidRPr="303FBE37">
        <w:rPr>
          <w:lang w:val="en-US"/>
        </w:rPr>
        <w:t xml:space="preserve"> &lt; .001)</w:t>
      </w:r>
      <w:r w:rsidRPr="004B60A0">
        <w:rPr>
          <w:lang w:val="en-US"/>
        </w:rPr>
        <w:t xml:space="preserve">. This shows that there is primarily frontal activity in the latter condition (see figure </w:t>
      </w:r>
      <w:r w:rsidRPr="303FBE37">
        <w:rPr>
          <w:lang w:val="en-US"/>
        </w:rPr>
        <w:t>5</w:t>
      </w:r>
      <w:r w:rsidRPr="004B60A0">
        <w:rPr>
          <w:lang w:val="en-US"/>
        </w:rPr>
        <w:t>).</w:t>
      </w:r>
    </w:p>
    <w:p w14:paraId="0E318EF9" w14:textId="77777777" w:rsidR="002C1AEB" w:rsidRDefault="002C1AEB" w:rsidP="004B7389">
      <w:r>
        <w:rPr>
          <w:noProof/>
        </w:rPr>
        <w:drawing>
          <wp:inline distT="0" distB="0" distL="0" distR="0" wp14:anchorId="001D82BE" wp14:editId="072D73B1">
            <wp:extent cx="5486400" cy="3348990"/>
            <wp:effectExtent l="0" t="0" r="0" b="0"/>
            <wp:docPr id="8" name="Picture 168635659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356599"/>
                    <pic:cNvPicPr/>
                  </pic:nvPicPr>
                  <pic:blipFill>
                    <a:blip r:embed="rId18">
                      <a:extLst>
                        <a:ext uri="{28A0092B-C50C-407E-A947-70E740481C1C}">
                          <a14:useLocalDpi xmlns:a14="http://schemas.microsoft.com/office/drawing/2010/main" val="0"/>
                        </a:ext>
                      </a:extLst>
                    </a:blip>
                    <a:stretch>
                      <a:fillRect/>
                    </a:stretch>
                  </pic:blipFill>
                  <pic:spPr>
                    <a:xfrm>
                      <a:off x="0" y="0"/>
                      <a:ext cx="5486400" cy="3348990"/>
                    </a:xfrm>
                    <a:prstGeom prst="rect">
                      <a:avLst/>
                    </a:prstGeom>
                  </pic:spPr>
                </pic:pic>
              </a:graphicData>
            </a:graphic>
          </wp:inline>
        </w:drawing>
      </w:r>
    </w:p>
    <w:p w14:paraId="1E46930B" w14:textId="77777777" w:rsidR="002C1AEB" w:rsidRPr="004B60A0" w:rsidRDefault="002C1AEB" w:rsidP="004B7389">
      <w:pPr>
        <w:rPr>
          <w:lang w:val="en-US"/>
        </w:rPr>
      </w:pPr>
      <w:r w:rsidRPr="303FBE37">
        <w:rPr>
          <w:i/>
          <w:iCs/>
          <w:lang w:val="en-US"/>
        </w:rPr>
        <w:t xml:space="preserve">Figure 5. </w:t>
      </w:r>
      <w:r w:rsidRPr="303FBE37">
        <w:rPr>
          <w:lang w:val="en-US"/>
        </w:rPr>
        <w:t xml:space="preserve">Grand-average Ne/ERN potential voltages comparison between OL/CRF vs. OL/IRF conditions in </w:t>
      </w:r>
      <w:proofErr w:type="spellStart"/>
      <w:r w:rsidRPr="303FBE37">
        <w:rPr>
          <w:lang w:val="en-US"/>
        </w:rPr>
        <w:t>Cz</w:t>
      </w:r>
      <w:proofErr w:type="spellEnd"/>
      <w:r w:rsidRPr="303FBE37">
        <w:rPr>
          <w:lang w:val="en-US"/>
        </w:rPr>
        <w:t xml:space="preserve">, </w:t>
      </w:r>
      <w:proofErr w:type="spellStart"/>
      <w:r w:rsidRPr="303FBE37">
        <w:rPr>
          <w:lang w:val="en-US"/>
        </w:rPr>
        <w:t>Fz</w:t>
      </w:r>
      <w:proofErr w:type="spellEnd"/>
      <w:r w:rsidRPr="303FBE37">
        <w:rPr>
          <w:lang w:val="en-US"/>
        </w:rPr>
        <w:t xml:space="preserve"> electrodes, and voltage maps.</w:t>
      </w:r>
    </w:p>
    <w:p w14:paraId="1483C366" w14:textId="77777777" w:rsidR="002C1AEB" w:rsidRPr="004B60A0" w:rsidRDefault="002C1AEB" w:rsidP="004B7389">
      <w:pPr>
        <w:rPr>
          <w:lang w:val="en-US"/>
        </w:rPr>
      </w:pPr>
    </w:p>
    <w:p w14:paraId="1DEBCE96" w14:textId="77777777" w:rsidR="002C1AEB" w:rsidRPr="004B60A0" w:rsidDel="74B5D9D9" w:rsidRDefault="002C1AEB" w:rsidP="004B7389">
      <w:pPr>
        <w:ind w:firstLine="720"/>
        <w:rPr>
          <w:color w:val="1A1A1A"/>
          <w:lang w:val="en-US" w:eastAsia="es-ES"/>
        </w:rPr>
      </w:pPr>
      <w:r w:rsidRPr="004B60A0">
        <w:rPr>
          <w:lang w:val="en-US"/>
        </w:rPr>
        <w:t>The intracerebral current density underlying the ERN was estimated using LORETA (Pascual-</w:t>
      </w:r>
      <w:proofErr w:type="spellStart"/>
      <w:r w:rsidRPr="004B60A0">
        <w:rPr>
          <w:lang w:val="en-US"/>
        </w:rPr>
        <w:t>Marqui</w:t>
      </w:r>
      <w:proofErr w:type="spellEnd"/>
      <w:r w:rsidRPr="004B60A0">
        <w:rPr>
          <w:lang w:val="en-US"/>
        </w:rPr>
        <w:t xml:space="preserve">, 1991), executed with </w:t>
      </w:r>
      <w:proofErr w:type="spellStart"/>
      <w:r w:rsidRPr="004B60A0">
        <w:rPr>
          <w:lang w:val="en-US"/>
        </w:rPr>
        <w:t>GeoSource</w:t>
      </w:r>
      <w:proofErr w:type="spellEnd"/>
      <w:r w:rsidRPr="004B60A0">
        <w:rPr>
          <w:lang w:val="en-US"/>
        </w:rPr>
        <w:t xml:space="preserve"> v. 2.0 (EGI, 2011)  Within a 50 to 100 </w:t>
      </w:r>
      <w:proofErr w:type="spellStart"/>
      <w:r w:rsidRPr="004B60A0">
        <w:rPr>
          <w:lang w:val="en-US"/>
        </w:rPr>
        <w:t>ms</w:t>
      </w:r>
      <w:proofErr w:type="spellEnd"/>
      <w:r w:rsidRPr="004B60A0">
        <w:rPr>
          <w:lang w:val="en-US"/>
        </w:rPr>
        <w:t xml:space="preserve"> window following error responses, this algorithm registered the mean peak latency of the ERN at </w:t>
      </w:r>
      <w:proofErr w:type="spellStart"/>
      <w:r w:rsidRPr="303FBE37">
        <w:rPr>
          <w:lang w:val="en-US"/>
        </w:rPr>
        <w:t>FCz</w:t>
      </w:r>
      <w:proofErr w:type="spellEnd"/>
      <w:r w:rsidRPr="303FBE37">
        <w:rPr>
          <w:lang w:val="en-US"/>
        </w:rPr>
        <w:t xml:space="preserve"> and </w:t>
      </w:r>
      <w:proofErr w:type="spellStart"/>
      <w:r w:rsidRPr="303FBE37">
        <w:rPr>
          <w:lang w:val="en-US"/>
        </w:rPr>
        <w:t>Cz</w:t>
      </w:r>
      <w:proofErr w:type="spellEnd"/>
      <w:r w:rsidRPr="004B60A0">
        <w:rPr>
          <w:lang w:val="en-US"/>
        </w:rPr>
        <w:t xml:space="preserve"> (73 </w:t>
      </w:r>
      <w:proofErr w:type="spellStart"/>
      <w:r w:rsidRPr="004B60A0">
        <w:rPr>
          <w:lang w:val="en-US"/>
        </w:rPr>
        <w:t>ms</w:t>
      </w:r>
      <w:proofErr w:type="spellEnd"/>
      <w:r w:rsidRPr="004B60A0">
        <w:rPr>
          <w:lang w:val="en-US"/>
        </w:rPr>
        <w:t xml:space="preserve">) in the rostral and ventral </w:t>
      </w:r>
      <w:r w:rsidRPr="004B60A0">
        <w:rPr>
          <w:color w:val="1A1A1A"/>
          <w:lang w:val="en-US" w:eastAsia="es-ES"/>
        </w:rPr>
        <w:t xml:space="preserve">regions of the ACC (see figure </w:t>
      </w:r>
      <w:r w:rsidRPr="303FBE37">
        <w:rPr>
          <w:color w:val="1A1A1A"/>
          <w:lang w:val="en-US" w:eastAsia="es-ES"/>
        </w:rPr>
        <w:t>6</w:t>
      </w:r>
      <w:r w:rsidRPr="004B60A0">
        <w:rPr>
          <w:color w:val="1A1A1A"/>
          <w:lang w:val="en-US" w:eastAsia="es-ES"/>
        </w:rPr>
        <w:t>).</w:t>
      </w:r>
    </w:p>
    <w:p w14:paraId="7A61229C" w14:textId="77777777" w:rsidR="002C1AEB" w:rsidRPr="004B60A0" w:rsidDel="74B5D9D9" w:rsidRDefault="002C1AEB" w:rsidP="004B7389">
      <w:pPr>
        <w:ind w:firstLine="720"/>
        <w:rPr>
          <w:color w:val="1A1A1A"/>
          <w:lang w:val="en-US" w:eastAsia="es-ES"/>
        </w:rPr>
      </w:pPr>
    </w:p>
    <w:p w14:paraId="7B79BDDE" w14:textId="77777777" w:rsidR="002C1AEB" w:rsidRPr="004B60A0" w:rsidRDefault="002C1AEB" w:rsidP="004B7389">
      <w:r w:rsidRPr="004B60A0">
        <w:lastRenderedPageBreak/>
        <w:t>A</w:t>
      </w:r>
    </w:p>
    <w:p w14:paraId="0875EFF4" w14:textId="77777777" w:rsidR="002C1AEB" w:rsidRPr="004B60A0" w:rsidRDefault="002C1AEB" w:rsidP="004B7389">
      <w:r>
        <w:rPr>
          <w:noProof/>
        </w:rPr>
        <w:drawing>
          <wp:inline distT="0" distB="0" distL="0" distR="0" wp14:anchorId="75BBF769" wp14:editId="470F6282">
            <wp:extent cx="5266057" cy="1701800"/>
            <wp:effectExtent l="0" t="0" r="0" b="0"/>
            <wp:docPr id="9" name="Picture 1659636437" descr="Macintosh HD:Users:penagoscorzo:Desktop:overlearning-corr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636437"/>
                    <pic:cNvPicPr/>
                  </pic:nvPicPr>
                  <pic:blipFill>
                    <a:blip r:embed="rId19">
                      <a:extLst>
                        <a:ext uri="{28A0092B-C50C-407E-A947-70E740481C1C}">
                          <a14:useLocalDpi xmlns:a14="http://schemas.microsoft.com/office/drawing/2010/main" val="0"/>
                        </a:ext>
                      </a:extLst>
                    </a:blip>
                    <a:stretch>
                      <a:fillRect/>
                    </a:stretch>
                  </pic:blipFill>
                  <pic:spPr>
                    <a:xfrm>
                      <a:off x="0" y="0"/>
                      <a:ext cx="5266057" cy="1701800"/>
                    </a:xfrm>
                    <a:prstGeom prst="rect">
                      <a:avLst/>
                    </a:prstGeom>
                  </pic:spPr>
                </pic:pic>
              </a:graphicData>
            </a:graphic>
          </wp:inline>
        </w:drawing>
      </w:r>
    </w:p>
    <w:p w14:paraId="2F831253" w14:textId="77777777" w:rsidR="002C1AEB" w:rsidRPr="004B60A0" w:rsidRDefault="002C1AEB" w:rsidP="004B7389">
      <w:r w:rsidRPr="004B60A0">
        <w:t>B</w:t>
      </w:r>
    </w:p>
    <w:p w14:paraId="5262B3D9" w14:textId="77777777" w:rsidR="002C1AEB" w:rsidRPr="004B60A0" w:rsidRDefault="002C1AEB" w:rsidP="004B7389">
      <w:r>
        <w:rPr>
          <w:noProof/>
        </w:rPr>
        <w:drawing>
          <wp:inline distT="0" distB="0" distL="0" distR="0" wp14:anchorId="3442EB05" wp14:editId="063EF7D6">
            <wp:extent cx="5266057" cy="1710055"/>
            <wp:effectExtent l="0" t="0" r="0" b="0"/>
            <wp:docPr id="11" name="Picture 420024376" descr="Macintosh HD:Users:penagoscorzo:Desktop:incorrect-non-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024376"/>
                    <pic:cNvPicPr/>
                  </pic:nvPicPr>
                  <pic:blipFill>
                    <a:blip r:embed="rId20">
                      <a:extLst>
                        <a:ext uri="{28A0092B-C50C-407E-A947-70E740481C1C}">
                          <a14:useLocalDpi xmlns:a14="http://schemas.microsoft.com/office/drawing/2010/main" val="0"/>
                        </a:ext>
                      </a:extLst>
                    </a:blip>
                    <a:stretch>
                      <a:fillRect/>
                    </a:stretch>
                  </pic:blipFill>
                  <pic:spPr>
                    <a:xfrm>
                      <a:off x="0" y="0"/>
                      <a:ext cx="5266057" cy="1710055"/>
                    </a:xfrm>
                    <a:prstGeom prst="rect">
                      <a:avLst/>
                    </a:prstGeom>
                  </pic:spPr>
                </pic:pic>
              </a:graphicData>
            </a:graphic>
          </wp:inline>
        </w:drawing>
      </w:r>
    </w:p>
    <w:p w14:paraId="2F9A606D" w14:textId="77777777" w:rsidR="002C1AEB" w:rsidRPr="004B60A0" w:rsidRDefault="002C1AEB" w:rsidP="004B7389">
      <w:pPr>
        <w:rPr>
          <w:color w:val="1A1A1A"/>
          <w:lang w:val="en-US" w:eastAsia="es-ES"/>
        </w:rPr>
      </w:pPr>
      <w:r w:rsidRPr="004B60A0">
        <w:rPr>
          <w:i/>
          <w:lang w:val="en-US"/>
        </w:rPr>
        <w:t xml:space="preserve">Figure </w:t>
      </w:r>
      <w:r w:rsidRPr="303FBE37">
        <w:rPr>
          <w:i/>
          <w:iCs/>
          <w:lang w:val="en-US"/>
        </w:rPr>
        <w:t>6</w:t>
      </w:r>
      <w:r w:rsidRPr="004B60A0">
        <w:rPr>
          <w:lang w:val="en-US"/>
        </w:rPr>
        <w:t>. Source analysis with Loreta algorithm shows in A, activity for the OL/CRF condition, and in B, activity for OL/IRF.</w:t>
      </w:r>
    </w:p>
    <w:p w14:paraId="50721235" w14:textId="77777777" w:rsidR="002C1AEB" w:rsidRDefault="002C1AEB" w:rsidP="004B7389">
      <w:pPr>
        <w:rPr>
          <w:b/>
          <w:bCs/>
          <w:lang w:val="en-US"/>
        </w:rPr>
      </w:pPr>
    </w:p>
    <w:p w14:paraId="43316893" w14:textId="77777777" w:rsidR="002C1AEB" w:rsidRPr="004B60A0" w:rsidRDefault="002C1AEB" w:rsidP="004B7389">
      <w:pPr>
        <w:jc w:val="center"/>
        <w:rPr>
          <w:b/>
          <w:bCs/>
          <w:lang w:val="en-US"/>
        </w:rPr>
      </w:pPr>
      <w:r w:rsidRPr="004B60A0">
        <w:rPr>
          <w:b/>
          <w:bCs/>
          <w:lang w:val="en-US"/>
        </w:rPr>
        <w:t>Discussion</w:t>
      </w:r>
    </w:p>
    <w:p w14:paraId="5985A9C4" w14:textId="77777777" w:rsidR="002C1AEB" w:rsidRPr="004B60A0" w:rsidRDefault="002C1AEB" w:rsidP="004B7389">
      <w:pPr>
        <w:pStyle w:val="Textoindependiente"/>
        <w:spacing w:line="240" w:lineRule="auto"/>
      </w:pPr>
      <w:r w:rsidRPr="004B60A0">
        <w:t xml:space="preserve">As stated in the present study, the participants who were exposed to over-learning conditions showed greater Ne/ERN amplitude, compared to other conditions. Even if there is evidence that points to a relationship between the precision level of a particular behavior and Ne/ERN (Gehring et al. 1990; Gehring et al.1993; </w:t>
      </w:r>
      <w:proofErr w:type="spellStart"/>
      <w:r w:rsidRPr="004B60A0">
        <w:t>Scheffers</w:t>
      </w:r>
      <w:proofErr w:type="spellEnd"/>
      <w:r w:rsidRPr="004B60A0">
        <w:t xml:space="preserve"> &amp; Coles, 2000; </w:t>
      </w:r>
      <w:r w:rsidRPr="00385111">
        <w:t>Wessel</w:t>
      </w:r>
      <w:r>
        <w:t>, 2012</w:t>
      </w:r>
      <w:r w:rsidRPr="004B60A0">
        <w:t xml:space="preserve">), there seems to be no evidence on the effects that over-learning has on Ne/ERN amplitude. This study shows that over-learning is a precision measure and therefore affects Ne/ERN, thus supporting our initial statement. </w:t>
      </w:r>
    </w:p>
    <w:p w14:paraId="77CEA049" w14:textId="77777777" w:rsidR="002C1AEB" w:rsidRPr="004B60A0" w:rsidRDefault="002C1AEB" w:rsidP="004B7389">
      <w:pPr>
        <w:pStyle w:val="Textoindependiente"/>
        <w:spacing w:line="240" w:lineRule="auto"/>
      </w:pPr>
      <w:r w:rsidRPr="004B60A0">
        <w:t>The results presented here do</w:t>
      </w:r>
      <w:r>
        <w:t xml:space="preserve"> not</w:t>
      </w:r>
      <w:r w:rsidRPr="004B60A0">
        <w:t xml:space="preserve"> allow us to determine, due to the low number of incorrect responses, in what way the type of feedback affects the Ne/ERN wave amplitude, without over-learning. Nevertheless, the over-learning/feedback interactions show that the wave amplitude is greater in the over-learning/correct response feedback condition than in the without over-learning/incorrect response feedback condition. </w:t>
      </w:r>
      <w:r>
        <w:t>It is</w:t>
      </w:r>
      <w:r w:rsidRPr="004B60A0">
        <w:t xml:space="preserve"> important to point out that, when comparing each of the other combinations (i.e. over-learning/correct response feedback vs. over-learning/Incorrect response feedback), no significant differences were found. Due to the fact that feedback was given in the form of either reward or punishment, is possible to suggest that over-learning acts as an amplifier of the reward vs. punishment effect.  Even though the conditions where rewards were present </w:t>
      </w:r>
      <w:r>
        <w:t>did not</w:t>
      </w:r>
      <w:r w:rsidRPr="004B60A0">
        <w:t xml:space="preserve"> modify the Ne/ERN amplitude, it was only during over-learning/reward interactions that effects were found. However, punitive stimulation through incorrect response feedback may not have been enough in quantity and/or intensity. This can be explained by the </w:t>
      </w:r>
      <w:r>
        <w:t>h</w:t>
      </w:r>
      <w:r w:rsidRPr="004B60A0">
        <w:t xml:space="preserve">abituation </w:t>
      </w:r>
      <w:r>
        <w:t>e</w:t>
      </w:r>
      <w:r w:rsidRPr="004B60A0">
        <w:t>ffect, which refers to a decrease in a response to a stimulus after repeated exposure to that stimulus (</w:t>
      </w:r>
      <w:proofErr w:type="spellStart"/>
      <w:r w:rsidRPr="000D2E6B">
        <w:t>Domjan</w:t>
      </w:r>
      <w:proofErr w:type="spellEnd"/>
      <w:r w:rsidRPr="000D2E6B">
        <w:t>,</w:t>
      </w:r>
      <w:r>
        <w:t xml:space="preserve"> 2017</w:t>
      </w:r>
      <w:r w:rsidRPr="004B60A0">
        <w:t xml:space="preserve">). In the present study, participants exposed to </w:t>
      </w:r>
      <w:r w:rsidRPr="004B60A0">
        <w:lastRenderedPageBreak/>
        <w:t xml:space="preserve">punitive stimulation were only given feedback after giving an incorrect response, which may have caused a loss of interest in giving a correct answer. </w:t>
      </w:r>
    </w:p>
    <w:p w14:paraId="4CE819CA" w14:textId="77777777" w:rsidR="002C1AEB" w:rsidRPr="004B60A0" w:rsidRDefault="002C1AEB" w:rsidP="004B7389">
      <w:pPr>
        <w:pStyle w:val="Textoindependiente"/>
        <w:spacing w:line="240" w:lineRule="auto"/>
      </w:pPr>
      <w:r w:rsidRPr="004B60A0">
        <w:t>It has been reported, although in participants who showed extremely low socialization scores that during avoidance-learning, low-SO participants found errors to be less salient; monitored their errant responses less closely; and were less concerned about the consequences of having made an error than during reward learning (</w:t>
      </w:r>
      <w:proofErr w:type="spellStart"/>
      <w:r w:rsidRPr="004B60A0">
        <w:t>Dikman</w:t>
      </w:r>
      <w:proofErr w:type="spellEnd"/>
      <w:r w:rsidRPr="004B60A0">
        <w:t xml:space="preserve"> &amp; Allen, 2000). This suggests that the importance given to an incorrect response has to do with its emotional evaluation. This is consistent with the findings of Tucker et al. (2003) in the sense that Ne/ERN can also reflect a monitoring process of the conflict or an emotional evaluation of the actions. It is also important to note that participants showed significantly fewer errors in the overlearning condition. It is known that the error rate is related to the amplitude of Ne/ERN (</w:t>
      </w:r>
      <w:proofErr w:type="spellStart"/>
      <w:r w:rsidRPr="004B60A0">
        <w:t>Niessen</w:t>
      </w:r>
      <w:proofErr w:type="spellEnd"/>
      <w:r w:rsidRPr="004B60A0">
        <w:t xml:space="preserve">, Fink, </w:t>
      </w:r>
      <w:proofErr w:type="spellStart"/>
      <w:r w:rsidRPr="004B60A0">
        <w:t>Hoffmann,Weiss</w:t>
      </w:r>
      <w:proofErr w:type="spellEnd"/>
      <w:r w:rsidRPr="004B60A0">
        <w:t>, &amp; Stahl, 2017). Therefore, it is also likely that the higher Ne/ERN in the overlearning condition was the result of low error rates.</w:t>
      </w:r>
    </w:p>
    <w:p w14:paraId="7F322B3A" w14:textId="77777777" w:rsidR="002C1AEB" w:rsidRPr="004B60A0" w:rsidRDefault="002C1AEB" w:rsidP="004B7389">
      <w:pPr>
        <w:pStyle w:val="Textoindependiente"/>
        <w:spacing w:line="240" w:lineRule="auto"/>
      </w:pPr>
      <w:r w:rsidRPr="004B60A0">
        <w:rPr>
          <w:color w:val="1A1A1A"/>
          <w:lang w:eastAsia="es-ES"/>
        </w:rPr>
        <w:t xml:space="preserve">The more frontal activity identified in the OL/IRF condition is consistent with the assumption of Tucker and </w:t>
      </w:r>
      <w:proofErr w:type="spellStart"/>
      <w:r w:rsidRPr="004B60A0">
        <w:rPr>
          <w:color w:val="1A1A1A"/>
          <w:lang w:eastAsia="es-ES"/>
        </w:rPr>
        <w:t>Luu</w:t>
      </w:r>
      <w:proofErr w:type="spellEnd"/>
      <w:r w:rsidRPr="004B60A0">
        <w:rPr>
          <w:color w:val="1A1A1A"/>
          <w:lang w:eastAsia="es-ES"/>
        </w:rPr>
        <w:t xml:space="preserve"> (2007). They suggest that, when the reward expectation is violated, the subject experiments distress and because of this, more activity in the </w:t>
      </w:r>
      <w:proofErr w:type="spellStart"/>
      <w:r w:rsidRPr="004B60A0">
        <w:rPr>
          <w:color w:val="1A1A1A"/>
          <w:lang w:eastAsia="es-ES"/>
        </w:rPr>
        <w:t>ventral</w:t>
      </w:r>
      <w:proofErr w:type="spellEnd"/>
      <w:r w:rsidRPr="004B60A0">
        <w:rPr>
          <w:color w:val="1A1A1A"/>
          <w:lang w:eastAsia="es-ES"/>
        </w:rPr>
        <w:t xml:space="preserve"> regions of the ACC is registered. </w:t>
      </w:r>
    </w:p>
    <w:p w14:paraId="42B14FE6" w14:textId="77777777" w:rsidR="002C1AEB" w:rsidRPr="00BD2870" w:rsidRDefault="002C1AEB" w:rsidP="004B7389">
      <w:pPr>
        <w:pStyle w:val="Textoindependiente"/>
        <w:spacing w:line="240" w:lineRule="auto"/>
      </w:pPr>
      <w:r w:rsidRPr="004B60A0">
        <w:rPr>
          <w:bCs/>
        </w:rPr>
        <w:t xml:space="preserve">The behavioral performance of the participants is related with </w:t>
      </w:r>
      <w:proofErr w:type="spellStart"/>
      <w:r w:rsidRPr="004B60A0">
        <w:rPr>
          <w:bCs/>
        </w:rPr>
        <w:t>Scheffers</w:t>
      </w:r>
      <w:proofErr w:type="spellEnd"/>
      <w:r w:rsidRPr="004B60A0">
        <w:rPr>
          <w:bCs/>
        </w:rPr>
        <w:t xml:space="preserve"> et al</w:t>
      </w:r>
      <w:r>
        <w:rPr>
          <w:bCs/>
        </w:rPr>
        <w:t>.</w:t>
      </w:r>
      <w:r w:rsidRPr="004B60A0">
        <w:rPr>
          <w:bCs/>
        </w:rPr>
        <w:t xml:space="preserve"> (1996) findings. These authors found that there was a greater latency to respond after given incorrect responses in which Ne/ERN amplitude was greater. They also observed that errors due to premature responses are related to a greater Ne/ERN, whereas errors due to lack of information (error related insecurity) were related to lower Ne/ERNs. On the other hand, </w:t>
      </w:r>
      <w:r w:rsidRPr="004B60A0">
        <w:t>Ne/ERN</w:t>
      </w:r>
      <w:r w:rsidRPr="004B60A0">
        <w:rPr>
          <w:bCs/>
        </w:rPr>
        <w:t xml:space="preserve"> occurrence may or may not be accompanied by the awareness of having made a mistake </w:t>
      </w:r>
      <w:r w:rsidRPr="004B60A0">
        <w:t>(</w:t>
      </w:r>
      <w:proofErr w:type="spellStart"/>
      <w:r w:rsidRPr="004B60A0">
        <w:t>Shalgi</w:t>
      </w:r>
      <w:proofErr w:type="spellEnd"/>
      <w:r w:rsidRPr="004B60A0">
        <w:t xml:space="preserve">, </w:t>
      </w:r>
      <w:proofErr w:type="spellStart"/>
      <w:r w:rsidRPr="004B60A0">
        <w:t>Barkan</w:t>
      </w:r>
      <w:proofErr w:type="spellEnd"/>
      <w:r>
        <w:t>,</w:t>
      </w:r>
      <w:r w:rsidRPr="004B60A0">
        <w:t xml:space="preserve"> &amp; </w:t>
      </w:r>
      <w:proofErr w:type="spellStart"/>
      <w:r w:rsidRPr="004B60A0">
        <w:t>Deouell</w:t>
      </w:r>
      <w:proofErr w:type="spellEnd"/>
      <w:r w:rsidRPr="004B60A0">
        <w:t>, 2009) without changing Ne/ERN magnitude (</w:t>
      </w:r>
      <w:proofErr w:type="spellStart"/>
      <w:r w:rsidRPr="004B60A0">
        <w:t>Nieuwenhuis</w:t>
      </w:r>
      <w:proofErr w:type="spellEnd"/>
      <w:r w:rsidRPr="004B60A0">
        <w:t xml:space="preserve">, </w:t>
      </w:r>
      <w:proofErr w:type="spellStart"/>
      <w:r w:rsidRPr="004B60A0">
        <w:t>Ridderinkhof</w:t>
      </w:r>
      <w:proofErr w:type="spellEnd"/>
      <w:r w:rsidRPr="004B60A0">
        <w:t xml:space="preserve">, </w:t>
      </w:r>
      <w:proofErr w:type="spellStart"/>
      <w:r w:rsidRPr="004B60A0">
        <w:t>Blom</w:t>
      </w:r>
      <w:proofErr w:type="spellEnd"/>
      <w:r w:rsidRPr="004B60A0">
        <w:t xml:space="preserve">, Band, &amp; </w:t>
      </w:r>
      <w:proofErr w:type="spellStart"/>
      <w:r w:rsidRPr="004B60A0">
        <w:t>Kok</w:t>
      </w:r>
      <w:proofErr w:type="spellEnd"/>
      <w:r w:rsidRPr="004B60A0">
        <w:t xml:space="preserve">, 2001). </w:t>
      </w:r>
      <w:r>
        <w:t xml:space="preserve"> Even though there</w:t>
      </w:r>
      <w:r w:rsidRPr="00E5153E">
        <w:t xml:space="preserve"> are contradictory reports about the above (</w:t>
      </w:r>
      <w:r w:rsidRPr="004A155C">
        <w:t xml:space="preserve">Di Gregorio, </w:t>
      </w:r>
      <w:proofErr w:type="spellStart"/>
      <w:r w:rsidRPr="004A155C">
        <w:t>Steinhauser</w:t>
      </w:r>
      <w:proofErr w:type="spellEnd"/>
      <w:r w:rsidRPr="004A155C">
        <w:t>,</w:t>
      </w:r>
      <w:r>
        <w:t xml:space="preserve"> </w:t>
      </w:r>
      <w:r w:rsidRPr="004A155C">
        <w:t xml:space="preserve">&amp; Maier, </w:t>
      </w:r>
      <w:r>
        <w:t>2015; Wessel, 2012</w:t>
      </w:r>
      <w:r w:rsidRPr="00E5153E">
        <w:t>)</w:t>
      </w:r>
      <w:r>
        <w:t xml:space="preserve">. </w:t>
      </w:r>
      <w:r w:rsidRPr="004B60A0">
        <w:t>However, there is a component referred to as error-positivity (</w:t>
      </w:r>
      <w:r>
        <w:t>Pe</w:t>
      </w:r>
      <w:r w:rsidRPr="004B60A0">
        <w:t>), which is related to the awareness of having made a mistake, as well as coping strategies, and with a subjective emotional evaluation of errors (</w:t>
      </w:r>
      <w:proofErr w:type="spellStart"/>
      <w:r w:rsidRPr="004B60A0">
        <w:t>Falkenstein</w:t>
      </w:r>
      <w:proofErr w:type="spellEnd"/>
      <w:r w:rsidRPr="004B60A0">
        <w:t xml:space="preserve"> et al., 1991; </w:t>
      </w:r>
      <w:proofErr w:type="spellStart"/>
      <w:r w:rsidRPr="004B60A0">
        <w:t>Falkenstein</w:t>
      </w:r>
      <w:proofErr w:type="spellEnd"/>
      <w:r w:rsidRPr="004B60A0">
        <w:t xml:space="preserve">, </w:t>
      </w:r>
      <w:proofErr w:type="spellStart"/>
      <w:r w:rsidRPr="004B60A0">
        <w:t>Hoormann</w:t>
      </w:r>
      <w:proofErr w:type="spellEnd"/>
      <w:r w:rsidRPr="004B60A0">
        <w:t>, Christ</w:t>
      </w:r>
      <w:r>
        <w:t>,</w:t>
      </w:r>
      <w:r w:rsidRPr="004B60A0">
        <w:t xml:space="preserve"> &amp; </w:t>
      </w:r>
      <w:proofErr w:type="spellStart"/>
      <w:r w:rsidRPr="004B60A0">
        <w:t>Hohnsbein</w:t>
      </w:r>
      <w:proofErr w:type="spellEnd"/>
      <w:r w:rsidRPr="004B60A0">
        <w:t xml:space="preserve">, 2000). This component is a positive slow wave that occurs in parietal regions between 200 and 500 </w:t>
      </w:r>
      <w:proofErr w:type="spellStart"/>
      <w:r w:rsidRPr="004B60A0">
        <w:t>ms</w:t>
      </w:r>
      <w:proofErr w:type="spellEnd"/>
      <w:r w:rsidRPr="004B60A0">
        <w:t xml:space="preserve"> after making an error (</w:t>
      </w:r>
      <w:proofErr w:type="spellStart"/>
      <w:r w:rsidRPr="004B60A0">
        <w:t>Shalgi</w:t>
      </w:r>
      <w:proofErr w:type="spellEnd"/>
      <w:r w:rsidRPr="004B60A0">
        <w:t xml:space="preserve"> et al., 2009). </w:t>
      </w:r>
      <w:r w:rsidRPr="00C426BC">
        <w:t>Although its occurrence has also been reported in</w:t>
      </w:r>
      <w:r w:rsidRPr="00BD2870">
        <w:t xml:space="preserve"> </w:t>
      </w:r>
      <w:proofErr w:type="spellStart"/>
      <w:r w:rsidRPr="00BD2870">
        <w:t>centro</w:t>
      </w:r>
      <w:proofErr w:type="spellEnd"/>
      <w:r w:rsidRPr="00BD2870">
        <w:t xml:space="preserve">-parietal sites 150–400 </w:t>
      </w:r>
      <w:proofErr w:type="spellStart"/>
      <w:r w:rsidRPr="00BD2870">
        <w:t>ms</w:t>
      </w:r>
      <w:proofErr w:type="spellEnd"/>
      <w:r w:rsidRPr="00BD2870">
        <w:t xml:space="preserve"> after erroneous r</w:t>
      </w:r>
      <w:r>
        <w:t>e</w:t>
      </w:r>
      <w:r w:rsidRPr="00BD2870">
        <w:t>sponses</w:t>
      </w:r>
      <w:r>
        <w:t xml:space="preserve"> (</w:t>
      </w:r>
      <w:r w:rsidRPr="0051691A">
        <w:t xml:space="preserve">Kim, Jang, &amp; Kim, </w:t>
      </w:r>
      <w:r>
        <w:t xml:space="preserve">2015). </w:t>
      </w:r>
      <w:r w:rsidRPr="00D06888">
        <w:t xml:space="preserve">It was not in the purposes of the present study to analyze </w:t>
      </w:r>
      <w:r>
        <w:t>Pe,</w:t>
      </w:r>
      <w:r w:rsidRPr="00D06888">
        <w:t xml:space="preserve"> but future studies could investigate it in relation to the variables studied here.</w:t>
      </w:r>
    </w:p>
    <w:p w14:paraId="2752FFE6" w14:textId="77777777" w:rsidR="002C1AEB" w:rsidRPr="004B60A0" w:rsidRDefault="002C1AEB" w:rsidP="004B7389">
      <w:pPr>
        <w:pStyle w:val="Textoindependiente"/>
        <w:spacing w:line="240" w:lineRule="auto"/>
        <w:ind w:firstLine="0"/>
      </w:pPr>
    </w:p>
    <w:p w14:paraId="362FF020" w14:textId="77777777" w:rsidR="002C1AEB" w:rsidRPr="004B60A0" w:rsidRDefault="002C1AEB" w:rsidP="004B7389">
      <w:pPr>
        <w:pStyle w:val="Textoindependiente"/>
        <w:spacing w:line="240" w:lineRule="auto"/>
        <w:ind w:firstLine="0"/>
        <w:rPr>
          <w:i/>
          <w:iCs/>
        </w:rPr>
      </w:pPr>
      <w:r w:rsidRPr="004B60A0">
        <w:rPr>
          <w:i/>
          <w:iCs/>
        </w:rPr>
        <w:t>Limitations</w:t>
      </w:r>
    </w:p>
    <w:p w14:paraId="681BBFBC" w14:textId="77777777" w:rsidR="002C1AEB" w:rsidRPr="004B60A0" w:rsidRDefault="002C1AEB" w:rsidP="004B7389">
      <w:pPr>
        <w:pStyle w:val="Textoindependiente"/>
        <w:spacing w:line="240" w:lineRule="auto"/>
      </w:pPr>
      <w:r w:rsidRPr="004B60A0">
        <w:t xml:space="preserve">In the present study, participants were given feedback prior to Ne/ERN registry in one of the conditions. In this sense, </w:t>
      </w:r>
      <w:proofErr w:type="spellStart"/>
      <w:r w:rsidRPr="004B60A0">
        <w:t>Falkenstein</w:t>
      </w:r>
      <w:proofErr w:type="spellEnd"/>
      <w:r w:rsidRPr="004B60A0">
        <w:t xml:space="preserve"> (2005) found that Ne/ERN appearance can be controlled with feedback during its recording, having greater amplitude when feedback was related to error. As from these findings, it would be interesting to conduct a study in which Ne/ERN amplitude is analyzed when participants receive incongruent feedback during the recordings.  </w:t>
      </w:r>
    </w:p>
    <w:p w14:paraId="0B976D69" w14:textId="77777777" w:rsidR="002C1AEB" w:rsidRPr="004B60A0" w:rsidRDefault="002C1AEB" w:rsidP="004B7389">
      <w:pPr>
        <w:pStyle w:val="Textoindependiente"/>
        <w:spacing w:line="240" w:lineRule="auto"/>
      </w:pPr>
      <w:r w:rsidRPr="004B60A0">
        <w:t xml:space="preserve">The small amount of errors committed by the participants in this study may have been caused by the simplicity of the visual discrimination cognitive task. Although a reduced number of errors is acceptable to analyze the amplitude of Ne/ERN (Fischer, Klein, &amp; </w:t>
      </w:r>
      <w:proofErr w:type="spellStart"/>
      <w:r w:rsidRPr="004B60A0">
        <w:t>Ullsperger</w:t>
      </w:r>
      <w:proofErr w:type="spellEnd"/>
      <w:r w:rsidRPr="004B60A0">
        <w:t xml:space="preserve">, 2017), we suggest working with a medium-to-high difficulty task in order to obtain a greater number of </w:t>
      </w:r>
      <w:r w:rsidRPr="004B60A0">
        <w:lastRenderedPageBreak/>
        <w:t xml:space="preserve">incorrect responses. For instance, a Stroop task could be used (Bailey et al., 2019; Larson, Kaufman, </w:t>
      </w:r>
      <w:proofErr w:type="spellStart"/>
      <w:r w:rsidRPr="004B60A0">
        <w:t>Kellison</w:t>
      </w:r>
      <w:proofErr w:type="spellEnd"/>
      <w:r w:rsidRPr="004B60A0">
        <w:t xml:space="preserve">, </w:t>
      </w:r>
      <w:proofErr w:type="spellStart"/>
      <w:r w:rsidRPr="004B60A0">
        <w:t>Schmalfuss</w:t>
      </w:r>
      <w:proofErr w:type="spellEnd"/>
      <w:r>
        <w:t>,</w:t>
      </w:r>
      <w:r w:rsidRPr="004B60A0">
        <w:t xml:space="preserve"> &amp; Perlstein, 2009; </w:t>
      </w:r>
      <w:proofErr w:type="spellStart"/>
      <w:r w:rsidRPr="004B60A0">
        <w:t>Luu</w:t>
      </w:r>
      <w:proofErr w:type="spellEnd"/>
      <w:r w:rsidRPr="004B60A0">
        <w:t>, Tucker, &amp; Collins (2000).</w:t>
      </w:r>
    </w:p>
    <w:p w14:paraId="4B4D0E04" w14:textId="77777777" w:rsidR="002C1AEB" w:rsidRPr="004B60A0" w:rsidRDefault="002C1AEB" w:rsidP="004B7389">
      <w:pPr>
        <w:pStyle w:val="Textoindependiente"/>
        <w:spacing w:line="240" w:lineRule="auto"/>
      </w:pPr>
      <w:r w:rsidRPr="004B60A0">
        <w:t xml:space="preserve">Within the limitations of this study is the reduced sample size. Therefore, it is important to confirm our findings with larger samples. At the same time, our explanations must be considered in light </w:t>
      </w:r>
      <w:r>
        <w:t>off</w:t>
      </w:r>
      <w:r w:rsidRPr="004B60A0">
        <w:t xml:space="preserve"> the sample. Another limitation was the absence of a physiological record of the participant's error awareness. In future studies an electromyographic marker (Elkins, Saunders, &amp; </w:t>
      </w:r>
      <w:proofErr w:type="spellStart"/>
      <w:r w:rsidRPr="004B60A0">
        <w:t>Inzlich</w:t>
      </w:r>
      <w:proofErr w:type="spellEnd"/>
      <w:r w:rsidRPr="004B60A0">
        <w:t xml:space="preserve">, 2016) </w:t>
      </w:r>
      <w:r>
        <w:t>could</w:t>
      </w:r>
      <w:r w:rsidRPr="004B60A0">
        <w:t xml:space="preserve"> be used, accompanied by some instruction to the participant to indicate the execution of an erroneous response. </w:t>
      </w:r>
    </w:p>
    <w:p w14:paraId="661F841F" w14:textId="77777777" w:rsidR="002C1AEB" w:rsidRDefault="002C1AEB" w:rsidP="004B7389">
      <w:pPr>
        <w:pStyle w:val="Textoindependiente"/>
        <w:spacing w:line="240" w:lineRule="auto"/>
      </w:pPr>
      <w:r w:rsidRPr="004B60A0">
        <w:t xml:space="preserve">Despite these limitations, the present study sheds </w:t>
      </w:r>
      <w:r>
        <w:t>light</w:t>
      </w:r>
      <w:r w:rsidRPr="004B60A0">
        <w:t xml:space="preserve"> on the relationship between </w:t>
      </w:r>
      <w:r>
        <w:t>over-learning</w:t>
      </w:r>
      <w:r w:rsidRPr="004B60A0">
        <w:t xml:space="preserve"> processes, brain feedback and brain electrical activity, specifically changes in Ne/ERN</w:t>
      </w:r>
      <w:r>
        <w:t>.</w:t>
      </w:r>
    </w:p>
    <w:p w14:paraId="621C7CD7" w14:textId="77777777" w:rsidR="002C1AEB" w:rsidRDefault="002C1AEB" w:rsidP="004B7389">
      <w:pPr>
        <w:pStyle w:val="Textoindependiente"/>
        <w:spacing w:line="240" w:lineRule="auto"/>
      </w:pPr>
    </w:p>
    <w:p w14:paraId="79EE2D4D" w14:textId="77777777" w:rsidR="002C1AEB" w:rsidRPr="00A1316C" w:rsidRDefault="002C1AEB" w:rsidP="004B7389">
      <w:pPr>
        <w:pStyle w:val="Textoindependiente"/>
        <w:spacing w:line="240" w:lineRule="auto"/>
        <w:jc w:val="center"/>
        <w:rPr>
          <w:b/>
        </w:rPr>
      </w:pPr>
      <w:r w:rsidRPr="00A1316C">
        <w:rPr>
          <w:b/>
        </w:rPr>
        <w:t>References</w:t>
      </w:r>
    </w:p>
    <w:p w14:paraId="414CE413" w14:textId="77777777" w:rsidR="002C1AEB" w:rsidRPr="004B60A0" w:rsidRDefault="002C1AEB" w:rsidP="004B7389">
      <w:pPr>
        <w:pStyle w:val="References"/>
        <w:spacing w:line="240" w:lineRule="auto"/>
      </w:pPr>
      <w:r w:rsidRPr="004B60A0">
        <w:t xml:space="preserve">Bailey, N. W., Raj, K., Freedman, G., Fitzgibbon, B. M., </w:t>
      </w:r>
      <w:proofErr w:type="spellStart"/>
      <w:r w:rsidRPr="004B60A0">
        <w:t>Rogasch</w:t>
      </w:r>
      <w:proofErr w:type="spellEnd"/>
      <w:r w:rsidRPr="004B60A0">
        <w:t>, N. C., Van Dam, N. T., &amp; Fitzgerald, P. B. (2019). Mindfulness meditators do not show differences in electrophysiological measures of error processing. </w:t>
      </w:r>
      <w:r w:rsidRPr="004B60A0">
        <w:rPr>
          <w:i/>
          <w:iCs/>
        </w:rPr>
        <w:t>Mindfulness</w:t>
      </w:r>
      <w:r w:rsidRPr="004B60A0">
        <w:t>, </w:t>
      </w:r>
      <w:r w:rsidRPr="004B60A0">
        <w:rPr>
          <w:i/>
          <w:iCs/>
        </w:rPr>
        <w:t>10</w:t>
      </w:r>
      <w:r w:rsidRPr="004B60A0">
        <w:t>(7), 1360–1380. doi:10.1007/s12671-019-1096-3</w:t>
      </w:r>
    </w:p>
    <w:p w14:paraId="3DD6858B" w14:textId="77777777" w:rsidR="002C1AEB" w:rsidRPr="004B60A0" w:rsidRDefault="002C1AEB" w:rsidP="004B7389">
      <w:pPr>
        <w:pStyle w:val="References"/>
        <w:spacing w:line="240" w:lineRule="auto"/>
      </w:pPr>
      <w:proofErr w:type="spellStart"/>
      <w:r w:rsidRPr="004B60A0">
        <w:t>Boksem</w:t>
      </w:r>
      <w:proofErr w:type="spellEnd"/>
      <w:r w:rsidRPr="004B60A0">
        <w:t xml:space="preserve">, M., </w:t>
      </w:r>
      <w:proofErr w:type="spellStart"/>
      <w:r w:rsidRPr="004B60A0">
        <w:t>Meijman</w:t>
      </w:r>
      <w:proofErr w:type="spellEnd"/>
      <w:r w:rsidRPr="004B60A0">
        <w:t xml:space="preserve">, T., &amp; </w:t>
      </w:r>
      <w:proofErr w:type="spellStart"/>
      <w:r w:rsidRPr="004B60A0">
        <w:t>Lorist</w:t>
      </w:r>
      <w:proofErr w:type="spellEnd"/>
      <w:r w:rsidRPr="004B60A0">
        <w:t xml:space="preserve">, M. (2006). Mental fatigue, motivation and action monitoring. </w:t>
      </w:r>
      <w:r w:rsidRPr="004B60A0">
        <w:rPr>
          <w:i/>
        </w:rPr>
        <w:t>Biological Psychology, 72</w:t>
      </w:r>
      <w:r w:rsidRPr="004B60A0">
        <w:t xml:space="preserve">(2), 123-132. </w:t>
      </w:r>
      <w:r w:rsidRPr="004B60A0">
        <w:rPr>
          <w:color w:val="262626"/>
          <w:lang w:eastAsia="es-ES"/>
        </w:rPr>
        <w:t>doi:10.1016/j.biopsycho.2005.08.007</w:t>
      </w:r>
    </w:p>
    <w:p w14:paraId="69CDFAC3" w14:textId="77777777" w:rsidR="002C1AEB" w:rsidRPr="004B60A0" w:rsidRDefault="002C1AEB" w:rsidP="004B7389">
      <w:pPr>
        <w:pStyle w:val="References"/>
        <w:spacing w:line="240" w:lineRule="auto"/>
        <w:rPr>
          <w:lang w:val="es-ES_tradnl"/>
        </w:rPr>
      </w:pPr>
      <w:proofErr w:type="spellStart"/>
      <w:r>
        <w:t>Cedrus</w:t>
      </w:r>
      <w:proofErr w:type="spellEnd"/>
      <w:r>
        <w:t xml:space="preserve"> Corporation. (2009). </w:t>
      </w:r>
      <w:proofErr w:type="spellStart"/>
      <w:r>
        <w:t>SuperLab</w:t>
      </w:r>
      <w:proofErr w:type="spellEnd"/>
      <w:r>
        <w:t xml:space="preserve"> (V 4.0.8) [Software]. </w:t>
      </w:r>
      <w:r w:rsidRPr="16DB047D">
        <w:rPr>
          <w:lang w:val="es-MX"/>
        </w:rPr>
        <w:t>San Pedro, CA, EE. UU.: Author.</w:t>
      </w:r>
    </w:p>
    <w:p w14:paraId="1E19FFCE" w14:textId="77777777" w:rsidR="002C1AEB" w:rsidRDefault="002C1AEB" w:rsidP="004B7389">
      <w:pPr>
        <w:pStyle w:val="References"/>
        <w:spacing w:line="240" w:lineRule="auto"/>
      </w:pPr>
      <w:r w:rsidRPr="00E6644B">
        <w:t xml:space="preserve">Dhawan, S. S., Tait, D. S., &amp; Brown, V. J. (2019). More rapid reversal learning following overtraining in the rat is evidence that </w:t>
      </w:r>
      <w:proofErr w:type="spellStart"/>
      <w:r w:rsidRPr="00E6644B">
        <w:t>behavioural</w:t>
      </w:r>
      <w:proofErr w:type="spellEnd"/>
      <w:r w:rsidRPr="00E6644B">
        <w:t xml:space="preserve"> and cognitive flexibility are dissociable. </w:t>
      </w:r>
      <w:proofErr w:type="spellStart"/>
      <w:r w:rsidRPr="00E6644B">
        <w:rPr>
          <w:i/>
          <w:iCs/>
        </w:rPr>
        <w:t>Behavioural</w:t>
      </w:r>
      <w:proofErr w:type="spellEnd"/>
      <w:r w:rsidRPr="00E6644B">
        <w:rPr>
          <w:i/>
          <w:iCs/>
        </w:rPr>
        <w:t xml:space="preserve"> Brain Research, 363</w:t>
      </w:r>
      <w:r w:rsidRPr="00E6644B">
        <w:t>, 45–52. doi:10.1016/j.bbr.2019.01.055</w:t>
      </w:r>
    </w:p>
    <w:p w14:paraId="66774A11" w14:textId="77777777" w:rsidR="002C1AEB" w:rsidRPr="00283C7F" w:rsidRDefault="002C1AEB" w:rsidP="004B7389">
      <w:pPr>
        <w:pStyle w:val="References"/>
        <w:spacing w:line="240" w:lineRule="auto"/>
        <w:rPr>
          <w:lang w:val="de-DE"/>
        </w:rPr>
      </w:pPr>
      <w:r w:rsidRPr="00E6644B">
        <w:t xml:space="preserve">De </w:t>
      </w:r>
      <w:proofErr w:type="spellStart"/>
      <w:r w:rsidRPr="00E6644B">
        <w:t>Bruijn</w:t>
      </w:r>
      <w:proofErr w:type="spellEnd"/>
      <w:r w:rsidRPr="00E6644B">
        <w:t xml:space="preserve">, E., </w:t>
      </w:r>
      <w:proofErr w:type="spellStart"/>
      <w:r w:rsidRPr="00E6644B">
        <w:t>Hulstijn</w:t>
      </w:r>
      <w:proofErr w:type="spellEnd"/>
      <w:r w:rsidRPr="00E6644B">
        <w:t xml:space="preserve">, W., </w:t>
      </w:r>
      <w:proofErr w:type="spellStart"/>
      <w:r w:rsidRPr="00E6644B">
        <w:t>Verkes</w:t>
      </w:r>
      <w:proofErr w:type="spellEnd"/>
      <w:r w:rsidRPr="00E6644B">
        <w:t xml:space="preserve">, R., </w:t>
      </w:r>
      <w:proofErr w:type="spellStart"/>
      <w:r w:rsidRPr="00E6644B">
        <w:t>Ruigt</w:t>
      </w:r>
      <w:proofErr w:type="spellEnd"/>
      <w:r w:rsidRPr="00E6644B">
        <w:t xml:space="preserve">, G., &amp; </w:t>
      </w:r>
      <w:proofErr w:type="spellStart"/>
      <w:r w:rsidRPr="00E6644B">
        <w:t>Sabbe</w:t>
      </w:r>
      <w:proofErr w:type="spellEnd"/>
      <w:r w:rsidRPr="00E6644B">
        <w:t xml:space="preserve">, B. (2004). </w:t>
      </w:r>
      <w:r w:rsidRPr="004B60A0">
        <w:t xml:space="preserve">Drug-induced stimulation and suppression of action monitoring in healthy volunteers. </w:t>
      </w:r>
      <w:proofErr w:type="spellStart"/>
      <w:r w:rsidRPr="00283C7F">
        <w:rPr>
          <w:i/>
          <w:lang w:val="de-DE"/>
        </w:rPr>
        <w:t>Psychopharmacology</w:t>
      </w:r>
      <w:proofErr w:type="spellEnd"/>
      <w:r w:rsidRPr="00283C7F">
        <w:rPr>
          <w:i/>
          <w:lang w:val="de-DE"/>
        </w:rPr>
        <w:t>, 177</w:t>
      </w:r>
      <w:r w:rsidRPr="00283C7F">
        <w:rPr>
          <w:lang w:val="de-DE"/>
        </w:rPr>
        <w:t>(1-2), 151-160. doi:10.1007/s00213-004-1915-6</w:t>
      </w:r>
    </w:p>
    <w:p w14:paraId="09614BEA" w14:textId="77777777" w:rsidR="002C1AEB" w:rsidRPr="00283C7F" w:rsidRDefault="002C1AEB" w:rsidP="004B7389">
      <w:pPr>
        <w:pStyle w:val="References"/>
        <w:spacing w:line="240" w:lineRule="auto"/>
        <w:rPr>
          <w:lang w:val="de-DE"/>
        </w:rPr>
      </w:pPr>
      <w:r w:rsidRPr="00283C7F">
        <w:rPr>
          <w:lang w:val="de-DE"/>
        </w:rPr>
        <w:t xml:space="preserve">Di Gregorio, F., Steinhauser, M., &amp; Maier, M. E. (2016). </w:t>
      </w:r>
      <w:r w:rsidRPr="004A155C">
        <w:t>Error-related brain activity and error awareness in an error classification paradigm. </w:t>
      </w:r>
      <w:proofErr w:type="spellStart"/>
      <w:r w:rsidRPr="00283C7F">
        <w:rPr>
          <w:i/>
          <w:iCs/>
          <w:lang w:val="de-DE"/>
        </w:rPr>
        <w:t>NeuroImage</w:t>
      </w:r>
      <w:proofErr w:type="spellEnd"/>
      <w:r w:rsidRPr="00283C7F">
        <w:rPr>
          <w:lang w:val="de-DE"/>
        </w:rPr>
        <w:t>, </w:t>
      </w:r>
      <w:r w:rsidRPr="00283C7F">
        <w:rPr>
          <w:i/>
          <w:iCs/>
          <w:lang w:val="de-DE"/>
        </w:rPr>
        <w:t>139</w:t>
      </w:r>
      <w:r w:rsidRPr="00283C7F">
        <w:rPr>
          <w:lang w:val="de-DE"/>
        </w:rPr>
        <w:t>, 202–210. doi:10.1016/j.neuroimage.2016.05.074</w:t>
      </w:r>
    </w:p>
    <w:p w14:paraId="74AA0C66" w14:textId="77777777" w:rsidR="002C1AEB" w:rsidRPr="004B60A0" w:rsidRDefault="002C1AEB" w:rsidP="004B7389">
      <w:pPr>
        <w:pStyle w:val="References"/>
        <w:spacing w:line="240" w:lineRule="auto"/>
      </w:pPr>
      <w:proofErr w:type="spellStart"/>
      <w:r w:rsidRPr="00283C7F">
        <w:rPr>
          <w:lang w:val="de-DE"/>
        </w:rPr>
        <w:t>Dikman</w:t>
      </w:r>
      <w:proofErr w:type="spellEnd"/>
      <w:r w:rsidRPr="00283C7F">
        <w:rPr>
          <w:lang w:val="de-DE"/>
        </w:rPr>
        <w:t xml:space="preserve">, Z. V., &amp; Allen, J. J. B. (2000). </w:t>
      </w:r>
      <w:r w:rsidRPr="004B60A0">
        <w:t>Error monitoring during reward and avoidance learning in high- and low-socialized individuals</w:t>
      </w:r>
      <w:r w:rsidRPr="004B60A0">
        <w:rPr>
          <w:i/>
        </w:rPr>
        <w:t>. Psychophysiology,</w:t>
      </w:r>
      <w:r w:rsidRPr="004B60A0">
        <w:t xml:space="preserve"> </w:t>
      </w:r>
      <w:r w:rsidRPr="004B60A0">
        <w:rPr>
          <w:i/>
        </w:rPr>
        <w:t>37</w:t>
      </w:r>
      <w:r w:rsidRPr="004B60A0">
        <w:t>(1), 43-54. doi:10.1017/S0048577200980983</w:t>
      </w:r>
    </w:p>
    <w:p w14:paraId="3AAA8E54" w14:textId="77777777" w:rsidR="002C1AEB" w:rsidRDefault="002C1AEB" w:rsidP="004B7389">
      <w:pPr>
        <w:pStyle w:val="References"/>
        <w:spacing w:line="240" w:lineRule="auto"/>
      </w:pPr>
      <w:proofErr w:type="spellStart"/>
      <w:r w:rsidRPr="000D2E6B">
        <w:t>Domjan</w:t>
      </w:r>
      <w:proofErr w:type="spellEnd"/>
      <w:r w:rsidRPr="000D2E6B">
        <w:t xml:space="preserve">, M. (2018). Habituation and sensitization. In M. </w:t>
      </w:r>
      <w:proofErr w:type="spellStart"/>
      <w:r w:rsidRPr="000D2E6B">
        <w:t>Domjan</w:t>
      </w:r>
      <w:proofErr w:type="spellEnd"/>
      <w:r>
        <w:t xml:space="preserve"> (Ed)</w:t>
      </w:r>
      <w:r w:rsidRPr="000D2E6B">
        <w:t>, </w:t>
      </w:r>
      <w:r w:rsidRPr="000D2E6B">
        <w:rPr>
          <w:i/>
          <w:iCs/>
        </w:rPr>
        <w:t>The essentials of conditioning and learning</w:t>
      </w:r>
      <w:r>
        <w:rPr>
          <w:i/>
          <w:iCs/>
        </w:rPr>
        <w:t xml:space="preserve"> </w:t>
      </w:r>
      <w:r w:rsidRPr="000D2E6B">
        <w:t>(pp. 27-41). Washington, D</w:t>
      </w:r>
      <w:r>
        <w:t xml:space="preserve">. </w:t>
      </w:r>
      <w:r w:rsidRPr="000D2E6B">
        <w:t>C</w:t>
      </w:r>
      <w:r>
        <w:t>.</w:t>
      </w:r>
      <w:r w:rsidRPr="000D2E6B">
        <w:t>: American Psychological Association.</w:t>
      </w:r>
      <w:r>
        <w:t xml:space="preserve"> </w:t>
      </w:r>
      <w:r w:rsidRPr="000D2E6B">
        <w:t>doi</w:t>
      </w:r>
      <w:r>
        <w:t>:</w:t>
      </w:r>
      <w:r w:rsidRPr="000D2E6B">
        <w:t>10.1037/0000057-003</w:t>
      </w:r>
    </w:p>
    <w:p w14:paraId="3C230E4C" w14:textId="77777777" w:rsidR="002C1AEB" w:rsidRPr="004B60A0" w:rsidRDefault="002C1AEB" w:rsidP="004B7389">
      <w:pPr>
        <w:pStyle w:val="References"/>
        <w:spacing w:line="240" w:lineRule="auto"/>
      </w:pPr>
      <w:proofErr w:type="spellStart"/>
      <w:r w:rsidRPr="004B60A0">
        <w:t>Donchin</w:t>
      </w:r>
      <w:proofErr w:type="spellEnd"/>
      <w:r w:rsidRPr="004B60A0">
        <w:t xml:space="preserve">, E., Ritter, W., &amp; McCallum, W. C. (1978). Cognitive psychophysiology: the endogenous components of the ERP. In K. A. </w:t>
      </w:r>
      <w:proofErr w:type="spellStart"/>
      <w:r w:rsidRPr="004B60A0">
        <w:t>Kooi</w:t>
      </w:r>
      <w:proofErr w:type="spellEnd"/>
      <w:r w:rsidRPr="004B60A0">
        <w:t xml:space="preserve">, E. Callaway, P. </w:t>
      </w:r>
      <w:proofErr w:type="spellStart"/>
      <w:r w:rsidRPr="004B60A0">
        <w:t>Tueting</w:t>
      </w:r>
      <w:proofErr w:type="spellEnd"/>
      <w:r w:rsidRPr="004B60A0">
        <w:t xml:space="preserve"> &amp; S. H. </w:t>
      </w:r>
      <w:proofErr w:type="spellStart"/>
      <w:r w:rsidRPr="004B60A0">
        <w:t>Koslow</w:t>
      </w:r>
      <w:proofErr w:type="spellEnd"/>
      <w:r w:rsidRPr="004B60A0">
        <w:t xml:space="preserve"> (Eds.), </w:t>
      </w:r>
      <w:r w:rsidRPr="004B60A0">
        <w:rPr>
          <w:i/>
        </w:rPr>
        <w:t>Event-related brain potentials in man</w:t>
      </w:r>
      <w:r w:rsidRPr="004B60A0">
        <w:t xml:space="preserve"> (pp. 349-411). New York, EE. UU.: Academic Press.</w:t>
      </w:r>
    </w:p>
    <w:p w14:paraId="27E85506" w14:textId="77777777" w:rsidR="002C1AEB" w:rsidRPr="004B60A0" w:rsidRDefault="002C1AEB" w:rsidP="004B7389">
      <w:pPr>
        <w:pStyle w:val="References"/>
        <w:spacing w:line="240" w:lineRule="auto"/>
      </w:pPr>
      <w:r w:rsidRPr="004B60A0">
        <w:t xml:space="preserve">Driskell, J. E., Willis, R. P., &amp; Copper, C. (1992). Effect of Overlearning on Retention. </w:t>
      </w:r>
      <w:r w:rsidRPr="004B60A0">
        <w:rPr>
          <w:i/>
        </w:rPr>
        <w:t>Journal of Applied Psychology</w:t>
      </w:r>
      <w:r w:rsidRPr="004B60A0">
        <w:t xml:space="preserve">, </w:t>
      </w:r>
      <w:r w:rsidRPr="004B60A0">
        <w:rPr>
          <w:i/>
        </w:rPr>
        <w:t>77</w:t>
      </w:r>
      <w:r w:rsidRPr="004B60A0">
        <w:t>(5), 615-622. doi:10.1037/0021-9010.77.5.615</w:t>
      </w:r>
    </w:p>
    <w:p w14:paraId="171291BC" w14:textId="77777777" w:rsidR="002C1AEB" w:rsidRPr="004B60A0" w:rsidRDefault="002C1AEB" w:rsidP="004B7389">
      <w:pPr>
        <w:pStyle w:val="References"/>
        <w:spacing w:line="240" w:lineRule="auto"/>
      </w:pPr>
      <w:r w:rsidRPr="004B60A0">
        <w:t xml:space="preserve">Electrical Geodesics, Inc. (2006). </w:t>
      </w:r>
      <w:r w:rsidRPr="004B60A0">
        <w:rPr>
          <w:i/>
        </w:rPr>
        <w:t>Net Station Waveform Tools Technical Manual</w:t>
      </w:r>
      <w:r w:rsidRPr="004B60A0">
        <w:t>. Eugene, OR, EE. UU.: Author.</w:t>
      </w:r>
    </w:p>
    <w:p w14:paraId="3E6DA8DF" w14:textId="77777777" w:rsidR="002C1AEB" w:rsidRPr="004B60A0" w:rsidRDefault="002C1AEB" w:rsidP="004B7389">
      <w:pPr>
        <w:pStyle w:val="References"/>
        <w:spacing w:line="240" w:lineRule="auto"/>
      </w:pPr>
      <w:r w:rsidRPr="004B60A0">
        <w:t>Electrical Geodesics, Inc. (2010). Net Station (V 4.4.1) [Software]. Eugene, OR, EE. UU.: Author.</w:t>
      </w:r>
    </w:p>
    <w:p w14:paraId="0FF4491C" w14:textId="77777777" w:rsidR="002C1AEB" w:rsidRPr="00B91CED" w:rsidRDefault="002C1AEB" w:rsidP="004B7389">
      <w:pPr>
        <w:pStyle w:val="References"/>
        <w:spacing w:line="240" w:lineRule="auto"/>
        <w:rPr>
          <w:lang w:val="es-MX"/>
        </w:rPr>
      </w:pPr>
      <w:r w:rsidRPr="004B60A0">
        <w:t xml:space="preserve">Electrical Geodesics, Inc. (2011). </w:t>
      </w:r>
      <w:proofErr w:type="spellStart"/>
      <w:r w:rsidRPr="004B60A0">
        <w:t>GeoSource</w:t>
      </w:r>
      <w:proofErr w:type="spellEnd"/>
      <w:r w:rsidRPr="004B60A0">
        <w:t xml:space="preserve"> 2.0 [Software]. </w:t>
      </w:r>
      <w:r w:rsidRPr="00B91CED">
        <w:rPr>
          <w:lang w:val="es-MX"/>
        </w:rPr>
        <w:t>Eugene, OR, EE. UU.: Author.</w:t>
      </w:r>
    </w:p>
    <w:p w14:paraId="29A55F56" w14:textId="77777777" w:rsidR="002C1AEB" w:rsidRDefault="002C1AEB" w:rsidP="004B7389">
      <w:pPr>
        <w:pStyle w:val="References"/>
        <w:spacing w:line="240" w:lineRule="auto"/>
      </w:pPr>
      <w:proofErr w:type="spellStart"/>
      <w:r w:rsidRPr="16A294BA">
        <w:rPr>
          <w:lang w:val="de-DE"/>
        </w:rPr>
        <w:lastRenderedPageBreak/>
        <w:t>Elkins</w:t>
      </w:r>
      <w:proofErr w:type="spellEnd"/>
      <w:r w:rsidRPr="16A294BA">
        <w:rPr>
          <w:lang w:val="de-DE"/>
        </w:rPr>
        <w:t xml:space="preserve">, B. N., Saunders, B., &amp; </w:t>
      </w:r>
      <w:proofErr w:type="spellStart"/>
      <w:r w:rsidRPr="16A294BA">
        <w:rPr>
          <w:lang w:val="de-DE"/>
        </w:rPr>
        <w:t>Inzlicht</w:t>
      </w:r>
      <w:proofErr w:type="spellEnd"/>
      <w:r w:rsidRPr="16A294BA">
        <w:rPr>
          <w:lang w:val="de-DE"/>
        </w:rPr>
        <w:t xml:space="preserve">, M. (2016). </w:t>
      </w:r>
      <w:r>
        <w:t xml:space="preserve">Error-related electromyographic activity over the corrugator </w:t>
      </w:r>
      <w:proofErr w:type="spellStart"/>
      <w:r>
        <w:t>supercilii</w:t>
      </w:r>
      <w:proofErr w:type="spellEnd"/>
      <w:r>
        <w:t xml:space="preserve"> is associated with neural performance monitoring. </w:t>
      </w:r>
      <w:r w:rsidRPr="16A294BA">
        <w:rPr>
          <w:i/>
          <w:iCs/>
        </w:rPr>
        <w:t>Psychophysiology</w:t>
      </w:r>
      <w:r>
        <w:t xml:space="preserve">, </w:t>
      </w:r>
      <w:r w:rsidRPr="16A294BA">
        <w:rPr>
          <w:i/>
          <w:iCs/>
        </w:rPr>
        <w:t>53</w:t>
      </w:r>
      <w:r>
        <w:t>(2), 159–170. </w:t>
      </w:r>
      <w:proofErr w:type="spellStart"/>
      <w:r>
        <w:t>doi</w:t>
      </w:r>
      <w:proofErr w:type="spellEnd"/>
      <w:r>
        <w:t>: 10.1111/psyp.12556</w:t>
      </w:r>
    </w:p>
    <w:p w14:paraId="48472781" w14:textId="77777777" w:rsidR="002C1AEB" w:rsidRPr="004B60A0" w:rsidRDefault="002C1AEB" w:rsidP="004B7389">
      <w:pPr>
        <w:pStyle w:val="References"/>
        <w:spacing w:line="240" w:lineRule="auto"/>
      </w:pPr>
      <w:proofErr w:type="spellStart"/>
      <w:r w:rsidRPr="004B60A0">
        <w:t>Fabiani</w:t>
      </w:r>
      <w:proofErr w:type="spellEnd"/>
      <w:r w:rsidRPr="004B60A0">
        <w:t xml:space="preserve">, M., Gratton, G., &amp; Coles, M. G. H. (2005) Event-Related Brain Potentials. In J. T. Cacioppo, L. G. </w:t>
      </w:r>
      <w:proofErr w:type="spellStart"/>
      <w:r w:rsidRPr="004B60A0">
        <w:t>Tassinary</w:t>
      </w:r>
      <w:proofErr w:type="spellEnd"/>
      <w:r w:rsidRPr="004B60A0">
        <w:t xml:space="preserve">, &amp; G. G. </w:t>
      </w:r>
      <w:proofErr w:type="spellStart"/>
      <w:r w:rsidRPr="004B60A0">
        <w:t>Berntson</w:t>
      </w:r>
      <w:proofErr w:type="spellEnd"/>
      <w:r w:rsidRPr="004B60A0">
        <w:t xml:space="preserve"> (Eds.), </w:t>
      </w:r>
      <w:r w:rsidRPr="004B60A0">
        <w:rPr>
          <w:i/>
        </w:rPr>
        <w:t xml:space="preserve">Handbook of </w:t>
      </w:r>
      <w:proofErr w:type="spellStart"/>
      <w:r w:rsidRPr="004B60A0">
        <w:rPr>
          <w:i/>
        </w:rPr>
        <w:t>Psychophisiology</w:t>
      </w:r>
      <w:proofErr w:type="spellEnd"/>
      <w:r w:rsidRPr="004B60A0">
        <w:t xml:space="preserve"> (pp. 53-84). New York, EE. UU.: Cambridge University Press.</w:t>
      </w:r>
    </w:p>
    <w:p w14:paraId="6CC361B8" w14:textId="77777777" w:rsidR="002C1AEB" w:rsidRPr="004B60A0" w:rsidRDefault="002C1AEB" w:rsidP="004B7389">
      <w:pPr>
        <w:pStyle w:val="References"/>
        <w:spacing w:line="240" w:lineRule="auto"/>
        <w:rPr>
          <w:lang w:val="de-DE"/>
        </w:rPr>
      </w:pPr>
      <w:proofErr w:type="spellStart"/>
      <w:r w:rsidRPr="004B60A0">
        <w:t>Falkenstein</w:t>
      </w:r>
      <w:proofErr w:type="spellEnd"/>
      <w:r w:rsidRPr="004B60A0">
        <w:t>, M. (2005). Electrophysiology of response monitoring and control.</w:t>
      </w:r>
      <w:r w:rsidRPr="004B60A0">
        <w:rPr>
          <w:i/>
        </w:rPr>
        <w:t xml:space="preserve"> </w:t>
      </w:r>
      <w:r w:rsidRPr="004B60A0">
        <w:rPr>
          <w:i/>
          <w:lang w:val="de-DE"/>
        </w:rPr>
        <w:t xml:space="preserve">Journal </w:t>
      </w:r>
      <w:proofErr w:type="spellStart"/>
      <w:r w:rsidRPr="004B60A0">
        <w:rPr>
          <w:i/>
          <w:lang w:val="de-DE"/>
        </w:rPr>
        <w:t>of</w:t>
      </w:r>
      <w:proofErr w:type="spellEnd"/>
      <w:r w:rsidRPr="004B60A0">
        <w:rPr>
          <w:i/>
          <w:lang w:val="de-DE"/>
        </w:rPr>
        <w:t xml:space="preserve"> </w:t>
      </w:r>
      <w:proofErr w:type="spellStart"/>
      <w:r w:rsidRPr="004B60A0">
        <w:rPr>
          <w:i/>
          <w:lang w:val="de-DE"/>
        </w:rPr>
        <w:t>Psychophysiology</w:t>
      </w:r>
      <w:proofErr w:type="spellEnd"/>
      <w:r w:rsidRPr="004B60A0">
        <w:rPr>
          <w:lang w:val="de-DE"/>
        </w:rPr>
        <w:t xml:space="preserve">, </w:t>
      </w:r>
      <w:r w:rsidRPr="004B60A0">
        <w:rPr>
          <w:i/>
          <w:lang w:val="de-DE"/>
        </w:rPr>
        <w:t>19</w:t>
      </w:r>
      <w:r w:rsidRPr="004B60A0">
        <w:rPr>
          <w:lang w:val="de-DE"/>
        </w:rPr>
        <w:t>(4), 241–243.  doi:10.1027/0269-8803.19.4.241</w:t>
      </w:r>
    </w:p>
    <w:p w14:paraId="1E88B23A" w14:textId="77777777" w:rsidR="002C1AEB" w:rsidRPr="004B60A0" w:rsidRDefault="002C1AEB" w:rsidP="004B7389">
      <w:pPr>
        <w:pStyle w:val="References"/>
        <w:spacing w:line="240" w:lineRule="auto"/>
        <w:rPr>
          <w:lang w:val="de-DE"/>
        </w:rPr>
      </w:pPr>
      <w:r w:rsidRPr="004B60A0">
        <w:rPr>
          <w:lang w:val="de-DE"/>
        </w:rPr>
        <w:t xml:space="preserve">Falkenstein, M., </w:t>
      </w:r>
      <w:proofErr w:type="spellStart"/>
      <w:r w:rsidRPr="004B60A0">
        <w:rPr>
          <w:lang w:val="de-DE"/>
        </w:rPr>
        <w:t>Hohnsbein</w:t>
      </w:r>
      <w:proofErr w:type="spellEnd"/>
      <w:r w:rsidRPr="004B60A0">
        <w:rPr>
          <w:lang w:val="de-DE"/>
        </w:rPr>
        <w:t xml:space="preserve">, J., </w:t>
      </w:r>
      <w:proofErr w:type="spellStart"/>
      <w:r w:rsidRPr="004B60A0">
        <w:rPr>
          <w:lang w:val="de-DE"/>
        </w:rPr>
        <w:t>Hoormann</w:t>
      </w:r>
      <w:proofErr w:type="spellEnd"/>
      <w:r w:rsidRPr="004B60A0">
        <w:rPr>
          <w:lang w:val="de-DE"/>
        </w:rPr>
        <w:t xml:space="preserve">, J., &amp; Blanke, L. (1990). </w:t>
      </w:r>
      <w:r w:rsidRPr="004B60A0">
        <w:t xml:space="preserve">Effects of errors in choice reaction tasks on the ERP under focused and divided. In C. H. M. </w:t>
      </w:r>
      <w:proofErr w:type="spellStart"/>
      <w:r w:rsidRPr="004B60A0">
        <w:t>Brunia</w:t>
      </w:r>
      <w:proofErr w:type="spellEnd"/>
      <w:r w:rsidRPr="004B60A0">
        <w:t xml:space="preserve">, A. W. K. Gaillard &amp; A. </w:t>
      </w:r>
      <w:proofErr w:type="spellStart"/>
      <w:r w:rsidRPr="004B60A0">
        <w:t>Kok</w:t>
      </w:r>
      <w:proofErr w:type="spellEnd"/>
      <w:r w:rsidRPr="004B60A0">
        <w:t xml:space="preserve"> (Eds.), </w:t>
      </w:r>
      <w:r w:rsidRPr="004B60A0">
        <w:rPr>
          <w:i/>
        </w:rPr>
        <w:t>Psychophysiological Brain Research</w:t>
      </w:r>
      <w:r w:rsidRPr="004B60A0">
        <w:t xml:space="preserve"> (Vol. 1, pp. 192 – 195). </w:t>
      </w:r>
      <w:r w:rsidRPr="004B60A0">
        <w:rPr>
          <w:lang w:val="de-DE"/>
        </w:rPr>
        <w:t xml:space="preserve">Tilburg, </w:t>
      </w:r>
      <w:proofErr w:type="spellStart"/>
      <w:r w:rsidRPr="004B60A0">
        <w:rPr>
          <w:lang w:val="de-DE"/>
        </w:rPr>
        <w:t>Netherlands</w:t>
      </w:r>
      <w:proofErr w:type="spellEnd"/>
      <w:r w:rsidRPr="004B60A0">
        <w:rPr>
          <w:lang w:val="de-DE"/>
        </w:rPr>
        <w:t>: Tilburg University Press.</w:t>
      </w:r>
    </w:p>
    <w:p w14:paraId="7D2A2193" w14:textId="77777777" w:rsidR="002C1AEB" w:rsidRPr="004B60A0" w:rsidRDefault="002C1AEB" w:rsidP="004B7389">
      <w:pPr>
        <w:pStyle w:val="References"/>
        <w:spacing w:line="240" w:lineRule="auto"/>
      </w:pPr>
      <w:r w:rsidRPr="004B60A0">
        <w:rPr>
          <w:lang w:val="de-DE"/>
        </w:rPr>
        <w:t xml:space="preserve">Falkenstein, M., </w:t>
      </w:r>
      <w:proofErr w:type="spellStart"/>
      <w:r w:rsidRPr="004B60A0">
        <w:rPr>
          <w:lang w:val="de-DE"/>
        </w:rPr>
        <w:t>Hohnsbein</w:t>
      </w:r>
      <w:proofErr w:type="spellEnd"/>
      <w:r w:rsidRPr="004B60A0">
        <w:rPr>
          <w:lang w:val="de-DE"/>
        </w:rPr>
        <w:t xml:space="preserve">, J., </w:t>
      </w:r>
      <w:proofErr w:type="spellStart"/>
      <w:r w:rsidRPr="004B60A0">
        <w:rPr>
          <w:lang w:val="de-DE"/>
        </w:rPr>
        <w:t>Hoormann</w:t>
      </w:r>
      <w:proofErr w:type="spellEnd"/>
      <w:r w:rsidRPr="004B60A0">
        <w:rPr>
          <w:lang w:val="de-DE"/>
        </w:rPr>
        <w:t xml:space="preserve">, J., &amp; Blanke, L. (1991). </w:t>
      </w:r>
      <w:r w:rsidRPr="004B60A0">
        <w:t xml:space="preserve">Effects of </w:t>
      </w:r>
      <w:proofErr w:type="spellStart"/>
      <w:r w:rsidRPr="004B60A0">
        <w:t>crossmodal</w:t>
      </w:r>
      <w:proofErr w:type="spellEnd"/>
      <w:r w:rsidRPr="004B60A0">
        <w:t xml:space="preserve"> divided attention on late ERP components: II. Error processing in choice reaction tasks. </w:t>
      </w:r>
      <w:r w:rsidRPr="004B60A0">
        <w:rPr>
          <w:i/>
        </w:rPr>
        <w:t>Electroencephalography and Clinical Neurophysiology, 78</w:t>
      </w:r>
      <w:r w:rsidRPr="004B60A0">
        <w:t xml:space="preserve">(6), 447-455. </w:t>
      </w:r>
      <w:r w:rsidRPr="004B60A0">
        <w:rPr>
          <w:color w:val="262626"/>
          <w:lang w:eastAsia="es-ES"/>
        </w:rPr>
        <w:t>doi:10.1016/0013-4694(91)90062-9</w:t>
      </w:r>
    </w:p>
    <w:p w14:paraId="545701AE" w14:textId="77777777" w:rsidR="002C1AEB" w:rsidRPr="004B60A0" w:rsidRDefault="002C1AEB" w:rsidP="004B7389">
      <w:pPr>
        <w:pStyle w:val="References"/>
        <w:spacing w:line="240" w:lineRule="auto"/>
      </w:pPr>
      <w:r w:rsidRPr="004B60A0">
        <w:rPr>
          <w:lang w:val="de-DE"/>
        </w:rPr>
        <w:t xml:space="preserve">Falkenstein, M., </w:t>
      </w:r>
      <w:proofErr w:type="spellStart"/>
      <w:r w:rsidRPr="004B60A0">
        <w:rPr>
          <w:lang w:val="de-DE"/>
        </w:rPr>
        <w:t>Hoormann</w:t>
      </w:r>
      <w:proofErr w:type="spellEnd"/>
      <w:r w:rsidRPr="004B60A0">
        <w:rPr>
          <w:lang w:val="de-DE"/>
        </w:rPr>
        <w:t xml:space="preserve">, J., Christ, S., &amp; </w:t>
      </w:r>
      <w:proofErr w:type="spellStart"/>
      <w:r w:rsidRPr="004B60A0">
        <w:rPr>
          <w:lang w:val="de-DE"/>
        </w:rPr>
        <w:t>Hohnsbein</w:t>
      </w:r>
      <w:proofErr w:type="spellEnd"/>
      <w:r w:rsidRPr="004B60A0">
        <w:rPr>
          <w:lang w:val="de-DE"/>
        </w:rPr>
        <w:t xml:space="preserve">, J. (2000). </w:t>
      </w:r>
      <w:r w:rsidRPr="004B60A0">
        <w:t xml:space="preserve">ERP components on reaction errors and their functional significance: a tutorial. </w:t>
      </w:r>
      <w:r w:rsidRPr="004B60A0">
        <w:rPr>
          <w:i/>
        </w:rPr>
        <w:t>Biological Psychology, 51</w:t>
      </w:r>
      <w:r w:rsidRPr="004B60A0">
        <w:t>(2-3), 87-107. doi:10.1016/S0301-0511(99)00031-9</w:t>
      </w:r>
    </w:p>
    <w:p w14:paraId="28E86507" w14:textId="77777777" w:rsidR="002C1AEB" w:rsidRPr="004B60A0" w:rsidRDefault="002C1AEB" w:rsidP="004B7389">
      <w:pPr>
        <w:pStyle w:val="References"/>
        <w:spacing w:line="240" w:lineRule="auto"/>
      </w:pPr>
      <w:r w:rsidRPr="004B60A0">
        <w:t xml:space="preserve">Ferdinand, N. K., </w:t>
      </w:r>
      <w:proofErr w:type="spellStart"/>
      <w:r w:rsidRPr="004B60A0">
        <w:t>Mecklinger</w:t>
      </w:r>
      <w:proofErr w:type="spellEnd"/>
      <w:r w:rsidRPr="004B60A0">
        <w:t xml:space="preserve">, A., &amp; Kray, J. (2008). </w:t>
      </w:r>
      <w:r w:rsidRPr="004B60A0">
        <w:rPr>
          <w:i/>
        </w:rPr>
        <w:t>Error and deviance processing in implicit and explicit sequence learning. Journal of Cognitive Neuroscience, 20</w:t>
      </w:r>
      <w:r w:rsidRPr="004B60A0">
        <w:t>(4), 629-642. doi:10.1162/jocn.2008.20046</w:t>
      </w:r>
    </w:p>
    <w:p w14:paraId="767877D6" w14:textId="77777777" w:rsidR="002C1AEB" w:rsidRDefault="002C1AEB" w:rsidP="004B7389">
      <w:pPr>
        <w:pStyle w:val="References"/>
        <w:spacing w:line="240" w:lineRule="auto"/>
      </w:pPr>
      <w:r>
        <w:t xml:space="preserve">Fischer, A. G., Klein, T. A., &amp; </w:t>
      </w:r>
      <w:proofErr w:type="spellStart"/>
      <w:r>
        <w:t>Ullsperger</w:t>
      </w:r>
      <w:proofErr w:type="spellEnd"/>
      <w:r>
        <w:t>, M. (2017). Comparing the error-related negativity across groups: The impact of error- and trial-number differences. </w:t>
      </w:r>
      <w:r w:rsidRPr="16A294BA">
        <w:rPr>
          <w:i/>
          <w:iCs/>
        </w:rPr>
        <w:t>Psychophysiology</w:t>
      </w:r>
      <w:r>
        <w:t>, </w:t>
      </w:r>
      <w:r w:rsidRPr="16A294BA">
        <w:rPr>
          <w:i/>
          <w:iCs/>
        </w:rPr>
        <w:t>54</w:t>
      </w:r>
      <w:r>
        <w:t xml:space="preserve">(7), 998–1009. </w:t>
      </w:r>
      <w:proofErr w:type="spellStart"/>
      <w:r>
        <w:t>doi</w:t>
      </w:r>
      <w:proofErr w:type="spellEnd"/>
      <w:r>
        <w:t>: 10.1111/psyp.12863</w:t>
      </w:r>
    </w:p>
    <w:p w14:paraId="069A32B9" w14:textId="77777777" w:rsidR="002C1AEB" w:rsidRPr="004B60A0" w:rsidRDefault="002C1AEB" w:rsidP="004B7389">
      <w:pPr>
        <w:pStyle w:val="References"/>
        <w:spacing w:line="240" w:lineRule="auto"/>
      </w:pPr>
      <w:r w:rsidRPr="004B60A0">
        <w:t xml:space="preserve">Gehring, W. J., Coles, M. G. H., Meyer, D. E., &amp; </w:t>
      </w:r>
      <w:proofErr w:type="spellStart"/>
      <w:r w:rsidRPr="004B60A0">
        <w:t>Donchin</w:t>
      </w:r>
      <w:proofErr w:type="spellEnd"/>
      <w:r w:rsidRPr="004B60A0">
        <w:t>, E. (1990). The error-related negativity: an event-related brain potential accompanying errors.</w:t>
      </w:r>
      <w:r w:rsidRPr="004B60A0">
        <w:rPr>
          <w:i/>
        </w:rPr>
        <w:t xml:space="preserve"> Supplement to Psychophysiology</w:t>
      </w:r>
      <w:r w:rsidRPr="004B60A0">
        <w:t xml:space="preserve">, </w:t>
      </w:r>
      <w:r w:rsidRPr="004B60A0">
        <w:rPr>
          <w:i/>
        </w:rPr>
        <w:t>27</w:t>
      </w:r>
      <w:r w:rsidRPr="004B60A0">
        <w:t>(4A), S34.</w:t>
      </w:r>
    </w:p>
    <w:p w14:paraId="64989EEC" w14:textId="77777777" w:rsidR="002C1AEB" w:rsidRPr="004B60A0" w:rsidRDefault="002C1AEB" w:rsidP="004B7389">
      <w:pPr>
        <w:pStyle w:val="References"/>
        <w:spacing w:line="240" w:lineRule="auto"/>
        <w:rPr>
          <w:color w:val="262626" w:themeColor="text1" w:themeTint="D9"/>
          <w:lang w:eastAsia="es-ES"/>
        </w:rPr>
      </w:pPr>
      <w:r w:rsidRPr="004B60A0">
        <w:t xml:space="preserve">Gehring, W. J., Goss, B., Coles, M. G. H., Meyer, D. E., &amp; </w:t>
      </w:r>
      <w:proofErr w:type="spellStart"/>
      <w:r w:rsidRPr="004B60A0">
        <w:t>Donchin</w:t>
      </w:r>
      <w:proofErr w:type="spellEnd"/>
      <w:r w:rsidRPr="004B60A0">
        <w:t xml:space="preserve">, E. (1993). A neural system for error detection and compensation. </w:t>
      </w:r>
      <w:r w:rsidRPr="004B60A0">
        <w:rPr>
          <w:i/>
        </w:rPr>
        <w:t>Psychological Science,</w:t>
      </w:r>
      <w:r w:rsidRPr="004B60A0">
        <w:t xml:space="preserve"> </w:t>
      </w:r>
      <w:r w:rsidRPr="004B60A0">
        <w:rPr>
          <w:i/>
        </w:rPr>
        <w:t>4</w:t>
      </w:r>
      <w:r w:rsidRPr="004B60A0">
        <w:t xml:space="preserve">(6), 385-390. </w:t>
      </w:r>
      <w:r w:rsidRPr="16A294BA">
        <w:rPr>
          <w:color w:val="262626" w:themeColor="text1" w:themeTint="D9"/>
          <w:lang w:eastAsia="es-ES"/>
        </w:rPr>
        <w:t>doi:10.1111/j.1467-9280.1993.tb00586.x</w:t>
      </w:r>
    </w:p>
    <w:p w14:paraId="4E15BB05" w14:textId="77777777" w:rsidR="002C1AEB" w:rsidRPr="00CF2F3E" w:rsidRDefault="002C1AEB" w:rsidP="004B7389">
      <w:pPr>
        <w:ind w:left="720" w:hanging="720"/>
        <w:rPr>
          <w:lang w:val="en-US"/>
        </w:rPr>
      </w:pPr>
      <w:r w:rsidRPr="00CF2F3E">
        <w:rPr>
          <w:lang w:val="en-US"/>
        </w:rPr>
        <w:t xml:space="preserve">Gehring, W. J., Goss, B., Coles, M. G. H., Meyer, D. E., &amp; </w:t>
      </w:r>
      <w:proofErr w:type="spellStart"/>
      <w:r w:rsidRPr="00CF2F3E">
        <w:rPr>
          <w:lang w:val="en-US"/>
        </w:rPr>
        <w:t>Donchin</w:t>
      </w:r>
      <w:proofErr w:type="spellEnd"/>
      <w:r w:rsidRPr="00CF2F3E">
        <w:rPr>
          <w:lang w:val="en-US"/>
        </w:rPr>
        <w:t xml:space="preserve">, E. (2018). The Error-Related Negativity. </w:t>
      </w:r>
      <w:r w:rsidRPr="00CF2F3E">
        <w:rPr>
          <w:i/>
          <w:iCs/>
          <w:lang w:val="en-US"/>
        </w:rPr>
        <w:t>Perspectives on Psychological Science,</w:t>
      </w:r>
      <w:r w:rsidRPr="00CF2F3E">
        <w:rPr>
          <w:lang w:val="en-US"/>
        </w:rPr>
        <w:t xml:space="preserve"> 13(2), 200–204. doi:10.1177/1745691617715310</w:t>
      </w:r>
    </w:p>
    <w:p w14:paraId="32B48F40" w14:textId="77777777" w:rsidR="002C1AEB" w:rsidRPr="004B60A0" w:rsidRDefault="002C1AEB" w:rsidP="004B7389">
      <w:pPr>
        <w:pStyle w:val="References"/>
        <w:spacing w:line="240" w:lineRule="auto"/>
        <w:rPr>
          <w:lang w:val="de-DE"/>
        </w:rPr>
      </w:pPr>
      <w:proofErr w:type="spellStart"/>
      <w:r w:rsidRPr="004B60A0">
        <w:rPr>
          <w:lang w:val="de-DE"/>
        </w:rPr>
        <w:t>Grützmann</w:t>
      </w:r>
      <w:proofErr w:type="spellEnd"/>
      <w:r w:rsidRPr="004B60A0">
        <w:rPr>
          <w:lang w:val="de-DE"/>
        </w:rPr>
        <w:t xml:space="preserve">, R., </w:t>
      </w:r>
      <w:proofErr w:type="spellStart"/>
      <w:r w:rsidRPr="004B60A0">
        <w:rPr>
          <w:lang w:val="de-DE"/>
        </w:rPr>
        <w:t>Endrass</w:t>
      </w:r>
      <w:proofErr w:type="spellEnd"/>
      <w:r w:rsidRPr="004B60A0">
        <w:rPr>
          <w:lang w:val="de-DE"/>
        </w:rPr>
        <w:t xml:space="preserve">, T., </w:t>
      </w:r>
      <w:proofErr w:type="spellStart"/>
      <w:r w:rsidRPr="004B60A0">
        <w:rPr>
          <w:lang w:val="de-DE"/>
        </w:rPr>
        <w:t>Klawohn</w:t>
      </w:r>
      <w:proofErr w:type="spellEnd"/>
      <w:r w:rsidRPr="004B60A0">
        <w:rPr>
          <w:lang w:val="de-DE"/>
        </w:rPr>
        <w:t xml:space="preserve">, J., &amp; </w:t>
      </w:r>
      <w:proofErr w:type="spellStart"/>
      <w:r w:rsidRPr="004B60A0">
        <w:rPr>
          <w:lang w:val="de-DE"/>
        </w:rPr>
        <w:t>Kathmann</w:t>
      </w:r>
      <w:proofErr w:type="spellEnd"/>
      <w:r w:rsidRPr="004B60A0">
        <w:rPr>
          <w:lang w:val="de-DE"/>
        </w:rPr>
        <w:t xml:space="preserve">, N. (2014). </w:t>
      </w:r>
      <w:r w:rsidRPr="004B60A0">
        <w:t xml:space="preserve">Response accuracy rating modulates ERN and Pe amplitudes. </w:t>
      </w:r>
      <w:r w:rsidRPr="004B60A0">
        <w:rPr>
          <w:i/>
          <w:lang w:val="de-DE"/>
        </w:rPr>
        <w:t xml:space="preserve">Biological </w:t>
      </w:r>
      <w:proofErr w:type="spellStart"/>
      <w:r w:rsidRPr="004B60A0">
        <w:rPr>
          <w:i/>
          <w:lang w:val="de-DE"/>
        </w:rPr>
        <w:t>Psychology</w:t>
      </w:r>
      <w:proofErr w:type="spellEnd"/>
      <w:r w:rsidRPr="004B60A0">
        <w:rPr>
          <w:lang w:val="de-DE"/>
        </w:rPr>
        <w:t xml:space="preserve">, </w:t>
      </w:r>
      <w:r w:rsidRPr="004B60A0">
        <w:rPr>
          <w:i/>
          <w:lang w:val="de-DE"/>
        </w:rPr>
        <w:t>96</w:t>
      </w:r>
      <w:r w:rsidRPr="004B60A0">
        <w:rPr>
          <w:lang w:val="de-DE"/>
        </w:rPr>
        <w:t>1-7. doi:10.1016/j.biopsycho.2013.10.007</w:t>
      </w:r>
    </w:p>
    <w:p w14:paraId="53E85B52" w14:textId="77777777" w:rsidR="002C1AEB" w:rsidRPr="004B60A0" w:rsidRDefault="002C1AEB" w:rsidP="004B7389">
      <w:pPr>
        <w:pStyle w:val="References"/>
        <w:spacing w:line="240" w:lineRule="auto"/>
      </w:pPr>
      <w:proofErr w:type="spellStart"/>
      <w:r w:rsidRPr="004B60A0">
        <w:rPr>
          <w:lang w:val="de-DE"/>
        </w:rPr>
        <w:t>Gruzelier</w:t>
      </w:r>
      <w:proofErr w:type="spellEnd"/>
      <w:r w:rsidRPr="004B60A0">
        <w:rPr>
          <w:lang w:val="de-DE"/>
        </w:rPr>
        <w:t xml:space="preserve">, J. H., </w:t>
      </w:r>
      <w:proofErr w:type="spellStart"/>
      <w:r w:rsidRPr="004B60A0">
        <w:rPr>
          <w:lang w:val="de-DE"/>
        </w:rPr>
        <w:t>Galderisi</w:t>
      </w:r>
      <w:proofErr w:type="spellEnd"/>
      <w:r w:rsidRPr="004B60A0">
        <w:rPr>
          <w:lang w:val="de-DE"/>
        </w:rPr>
        <w:t xml:space="preserve">, S., &amp; </w:t>
      </w:r>
      <w:proofErr w:type="spellStart"/>
      <w:r w:rsidRPr="004B60A0">
        <w:rPr>
          <w:lang w:val="de-DE"/>
        </w:rPr>
        <w:t>Strik</w:t>
      </w:r>
      <w:proofErr w:type="spellEnd"/>
      <w:r w:rsidRPr="004B60A0">
        <w:rPr>
          <w:lang w:val="de-DE"/>
        </w:rPr>
        <w:t xml:space="preserve">, W. (2002). </w:t>
      </w:r>
      <w:proofErr w:type="spellStart"/>
      <w:r w:rsidRPr="004B60A0">
        <w:t>Neurophysological</w:t>
      </w:r>
      <w:proofErr w:type="spellEnd"/>
      <w:r w:rsidRPr="004B60A0">
        <w:t xml:space="preserve"> research in Psychiatry</w:t>
      </w:r>
      <w:r w:rsidRPr="004B60A0">
        <w:rPr>
          <w:i/>
        </w:rPr>
        <w:t>.</w:t>
      </w:r>
      <w:r w:rsidRPr="004B60A0">
        <w:t xml:space="preserve"> In J. J. López-</w:t>
      </w:r>
      <w:proofErr w:type="spellStart"/>
      <w:r w:rsidRPr="004B60A0">
        <w:t>Ibor</w:t>
      </w:r>
      <w:proofErr w:type="spellEnd"/>
      <w:r w:rsidRPr="004B60A0">
        <w:t xml:space="preserve">, W. </w:t>
      </w:r>
      <w:proofErr w:type="spellStart"/>
      <w:r w:rsidRPr="004B60A0">
        <w:t>Gaebel</w:t>
      </w:r>
      <w:proofErr w:type="spellEnd"/>
      <w:r w:rsidRPr="004B60A0">
        <w:t xml:space="preserve">, M. Maj &amp; N. Sartorius (Eds.), </w:t>
      </w:r>
      <w:r w:rsidRPr="004B60A0">
        <w:rPr>
          <w:i/>
        </w:rPr>
        <w:t>Psychiatry as a Neuroscience</w:t>
      </w:r>
      <w:r w:rsidRPr="004B60A0">
        <w:t xml:space="preserve"> (pp. 125-180). Chichester, West Sussex, UK: Wiley.</w:t>
      </w:r>
    </w:p>
    <w:p w14:paraId="14044729" w14:textId="77777777" w:rsidR="002C1AEB" w:rsidRPr="004B60A0" w:rsidRDefault="002C1AEB" w:rsidP="004B7389">
      <w:pPr>
        <w:pStyle w:val="References"/>
        <w:spacing w:line="240" w:lineRule="auto"/>
      </w:pPr>
      <w:r w:rsidRPr="004B60A0">
        <w:t xml:space="preserve">Holroyd, C., &amp; Coles, M. (2002). The neural basis of human error processing: Reinforcement learning, dopamine, and the error-related negativity. </w:t>
      </w:r>
      <w:r w:rsidRPr="004B60A0">
        <w:rPr>
          <w:i/>
        </w:rPr>
        <w:t>Psychological Review, 109</w:t>
      </w:r>
      <w:r w:rsidRPr="004B60A0">
        <w:t>(4), 679-709. doi:10.1037/0033-295X.109.4.679</w:t>
      </w:r>
    </w:p>
    <w:p w14:paraId="032AB8BB" w14:textId="77777777" w:rsidR="002C1AEB" w:rsidRPr="00701CE3" w:rsidRDefault="002C1AEB" w:rsidP="004B7389">
      <w:pPr>
        <w:pStyle w:val="References"/>
        <w:spacing w:line="240" w:lineRule="auto"/>
      </w:pPr>
      <w:proofErr w:type="spellStart"/>
      <w:r w:rsidRPr="009A6EA4">
        <w:t>Hoogeveen</w:t>
      </w:r>
      <w:proofErr w:type="spellEnd"/>
      <w:r w:rsidRPr="009A6EA4">
        <w:t xml:space="preserve">, S., </w:t>
      </w:r>
      <w:proofErr w:type="spellStart"/>
      <w:r w:rsidRPr="009A6EA4">
        <w:t>Schjoedt</w:t>
      </w:r>
      <w:proofErr w:type="spellEnd"/>
      <w:r w:rsidRPr="009A6EA4">
        <w:t>, U., &amp; van Elk, M. (2018). Did I do that? Expectancy effects of brain stimulation on error-related negativity and sense of agency. </w:t>
      </w:r>
      <w:r w:rsidRPr="00701CE3">
        <w:rPr>
          <w:i/>
          <w:iCs/>
        </w:rPr>
        <w:t>Journal of Cognitive Neuroscience</w:t>
      </w:r>
      <w:r w:rsidRPr="00701CE3">
        <w:t>, </w:t>
      </w:r>
      <w:r w:rsidRPr="00701CE3">
        <w:rPr>
          <w:i/>
          <w:iCs/>
        </w:rPr>
        <w:t>30</w:t>
      </w:r>
      <w:r w:rsidRPr="00701CE3">
        <w:t>(11), 1720–1733. doi:10.1162/jocn_a_01297</w:t>
      </w:r>
    </w:p>
    <w:p w14:paraId="18FD8054" w14:textId="77777777" w:rsidR="002C1AEB" w:rsidRPr="009038DC" w:rsidRDefault="002C1AEB" w:rsidP="004B7389">
      <w:pPr>
        <w:pStyle w:val="References"/>
        <w:spacing w:line="240" w:lineRule="auto"/>
      </w:pPr>
      <w:r w:rsidRPr="00850542">
        <w:lastRenderedPageBreak/>
        <w:t>Kim, S.-H., Jang, K.-M., &amp; Kim, M.-S. (2015). Deficits in Error-Monitoring by College Students with Schizotypal Traits: An Event-Related Potential Study. </w:t>
      </w:r>
      <w:proofErr w:type="spellStart"/>
      <w:r w:rsidRPr="009038DC">
        <w:rPr>
          <w:i/>
          <w:iCs/>
        </w:rPr>
        <w:t>PLoS</w:t>
      </w:r>
      <w:proofErr w:type="spellEnd"/>
      <w:r w:rsidRPr="009038DC">
        <w:rPr>
          <w:i/>
          <w:iCs/>
        </w:rPr>
        <w:t xml:space="preserve"> ONE</w:t>
      </w:r>
      <w:r w:rsidRPr="009038DC">
        <w:t>, </w:t>
      </w:r>
      <w:r w:rsidRPr="009038DC">
        <w:rPr>
          <w:i/>
          <w:iCs/>
        </w:rPr>
        <w:t>10</w:t>
      </w:r>
      <w:r w:rsidRPr="009038DC">
        <w:t>(3), 1–14. doi:10.1371/journal.pone.0122861</w:t>
      </w:r>
    </w:p>
    <w:p w14:paraId="5030D84E" w14:textId="77777777" w:rsidR="002C1AEB" w:rsidRDefault="002C1AEB" w:rsidP="004B7389">
      <w:pPr>
        <w:pStyle w:val="References"/>
        <w:spacing w:line="240" w:lineRule="auto"/>
      </w:pPr>
      <w:r w:rsidRPr="004B60A0">
        <w:t xml:space="preserve">Larson, M. J., Kaufman, D. A. S., </w:t>
      </w:r>
      <w:proofErr w:type="spellStart"/>
      <w:r w:rsidRPr="004B60A0">
        <w:t>Kellison</w:t>
      </w:r>
      <w:proofErr w:type="spellEnd"/>
      <w:r w:rsidRPr="004B60A0">
        <w:t xml:space="preserve">, I. L., </w:t>
      </w:r>
      <w:proofErr w:type="spellStart"/>
      <w:r w:rsidRPr="004B60A0">
        <w:t>Schmalfuss</w:t>
      </w:r>
      <w:proofErr w:type="spellEnd"/>
      <w:r w:rsidRPr="004B60A0">
        <w:t>, I. M., &amp; Perlstein, W. (2009). Double Jeopardy! The Additive Consequences of Negative Affect on Performance-Monitoring Decrements Following Traumatic Brain Injury.</w:t>
      </w:r>
      <w:r w:rsidRPr="004B60A0">
        <w:rPr>
          <w:i/>
        </w:rPr>
        <w:t xml:space="preserve"> Neuropsychology</w:t>
      </w:r>
      <w:r w:rsidRPr="004B60A0">
        <w:t xml:space="preserve">, </w:t>
      </w:r>
      <w:r w:rsidRPr="004B60A0">
        <w:rPr>
          <w:i/>
        </w:rPr>
        <w:t>23</w:t>
      </w:r>
      <w:r w:rsidRPr="004B60A0">
        <w:t>(4), 433-444. doi:10.1037/a0015723</w:t>
      </w:r>
    </w:p>
    <w:p w14:paraId="7CE7053E" w14:textId="77777777" w:rsidR="002C1AEB" w:rsidRPr="004B60A0" w:rsidRDefault="002C1AEB" w:rsidP="004B7389">
      <w:pPr>
        <w:pStyle w:val="References"/>
        <w:spacing w:line="240" w:lineRule="auto"/>
      </w:pPr>
      <w:r>
        <w:t xml:space="preserve">Luck, S. (2014). </w:t>
      </w:r>
      <w:r w:rsidRPr="00F26BEA">
        <w:rPr>
          <w:i/>
          <w:iCs/>
        </w:rPr>
        <w:t>An introduction to the event-related potential technique.</w:t>
      </w:r>
      <w:r>
        <w:t xml:space="preserve"> Boston: Massachusetts Institute of Technology.</w:t>
      </w:r>
    </w:p>
    <w:p w14:paraId="45C124B8" w14:textId="77777777" w:rsidR="002C1AEB" w:rsidRPr="004B60A0" w:rsidRDefault="002C1AEB" w:rsidP="004B7389">
      <w:pPr>
        <w:pStyle w:val="References"/>
        <w:spacing w:line="240" w:lineRule="auto"/>
      </w:pPr>
      <w:proofErr w:type="spellStart"/>
      <w:r w:rsidRPr="004B60A0">
        <w:t>Luu</w:t>
      </w:r>
      <w:proofErr w:type="spellEnd"/>
      <w:r w:rsidRPr="004B60A0">
        <w:t xml:space="preserve">, P., Tucker, D. M., &amp; Collins, P. (2000). Mood, personality, and </w:t>
      </w:r>
      <w:proofErr w:type="spellStart"/>
      <w:r w:rsidRPr="004B60A0">
        <w:t>self monitoring</w:t>
      </w:r>
      <w:proofErr w:type="spellEnd"/>
      <w:r w:rsidRPr="004B60A0">
        <w:t>: negative affect and emotionality in relation to frontal lobe mechanism of error monitoring.</w:t>
      </w:r>
      <w:r w:rsidRPr="004B60A0">
        <w:rPr>
          <w:i/>
        </w:rPr>
        <w:t xml:space="preserve"> Journal of Experimental Psychology, 129</w:t>
      </w:r>
      <w:r w:rsidRPr="004B60A0">
        <w:t>(1), 43-60. doi:10.1037/0096-3445.129.1.43</w:t>
      </w:r>
    </w:p>
    <w:p w14:paraId="1DAA70CD" w14:textId="77777777" w:rsidR="002C1AEB" w:rsidRPr="004B60A0" w:rsidRDefault="002C1AEB" w:rsidP="004B7389">
      <w:pPr>
        <w:pStyle w:val="References"/>
        <w:spacing w:line="240" w:lineRule="auto"/>
        <w:rPr>
          <w:lang w:val="es-MX"/>
        </w:rPr>
      </w:pPr>
      <w:proofErr w:type="spellStart"/>
      <w:r w:rsidRPr="004B60A0">
        <w:t>Luu</w:t>
      </w:r>
      <w:proofErr w:type="spellEnd"/>
      <w:r w:rsidRPr="004B60A0">
        <w:t xml:space="preserve">, P., Tucker, D. M., </w:t>
      </w:r>
      <w:proofErr w:type="spellStart"/>
      <w:r w:rsidRPr="004B60A0">
        <w:t>Derryberry</w:t>
      </w:r>
      <w:proofErr w:type="spellEnd"/>
      <w:r w:rsidRPr="004B60A0">
        <w:t>, D., Reed, M., &amp; Poulsen, C. (2003). Electrophysiological responses to errors and Feedback in the process of action regulation</w:t>
      </w:r>
      <w:r w:rsidRPr="004B60A0">
        <w:rPr>
          <w:i/>
        </w:rPr>
        <w:t xml:space="preserve">. </w:t>
      </w:r>
      <w:r w:rsidRPr="004B60A0">
        <w:rPr>
          <w:i/>
          <w:lang w:val="es-MX"/>
        </w:rPr>
        <w:t>Psychological Science,</w:t>
      </w:r>
      <w:r w:rsidRPr="004B60A0">
        <w:rPr>
          <w:lang w:val="es-MX"/>
        </w:rPr>
        <w:t xml:space="preserve"> </w:t>
      </w:r>
      <w:r w:rsidRPr="004B60A0">
        <w:rPr>
          <w:i/>
          <w:lang w:val="es-MX"/>
        </w:rPr>
        <w:t>14</w:t>
      </w:r>
      <w:r w:rsidRPr="004B60A0">
        <w:rPr>
          <w:lang w:val="es-MX"/>
        </w:rPr>
        <w:t>(1), 47-53. doi:10.1111/1467-9280.01417</w:t>
      </w:r>
    </w:p>
    <w:p w14:paraId="2EB626AA" w14:textId="77777777" w:rsidR="002C1AEB" w:rsidRPr="004B60A0" w:rsidRDefault="002C1AEB" w:rsidP="004B7389">
      <w:pPr>
        <w:pStyle w:val="References"/>
        <w:spacing w:line="240" w:lineRule="auto"/>
        <w:rPr>
          <w:lang w:val="fr-BE"/>
        </w:rPr>
      </w:pPr>
      <w:r w:rsidRPr="004B60A0">
        <w:rPr>
          <w:lang w:val="es-MX"/>
        </w:rPr>
        <w:t>Martínez, A. M. (2002). Potenciales Ev</w:t>
      </w:r>
      <w:proofErr w:type="spellStart"/>
      <w:r w:rsidRPr="004B60A0">
        <w:rPr>
          <w:lang w:val="es-ES_tradnl"/>
        </w:rPr>
        <w:t>ocados</w:t>
      </w:r>
      <w:proofErr w:type="spellEnd"/>
      <w:r w:rsidRPr="004B60A0">
        <w:rPr>
          <w:lang w:val="es-ES_tradnl"/>
        </w:rPr>
        <w:t xml:space="preserve"> Auditivos de larga latencia (</w:t>
      </w:r>
      <w:proofErr w:type="spellStart"/>
      <w:r w:rsidRPr="004B60A0">
        <w:rPr>
          <w:lang w:val="es-ES_tradnl"/>
        </w:rPr>
        <w:t>Peall</w:t>
      </w:r>
      <w:proofErr w:type="spellEnd"/>
      <w:r w:rsidRPr="004B60A0">
        <w:rPr>
          <w:lang w:val="es-ES_tradnl"/>
        </w:rPr>
        <w:t>) relacionados con el procesamiento de la información.</w:t>
      </w:r>
      <w:r w:rsidRPr="004B60A0">
        <w:rPr>
          <w:i/>
          <w:lang w:val="es-ES_tradnl"/>
        </w:rPr>
        <w:t xml:space="preserve"> </w:t>
      </w:r>
      <w:proofErr w:type="spellStart"/>
      <w:r w:rsidRPr="004B60A0">
        <w:rPr>
          <w:i/>
          <w:lang w:val="fr-BE"/>
        </w:rPr>
        <w:t>Universitas</w:t>
      </w:r>
      <w:proofErr w:type="spellEnd"/>
      <w:r w:rsidRPr="004B60A0">
        <w:rPr>
          <w:i/>
          <w:lang w:val="fr-BE"/>
        </w:rPr>
        <w:t xml:space="preserve"> </w:t>
      </w:r>
      <w:proofErr w:type="spellStart"/>
      <w:r w:rsidRPr="004B60A0">
        <w:rPr>
          <w:i/>
          <w:lang w:val="fr-BE"/>
        </w:rPr>
        <w:t>Psychologica</w:t>
      </w:r>
      <w:proofErr w:type="spellEnd"/>
      <w:r w:rsidRPr="004B60A0">
        <w:rPr>
          <w:lang w:val="fr-BE"/>
        </w:rPr>
        <w:t xml:space="preserve">, </w:t>
      </w:r>
      <w:r w:rsidRPr="004B60A0">
        <w:rPr>
          <w:i/>
          <w:lang w:val="fr-BE"/>
        </w:rPr>
        <w:t>1</w:t>
      </w:r>
      <w:r w:rsidRPr="004B60A0">
        <w:rPr>
          <w:lang w:val="fr-BE"/>
        </w:rPr>
        <w:t>(1), 67-80.</w:t>
      </w:r>
    </w:p>
    <w:p w14:paraId="1CF61875" w14:textId="77777777" w:rsidR="002C1AEB" w:rsidRPr="004B60A0" w:rsidRDefault="002C1AEB" w:rsidP="004B7389">
      <w:pPr>
        <w:pStyle w:val="References"/>
        <w:spacing w:line="240" w:lineRule="auto"/>
        <w:rPr>
          <w:color w:val="262626"/>
          <w:lang w:eastAsia="es-ES"/>
        </w:rPr>
      </w:pPr>
      <w:proofErr w:type="spellStart"/>
      <w:r w:rsidRPr="004B60A0">
        <w:rPr>
          <w:lang w:val="fr-BE"/>
        </w:rPr>
        <w:t>Miltner</w:t>
      </w:r>
      <w:proofErr w:type="spellEnd"/>
      <w:r w:rsidRPr="004B60A0">
        <w:rPr>
          <w:lang w:val="fr-BE"/>
        </w:rPr>
        <w:t xml:space="preserve">, W. H. R., Braun, C. H., &amp; </w:t>
      </w:r>
      <w:proofErr w:type="spellStart"/>
      <w:r w:rsidRPr="004B60A0">
        <w:rPr>
          <w:lang w:val="fr-BE"/>
        </w:rPr>
        <w:t>Coles</w:t>
      </w:r>
      <w:proofErr w:type="spellEnd"/>
      <w:r w:rsidRPr="004B60A0">
        <w:rPr>
          <w:lang w:val="fr-BE"/>
        </w:rPr>
        <w:t xml:space="preserve">, M. G. H. (1997). </w:t>
      </w:r>
      <w:r w:rsidRPr="004B60A0">
        <w:t>Event related brain potentials following incorrect feedback in a time-estimation task: evidence for a “generic” neural system for error detection.</w:t>
      </w:r>
      <w:r w:rsidRPr="004B60A0">
        <w:rPr>
          <w:i/>
        </w:rPr>
        <w:t xml:space="preserve"> Journal of Cognitive Neuroscience</w:t>
      </w:r>
      <w:r w:rsidRPr="004B60A0">
        <w:t xml:space="preserve">, </w:t>
      </w:r>
      <w:r w:rsidRPr="004B60A0">
        <w:rPr>
          <w:i/>
        </w:rPr>
        <w:t>9</w:t>
      </w:r>
      <w:r w:rsidRPr="004B60A0">
        <w:t xml:space="preserve">(6), 788-798. </w:t>
      </w:r>
      <w:r w:rsidRPr="004B60A0">
        <w:rPr>
          <w:color w:val="262626"/>
          <w:lang w:eastAsia="es-ES"/>
        </w:rPr>
        <w:t>doi:10.1162/jocn.1997.9.6.788</w:t>
      </w:r>
    </w:p>
    <w:p w14:paraId="28150C09" w14:textId="77777777" w:rsidR="002C1AEB" w:rsidRPr="00E6644B" w:rsidRDefault="002C1AEB" w:rsidP="004B7389">
      <w:pPr>
        <w:pStyle w:val="References"/>
        <w:spacing w:line="240" w:lineRule="auto"/>
        <w:rPr>
          <w:lang w:val="de-DE"/>
        </w:rPr>
      </w:pPr>
      <w:proofErr w:type="spellStart"/>
      <w:r w:rsidRPr="004B60A0">
        <w:t>Niessen</w:t>
      </w:r>
      <w:proofErr w:type="spellEnd"/>
      <w:r w:rsidRPr="004B60A0">
        <w:t>, E., Fink, G. R., Hoffmann, H. E. M., Weiss, P. H., &amp; Stahl, J. (2017). Error detection across the adult lifespan: Electrophysiological evidence for age-related deficits. </w:t>
      </w:r>
      <w:proofErr w:type="spellStart"/>
      <w:r w:rsidRPr="00E6644B">
        <w:rPr>
          <w:i/>
          <w:iCs/>
          <w:lang w:val="de-DE"/>
        </w:rPr>
        <w:t>NeuroImage</w:t>
      </w:r>
      <w:proofErr w:type="spellEnd"/>
      <w:r w:rsidRPr="00E6644B">
        <w:rPr>
          <w:lang w:val="de-DE"/>
        </w:rPr>
        <w:t>, </w:t>
      </w:r>
      <w:r w:rsidRPr="00E6644B">
        <w:rPr>
          <w:i/>
          <w:iCs/>
          <w:lang w:val="de-DE"/>
        </w:rPr>
        <w:t>152</w:t>
      </w:r>
      <w:r w:rsidRPr="00E6644B">
        <w:rPr>
          <w:lang w:val="de-DE"/>
        </w:rPr>
        <w:t>, 517–529. doi:10.1016/j.neuroimage.2017.03.015</w:t>
      </w:r>
    </w:p>
    <w:p w14:paraId="4A7B6C57" w14:textId="77777777" w:rsidR="002C1AEB" w:rsidRPr="004B60A0" w:rsidRDefault="002C1AEB" w:rsidP="004B7389">
      <w:pPr>
        <w:pStyle w:val="References"/>
        <w:spacing w:line="240" w:lineRule="auto"/>
      </w:pPr>
      <w:proofErr w:type="spellStart"/>
      <w:r w:rsidRPr="00E6644B">
        <w:rPr>
          <w:lang w:val="de-DE"/>
        </w:rPr>
        <w:t>Nieuwenhuis</w:t>
      </w:r>
      <w:proofErr w:type="spellEnd"/>
      <w:r w:rsidRPr="00E6644B">
        <w:rPr>
          <w:lang w:val="de-DE"/>
        </w:rPr>
        <w:t xml:space="preserve">, S., </w:t>
      </w:r>
      <w:proofErr w:type="spellStart"/>
      <w:r w:rsidRPr="00E6644B">
        <w:rPr>
          <w:lang w:val="de-DE"/>
        </w:rPr>
        <w:t>Ridderinkhof</w:t>
      </w:r>
      <w:proofErr w:type="spellEnd"/>
      <w:r w:rsidRPr="00E6644B">
        <w:rPr>
          <w:lang w:val="de-DE"/>
        </w:rPr>
        <w:t xml:space="preserve">, K. R., </w:t>
      </w:r>
      <w:proofErr w:type="spellStart"/>
      <w:r w:rsidRPr="00E6644B">
        <w:rPr>
          <w:lang w:val="de-DE"/>
        </w:rPr>
        <w:t>Blom</w:t>
      </w:r>
      <w:proofErr w:type="spellEnd"/>
      <w:r w:rsidRPr="00E6644B">
        <w:rPr>
          <w:lang w:val="de-DE"/>
        </w:rPr>
        <w:t xml:space="preserve">, J., Band, G. P., &amp; Kok, A. (2001). </w:t>
      </w:r>
      <w:r w:rsidRPr="16A294BA">
        <w:t xml:space="preserve">Error-related brain potentials are differentially related to awareness of response errors: evidence from an </w:t>
      </w:r>
      <w:proofErr w:type="spellStart"/>
      <w:r w:rsidRPr="16A294BA">
        <w:t>antisaccade</w:t>
      </w:r>
      <w:proofErr w:type="spellEnd"/>
      <w:r w:rsidRPr="16A294BA">
        <w:t xml:space="preserve"> task</w:t>
      </w:r>
      <w:r w:rsidRPr="004B60A0">
        <w:rPr>
          <w:i/>
        </w:rPr>
        <w:t>. Psychophysiology</w:t>
      </w:r>
      <w:r w:rsidRPr="004B60A0">
        <w:t xml:space="preserve">, </w:t>
      </w:r>
      <w:r w:rsidRPr="004B60A0">
        <w:rPr>
          <w:i/>
        </w:rPr>
        <w:t>38</w:t>
      </w:r>
      <w:r w:rsidRPr="004B60A0">
        <w:t xml:space="preserve">(5), 752–760. </w:t>
      </w:r>
      <w:r w:rsidRPr="16A294BA">
        <w:rPr>
          <w:color w:val="262626" w:themeColor="text1" w:themeTint="D9"/>
          <w:lang w:eastAsia="es-ES"/>
        </w:rPr>
        <w:t>doi:10.1017/S0048577201001111</w:t>
      </w:r>
    </w:p>
    <w:p w14:paraId="7BF832D9" w14:textId="77777777" w:rsidR="002C1AEB" w:rsidRPr="004B60A0" w:rsidRDefault="002C1AEB" w:rsidP="004B7389">
      <w:pPr>
        <w:pStyle w:val="References"/>
        <w:spacing w:line="240" w:lineRule="auto"/>
      </w:pPr>
      <w:r w:rsidRPr="004B60A0">
        <w:t>Pascual-</w:t>
      </w:r>
      <w:proofErr w:type="spellStart"/>
      <w:r w:rsidRPr="004B60A0">
        <w:t>Marqui</w:t>
      </w:r>
      <w:proofErr w:type="spellEnd"/>
      <w:r w:rsidRPr="004B60A0">
        <w:t xml:space="preserve">, R. D. (1991). Review of methods for solving the EEG inverse problem. </w:t>
      </w:r>
      <w:r w:rsidRPr="004B60A0">
        <w:rPr>
          <w:i/>
          <w:iCs/>
        </w:rPr>
        <w:t xml:space="preserve">International Journal of </w:t>
      </w:r>
      <w:proofErr w:type="spellStart"/>
      <w:r w:rsidRPr="004B60A0">
        <w:rPr>
          <w:i/>
          <w:iCs/>
        </w:rPr>
        <w:t>Bioelectromagnetism</w:t>
      </w:r>
      <w:proofErr w:type="spellEnd"/>
      <w:r w:rsidRPr="004B60A0">
        <w:t>, 1, 75– 86.</w:t>
      </w:r>
    </w:p>
    <w:p w14:paraId="7BC3A896" w14:textId="77777777" w:rsidR="002C1AEB" w:rsidRPr="002A4793" w:rsidRDefault="002C1AEB" w:rsidP="004B7389">
      <w:pPr>
        <w:pStyle w:val="References"/>
        <w:spacing w:line="240" w:lineRule="auto"/>
      </w:pPr>
      <w:r w:rsidRPr="002A4793">
        <w:t>Penagos</w:t>
      </w:r>
      <w:r>
        <w:t>-Corzo.</w:t>
      </w:r>
      <w:r w:rsidRPr="002A4793">
        <w:t xml:space="preserve"> J. C., Bonilla, A., Rodríguez, M. A., Flores, G., &amp; Negrete, D. J. V. (2015). </w:t>
      </w:r>
      <w:r w:rsidRPr="00F66E9E">
        <w:t>Conditional self‐discrimination enhances dendritic spine number and dendritic length at prefrontal cortex and hippocampal neurons of rats. </w:t>
      </w:r>
      <w:r w:rsidRPr="002A4793">
        <w:rPr>
          <w:i/>
          <w:iCs/>
        </w:rPr>
        <w:t>Synapse</w:t>
      </w:r>
      <w:r w:rsidRPr="002A4793">
        <w:t>, </w:t>
      </w:r>
      <w:r w:rsidRPr="002A4793">
        <w:rPr>
          <w:i/>
          <w:iCs/>
        </w:rPr>
        <w:t>69</w:t>
      </w:r>
      <w:r w:rsidRPr="002A4793">
        <w:t>(11), 543–552. doi:10.1002/syn.21847</w:t>
      </w:r>
    </w:p>
    <w:p w14:paraId="1C278924" w14:textId="77777777" w:rsidR="002C1AEB" w:rsidRPr="004B60A0" w:rsidRDefault="002C1AEB" w:rsidP="004B7389">
      <w:pPr>
        <w:pStyle w:val="References"/>
        <w:spacing w:line="240" w:lineRule="auto"/>
        <w:rPr>
          <w:lang w:val="es-MX"/>
        </w:rPr>
      </w:pPr>
      <w:r w:rsidRPr="004B60A0">
        <w:t xml:space="preserve">Psychology Software Tools, Inc. (2008). </w:t>
      </w:r>
      <w:r w:rsidRPr="00CF2F3E">
        <w:t xml:space="preserve">E-Prime Professional (V 2.0) [Software]. </w:t>
      </w:r>
      <w:r w:rsidRPr="004B60A0">
        <w:rPr>
          <w:lang w:val="es-MX"/>
        </w:rPr>
        <w:t>Pittsburgh, PA, EE. UU.: Author.</w:t>
      </w:r>
    </w:p>
    <w:p w14:paraId="33C4ED4A" w14:textId="77777777" w:rsidR="002C1AEB" w:rsidRPr="004B60A0" w:rsidRDefault="002C1AEB" w:rsidP="004B7389">
      <w:pPr>
        <w:pStyle w:val="References"/>
        <w:spacing w:line="240" w:lineRule="auto"/>
        <w:rPr>
          <w:lang w:val="es-ES_tradnl"/>
        </w:rPr>
      </w:pPr>
      <w:proofErr w:type="spellStart"/>
      <w:r w:rsidRPr="004B60A0">
        <w:rPr>
          <w:lang w:val="es-ES_tradnl"/>
        </w:rPr>
        <w:t>Rains</w:t>
      </w:r>
      <w:proofErr w:type="spellEnd"/>
      <w:r w:rsidRPr="004B60A0">
        <w:rPr>
          <w:lang w:val="es-ES_tradnl"/>
        </w:rPr>
        <w:t xml:space="preserve">, D. G. (2004). </w:t>
      </w:r>
      <w:r w:rsidRPr="004B60A0">
        <w:rPr>
          <w:i/>
          <w:lang w:val="es-ES_tradnl"/>
        </w:rPr>
        <w:t>Principios de Neuropsicología Humana.</w:t>
      </w:r>
      <w:r w:rsidRPr="004B60A0">
        <w:rPr>
          <w:lang w:val="es-ES_tradnl"/>
        </w:rPr>
        <w:t xml:space="preserve"> México, D. F., México: McGraw-Hill.</w:t>
      </w:r>
    </w:p>
    <w:p w14:paraId="24D0071A" w14:textId="77777777" w:rsidR="002C1AEB" w:rsidRPr="004B60A0" w:rsidRDefault="002C1AEB" w:rsidP="004B7389">
      <w:pPr>
        <w:pStyle w:val="References"/>
        <w:spacing w:line="240" w:lineRule="auto"/>
      </w:pPr>
      <w:proofErr w:type="spellStart"/>
      <w:r w:rsidRPr="004B60A0">
        <w:rPr>
          <w:lang w:val="fr-BE"/>
        </w:rPr>
        <w:t>Ridderinkhof</w:t>
      </w:r>
      <w:proofErr w:type="spellEnd"/>
      <w:r w:rsidRPr="004B60A0">
        <w:rPr>
          <w:lang w:val="fr-BE"/>
        </w:rPr>
        <w:t xml:space="preserve">, K. R., de </w:t>
      </w:r>
      <w:proofErr w:type="spellStart"/>
      <w:r w:rsidRPr="004B60A0">
        <w:rPr>
          <w:lang w:val="fr-BE"/>
        </w:rPr>
        <w:t>Vlugt</w:t>
      </w:r>
      <w:proofErr w:type="spellEnd"/>
      <w:r w:rsidRPr="004B60A0">
        <w:rPr>
          <w:lang w:val="fr-BE"/>
        </w:rPr>
        <w:t xml:space="preserve">, Y., </w:t>
      </w:r>
      <w:proofErr w:type="spellStart"/>
      <w:r w:rsidRPr="004B60A0">
        <w:rPr>
          <w:lang w:val="fr-BE"/>
        </w:rPr>
        <w:t>Bramlage</w:t>
      </w:r>
      <w:proofErr w:type="spellEnd"/>
      <w:r w:rsidRPr="004B60A0">
        <w:rPr>
          <w:lang w:val="fr-BE"/>
        </w:rPr>
        <w:t xml:space="preserve">, A., </w:t>
      </w:r>
      <w:proofErr w:type="spellStart"/>
      <w:r w:rsidRPr="004B60A0">
        <w:rPr>
          <w:lang w:val="fr-BE"/>
        </w:rPr>
        <w:t>Spaan</w:t>
      </w:r>
      <w:proofErr w:type="spellEnd"/>
      <w:r w:rsidRPr="004B60A0">
        <w:rPr>
          <w:lang w:val="fr-BE"/>
        </w:rPr>
        <w:t xml:space="preserve">, M., Elton, M., </w:t>
      </w:r>
      <w:proofErr w:type="spellStart"/>
      <w:r w:rsidRPr="004B60A0">
        <w:rPr>
          <w:lang w:val="fr-BE"/>
        </w:rPr>
        <w:t>Snel</w:t>
      </w:r>
      <w:proofErr w:type="spellEnd"/>
      <w:r w:rsidRPr="004B60A0">
        <w:rPr>
          <w:lang w:val="fr-BE"/>
        </w:rPr>
        <w:t xml:space="preserve">, J., et al. </w:t>
      </w:r>
      <w:r w:rsidRPr="004B60A0">
        <w:t xml:space="preserve">(2002). Alcohol consumption impairs detection of performance errors in mediofrontal cortex. </w:t>
      </w:r>
      <w:r w:rsidRPr="004B60A0">
        <w:rPr>
          <w:i/>
        </w:rPr>
        <w:t>Science, 298</w:t>
      </w:r>
      <w:r w:rsidRPr="004B60A0">
        <w:t>(5601), 2209-2211. doi:10.1126/science.1076929</w:t>
      </w:r>
    </w:p>
    <w:p w14:paraId="5BAD3467" w14:textId="77777777" w:rsidR="002C1AEB" w:rsidRPr="004B60A0" w:rsidRDefault="002C1AEB" w:rsidP="004B7389">
      <w:pPr>
        <w:pStyle w:val="References"/>
        <w:spacing w:line="240" w:lineRule="auto"/>
      </w:pPr>
      <w:r w:rsidRPr="004B60A0">
        <w:t xml:space="preserve">Riesel, A., Weinberg, A., </w:t>
      </w:r>
      <w:proofErr w:type="spellStart"/>
      <w:r w:rsidRPr="004B60A0">
        <w:t>Endrass</w:t>
      </w:r>
      <w:proofErr w:type="spellEnd"/>
      <w:r w:rsidRPr="004B60A0">
        <w:t xml:space="preserve">, T., Meyer, A., &amp; </w:t>
      </w:r>
      <w:proofErr w:type="spellStart"/>
      <w:r w:rsidRPr="004B60A0">
        <w:t>Hajcak</w:t>
      </w:r>
      <w:proofErr w:type="spellEnd"/>
      <w:r w:rsidRPr="004B60A0">
        <w:t xml:space="preserve">, G. (2013). The ERN is the ERN is the ERN? Convergent validity of error-related brain activity across different tasks. </w:t>
      </w:r>
      <w:r w:rsidRPr="004B60A0">
        <w:rPr>
          <w:i/>
          <w:iCs/>
        </w:rPr>
        <w:t>Biological Psychology</w:t>
      </w:r>
      <w:r w:rsidRPr="004B60A0">
        <w:t xml:space="preserve">, </w:t>
      </w:r>
      <w:r w:rsidRPr="004B60A0">
        <w:rPr>
          <w:i/>
          <w:iCs/>
        </w:rPr>
        <w:t>93</w:t>
      </w:r>
      <w:r w:rsidRPr="004B60A0">
        <w:t>(3), 377-385. doi:10.1016/j.biopsycho.2013.04.007</w:t>
      </w:r>
    </w:p>
    <w:p w14:paraId="1EC049F5" w14:textId="77777777" w:rsidR="002C1AEB" w:rsidRPr="004B60A0" w:rsidRDefault="002C1AEB" w:rsidP="004B7389">
      <w:pPr>
        <w:pStyle w:val="References"/>
        <w:spacing w:line="240" w:lineRule="auto"/>
      </w:pPr>
      <w:r w:rsidRPr="004B60A0">
        <w:lastRenderedPageBreak/>
        <w:t xml:space="preserve">Rohrer, D., &amp; </w:t>
      </w:r>
      <w:proofErr w:type="spellStart"/>
      <w:r w:rsidRPr="004B60A0">
        <w:t>Pashler</w:t>
      </w:r>
      <w:proofErr w:type="spellEnd"/>
      <w:r w:rsidRPr="004B60A0">
        <w:t>, H. (2007). Increasing retention without increasing study time</w:t>
      </w:r>
      <w:r w:rsidRPr="004B60A0">
        <w:rPr>
          <w:i/>
        </w:rPr>
        <w:t>. Current Directions in Psychological Science</w:t>
      </w:r>
      <w:r w:rsidRPr="004B60A0">
        <w:t xml:space="preserve">, </w:t>
      </w:r>
      <w:r w:rsidRPr="004B60A0">
        <w:rPr>
          <w:i/>
        </w:rPr>
        <w:t>16</w:t>
      </w:r>
      <w:r w:rsidRPr="004B60A0">
        <w:t>(4), 183-186. doi:10.1111/j.1467-8721.2007.00500.x</w:t>
      </w:r>
    </w:p>
    <w:p w14:paraId="51E1FD1E" w14:textId="77777777" w:rsidR="002C1AEB" w:rsidRPr="004B60A0" w:rsidRDefault="002C1AEB" w:rsidP="004B7389">
      <w:pPr>
        <w:pStyle w:val="References"/>
        <w:spacing w:line="240" w:lineRule="auto"/>
      </w:pPr>
      <w:r w:rsidRPr="004B60A0">
        <w:t xml:space="preserve">Rohrer, D., Taylor, K., </w:t>
      </w:r>
      <w:proofErr w:type="spellStart"/>
      <w:r w:rsidRPr="004B60A0">
        <w:t>Pashler</w:t>
      </w:r>
      <w:proofErr w:type="spellEnd"/>
      <w:r w:rsidRPr="004B60A0">
        <w:t xml:space="preserve">, H., </w:t>
      </w:r>
      <w:proofErr w:type="spellStart"/>
      <w:r w:rsidRPr="004B60A0">
        <w:t>Wixted</w:t>
      </w:r>
      <w:proofErr w:type="spellEnd"/>
      <w:r w:rsidRPr="004B60A0">
        <w:t>, J. T., &amp; Cepeda, N. J. (2005). The effect of overlearning on long- term retention.</w:t>
      </w:r>
      <w:r w:rsidRPr="004B60A0">
        <w:rPr>
          <w:i/>
        </w:rPr>
        <w:t xml:space="preserve"> Applied Cognitive Psychology</w:t>
      </w:r>
      <w:r w:rsidRPr="004B60A0">
        <w:t xml:space="preserve">, </w:t>
      </w:r>
      <w:r w:rsidRPr="004B60A0">
        <w:rPr>
          <w:i/>
        </w:rPr>
        <w:t>19</w:t>
      </w:r>
      <w:r w:rsidRPr="004B60A0">
        <w:t>(3), 361-374. doi:10.1002/acp.1083</w:t>
      </w:r>
    </w:p>
    <w:p w14:paraId="65B83BD1" w14:textId="77777777" w:rsidR="002C1AEB" w:rsidRPr="00CF2F3E" w:rsidRDefault="002C1AEB" w:rsidP="004B7389">
      <w:pPr>
        <w:ind w:left="720" w:hanging="720"/>
        <w:rPr>
          <w:lang w:val="en-US"/>
        </w:rPr>
      </w:pPr>
      <w:r w:rsidRPr="00CF2F3E">
        <w:rPr>
          <w:lang w:val="en-US"/>
        </w:rPr>
        <w:t xml:space="preserve">Rushworth, M. F. S., &amp; Behrens, T. E. J. (2008). Choice, uncertainty and value in prefrontal and cingulated. </w:t>
      </w:r>
      <w:r w:rsidRPr="00CF2F3E">
        <w:rPr>
          <w:i/>
          <w:iCs/>
          <w:lang w:val="en-US"/>
        </w:rPr>
        <w:t>Nature Neuroscience</w:t>
      </w:r>
      <w:r w:rsidRPr="00CF2F3E">
        <w:rPr>
          <w:lang w:val="en-US"/>
        </w:rPr>
        <w:t xml:space="preserve">, </w:t>
      </w:r>
      <w:r w:rsidRPr="00CF2F3E">
        <w:rPr>
          <w:i/>
          <w:iCs/>
          <w:lang w:val="en-US"/>
        </w:rPr>
        <w:t>11</w:t>
      </w:r>
      <w:r w:rsidRPr="00CF2F3E">
        <w:rPr>
          <w:lang w:val="en-US"/>
        </w:rPr>
        <w:t xml:space="preserve">(4), 389-397. </w:t>
      </w:r>
      <w:proofErr w:type="spellStart"/>
      <w:r w:rsidRPr="00CF2F3E">
        <w:rPr>
          <w:lang w:val="en-US"/>
        </w:rPr>
        <w:t>doi</w:t>
      </w:r>
      <w:proofErr w:type="spellEnd"/>
      <w:r w:rsidRPr="00CF2F3E">
        <w:rPr>
          <w:lang w:val="en-US"/>
        </w:rPr>
        <w:t>: 10.1038/nn2066</w:t>
      </w:r>
    </w:p>
    <w:p w14:paraId="67DBAB8C" w14:textId="77777777" w:rsidR="002C1AEB" w:rsidRPr="004B60A0" w:rsidRDefault="002C1AEB" w:rsidP="004B7389">
      <w:pPr>
        <w:pStyle w:val="References"/>
        <w:spacing w:line="240" w:lineRule="auto"/>
      </w:pPr>
      <w:proofErr w:type="spellStart"/>
      <w:r w:rsidRPr="004B60A0">
        <w:t>Scheffers</w:t>
      </w:r>
      <w:proofErr w:type="spellEnd"/>
      <w:r w:rsidRPr="004B60A0">
        <w:t>, M. K., &amp; Coles, M. G. H. (2000). Performance monitoring in a confusing world: error-related brain activity, judgments of response accuracy, and types of errors</w:t>
      </w:r>
      <w:r w:rsidRPr="004B60A0">
        <w:rPr>
          <w:i/>
        </w:rPr>
        <w:t>. Journal of Experimental Psychology</w:t>
      </w:r>
      <w:r w:rsidRPr="004B60A0">
        <w:t xml:space="preserve">, </w:t>
      </w:r>
      <w:r w:rsidRPr="004B60A0">
        <w:rPr>
          <w:i/>
        </w:rPr>
        <w:t>26</w:t>
      </w:r>
      <w:r w:rsidRPr="004B60A0">
        <w:t>(1), 141-151. doi:10.1037/0096-1523.26.1.141</w:t>
      </w:r>
    </w:p>
    <w:p w14:paraId="715105E7" w14:textId="77777777" w:rsidR="002C1AEB" w:rsidRPr="004B60A0" w:rsidRDefault="002C1AEB" w:rsidP="004B7389">
      <w:pPr>
        <w:pStyle w:val="References"/>
        <w:spacing w:line="240" w:lineRule="auto"/>
      </w:pPr>
      <w:proofErr w:type="spellStart"/>
      <w:r w:rsidRPr="004B60A0">
        <w:t>Scheffers</w:t>
      </w:r>
      <w:proofErr w:type="spellEnd"/>
      <w:r w:rsidRPr="004B60A0">
        <w:t xml:space="preserve">, M., Coles, M., Bernstein, P., Gehring, W., &amp; </w:t>
      </w:r>
      <w:proofErr w:type="spellStart"/>
      <w:r w:rsidRPr="004B60A0">
        <w:t>Donchin</w:t>
      </w:r>
      <w:proofErr w:type="spellEnd"/>
      <w:r w:rsidRPr="004B60A0">
        <w:t xml:space="preserve">, E. (1996). Event-related brain potentials and error-related processing: an analysis of incorrect responses to go and no-go stimuli. </w:t>
      </w:r>
      <w:r w:rsidRPr="004B60A0">
        <w:rPr>
          <w:i/>
        </w:rPr>
        <w:t>Psychophysiology, 33</w:t>
      </w:r>
      <w:r w:rsidRPr="004B60A0">
        <w:t>(1), 42-53. doi:10.1111/j.1469-8986.1996.tb02107.x</w:t>
      </w:r>
    </w:p>
    <w:p w14:paraId="4C5C6C46" w14:textId="77777777" w:rsidR="002C1AEB" w:rsidRDefault="002C1AEB" w:rsidP="004B7389">
      <w:pPr>
        <w:pStyle w:val="References"/>
        <w:spacing w:line="240" w:lineRule="auto"/>
        <w:rPr>
          <w:lang w:val="de-DE"/>
        </w:rPr>
      </w:pPr>
      <w:r>
        <w:t xml:space="preserve">Schultz, W. (2002). Getting formal with dopamine and reward. </w:t>
      </w:r>
      <w:r w:rsidRPr="16A294BA">
        <w:rPr>
          <w:i/>
          <w:lang w:val="de-DE"/>
        </w:rPr>
        <w:t>Neuron, 36</w:t>
      </w:r>
      <w:r w:rsidRPr="16A294BA">
        <w:rPr>
          <w:lang w:val="de-DE"/>
        </w:rPr>
        <w:t xml:space="preserve">(2), 241-263. </w:t>
      </w:r>
      <w:proofErr w:type="spellStart"/>
      <w:r w:rsidRPr="16A294BA">
        <w:rPr>
          <w:lang w:val="de-DE"/>
        </w:rPr>
        <w:t>doi</w:t>
      </w:r>
      <w:proofErr w:type="spellEnd"/>
      <w:r w:rsidRPr="16A294BA">
        <w:rPr>
          <w:lang w:val="de-DE"/>
        </w:rPr>
        <w:t>: 10.1016/S0896-6273(02)00967-4</w:t>
      </w:r>
    </w:p>
    <w:p w14:paraId="10B28EED" w14:textId="77777777" w:rsidR="002C1AEB" w:rsidRPr="004B60A0" w:rsidRDefault="002C1AEB" w:rsidP="004B7389">
      <w:pPr>
        <w:pStyle w:val="References"/>
        <w:spacing w:line="240" w:lineRule="auto"/>
        <w:rPr>
          <w:bCs/>
        </w:rPr>
      </w:pPr>
      <w:r w:rsidRPr="004B60A0">
        <w:rPr>
          <w:lang w:val="de-DE"/>
        </w:rPr>
        <w:t xml:space="preserve">Schultz, W., Dayan, P., &amp; Montague, P. R. (1997). </w:t>
      </w:r>
      <w:r w:rsidRPr="004B60A0">
        <w:rPr>
          <w:bCs/>
        </w:rPr>
        <w:t xml:space="preserve">A neural substrate of prediction and reward (cover story). </w:t>
      </w:r>
      <w:r w:rsidRPr="004B60A0">
        <w:rPr>
          <w:bCs/>
          <w:i/>
        </w:rPr>
        <w:t>Science, 275</w:t>
      </w:r>
      <w:r w:rsidRPr="004B60A0">
        <w:rPr>
          <w:bCs/>
        </w:rPr>
        <w:t>(5306), 1593–1599. doi:10.1126/science.275.5306.1593</w:t>
      </w:r>
    </w:p>
    <w:p w14:paraId="2D21D73E" w14:textId="77777777" w:rsidR="002C1AEB" w:rsidRPr="004B60A0" w:rsidRDefault="002C1AEB" w:rsidP="004B7389">
      <w:pPr>
        <w:pStyle w:val="References"/>
        <w:spacing w:line="240" w:lineRule="auto"/>
      </w:pPr>
      <w:proofErr w:type="spellStart"/>
      <w:r w:rsidRPr="004B60A0">
        <w:t>Shalgi</w:t>
      </w:r>
      <w:proofErr w:type="spellEnd"/>
      <w:r w:rsidRPr="004B60A0">
        <w:t xml:space="preserve">, S., </w:t>
      </w:r>
      <w:proofErr w:type="spellStart"/>
      <w:r w:rsidRPr="004B60A0">
        <w:t>Barkan</w:t>
      </w:r>
      <w:proofErr w:type="spellEnd"/>
      <w:r w:rsidRPr="004B60A0">
        <w:t xml:space="preserve">, I., &amp; </w:t>
      </w:r>
      <w:proofErr w:type="spellStart"/>
      <w:r w:rsidRPr="004B60A0">
        <w:t>Deouell</w:t>
      </w:r>
      <w:proofErr w:type="spellEnd"/>
      <w:r w:rsidRPr="004B60A0">
        <w:t xml:space="preserve">, L. (2009). On the positive side of error processing: error-awareness positivity revisited. </w:t>
      </w:r>
      <w:r w:rsidRPr="004B60A0">
        <w:rPr>
          <w:i/>
        </w:rPr>
        <w:t>The European Journal of Neuroscience, 29</w:t>
      </w:r>
      <w:r w:rsidRPr="004B60A0">
        <w:t>(7), 1522-1532. doi:10.1111/j.1460-9568.2009.06690.x</w:t>
      </w:r>
    </w:p>
    <w:p w14:paraId="064B2165" w14:textId="77777777" w:rsidR="002C1AEB" w:rsidRDefault="002C1AEB" w:rsidP="004B7389">
      <w:pPr>
        <w:pStyle w:val="References"/>
        <w:spacing w:line="240" w:lineRule="auto"/>
      </w:pPr>
      <w:r w:rsidRPr="004B7389">
        <w:t xml:space="preserve">Sun, X. W., Sun, Y., &amp; Fu, Q. F. (2019). </w:t>
      </w:r>
      <w:r w:rsidRPr="16A294BA">
        <w:t xml:space="preserve">Cross-modal Learning and Its Cognitive and Neural Mechanisms. </w:t>
      </w:r>
      <w:r w:rsidRPr="16A294BA">
        <w:rPr>
          <w:i/>
          <w:iCs/>
        </w:rPr>
        <w:t>Progress in biochemistry and biophysics, 46</w:t>
      </w:r>
      <w:r w:rsidRPr="16A294BA">
        <w:t xml:space="preserve">(6), 565-577. </w:t>
      </w:r>
      <w:proofErr w:type="spellStart"/>
      <w:r w:rsidRPr="16A294BA">
        <w:t>doi</w:t>
      </w:r>
      <w:proofErr w:type="spellEnd"/>
      <w:r w:rsidRPr="16A294BA">
        <w:t>: 10.16476/j.pibb.2018.0321</w:t>
      </w:r>
    </w:p>
    <w:p w14:paraId="0B4CD831" w14:textId="77777777" w:rsidR="002C1AEB" w:rsidRPr="004B60A0" w:rsidRDefault="002C1AEB" w:rsidP="004B7389">
      <w:pPr>
        <w:pStyle w:val="References"/>
        <w:spacing w:line="240" w:lineRule="auto"/>
      </w:pPr>
      <w:proofErr w:type="spellStart"/>
      <w:r w:rsidRPr="004B60A0">
        <w:t>Tieges</w:t>
      </w:r>
      <w:proofErr w:type="spellEnd"/>
      <w:r w:rsidRPr="004B60A0">
        <w:t xml:space="preserve">, Z., </w:t>
      </w:r>
      <w:proofErr w:type="spellStart"/>
      <w:r w:rsidRPr="004B60A0">
        <w:t>Ridderinkhof</w:t>
      </w:r>
      <w:proofErr w:type="spellEnd"/>
      <w:r w:rsidRPr="004B60A0">
        <w:t xml:space="preserve">, K. R., </w:t>
      </w:r>
      <w:proofErr w:type="spellStart"/>
      <w:r w:rsidRPr="004B60A0">
        <w:t>Snel</w:t>
      </w:r>
      <w:proofErr w:type="spellEnd"/>
      <w:r w:rsidRPr="004B60A0">
        <w:t xml:space="preserve">, J., &amp; </w:t>
      </w:r>
      <w:proofErr w:type="spellStart"/>
      <w:r w:rsidRPr="004B60A0">
        <w:t>Kok</w:t>
      </w:r>
      <w:proofErr w:type="spellEnd"/>
      <w:r w:rsidRPr="004B60A0">
        <w:t xml:space="preserve">, A. (2004). Caffeine strengthens action monitoring: evidence from the error-related negativity. </w:t>
      </w:r>
      <w:r w:rsidRPr="004B60A0">
        <w:rPr>
          <w:i/>
        </w:rPr>
        <w:t>Brain Research.</w:t>
      </w:r>
      <w:r w:rsidRPr="004B60A0">
        <w:t xml:space="preserve"> </w:t>
      </w:r>
      <w:r w:rsidRPr="004B60A0">
        <w:rPr>
          <w:i/>
        </w:rPr>
        <w:t>Cognitive Brain Research, 21</w:t>
      </w:r>
      <w:r w:rsidRPr="004B60A0">
        <w:t>(1), 87-93. doi:10.1016/j.cogbrainres.2004.06.001</w:t>
      </w:r>
    </w:p>
    <w:p w14:paraId="1E0E81A1" w14:textId="77777777" w:rsidR="002C1AEB" w:rsidRDefault="002C1AEB" w:rsidP="004B7389">
      <w:pPr>
        <w:pStyle w:val="References"/>
        <w:spacing w:line="240" w:lineRule="auto"/>
      </w:pPr>
      <w:r>
        <w:t xml:space="preserve">Tops, M., </w:t>
      </w:r>
      <w:proofErr w:type="spellStart"/>
      <w:r>
        <w:t>Boksem</w:t>
      </w:r>
      <w:proofErr w:type="spellEnd"/>
      <w:r>
        <w:t xml:space="preserve">, M. S., Wester, A. E., </w:t>
      </w:r>
      <w:proofErr w:type="spellStart"/>
      <w:r>
        <w:t>Lorist</w:t>
      </w:r>
      <w:proofErr w:type="spellEnd"/>
      <w:r>
        <w:t xml:space="preserve">, M. M., &amp; </w:t>
      </w:r>
      <w:proofErr w:type="spellStart"/>
      <w:r>
        <w:t>Meijman</w:t>
      </w:r>
      <w:proofErr w:type="spellEnd"/>
      <w:r>
        <w:t xml:space="preserve">, T. F. (2006). Task engagement and the relationships between the error-related negativity, agreeableness, behavioral shame proneness and cortisol. </w:t>
      </w:r>
      <w:proofErr w:type="spellStart"/>
      <w:r w:rsidRPr="16A294BA">
        <w:rPr>
          <w:i/>
          <w:iCs/>
        </w:rPr>
        <w:t>Psychoneuroendocrinology</w:t>
      </w:r>
      <w:proofErr w:type="spellEnd"/>
      <w:r>
        <w:t xml:space="preserve">, </w:t>
      </w:r>
      <w:r w:rsidRPr="16A294BA">
        <w:rPr>
          <w:i/>
          <w:iCs/>
        </w:rPr>
        <w:t>31</w:t>
      </w:r>
      <w:r>
        <w:t xml:space="preserve">(7), 847-858. </w:t>
      </w:r>
      <w:proofErr w:type="spellStart"/>
      <w:r>
        <w:t>doi</w:t>
      </w:r>
      <w:proofErr w:type="spellEnd"/>
      <w:r>
        <w:t>: 10.1016/j.psyneuen.2006.04.001</w:t>
      </w:r>
    </w:p>
    <w:p w14:paraId="2D8FCF50" w14:textId="77777777" w:rsidR="002C1AEB" w:rsidRPr="004B60A0" w:rsidRDefault="002C1AEB" w:rsidP="004B7389">
      <w:pPr>
        <w:pStyle w:val="References"/>
        <w:spacing w:line="240" w:lineRule="auto"/>
      </w:pPr>
      <w:r w:rsidRPr="004B60A0">
        <w:t xml:space="preserve">Tucker, D. M. &amp; </w:t>
      </w:r>
      <w:proofErr w:type="spellStart"/>
      <w:r w:rsidRPr="004B60A0">
        <w:t>Luu</w:t>
      </w:r>
      <w:proofErr w:type="spellEnd"/>
      <w:r w:rsidRPr="004B60A0">
        <w:t xml:space="preserve">, P. (2007). Neurophysiology of motivated learning: adaptive mechanisms underlying cognitive bias in depression. </w:t>
      </w:r>
      <w:r w:rsidRPr="004B60A0">
        <w:rPr>
          <w:i/>
        </w:rPr>
        <w:t>Cognitive Therapy &amp; Research,</w:t>
      </w:r>
      <w:r w:rsidRPr="004B60A0">
        <w:t xml:space="preserve"> 31(2), 189-209. </w:t>
      </w:r>
      <w:proofErr w:type="spellStart"/>
      <w:r>
        <w:t>doi</w:t>
      </w:r>
      <w:proofErr w:type="spellEnd"/>
      <w:r w:rsidRPr="004B60A0">
        <w:t>: 10.1007/s10608-006-9115-9</w:t>
      </w:r>
    </w:p>
    <w:p w14:paraId="0110F108" w14:textId="77777777" w:rsidR="002C1AEB" w:rsidRPr="004B60A0" w:rsidRDefault="002C1AEB" w:rsidP="004B7389">
      <w:pPr>
        <w:pStyle w:val="References"/>
        <w:spacing w:line="240" w:lineRule="auto"/>
      </w:pPr>
      <w:r w:rsidRPr="004B60A0">
        <w:t xml:space="preserve">Tucker, D. M., </w:t>
      </w:r>
      <w:proofErr w:type="spellStart"/>
      <w:r w:rsidRPr="004B60A0">
        <w:t>Luu</w:t>
      </w:r>
      <w:proofErr w:type="spellEnd"/>
      <w:r w:rsidRPr="004B60A0">
        <w:t xml:space="preserve">, P., </w:t>
      </w:r>
      <w:proofErr w:type="spellStart"/>
      <w:r w:rsidRPr="004B60A0">
        <w:t>Frishkoff</w:t>
      </w:r>
      <w:proofErr w:type="spellEnd"/>
      <w:r w:rsidRPr="004B60A0">
        <w:t xml:space="preserve">, G., Quiring, J., &amp; Poulsen, C. (2003). </w:t>
      </w:r>
      <w:proofErr w:type="spellStart"/>
      <w:r w:rsidRPr="004B60A0">
        <w:t>Frontolimbic</w:t>
      </w:r>
      <w:proofErr w:type="spellEnd"/>
      <w:r w:rsidRPr="004B60A0">
        <w:t xml:space="preserve"> response to negative feedback in clinical depression. </w:t>
      </w:r>
      <w:r w:rsidRPr="004B60A0">
        <w:rPr>
          <w:i/>
        </w:rPr>
        <w:t>Journal of Abnormal Psychology, 112</w:t>
      </w:r>
      <w:r w:rsidRPr="004B60A0">
        <w:t>(4)</w:t>
      </w:r>
      <w:r w:rsidRPr="004B60A0">
        <w:rPr>
          <w:i/>
        </w:rPr>
        <w:t>,</w:t>
      </w:r>
      <w:r w:rsidRPr="004B60A0">
        <w:t xml:space="preserve"> 667-678. doi:10.1037/0021-843X.112.4.667 </w:t>
      </w:r>
    </w:p>
    <w:p w14:paraId="01FB5F88" w14:textId="77777777" w:rsidR="002C1AEB" w:rsidRDefault="002C1AEB" w:rsidP="004B7389">
      <w:pPr>
        <w:pStyle w:val="References"/>
        <w:spacing w:line="240" w:lineRule="auto"/>
      </w:pPr>
      <w:r w:rsidRPr="00CF2F3E">
        <w:t xml:space="preserve">Unger, K., </w:t>
      </w:r>
      <w:proofErr w:type="spellStart"/>
      <w:r w:rsidRPr="00CF2F3E">
        <w:t>Greulich</w:t>
      </w:r>
      <w:proofErr w:type="spellEnd"/>
      <w:r w:rsidRPr="00CF2F3E">
        <w:t xml:space="preserve">, B., &amp; Kray, J. (2014). “Trick or treat”: the influence of incentives on developmental changes in feedback-based learning. </w:t>
      </w:r>
      <w:r w:rsidRPr="00CF2F3E">
        <w:rPr>
          <w:i/>
          <w:iCs/>
        </w:rPr>
        <w:t>Frontiers In Psychology, 5</w:t>
      </w:r>
      <w:r w:rsidRPr="00CF2F3E">
        <w:t>, 968. doi:10.3389/fpsyg.2014.00968</w:t>
      </w:r>
    </w:p>
    <w:p w14:paraId="238C8A8C" w14:textId="77777777" w:rsidR="002C1AEB" w:rsidRPr="004B60A0" w:rsidRDefault="002C1AEB" w:rsidP="004B7389">
      <w:pPr>
        <w:pStyle w:val="References"/>
        <w:spacing w:line="240" w:lineRule="auto"/>
      </w:pPr>
      <w:r w:rsidRPr="00CF2F3E">
        <w:t xml:space="preserve">Van Veen, V., &amp; Carter, C. S. (2002). </w:t>
      </w:r>
      <w:r w:rsidRPr="004B60A0">
        <w:t>The timing of action –monitoring processes in the Anterior Cingulate Cortex</w:t>
      </w:r>
      <w:r w:rsidRPr="004B60A0">
        <w:rPr>
          <w:i/>
        </w:rPr>
        <w:t>. Journal of Cognitive Neuroscience, 14</w:t>
      </w:r>
      <w:r w:rsidRPr="004B60A0">
        <w:t>(4)</w:t>
      </w:r>
      <w:r w:rsidRPr="004B60A0">
        <w:rPr>
          <w:i/>
        </w:rPr>
        <w:t>, 593-602</w:t>
      </w:r>
      <w:r w:rsidRPr="004B60A0">
        <w:t>. doi:10.1162/08989290260045837</w:t>
      </w:r>
    </w:p>
    <w:p w14:paraId="61ABED4A" w14:textId="77777777" w:rsidR="002C1AEB" w:rsidRPr="009038DC" w:rsidRDefault="002C1AEB" w:rsidP="004B7389">
      <w:pPr>
        <w:pStyle w:val="References"/>
        <w:spacing w:line="240" w:lineRule="auto"/>
      </w:pPr>
      <w:r w:rsidRPr="00385111">
        <w:t>Wessel, J. R. (2012). Error awareness and the error-related negativity: Evaluating the first decade of evidence. </w:t>
      </w:r>
      <w:r w:rsidRPr="009038DC">
        <w:rPr>
          <w:i/>
          <w:iCs/>
        </w:rPr>
        <w:t>Frontiers in Human Neuroscience</w:t>
      </w:r>
      <w:r w:rsidRPr="009038DC">
        <w:t>, </w:t>
      </w:r>
      <w:r w:rsidRPr="009038DC">
        <w:rPr>
          <w:i/>
          <w:iCs/>
        </w:rPr>
        <w:t>6</w:t>
      </w:r>
      <w:r w:rsidRPr="009038DC">
        <w:t>. doi:10.3389/fnhum.2012.00088</w:t>
      </w:r>
    </w:p>
    <w:p w14:paraId="379AB53D" w14:textId="628B5D5D" w:rsidR="002C1AEB" w:rsidRPr="002C1AEB" w:rsidRDefault="002C1AEB" w:rsidP="004B7389">
      <w:pPr>
        <w:pStyle w:val="References"/>
        <w:spacing w:line="240" w:lineRule="auto"/>
      </w:pPr>
      <w:r w:rsidRPr="004B60A0">
        <w:lastRenderedPageBreak/>
        <w:t>World Medical Association. (2013). Declaration of Helsinki. Ethical Principles for Medical Research Involving Human Subjects. Retrieved from: https://www.wma.net/policies-post/wma-declaration</w:t>
      </w:r>
      <w:bookmarkEnd w:id="0"/>
      <w:bookmarkEnd w:id="1"/>
      <w:r w:rsidRPr="004B60A0">
        <w:t xml:space="preserve">-of- </w:t>
      </w:r>
      <w:proofErr w:type="spellStart"/>
      <w:r w:rsidRPr="004B60A0">
        <w:t>helsinki</w:t>
      </w:r>
      <w:proofErr w:type="spellEnd"/>
      <w:r w:rsidRPr="004B60A0">
        <w:t>- ethical- principles- for- medical- research- involving- human- subje</w:t>
      </w:r>
      <w:r>
        <w:t>cts/.</w:t>
      </w:r>
    </w:p>
    <w:sectPr w:rsidR="002C1AEB" w:rsidRPr="002C1AEB" w:rsidSect="00797DB5">
      <w:headerReference w:type="default" r:id="rId21"/>
      <w:footerReference w:type="default" r:id="rId22"/>
      <w:footerReference w:type="first" r:id="rId2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C420C" w14:textId="77777777" w:rsidR="008D061C" w:rsidRDefault="008D061C">
      <w:r>
        <w:separator/>
      </w:r>
    </w:p>
  </w:endnote>
  <w:endnote w:type="continuationSeparator" w:id="0">
    <w:p w14:paraId="295AE734" w14:textId="77777777" w:rsidR="008D061C" w:rsidRDefault="008D061C">
      <w:r>
        <w:continuationSeparator/>
      </w:r>
    </w:p>
  </w:endnote>
  <w:endnote w:type="continuationNotice" w:id="1">
    <w:p w14:paraId="6A92882A" w14:textId="77777777" w:rsidR="008D061C" w:rsidRDefault="008D06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2C1AEB" w14:paraId="6FDFA6CB" w14:textId="77777777" w:rsidTr="2C202AD6">
      <w:tc>
        <w:tcPr>
          <w:tcW w:w="3120" w:type="dxa"/>
        </w:tcPr>
        <w:p w14:paraId="38B67820" w14:textId="77777777" w:rsidR="002C1AEB" w:rsidRDefault="002C1AEB" w:rsidP="2C202AD6">
          <w:pPr>
            <w:pStyle w:val="Encabezado"/>
            <w:ind w:left="-115"/>
          </w:pPr>
        </w:p>
      </w:tc>
      <w:tc>
        <w:tcPr>
          <w:tcW w:w="3120" w:type="dxa"/>
        </w:tcPr>
        <w:p w14:paraId="4B2B43FC" w14:textId="77777777" w:rsidR="002C1AEB" w:rsidRDefault="002C1AEB" w:rsidP="2C202AD6">
          <w:pPr>
            <w:pStyle w:val="Encabezado"/>
            <w:jc w:val="center"/>
          </w:pPr>
        </w:p>
      </w:tc>
      <w:tc>
        <w:tcPr>
          <w:tcW w:w="3120" w:type="dxa"/>
        </w:tcPr>
        <w:p w14:paraId="55DBE4A6" w14:textId="77777777" w:rsidR="002C1AEB" w:rsidRDefault="002C1AEB" w:rsidP="2C202AD6">
          <w:pPr>
            <w:pStyle w:val="Encabezado"/>
            <w:ind w:right="-115"/>
            <w:jc w:val="right"/>
          </w:pPr>
        </w:p>
      </w:tc>
    </w:tr>
  </w:tbl>
  <w:p w14:paraId="720EA890" w14:textId="77777777" w:rsidR="002C1AEB" w:rsidRDefault="002C1AE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2C1AEB" w14:paraId="48F7143F" w14:textId="77777777" w:rsidTr="2C202AD6">
      <w:tc>
        <w:tcPr>
          <w:tcW w:w="3120" w:type="dxa"/>
        </w:tcPr>
        <w:p w14:paraId="4E2CDCFA" w14:textId="77777777" w:rsidR="002C1AEB" w:rsidRDefault="002C1AEB" w:rsidP="2C202AD6">
          <w:pPr>
            <w:pStyle w:val="Encabezado"/>
            <w:ind w:left="-115"/>
          </w:pPr>
        </w:p>
      </w:tc>
      <w:tc>
        <w:tcPr>
          <w:tcW w:w="3120" w:type="dxa"/>
        </w:tcPr>
        <w:p w14:paraId="2A265011" w14:textId="77777777" w:rsidR="002C1AEB" w:rsidRDefault="002C1AEB" w:rsidP="2C202AD6">
          <w:pPr>
            <w:pStyle w:val="Encabezado"/>
            <w:jc w:val="center"/>
          </w:pPr>
        </w:p>
      </w:tc>
      <w:tc>
        <w:tcPr>
          <w:tcW w:w="3120" w:type="dxa"/>
        </w:tcPr>
        <w:p w14:paraId="1ADA6F93" w14:textId="77777777" w:rsidR="002C1AEB" w:rsidRDefault="002C1AEB" w:rsidP="2C202AD6">
          <w:pPr>
            <w:pStyle w:val="Encabezado"/>
            <w:ind w:right="-115"/>
            <w:jc w:val="right"/>
          </w:pPr>
        </w:p>
      </w:tc>
    </w:tr>
  </w:tbl>
  <w:p w14:paraId="49D0976B" w14:textId="77777777" w:rsidR="002C1AEB" w:rsidRDefault="002C1AE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F35CC" w14:textId="77777777" w:rsidR="00726DB5" w:rsidRDefault="00726DB5"/>
  <w:p w14:paraId="3D7FAAB3" w14:textId="77777777" w:rsidR="00726DB5" w:rsidRDefault="00726DB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2C202AD6" w14:paraId="324D06E0" w14:textId="77777777" w:rsidTr="2C202AD6">
      <w:tc>
        <w:tcPr>
          <w:tcW w:w="3120" w:type="dxa"/>
        </w:tcPr>
        <w:p w14:paraId="387F26A6" w14:textId="6E8AC2C9" w:rsidR="2C202AD6" w:rsidRDefault="2C202AD6" w:rsidP="2C202AD6">
          <w:pPr>
            <w:pStyle w:val="Encabezado"/>
            <w:ind w:left="-115"/>
          </w:pPr>
        </w:p>
      </w:tc>
      <w:tc>
        <w:tcPr>
          <w:tcW w:w="3120" w:type="dxa"/>
        </w:tcPr>
        <w:p w14:paraId="5CFD3819" w14:textId="38EE51B4" w:rsidR="2C202AD6" w:rsidRDefault="2C202AD6" w:rsidP="2C202AD6">
          <w:pPr>
            <w:pStyle w:val="Encabezado"/>
            <w:jc w:val="center"/>
          </w:pPr>
        </w:p>
      </w:tc>
      <w:tc>
        <w:tcPr>
          <w:tcW w:w="3120" w:type="dxa"/>
        </w:tcPr>
        <w:p w14:paraId="3896F5DD" w14:textId="72AAA648" w:rsidR="2C202AD6" w:rsidRDefault="2C202AD6" w:rsidP="2C202AD6">
          <w:pPr>
            <w:pStyle w:val="Encabezado"/>
            <w:ind w:right="-115"/>
            <w:jc w:val="right"/>
          </w:pPr>
        </w:p>
      </w:tc>
    </w:tr>
  </w:tbl>
  <w:p w14:paraId="7FB84782" w14:textId="74DA528E" w:rsidR="00710DA3" w:rsidRDefault="00710D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64AEA" w14:textId="77777777" w:rsidR="008D061C" w:rsidRDefault="008D061C">
      <w:r>
        <w:separator/>
      </w:r>
    </w:p>
  </w:footnote>
  <w:footnote w:type="continuationSeparator" w:id="0">
    <w:p w14:paraId="60B5CB97" w14:textId="77777777" w:rsidR="008D061C" w:rsidRDefault="008D061C">
      <w:r>
        <w:continuationSeparator/>
      </w:r>
    </w:p>
  </w:footnote>
  <w:footnote w:type="continuationNotice" w:id="1">
    <w:p w14:paraId="5A84FC80" w14:textId="77777777" w:rsidR="008D061C" w:rsidRDefault="008D06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77A48" w14:textId="77777777" w:rsidR="00726DB5" w:rsidRDefault="00726D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FD8A0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753C23C2"/>
    <w:lvl w:ilvl="0">
      <w:start w:val="1"/>
      <w:numFmt w:val="bullet"/>
      <w:lvlText w:val=""/>
      <w:lvlJc w:val="left"/>
      <w:pPr>
        <w:tabs>
          <w:tab w:val="num" w:pos="1800"/>
        </w:tabs>
        <w:ind w:left="1800" w:hanging="360"/>
      </w:pPr>
      <w:rPr>
        <w:rFonts w:ascii="Symbol" w:hAnsi="Symbol" w:hint="default"/>
      </w:rPr>
    </w:lvl>
  </w:abstractNum>
  <w:abstractNum w:abstractNumId="2" w15:restartNumberingAfterBreak="0">
    <w:nsid w:val="138C20CB"/>
    <w:multiLevelType w:val="hybridMultilevel"/>
    <w:tmpl w:val="FFFFFFFF"/>
    <w:lvl w:ilvl="0" w:tplc="70CCB7B8">
      <w:start w:val="1"/>
      <w:numFmt w:val="decimal"/>
      <w:lvlText w:val="%1."/>
      <w:lvlJc w:val="left"/>
      <w:pPr>
        <w:ind w:left="720" w:hanging="360"/>
      </w:pPr>
    </w:lvl>
    <w:lvl w:ilvl="1" w:tplc="B50AD300">
      <w:start w:val="1"/>
      <w:numFmt w:val="lowerLetter"/>
      <w:lvlText w:val="%2."/>
      <w:lvlJc w:val="left"/>
      <w:pPr>
        <w:ind w:left="1440" w:hanging="360"/>
      </w:pPr>
    </w:lvl>
    <w:lvl w:ilvl="2" w:tplc="48D0BE38">
      <w:start w:val="1"/>
      <w:numFmt w:val="lowerRoman"/>
      <w:lvlText w:val="%3."/>
      <w:lvlJc w:val="right"/>
      <w:pPr>
        <w:ind w:left="2160" w:hanging="180"/>
      </w:pPr>
    </w:lvl>
    <w:lvl w:ilvl="3" w:tplc="00F65A22">
      <w:start w:val="1"/>
      <w:numFmt w:val="decimal"/>
      <w:lvlText w:val="%4."/>
      <w:lvlJc w:val="left"/>
      <w:pPr>
        <w:ind w:left="2880" w:hanging="360"/>
      </w:pPr>
    </w:lvl>
    <w:lvl w:ilvl="4" w:tplc="497EB71E">
      <w:start w:val="1"/>
      <w:numFmt w:val="lowerLetter"/>
      <w:lvlText w:val="%5."/>
      <w:lvlJc w:val="left"/>
      <w:pPr>
        <w:ind w:left="3600" w:hanging="360"/>
      </w:pPr>
    </w:lvl>
    <w:lvl w:ilvl="5" w:tplc="9880D2C8">
      <w:start w:val="1"/>
      <w:numFmt w:val="lowerRoman"/>
      <w:lvlText w:val="%6."/>
      <w:lvlJc w:val="right"/>
      <w:pPr>
        <w:ind w:left="4320" w:hanging="180"/>
      </w:pPr>
    </w:lvl>
    <w:lvl w:ilvl="6" w:tplc="BF2ED432">
      <w:start w:val="1"/>
      <w:numFmt w:val="decimal"/>
      <w:lvlText w:val="%7."/>
      <w:lvlJc w:val="left"/>
      <w:pPr>
        <w:ind w:left="5040" w:hanging="360"/>
      </w:pPr>
    </w:lvl>
    <w:lvl w:ilvl="7" w:tplc="2F02A7F6">
      <w:start w:val="1"/>
      <w:numFmt w:val="lowerLetter"/>
      <w:lvlText w:val="%8."/>
      <w:lvlJc w:val="left"/>
      <w:pPr>
        <w:ind w:left="5760" w:hanging="360"/>
      </w:pPr>
    </w:lvl>
    <w:lvl w:ilvl="8" w:tplc="358A3A44">
      <w:start w:val="1"/>
      <w:numFmt w:val="lowerRoman"/>
      <w:lvlText w:val="%9."/>
      <w:lvlJc w:val="right"/>
      <w:pPr>
        <w:ind w:left="6480" w:hanging="180"/>
      </w:pPr>
    </w:lvl>
  </w:abstractNum>
  <w:abstractNum w:abstractNumId="3" w15:restartNumberingAfterBreak="0">
    <w:nsid w:val="1919023D"/>
    <w:multiLevelType w:val="hybridMultilevel"/>
    <w:tmpl w:val="1B0C2028"/>
    <w:lvl w:ilvl="0" w:tplc="E63AD868">
      <w:start w:val="1"/>
      <w:numFmt w:val="decimal"/>
      <w:lvlText w:val="%1."/>
      <w:lvlJc w:val="left"/>
      <w:pPr>
        <w:ind w:left="720" w:hanging="360"/>
      </w:pPr>
    </w:lvl>
    <w:lvl w:ilvl="1" w:tplc="87204BAE">
      <w:start w:val="1"/>
      <w:numFmt w:val="lowerLetter"/>
      <w:lvlText w:val="%2."/>
      <w:lvlJc w:val="left"/>
      <w:pPr>
        <w:ind w:left="1440" w:hanging="360"/>
      </w:pPr>
    </w:lvl>
    <w:lvl w:ilvl="2" w:tplc="B2E8F790">
      <w:start w:val="1"/>
      <w:numFmt w:val="lowerRoman"/>
      <w:lvlText w:val="%3."/>
      <w:lvlJc w:val="right"/>
      <w:pPr>
        <w:ind w:left="2160" w:hanging="180"/>
      </w:pPr>
    </w:lvl>
    <w:lvl w:ilvl="3" w:tplc="0AEAF77E">
      <w:start w:val="1"/>
      <w:numFmt w:val="decimal"/>
      <w:lvlText w:val="%4."/>
      <w:lvlJc w:val="left"/>
      <w:pPr>
        <w:ind w:left="2880" w:hanging="360"/>
      </w:pPr>
    </w:lvl>
    <w:lvl w:ilvl="4" w:tplc="3AECDCAC">
      <w:start w:val="1"/>
      <w:numFmt w:val="lowerLetter"/>
      <w:lvlText w:val="%5."/>
      <w:lvlJc w:val="left"/>
      <w:pPr>
        <w:ind w:left="3600" w:hanging="360"/>
      </w:pPr>
    </w:lvl>
    <w:lvl w:ilvl="5" w:tplc="44967A3C">
      <w:start w:val="1"/>
      <w:numFmt w:val="lowerRoman"/>
      <w:lvlText w:val="%6."/>
      <w:lvlJc w:val="right"/>
      <w:pPr>
        <w:ind w:left="4320" w:hanging="180"/>
      </w:pPr>
    </w:lvl>
    <w:lvl w:ilvl="6" w:tplc="CD4C5F66">
      <w:start w:val="1"/>
      <w:numFmt w:val="decimal"/>
      <w:lvlText w:val="%7."/>
      <w:lvlJc w:val="left"/>
      <w:pPr>
        <w:ind w:left="5040" w:hanging="360"/>
      </w:pPr>
    </w:lvl>
    <w:lvl w:ilvl="7" w:tplc="335E1734">
      <w:start w:val="1"/>
      <w:numFmt w:val="lowerLetter"/>
      <w:lvlText w:val="%8."/>
      <w:lvlJc w:val="left"/>
      <w:pPr>
        <w:ind w:left="5760" w:hanging="360"/>
      </w:pPr>
    </w:lvl>
    <w:lvl w:ilvl="8" w:tplc="7BCEF8DC">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removePersonalInformation/>
  <w:removeDateAndTime/>
  <w:embedSystemFonts/>
  <w:proofState w:spelling="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944"/>
    <w:rsid w:val="0000089D"/>
    <w:rsid w:val="00002A65"/>
    <w:rsid w:val="00004B3B"/>
    <w:rsid w:val="00016F61"/>
    <w:rsid w:val="00021D9C"/>
    <w:rsid w:val="0002583A"/>
    <w:rsid w:val="000300F9"/>
    <w:rsid w:val="00033E3A"/>
    <w:rsid w:val="0003499F"/>
    <w:rsid w:val="00036328"/>
    <w:rsid w:val="00044443"/>
    <w:rsid w:val="00050F33"/>
    <w:rsid w:val="000514FA"/>
    <w:rsid w:val="00051B28"/>
    <w:rsid w:val="0005450D"/>
    <w:rsid w:val="0005507B"/>
    <w:rsid w:val="00061E40"/>
    <w:rsid w:val="00067465"/>
    <w:rsid w:val="00070861"/>
    <w:rsid w:val="0007086D"/>
    <w:rsid w:val="0007184D"/>
    <w:rsid w:val="000718EC"/>
    <w:rsid w:val="000747DA"/>
    <w:rsid w:val="00077703"/>
    <w:rsid w:val="000777AF"/>
    <w:rsid w:val="00077905"/>
    <w:rsid w:val="00081D5D"/>
    <w:rsid w:val="00084B81"/>
    <w:rsid w:val="000935D1"/>
    <w:rsid w:val="00093D6F"/>
    <w:rsid w:val="000940C9"/>
    <w:rsid w:val="00094BF6"/>
    <w:rsid w:val="000A4695"/>
    <w:rsid w:val="000A5EFA"/>
    <w:rsid w:val="000A7BAF"/>
    <w:rsid w:val="000B3140"/>
    <w:rsid w:val="000B3FD4"/>
    <w:rsid w:val="000B4B67"/>
    <w:rsid w:val="000B5681"/>
    <w:rsid w:val="000C0FD0"/>
    <w:rsid w:val="000C1083"/>
    <w:rsid w:val="000C12FF"/>
    <w:rsid w:val="000C5962"/>
    <w:rsid w:val="000C5F36"/>
    <w:rsid w:val="000D2E6B"/>
    <w:rsid w:val="000D614C"/>
    <w:rsid w:val="000D70CF"/>
    <w:rsid w:val="000E13F9"/>
    <w:rsid w:val="000E71AF"/>
    <w:rsid w:val="000F01FA"/>
    <w:rsid w:val="000F0F84"/>
    <w:rsid w:val="000F3E31"/>
    <w:rsid w:val="000F7E15"/>
    <w:rsid w:val="001008CF"/>
    <w:rsid w:val="00100ABB"/>
    <w:rsid w:val="00100B61"/>
    <w:rsid w:val="00101F07"/>
    <w:rsid w:val="001035D3"/>
    <w:rsid w:val="001035ED"/>
    <w:rsid w:val="0011284D"/>
    <w:rsid w:val="0012776D"/>
    <w:rsid w:val="00127BD5"/>
    <w:rsid w:val="0013159D"/>
    <w:rsid w:val="00133C0F"/>
    <w:rsid w:val="00134578"/>
    <w:rsid w:val="00136269"/>
    <w:rsid w:val="001378F8"/>
    <w:rsid w:val="0014292E"/>
    <w:rsid w:val="00143CBC"/>
    <w:rsid w:val="001458C0"/>
    <w:rsid w:val="001472B2"/>
    <w:rsid w:val="001510D5"/>
    <w:rsid w:val="001557FD"/>
    <w:rsid w:val="00162390"/>
    <w:rsid w:val="00167972"/>
    <w:rsid w:val="00175559"/>
    <w:rsid w:val="0017573B"/>
    <w:rsid w:val="001777D9"/>
    <w:rsid w:val="00180B99"/>
    <w:rsid w:val="0018224F"/>
    <w:rsid w:val="001839B6"/>
    <w:rsid w:val="0018466D"/>
    <w:rsid w:val="00186ECF"/>
    <w:rsid w:val="00187DEE"/>
    <w:rsid w:val="00191D13"/>
    <w:rsid w:val="00195696"/>
    <w:rsid w:val="00196A98"/>
    <w:rsid w:val="001A3829"/>
    <w:rsid w:val="001B1AAD"/>
    <w:rsid w:val="001B213F"/>
    <w:rsid w:val="001B3886"/>
    <w:rsid w:val="001B440B"/>
    <w:rsid w:val="001C1391"/>
    <w:rsid w:val="001C4F71"/>
    <w:rsid w:val="001C6717"/>
    <w:rsid w:val="001C68A4"/>
    <w:rsid w:val="001C6AC4"/>
    <w:rsid w:val="001D1AEB"/>
    <w:rsid w:val="001D31BD"/>
    <w:rsid w:val="001D4132"/>
    <w:rsid w:val="001D48F0"/>
    <w:rsid w:val="001D4B8B"/>
    <w:rsid w:val="001D753F"/>
    <w:rsid w:val="001E08FD"/>
    <w:rsid w:val="001E230F"/>
    <w:rsid w:val="001F475F"/>
    <w:rsid w:val="001F5B9A"/>
    <w:rsid w:val="00205616"/>
    <w:rsid w:val="002109FB"/>
    <w:rsid w:val="00212276"/>
    <w:rsid w:val="00216ECE"/>
    <w:rsid w:val="00223F23"/>
    <w:rsid w:val="00225DA3"/>
    <w:rsid w:val="0023050F"/>
    <w:rsid w:val="0023058C"/>
    <w:rsid w:val="00231C1F"/>
    <w:rsid w:val="0023305E"/>
    <w:rsid w:val="00242071"/>
    <w:rsid w:val="00242F47"/>
    <w:rsid w:val="00245526"/>
    <w:rsid w:val="00250E85"/>
    <w:rsid w:val="00253ED6"/>
    <w:rsid w:val="00255BE1"/>
    <w:rsid w:val="00256ED9"/>
    <w:rsid w:val="00262953"/>
    <w:rsid w:val="00262CCE"/>
    <w:rsid w:val="00263263"/>
    <w:rsid w:val="002730F7"/>
    <w:rsid w:val="0027404D"/>
    <w:rsid w:val="00276DE6"/>
    <w:rsid w:val="00277C62"/>
    <w:rsid w:val="00280767"/>
    <w:rsid w:val="0028315D"/>
    <w:rsid w:val="00283C7F"/>
    <w:rsid w:val="00285EA4"/>
    <w:rsid w:val="00287067"/>
    <w:rsid w:val="0029133F"/>
    <w:rsid w:val="00295986"/>
    <w:rsid w:val="00296AE4"/>
    <w:rsid w:val="00296EF4"/>
    <w:rsid w:val="002975EA"/>
    <w:rsid w:val="002A0C07"/>
    <w:rsid w:val="002A2550"/>
    <w:rsid w:val="002A4793"/>
    <w:rsid w:val="002A568F"/>
    <w:rsid w:val="002B11A5"/>
    <w:rsid w:val="002B49E4"/>
    <w:rsid w:val="002B572A"/>
    <w:rsid w:val="002C11DC"/>
    <w:rsid w:val="002C1903"/>
    <w:rsid w:val="002C1AEB"/>
    <w:rsid w:val="002C1E5A"/>
    <w:rsid w:val="002C59EF"/>
    <w:rsid w:val="002C67E9"/>
    <w:rsid w:val="002C7C86"/>
    <w:rsid w:val="002E0B78"/>
    <w:rsid w:val="002E1C2E"/>
    <w:rsid w:val="002E254D"/>
    <w:rsid w:val="002E4BC7"/>
    <w:rsid w:val="002E5126"/>
    <w:rsid w:val="002E66F8"/>
    <w:rsid w:val="002E7D85"/>
    <w:rsid w:val="002E7E0C"/>
    <w:rsid w:val="002F4E43"/>
    <w:rsid w:val="002F6B14"/>
    <w:rsid w:val="003029E9"/>
    <w:rsid w:val="003036E4"/>
    <w:rsid w:val="003040E1"/>
    <w:rsid w:val="003051C2"/>
    <w:rsid w:val="00305C30"/>
    <w:rsid w:val="00306DF7"/>
    <w:rsid w:val="00307755"/>
    <w:rsid w:val="00311710"/>
    <w:rsid w:val="00312753"/>
    <w:rsid w:val="00312E08"/>
    <w:rsid w:val="00314374"/>
    <w:rsid w:val="00317972"/>
    <w:rsid w:val="00317FF0"/>
    <w:rsid w:val="00322F6E"/>
    <w:rsid w:val="00325AEC"/>
    <w:rsid w:val="00326DA6"/>
    <w:rsid w:val="003337C4"/>
    <w:rsid w:val="0033438C"/>
    <w:rsid w:val="003361D0"/>
    <w:rsid w:val="00337BCD"/>
    <w:rsid w:val="003411A1"/>
    <w:rsid w:val="003425D1"/>
    <w:rsid w:val="00342DDD"/>
    <w:rsid w:val="0034517F"/>
    <w:rsid w:val="003451E3"/>
    <w:rsid w:val="003453D0"/>
    <w:rsid w:val="00345F86"/>
    <w:rsid w:val="00357D39"/>
    <w:rsid w:val="00357F55"/>
    <w:rsid w:val="00366AAD"/>
    <w:rsid w:val="003717D2"/>
    <w:rsid w:val="003719AD"/>
    <w:rsid w:val="00372CEE"/>
    <w:rsid w:val="003736CA"/>
    <w:rsid w:val="00380996"/>
    <w:rsid w:val="00380E63"/>
    <w:rsid w:val="003842AD"/>
    <w:rsid w:val="00385111"/>
    <w:rsid w:val="0038650D"/>
    <w:rsid w:val="003874C4"/>
    <w:rsid w:val="003933E3"/>
    <w:rsid w:val="00397610"/>
    <w:rsid w:val="003A3C3D"/>
    <w:rsid w:val="003A58FB"/>
    <w:rsid w:val="003B6CDA"/>
    <w:rsid w:val="003B7129"/>
    <w:rsid w:val="003C058F"/>
    <w:rsid w:val="003C4770"/>
    <w:rsid w:val="003D5EC6"/>
    <w:rsid w:val="003D7D14"/>
    <w:rsid w:val="003E03FD"/>
    <w:rsid w:val="003E220E"/>
    <w:rsid w:val="003E5F0A"/>
    <w:rsid w:val="003E601B"/>
    <w:rsid w:val="003F1899"/>
    <w:rsid w:val="003F4225"/>
    <w:rsid w:val="003F5930"/>
    <w:rsid w:val="003F7148"/>
    <w:rsid w:val="00401924"/>
    <w:rsid w:val="0040409F"/>
    <w:rsid w:val="00407304"/>
    <w:rsid w:val="00412660"/>
    <w:rsid w:val="00420B0E"/>
    <w:rsid w:val="0042352F"/>
    <w:rsid w:val="00424A11"/>
    <w:rsid w:val="004271C4"/>
    <w:rsid w:val="00431580"/>
    <w:rsid w:val="00433D9A"/>
    <w:rsid w:val="00434763"/>
    <w:rsid w:val="00437516"/>
    <w:rsid w:val="0043795E"/>
    <w:rsid w:val="00437B8A"/>
    <w:rsid w:val="00446326"/>
    <w:rsid w:val="00446AD9"/>
    <w:rsid w:val="00450064"/>
    <w:rsid w:val="00450B8B"/>
    <w:rsid w:val="00452677"/>
    <w:rsid w:val="00453067"/>
    <w:rsid w:val="00455EB0"/>
    <w:rsid w:val="00460C04"/>
    <w:rsid w:val="00460CE7"/>
    <w:rsid w:val="004678F7"/>
    <w:rsid w:val="00471BA0"/>
    <w:rsid w:val="004739AB"/>
    <w:rsid w:val="004748BB"/>
    <w:rsid w:val="0047502A"/>
    <w:rsid w:val="00475250"/>
    <w:rsid w:val="00480113"/>
    <w:rsid w:val="004808CE"/>
    <w:rsid w:val="004926A0"/>
    <w:rsid w:val="00496FBD"/>
    <w:rsid w:val="004A155C"/>
    <w:rsid w:val="004A373A"/>
    <w:rsid w:val="004A72F7"/>
    <w:rsid w:val="004A7FE7"/>
    <w:rsid w:val="004B5078"/>
    <w:rsid w:val="004B57B7"/>
    <w:rsid w:val="004B5C97"/>
    <w:rsid w:val="004B60A0"/>
    <w:rsid w:val="004B6981"/>
    <w:rsid w:val="004B6E77"/>
    <w:rsid w:val="004B7389"/>
    <w:rsid w:val="004B7F4C"/>
    <w:rsid w:val="004C50C1"/>
    <w:rsid w:val="004D0E6F"/>
    <w:rsid w:val="004D25BF"/>
    <w:rsid w:val="004E1527"/>
    <w:rsid w:val="004E27E7"/>
    <w:rsid w:val="004E4B13"/>
    <w:rsid w:val="004E5FD5"/>
    <w:rsid w:val="004E6A2C"/>
    <w:rsid w:val="004F1E41"/>
    <w:rsid w:val="004F676C"/>
    <w:rsid w:val="00500040"/>
    <w:rsid w:val="00500CC2"/>
    <w:rsid w:val="00500D95"/>
    <w:rsid w:val="005012EB"/>
    <w:rsid w:val="00503B1D"/>
    <w:rsid w:val="0050432B"/>
    <w:rsid w:val="0051157A"/>
    <w:rsid w:val="005151F2"/>
    <w:rsid w:val="0051691A"/>
    <w:rsid w:val="00517AD6"/>
    <w:rsid w:val="00521DFC"/>
    <w:rsid w:val="0052329F"/>
    <w:rsid w:val="00524CFE"/>
    <w:rsid w:val="00526870"/>
    <w:rsid w:val="0053026D"/>
    <w:rsid w:val="00530EB4"/>
    <w:rsid w:val="0053127F"/>
    <w:rsid w:val="00540464"/>
    <w:rsid w:val="0054114C"/>
    <w:rsid w:val="00542BBA"/>
    <w:rsid w:val="0054598B"/>
    <w:rsid w:val="00547048"/>
    <w:rsid w:val="00553C90"/>
    <w:rsid w:val="005547C0"/>
    <w:rsid w:val="00556E98"/>
    <w:rsid w:val="00560641"/>
    <w:rsid w:val="00562C85"/>
    <w:rsid w:val="00566902"/>
    <w:rsid w:val="00566B9B"/>
    <w:rsid w:val="005702EF"/>
    <w:rsid w:val="00571A29"/>
    <w:rsid w:val="00577F96"/>
    <w:rsid w:val="00582A9F"/>
    <w:rsid w:val="00582E77"/>
    <w:rsid w:val="00583973"/>
    <w:rsid w:val="00586816"/>
    <w:rsid w:val="00587A3F"/>
    <w:rsid w:val="00591D01"/>
    <w:rsid w:val="00591E11"/>
    <w:rsid w:val="00592802"/>
    <w:rsid w:val="00593823"/>
    <w:rsid w:val="00596F95"/>
    <w:rsid w:val="0059771A"/>
    <w:rsid w:val="00597BEC"/>
    <w:rsid w:val="005A0E57"/>
    <w:rsid w:val="005A0EDA"/>
    <w:rsid w:val="005A1170"/>
    <w:rsid w:val="005B1D2E"/>
    <w:rsid w:val="005B2996"/>
    <w:rsid w:val="005B2BC9"/>
    <w:rsid w:val="005B4268"/>
    <w:rsid w:val="005B6133"/>
    <w:rsid w:val="005C6269"/>
    <w:rsid w:val="005C7492"/>
    <w:rsid w:val="005C7C89"/>
    <w:rsid w:val="005C7CF0"/>
    <w:rsid w:val="005D1039"/>
    <w:rsid w:val="005D3548"/>
    <w:rsid w:val="005D3DB8"/>
    <w:rsid w:val="005D6126"/>
    <w:rsid w:val="005E2857"/>
    <w:rsid w:val="005E4041"/>
    <w:rsid w:val="005E458C"/>
    <w:rsid w:val="005E4E8A"/>
    <w:rsid w:val="005F2662"/>
    <w:rsid w:val="005F34B1"/>
    <w:rsid w:val="005F7533"/>
    <w:rsid w:val="00601AD6"/>
    <w:rsid w:val="00603033"/>
    <w:rsid w:val="00611D50"/>
    <w:rsid w:val="00611F6A"/>
    <w:rsid w:val="0061410C"/>
    <w:rsid w:val="006215F6"/>
    <w:rsid w:val="00625C08"/>
    <w:rsid w:val="00626FCE"/>
    <w:rsid w:val="0063113E"/>
    <w:rsid w:val="00631C87"/>
    <w:rsid w:val="00635668"/>
    <w:rsid w:val="00635D94"/>
    <w:rsid w:val="00637DCE"/>
    <w:rsid w:val="00641682"/>
    <w:rsid w:val="0064223D"/>
    <w:rsid w:val="00643201"/>
    <w:rsid w:val="00646508"/>
    <w:rsid w:val="00657B65"/>
    <w:rsid w:val="00661A15"/>
    <w:rsid w:val="0066387B"/>
    <w:rsid w:val="0067046C"/>
    <w:rsid w:val="006715EA"/>
    <w:rsid w:val="00674B9A"/>
    <w:rsid w:val="00675218"/>
    <w:rsid w:val="006764BC"/>
    <w:rsid w:val="00677631"/>
    <w:rsid w:val="00683383"/>
    <w:rsid w:val="00683676"/>
    <w:rsid w:val="00683865"/>
    <w:rsid w:val="00686679"/>
    <w:rsid w:val="00695789"/>
    <w:rsid w:val="006964E4"/>
    <w:rsid w:val="006A035B"/>
    <w:rsid w:val="006A214F"/>
    <w:rsid w:val="006A2224"/>
    <w:rsid w:val="006A6F49"/>
    <w:rsid w:val="006B39C5"/>
    <w:rsid w:val="006B7289"/>
    <w:rsid w:val="006B73EC"/>
    <w:rsid w:val="006C088F"/>
    <w:rsid w:val="006C1016"/>
    <w:rsid w:val="006C3072"/>
    <w:rsid w:val="006C3809"/>
    <w:rsid w:val="006C38FF"/>
    <w:rsid w:val="006C447C"/>
    <w:rsid w:val="006C461A"/>
    <w:rsid w:val="006D1442"/>
    <w:rsid w:val="006D75DF"/>
    <w:rsid w:val="006E1669"/>
    <w:rsid w:val="006E181F"/>
    <w:rsid w:val="006E3068"/>
    <w:rsid w:val="006E6EED"/>
    <w:rsid w:val="006F1F47"/>
    <w:rsid w:val="006F528C"/>
    <w:rsid w:val="006F5A23"/>
    <w:rsid w:val="006F7630"/>
    <w:rsid w:val="00701CE3"/>
    <w:rsid w:val="00702A47"/>
    <w:rsid w:val="007045C5"/>
    <w:rsid w:val="00710DA3"/>
    <w:rsid w:val="00714B79"/>
    <w:rsid w:val="00715E2B"/>
    <w:rsid w:val="00716793"/>
    <w:rsid w:val="007263CD"/>
    <w:rsid w:val="00726DB5"/>
    <w:rsid w:val="007376AD"/>
    <w:rsid w:val="00737B53"/>
    <w:rsid w:val="00737FCE"/>
    <w:rsid w:val="007411ED"/>
    <w:rsid w:val="00741A63"/>
    <w:rsid w:val="0074227E"/>
    <w:rsid w:val="00742E4C"/>
    <w:rsid w:val="007450C1"/>
    <w:rsid w:val="00746762"/>
    <w:rsid w:val="00747BE3"/>
    <w:rsid w:val="00750336"/>
    <w:rsid w:val="00752D29"/>
    <w:rsid w:val="007542A3"/>
    <w:rsid w:val="00755BFB"/>
    <w:rsid w:val="0075699F"/>
    <w:rsid w:val="00761944"/>
    <w:rsid w:val="00762947"/>
    <w:rsid w:val="00763BBD"/>
    <w:rsid w:val="00763C5A"/>
    <w:rsid w:val="00764B17"/>
    <w:rsid w:val="00767DDD"/>
    <w:rsid w:val="0077340E"/>
    <w:rsid w:val="0077385A"/>
    <w:rsid w:val="0077574B"/>
    <w:rsid w:val="00776B10"/>
    <w:rsid w:val="00777399"/>
    <w:rsid w:val="00781B23"/>
    <w:rsid w:val="007821A3"/>
    <w:rsid w:val="00783591"/>
    <w:rsid w:val="00784A7C"/>
    <w:rsid w:val="00797BC7"/>
    <w:rsid w:val="00797DB5"/>
    <w:rsid w:val="007A2936"/>
    <w:rsid w:val="007A30B0"/>
    <w:rsid w:val="007A59C4"/>
    <w:rsid w:val="007B3561"/>
    <w:rsid w:val="007B5009"/>
    <w:rsid w:val="007B6334"/>
    <w:rsid w:val="007B73F3"/>
    <w:rsid w:val="007C00BC"/>
    <w:rsid w:val="007C0C99"/>
    <w:rsid w:val="007C2CDF"/>
    <w:rsid w:val="007C4205"/>
    <w:rsid w:val="007D26B3"/>
    <w:rsid w:val="007D3E92"/>
    <w:rsid w:val="007D42E9"/>
    <w:rsid w:val="007D623D"/>
    <w:rsid w:val="007D72AC"/>
    <w:rsid w:val="007E6709"/>
    <w:rsid w:val="007E7388"/>
    <w:rsid w:val="007F1425"/>
    <w:rsid w:val="007F240E"/>
    <w:rsid w:val="007F445D"/>
    <w:rsid w:val="007F4535"/>
    <w:rsid w:val="007F671F"/>
    <w:rsid w:val="008120C4"/>
    <w:rsid w:val="00813441"/>
    <w:rsid w:val="00813EA5"/>
    <w:rsid w:val="00814AD6"/>
    <w:rsid w:val="008211EC"/>
    <w:rsid w:val="00823A27"/>
    <w:rsid w:val="00831B87"/>
    <w:rsid w:val="008345B7"/>
    <w:rsid w:val="0084131B"/>
    <w:rsid w:val="008414E2"/>
    <w:rsid w:val="00842BA9"/>
    <w:rsid w:val="0084372C"/>
    <w:rsid w:val="00845CE3"/>
    <w:rsid w:val="008479AE"/>
    <w:rsid w:val="00847EB8"/>
    <w:rsid w:val="00850542"/>
    <w:rsid w:val="0085132A"/>
    <w:rsid w:val="00852072"/>
    <w:rsid w:val="0085569B"/>
    <w:rsid w:val="00862A97"/>
    <w:rsid w:val="00863A62"/>
    <w:rsid w:val="00865042"/>
    <w:rsid w:val="00874BE5"/>
    <w:rsid w:val="00877C38"/>
    <w:rsid w:val="00882B96"/>
    <w:rsid w:val="00883258"/>
    <w:rsid w:val="00884653"/>
    <w:rsid w:val="0088656B"/>
    <w:rsid w:val="00886994"/>
    <w:rsid w:val="00887B02"/>
    <w:rsid w:val="008A2B94"/>
    <w:rsid w:val="008A61F0"/>
    <w:rsid w:val="008A7120"/>
    <w:rsid w:val="008B424E"/>
    <w:rsid w:val="008B540C"/>
    <w:rsid w:val="008C0FD2"/>
    <w:rsid w:val="008C5692"/>
    <w:rsid w:val="008D061C"/>
    <w:rsid w:val="008D33AC"/>
    <w:rsid w:val="008D5AC1"/>
    <w:rsid w:val="008D72DE"/>
    <w:rsid w:val="008E0174"/>
    <w:rsid w:val="008E0A7F"/>
    <w:rsid w:val="008E1E22"/>
    <w:rsid w:val="008E34B9"/>
    <w:rsid w:val="008E364A"/>
    <w:rsid w:val="008E5B74"/>
    <w:rsid w:val="008F0C29"/>
    <w:rsid w:val="008F104E"/>
    <w:rsid w:val="008F2CFB"/>
    <w:rsid w:val="008F5174"/>
    <w:rsid w:val="008F5A63"/>
    <w:rsid w:val="008F728D"/>
    <w:rsid w:val="009038DC"/>
    <w:rsid w:val="00907027"/>
    <w:rsid w:val="00911EC0"/>
    <w:rsid w:val="0091582F"/>
    <w:rsid w:val="00915D24"/>
    <w:rsid w:val="0092109D"/>
    <w:rsid w:val="00924E4C"/>
    <w:rsid w:val="00925CD0"/>
    <w:rsid w:val="009305C9"/>
    <w:rsid w:val="00931D4F"/>
    <w:rsid w:val="0093231B"/>
    <w:rsid w:val="009323C9"/>
    <w:rsid w:val="00934329"/>
    <w:rsid w:val="009357BE"/>
    <w:rsid w:val="009373D0"/>
    <w:rsid w:val="00937777"/>
    <w:rsid w:val="009406D4"/>
    <w:rsid w:val="009422F2"/>
    <w:rsid w:val="009460E9"/>
    <w:rsid w:val="009462C3"/>
    <w:rsid w:val="009505DA"/>
    <w:rsid w:val="00953802"/>
    <w:rsid w:val="009542F5"/>
    <w:rsid w:val="00957E94"/>
    <w:rsid w:val="0096168E"/>
    <w:rsid w:val="00962994"/>
    <w:rsid w:val="009677A9"/>
    <w:rsid w:val="00970BD3"/>
    <w:rsid w:val="00971B6C"/>
    <w:rsid w:val="00971C62"/>
    <w:rsid w:val="0097714E"/>
    <w:rsid w:val="009821D7"/>
    <w:rsid w:val="00984044"/>
    <w:rsid w:val="00985CDE"/>
    <w:rsid w:val="00986A8D"/>
    <w:rsid w:val="00986DD0"/>
    <w:rsid w:val="00992B9F"/>
    <w:rsid w:val="00994FBB"/>
    <w:rsid w:val="00997F0A"/>
    <w:rsid w:val="009A0495"/>
    <w:rsid w:val="009A1170"/>
    <w:rsid w:val="009A28C6"/>
    <w:rsid w:val="009A3F44"/>
    <w:rsid w:val="009A4079"/>
    <w:rsid w:val="009A6EA4"/>
    <w:rsid w:val="009A737C"/>
    <w:rsid w:val="009B66F3"/>
    <w:rsid w:val="009B689D"/>
    <w:rsid w:val="009C123A"/>
    <w:rsid w:val="009C3F98"/>
    <w:rsid w:val="009C56E1"/>
    <w:rsid w:val="009C7B9A"/>
    <w:rsid w:val="009D6E34"/>
    <w:rsid w:val="009E0787"/>
    <w:rsid w:val="009E0D05"/>
    <w:rsid w:val="009E180D"/>
    <w:rsid w:val="009E2699"/>
    <w:rsid w:val="009E38D6"/>
    <w:rsid w:val="009F1030"/>
    <w:rsid w:val="009F2F16"/>
    <w:rsid w:val="009F3306"/>
    <w:rsid w:val="009F6639"/>
    <w:rsid w:val="00A04DA8"/>
    <w:rsid w:val="00A072C7"/>
    <w:rsid w:val="00A12BD8"/>
    <w:rsid w:val="00A13125"/>
    <w:rsid w:val="00A1316C"/>
    <w:rsid w:val="00A1367E"/>
    <w:rsid w:val="00A14304"/>
    <w:rsid w:val="00A24531"/>
    <w:rsid w:val="00A25942"/>
    <w:rsid w:val="00A31030"/>
    <w:rsid w:val="00A32A42"/>
    <w:rsid w:val="00A34D7A"/>
    <w:rsid w:val="00A37F6E"/>
    <w:rsid w:val="00A417E3"/>
    <w:rsid w:val="00A43A1A"/>
    <w:rsid w:val="00A45D61"/>
    <w:rsid w:val="00A46D8B"/>
    <w:rsid w:val="00A47A76"/>
    <w:rsid w:val="00A60BD7"/>
    <w:rsid w:val="00A63631"/>
    <w:rsid w:val="00A7047B"/>
    <w:rsid w:val="00A77254"/>
    <w:rsid w:val="00A77559"/>
    <w:rsid w:val="00A8071D"/>
    <w:rsid w:val="00A80C47"/>
    <w:rsid w:val="00A82B9C"/>
    <w:rsid w:val="00A832AB"/>
    <w:rsid w:val="00A83638"/>
    <w:rsid w:val="00A8443D"/>
    <w:rsid w:val="00A861E5"/>
    <w:rsid w:val="00A86BED"/>
    <w:rsid w:val="00A874C1"/>
    <w:rsid w:val="00A915F3"/>
    <w:rsid w:val="00A946D2"/>
    <w:rsid w:val="00AA2179"/>
    <w:rsid w:val="00AA2EEB"/>
    <w:rsid w:val="00AA4CDC"/>
    <w:rsid w:val="00AB560E"/>
    <w:rsid w:val="00AC3A43"/>
    <w:rsid w:val="00AC474C"/>
    <w:rsid w:val="00AC713E"/>
    <w:rsid w:val="00AD7F5B"/>
    <w:rsid w:val="00AE0F45"/>
    <w:rsid w:val="00AE77B3"/>
    <w:rsid w:val="00AF56EF"/>
    <w:rsid w:val="00AF607A"/>
    <w:rsid w:val="00AF6501"/>
    <w:rsid w:val="00AF6A61"/>
    <w:rsid w:val="00B01C82"/>
    <w:rsid w:val="00B054B1"/>
    <w:rsid w:val="00B12C5E"/>
    <w:rsid w:val="00B1345B"/>
    <w:rsid w:val="00B15E50"/>
    <w:rsid w:val="00B2355A"/>
    <w:rsid w:val="00B275A2"/>
    <w:rsid w:val="00B33192"/>
    <w:rsid w:val="00B3382B"/>
    <w:rsid w:val="00B346EF"/>
    <w:rsid w:val="00B35510"/>
    <w:rsid w:val="00B35834"/>
    <w:rsid w:val="00B4058B"/>
    <w:rsid w:val="00B43932"/>
    <w:rsid w:val="00B51535"/>
    <w:rsid w:val="00B53B17"/>
    <w:rsid w:val="00B53BD9"/>
    <w:rsid w:val="00B56A06"/>
    <w:rsid w:val="00B64035"/>
    <w:rsid w:val="00B72637"/>
    <w:rsid w:val="00B7538F"/>
    <w:rsid w:val="00B80582"/>
    <w:rsid w:val="00B903E2"/>
    <w:rsid w:val="00B91C00"/>
    <w:rsid w:val="00B91CED"/>
    <w:rsid w:val="00B9320B"/>
    <w:rsid w:val="00B94243"/>
    <w:rsid w:val="00B95B25"/>
    <w:rsid w:val="00B97D35"/>
    <w:rsid w:val="00BA2418"/>
    <w:rsid w:val="00BA30EB"/>
    <w:rsid w:val="00BA36AD"/>
    <w:rsid w:val="00BA3D10"/>
    <w:rsid w:val="00BA516D"/>
    <w:rsid w:val="00BA5270"/>
    <w:rsid w:val="00BA634B"/>
    <w:rsid w:val="00BB1672"/>
    <w:rsid w:val="00BB32E5"/>
    <w:rsid w:val="00BB4AE8"/>
    <w:rsid w:val="00BC1691"/>
    <w:rsid w:val="00BC22CA"/>
    <w:rsid w:val="00BC3C1D"/>
    <w:rsid w:val="00BD2870"/>
    <w:rsid w:val="00BD5004"/>
    <w:rsid w:val="00BD770D"/>
    <w:rsid w:val="00BE36AE"/>
    <w:rsid w:val="00BE4980"/>
    <w:rsid w:val="00BE68FE"/>
    <w:rsid w:val="00BF2473"/>
    <w:rsid w:val="00C045B2"/>
    <w:rsid w:val="00C061B8"/>
    <w:rsid w:val="00C063BA"/>
    <w:rsid w:val="00C06D21"/>
    <w:rsid w:val="00C1207D"/>
    <w:rsid w:val="00C128DC"/>
    <w:rsid w:val="00C20DFC"/>
    <w:rsid w:val="00C23522"/>
    <w:rsid w:val="00C246D6"/>
    <w:rsid w:val="00C26B77"/>
    <w:rsid w:val="00C300EE"/>
    <w:rsid w:val="00C3536D"/>
    <w:rsid w:val="00C3656E"/>
    <w:rsid w:val="00C4012B"/>
    <w:rsid w:val="00C426BC"/>
    <w:rsid w:val="00C431B0"/>
    <w:rsid w:val="00C43265"/>
    <w:rsid w:val="00C439CC"/>
    <w:rsid w:val="00C43E61"/>
    <w:rsid w:val="00C44911"/>
    <w:rsid w:val="00C45721"/>
    <w:rsid w:val="00C45D6A"/>
    <w:rsid w:val="00C51BEF"/>
    <w:rsid w:val="00C52CCF"/>
    <w:rsid w:val="00C53489"/>
    <w:rsid w:val="00C556D9"/>
    <w:rsid w:val="00C57E28"/>
    <w:rsid w:val="00C64403"/>
    <w:rsid w:val="00C677AF"/>
    <w:rsid w:val="00C779AC"/>
    <w:rsid w:val="00C80A81"/>
    <w:rsid w:val="00C81BCA"/>
    <w:rsid w:val="00C8230E"/>
    <w:rsid w:val="00C823A6"/>
    <w:rsid w:val="00C82DB4"/>
    <w:rsid w:val="00C84C27"/>
    <w:rsid w:val="00C87D61"/>
    <w:rsid w:val="00C92F94"/>
    <w:rsid w:val="00C94411"/>
    <w:rsid w:val="00CB1B9A"/>
    <w:rsid w:val="00CB37B5"/>
    <w:rsid w:val="00CC1654"/>
    <w:rsid w:val="00CC3D41"/>
    <w:rsid w:val="00CD0AE9"/>
    <w:rsid w:val="00CD30B2"/>
    <w:rsid w:val="00CD39EB"/>
    <w:rsid w:val="00CE0500"/>
    <w:rsid w:val="00CE1809"/>
    <w:rsid w:val="00CE70D4"/>
    <w:rsid w:val="00CE791A"/>
    <w:rsid w:val="00CF2F3E"/>
    <w:rsid w:val="00CF30CD"/>
    <w:rsid w:val="00CF3DFB"/>
    <w:rsid w:val="00CF4455"/>
    <w:rsid w:val="00CF5050"/>
    <w:rsid w:val="00D01389"/>
    <w:rsid w:val="00D025E5"/>
    <w:rsid w:val="00D03838"/>
    <w:rsid w:val="00D06888"/>
    <w:rsid w:val="00D06DDD"/>
    <w:rsid w:val="00D11995"/>
    <w:rsid w:val="00D1274F"/>
    <w:rsid w:val="00D14B8B"/>
    <w:rsid w:val="00D16A4A"/>
    <w:rsid w:val="00D216BD"/>
    <w:rsid w:val="00D22B77"/>
    <w:rsid w:val="00D23144"/>
    <w:rsid w:val="00D2330A"/>
    <w:rsid w:val="00D2591E"/>
    <w:rsid w:val="00D32320"/>
    <w:rsid w:val="00D42AB5"/>
    <w:rsid w:val="00D5271B"/>
    <w:rsid w:val="00D53250"/>
    <w:rsid w:val="00D54CD4"/>
    <w:rsid w:val="00D56041"/>
    <w:rsid w:val="00D56380"/>
    <w:rsid w:val="00D568A2"/>
    <w:rsid w:val="00D62091"/>
    <w:rsid w:val="00D63165"/>
    <w:rsid w:val="00D63179"/>
    <w:rsid w:val="00D63DE2"/>
    <w:rsid w:val="00D656ED"/>
    <w:rsid w:val="00D75B4A"/>
    <w:rsid w:val="00D768C5"/>
    <w:rsid w:val="00D800F5"/>
    <w:rsid w:val="00D81F5C"/>
    <w:rsid w:val="00D833B4"/>
    <w:rsid w:val="00D847E4"/>
    <w:rsid w:val="00D869E3"/>
    <w:rsid w:val="00D92B1F"/>
    <w:rsid w:val="00D94D9D"/>
    <w:rsid w:val="00D954A2"/>
    <w:rsid w:val="00D95639"/>
    <w:rsid w:val="00DA0D6C"/>
    <w:rsid w:val="00DB2FF2"/>
    <w:rsid w:val="00DB658F"/>
    <w:rsid w:val="00DC206C"/>
    <w:rsid w:val="00DD1EEB"/>
    <w:rsid w:val="00DD6DFD"/>
    <w:rsid w:val="00DD78A7"/>
    <w:rsid w:val="00DE4F92"/>
    <w:rsid w:val="00DE6842"/>
    <w:rsid w:val="00DF0BC4"/>
    <w:rsid w:val="00DF117A"/>
    <w:rsid w:val="00DF1D63"/>
    <w:rsid w:val="00DF2057"/>
    <w:rsid w:val="00DF20C7"/>
    <w:rsid w:val="00DF2765"/>
    <w:rsid w:val="00E031F6"/>
    <w:rsid w:val="00E0389A"/>
    <w:rsid w:val="00E04FF8"/>
    <w:rsid w:val="00E15FBE"/>
    <w:rsid w:val="00E16D06"/>
    <w:rsid w:val="00E17D0C"/>
    <w:rsid w:val="00E17D67"/>
    <w:rsid w:val="00E225F9"/>
    <w:rsid w:val="00E25298"/>
    <w:rsid w:val="00E25A9E"/>
    <w:rsid w:val="00E30BDE"/>
    <w:rsid w:val="00E33578"/>
    <w:rsid w:val="00E42E12"/>
    <w:rsid w:val="00E5153E"/>
    <w:rsid w:val="00E55775"/>
    <w:rsid w:val="00E5680E"/>
    <w:rsid w:val="00E6019F"/>
    <w:rsid w:val="00E6279B"/>
    <w:rsid w:val="00E6644B"/>
    <w:rsid w:val="00E66995"/>
    <w:rsid w:val="00E706B6"/>
    <w:rsid w:val="00E70ACF"/>
    <w:rsid w:val="00E73F91"/>
    <w:rsid w:val="00E76226"/>
    <w:rsid w:val="00E76860"/>
    <w:rsid w:val="00E77AC3"/>
    <w:rsid w:val="00E82BB9"/>
    <w:rsid w:val="00E83DD1"/>
    <w:rsid w:val="00E90509"/>
    <w:rsid w:val="00E916A1"/>
    <w:rsid w:val="00E92CBF"/>
    <w:rsid w:val="00E94649"/>
    <w:rsid w:val="00E94F7B"/>
    <w:rsid w:val="00E97CC1"/>
    <w:rsid w:val="00EA094D"/>
    <w:rsid w:val="00EA4C3F"/>
    <w:rsid w:val="00EA7759"/>
    <w:rsid w:val="00EB0362"/>
    <w:rsid w:val="00EB7A34"/>
    <w:rsid w:val="00EC1B19"/>
    <w:rsid w:val="00EC235D"/>
    <w:rsid w:val="00EC36B2"/>
    <w:rsid w:val="00EC507B"/>
    <w:rsid w:val="00EC76C1"/>
    <w:rsid w:val="00EC7ABB"/>
    <w:rsid w:val="00ED0308"/>
    <w:rsid w:val="00ED03C4"/>
    <w:rsid w:val="00ED2E63"/>
    <w:rsid w:val="00ED4957"/>
    <w:rsid w:val="00EE163A"/>
    <w:rsid w:val="00EE2A6E"/>
    <w:rsid w:val="00EE5B2F"/>
    <w:rsid w:val="00EE6CC2"/>
    <w:rsid w:val="00EF0C39"/>
    <w:rsid w:val="00EF1138"/>
    <w:rsid w:val="00EF1F2F"/>
    <w:rsid w:val="00EF5A0C"/>
    <w:rsid w:val="00F040BB"/>
    <w:rsid w:val="00F1114C"/>
    <w:rsid w:val="00F131A5"/>
    <w:rsid w:val="00F15F9A"/>
    <w:rsid w:val="00F16A0E"/>
    <w:rsid w:val="00F17494"/>
    <w:rsid w:val="00F17E47"/>
    <w:rsid w:val="00F20C63"/>
    <w:rsid w:val="00F21385"/>
    <w:rsid w:val="00F226E5"/>
    <w:rsid w:val="00F22AC9"/>
    <w:rsid w:val="00F23820"/>
    <w:rsid w:val="00F25A5A"/>
    <w:rsid w:val="00F26172"/>
    <w:rsid w:val="00F26BEA"/>
    <w:rsid w:val="00F30898"/>
    <w:rsid w:val="00F30913"/>
    <w:rsid w:val="00F31C00"/>
    <w:rsid w:val="00F36F5A"/>
    <w:rsid w:val="00F371AC"/>
    <w:rsid w:val="00F44D11"/>
    <w:rsid w:val="00F45070"/>
    <w:rsid w:val="00F4746F"/>
    <w:rsid w:val="00F529B2"/>
    <w:rsid w:val="00F53188"/>
    <w:rsid w:val="00F565C3"/>
    <w:rsid w:val="00F56F91"/>
    <w:rsid w:val="00F574AC"/>
    <w:rsid w:val="00F63B68"/>
    <w:rsid w:val="00F66E9E"/>
    <w:rsid w:val="00F67066"/>
    <w:rsid w:val="00F71B39"/>
    <w:rsid w:val="00F71CD5"/>
    <w:rsid w:val="00F77AEA"/>
    <w:rsid w:val="00F801E1"/>
    <w:rsid w:val="00F82A64"/>
    <w:rsid w:val="00F84B72"/>
    <w:rsid w:val="00F87083"/>
    <w:rsid w:val="00F87334"/>
    <w:rsid w:val="00F94362"/>
    <w:rsid w:val="00F97EA6"/>
    <w:rsid w:val="00FA3A6D"/>
    <w:rsid w:val="00FA609E"/>
    <w:rsid w:val="00FA6CC3"/>
    <w:rsid w:val="00FB1816"/>
    <w:rsid w:val="00FB1970"/>
    <w:rsid w:val="00FB6DB5"/>
    <w:rsid w:val="00FC00DC"/>
    <w:rsid w:val="00FC035D"/>
    <w:rsid w:val="00FC6F47"/>
    <w:rsid w:val="00FC7096"/>
    <w:rsid w:val="00FC76FA"/>
    <w:rsid w:val="00FD2070"/>
    <w:rsid w:val="00FD435B"/>
    <w:rsid w:val="00FD5A05"/>
    <w:rsid w:val="00FD62A5"/>
    <w:rsid w:val="00FD7592"/>
    <w:rsid w:val="00FE292C"/>
    <w:rsid w:val="00FF1C57"/>
    <w:rsid w:val="00FF28C3"/>
    <w:rsid w:val="00FF49DF"/>
    <w:rsid w:val="00FF4DF7"/>
    <w:rsid w:val="00FF4FAA"/>
    <w:rsid w:val="010591A4"/>
    <w:rsid w:val="018E9B66"/>
    <w:rsid w:val="01FDE85B"/>
    <w:rsid w:val="02532D46"/>
    <w:rsid w:val="0276DC4C"/>
    <w:rsid w:val="0307CB3C"/>
    <w:rsid w:val="031906BE"/>
    <w:rsid w:val="0347790D"/>
    <w:rsid w:val="03C812C6"/>
    <w:rsid w:val="041C7885"/>
    <w:rsid w:val="049986A7"/>
    <w:rsid w:val="04B2BB99"/>
    <w:rsid w:val="05DB04D6"/>
    <w:rsid w:val="0625F3AC"/>
    <w:rsid w:val="06436B37"/>
    <w:rsid w:val="0658E226"/>
    <w:rsid w:val="06BC4225"/>
    <w:rsid w:val="07D660C7"/>
    <w:rsid w:val="0800E9B4"/>
    <w:rsid w:val="08B39C3B"/>
    <w:rsid w:val="08E941AD"/>
    <w:rsid w:val="0929D0A2"/>
    <w:rsid w:val="0930DAB9"/>
    <w:rsid w:val="098F1FB5"/>
    <w:rsid w:val="09A76378"/>
    <w:rsid w:val="0A2FBF57"/>
    <w:rsid w:val="0A32E47C"/>
    <w:rsid w:val="0A4047E5"/>
    <w:rsid w:val="0A54713A"/>
    <w:rsid w:val="0A766C16"/>
    <w:rsid w:val="0B093971"/>
    <w:rsid w:val="0B616269"/>
    <w:rsid w:val="0B8C7EC2"/>
    <w:rsid w:val="0B8F30AF"/>
    <w:rsid w:val="0BAB94DA"/>
    <w:rsid w:val="0BC55CAD"/>
    <w:rsid w:val="0C4F4222"/>
    <w:rsid w:val="0C54D423"/>
    <w:rsid w:val="0C5CFFE7"/>
    <w:rsid w:val="0C6537BE"/>
    <w:rsid w:val="0CB3E749"/>
    <w:rsid w:val="0D45DCCC"/>
    <w:rsid w:val="0D88E017"/>
    <w:rsid w:val="0DC109D9"/>
    <w:rsid w:val="0DD10B47"/>
    <w:rsid w:val="0E333AC8"/>
    <w:rsid w:val="0EECD026"/>
    <w:rsid w:val="0F10D2BE"/>
    <w:rsid w:val="0F5AA1D0"/>
    <w:rsid w:val="0F5BC468"/>
    <w:rsid w:val="0F857D07"/>
    <w:rsid w:val="0F9C907C"/>
    <w:rsid w:val="10386291"/>
    <w:rsid w:val="10C3FC2A"/>
    <w:rsid w:val="11084841"/>
    <w:rsid w:val="1144E8B9"/>
    <w:rsid w:val="119EFCB9"/>
    <w:rsid w:val="11B2DFE0"/>
    <w:rsid w:val="1221F17C"/>
    <w:rsid w:val="12581892"/>
    <w:rsid w:val="12D57561"/>
    <w:rsid w:val="12DB7532"/>
    <w:rsid w:val="12F309EB"/>
    <w:rsid w:val="12F6CA48"/>
    <w:rsid w:val="134D890A"/>
    <w:rsid w:val="13AB4EB7"/>
    <w:rsid w:val="141D8AB9"/>
    <w:rsid w:val="14856B8D"/>
    <w:rsid w:val="14C34DC0"/>
    <w:rsid w:val="14C74576"/>
    <w:rsid w:val="14EC79AE"/>
    <w:rsid w:val="1538B76B"/>
    <w:rsid w:val="154CF150"/>
    <w:rsid w:val="1595EAC4"/>
    <w:rsid w:val="15F111D3"/>
    <w:rsid w:val="16044388"/>
    <w:rsid w:val="16214F28"/>
    <w:rsid w:val="1638B649"/>
    <w:rsid w:val="168499C3"/>
    <w:rsid w:val="16A294BA"/>
    <w:rsid w:val="16DB047D"/>
    <w:rsid w:val="173F7616"/>
    <w:rsid w:val="17A8B5A1"/>
    <w:rsid w:val="17E08108"/>
    <w:rsid w:val="17F335BF"/>
    <w:rsid w:val="180F3A5C"/>
    <w:rsid w:val="18367054"/>
    <w:rsid w:val="1847B394"/>
    <w:rsid w:val="18AC4C7E"/>
    <w:rsid w:val="19434549"/>
    <w:rsid w:val="1964B88D"/>
    <w:rsid w:val="197CA608"/>
    <w:rsid w:val="1A2BA5CD"/>
    <w:rsid w:val="1A84AA13"/>
    <w:rsid w:val="1B03B300"/>
    <w:rsid w:val="1B1590A0"/>
    <w:rsid w:val="1B300A26"/>
    <w:rsid w:val="1B489B0B"/>
    <w:rsid w:val="1B653FD1"/>
    <w:rsid w:val="1BCD8BA3"/>
    <w:rsid w:val="1BE14127"/>
    <w:rsid w:val="1BFA7504"/>
    <w:rsid w:val="1C01D0D2"/>
    <w:rsid w:val="1C2968E9"/>
    <w:rsid w:val="1CF6EDCD"/>
    <w:rsid w:val="1DB72E37"/>
    <w:rsid w:val="1E0474B2"/>
    <w:rsid w:val="1E2C0CBF"/>
    <w:rsid w:val="1E4BF222"/>
    <w:rsid w:val="1E9A5D93"/>
    <w:rsid w:val="1EC75E7B"/>
    <w:rsid w:val="1ED8A9B5"/>
    <w:rsid w:val="1F118B01"/>
    <w:rsid w:val="1F3CF0CF"/>
    <w:rsid w:val="1F6FB9B5"/>
    <w:rsid w:val="1FAF8ED7"/>
    <w:rsid w:val="1FFC6BFD"/>
    <w:rsid w:val="21A2550F"/>
    <w:rsid w:val="22B57362"/>
    <w:rsid w:val="23534171"/>
    <w:rsid w:val="23A5ABB9"/>
    <w:rsid w:val="23CE800F"/>
    <w:rsid w:val="23D15B76"/>
    <w:rsid w:val="249BBE2B"/>
    <w:rsid w:val="24A2EF13"/>
    <w:rsid w:val="24D930F7"/>
    <w:rsid w:val="25E34BCF"/>
    <w:rsid w:val="2629BF92"/>
    <w:rsid w:val="2642FEB2"/>
    <w:rsid w:val="26BE5807"/>
    <w:rsid w:val="26E2F447"/>
    <w:rsid w:val="279EF5D4"/>
    <w:rsid w:val="27E6D89A"/>
    <w:rsid w:val="27FBA931"/>
    <w:rsid w:val="280D0FEC"/>
    <w:rsid w:val="28192C20"/>
    <w:rsid w:val="283CAEE1"/>
    <w:rsid w:val="287C0026"/>
    <w:rsid w:val="28A5683A"/>
    <w:rsid w:val="28B75264"/>
    <w:rsid w:val="28C5BC6F"/>
    <w:rsid w:val="28D6AF48"/>
    <w:rsid w:val="28F9EECC"/>
    <w:rsid w:val="29B659D4"/>
    <w:rsid w:val="2A0AC1BD"/>
    <w:rsid w:val="2A122C8C"/>
    <w:rsid w:val="2A5B4F8F"/>
    <w:rsid w:val="2A809149"/>
    <w:rsid w:val="2B644F98"/>
    <w:rsid w:val="2BC6B687"/>
    <w:rsid w:val="2BC792B3"/>
    <w:rsid w:val="2BE15A0F"/>
    <w:rsid w:val="2BF36CD8"/>
    <w:rsid w:val="2C169795"/>
    <w:rsid w:val="2C202AD6"/>
    <w:rsid w:val="2C36E99C"/>
    <w:rsid w:val="2C5134CB"/>
    <w:rsid w:val="2C8D2ADF"/>
    <w:rsid w:val="2C9C2AC9"/>
    <w:rsid w:val="2CB5EBC0"/>
    <w:rsid w:val="2D0533B0"/>
    <w:rsid w:val="2D2E3FBB"/>
    <w:rsid w:val="2D43BA9A"/>
    <w:rsid w:val="2D7CECEE"/>
    <w:rsid w:val="2D8B6044"/>
    <w:rsid w:val="2E50565E"/>
    <w:rsid w:val="2E54A806"/>
    <w:rsid w:val="2EFFD964"/>
    <w:rsid w:val="2F0CB0BE"/>
    <w:rsid w:val="2FA8A7A0"/>
    <w:rsid w:val="2FCE90F6"/>
    <w:rsid w:val="2FD3874B"/>
    <w:rsid w:val="303FBE37"/>
    <w:rsid w:val="306F3C72"/>
    <w:rsid w:val="311D1361"/>
    <w:rsid w:val="3194562E"/>
    <w:rsid w:val="31A1D55F"/>
    <w:rsid w:val="31AB25A5"/>
    <w:rsid w:val="3244B13B"/>
    <w:rsid w:val="32623FA3"/>
    <w:rsid w:val="330FC0DA"/>
    <w:rsid w:val="331151C2"/>
    <w:rsid w:val="334496E0"/>
    <w:rsid w:val="33A56EC5"/>
    <w:rsid w:val="33D52462"/>
    <w:rsid w:val="351C3AB5"/>
    <w:rsid w:val="353FC622"/>
    <w:rsid w:val="356CB8D2"/>
    <w:rsid w:val="35A81AC6"/>
    <w:rsid w:val="35D01A25"/>
    <w:rsid w:val="35FBC611"/>
    <w:rsid w:val="365F0420"/>
    <w:rsid w:val="36D23EB7"/>
    <w:rsid w:val="37264737"/>
    <w:rsid w:val="3748A0F3"/>
    <w:rsid w:val="37864052"/>
    <w:rsid w:val="3798943F"/>
    <w:rsid w:val="37B3F1F2"/>
    <w:rsid w:val="37CE8755"/>
    <w:rsid w:val="39193543"/>
    <w:rsid w:val="395E95D6"/>
    <w:rsid w:val="3A4A4B4A"/>
    <w:rsid w:val="3A83CA36"/>
    <w:rsid w:val="3AA634BD"/>
    <w:rsid w:val="3ABEF9D9"/>
    <w:rsid w:val="3AD5757B"/>
    <w:rsid w:val="3B099207"/>
    <w:rsid w:val="3B29789E"/>
    <w:rsid w:val="3B61D51A"/>
    <w:rsid w:val="3B7A39B2"/>
    <w:rsid w:val="3B7DD6DC"/>
    <w:rsid w:val="3B9A7B42"/>
    <w:rsid w:val="3BC92752"/>
    <w:rsid w:val="3BEE401B"/>
    <w:rsid w:val="3BF40126"/>
    <w:rsid w:val="3D441F6D"/>
    <w:rsid w:val="3D484C67"/>
    <w:rsid w:val="3D4950DE"/>
    <w:rsid w:val="3D69D923"/>
    <w:rsid w:val="3E1D7A22"/>
    <w:rsid w:val="3EDB3F2E"/>
    <w:rsid w:val="3EF17B77"/>
    <w:rsid w:val="3F0F8CE7"/>
    <w:rsid w:val="3F6CAF7E"/>
    <w:rsid w:val="3F76AE19"/>
    <w:rsid w:val="3FC8D2A4"/>
    <w:rsid w:val="3FC90B6A"/>
    <w:rsid w:val="3FCE7CFF"/>
    <w:rsid w:val="3FD4C39A"/>
    <w:rsid w:val="40334625"/>
    <w:rsid w:val="404F48CE"/>
    <w:rsid w:val="405F76E3"/>
    <w:rsid w:val="40B9050D"/>
    <w:rsid w:val="40E20AAF"/>
    <w:rsid w:val="41266583"/>
    <w:rsid w:val="412B7DD2"/>
    <w:rsid w:val="418FD4F6"/>
    <w:rsid w:val="42318B4B"/>
    <w:rsid w:val="427EB1E3"/>
    <w:rsid w:val="42B28245"/>
    <w:rsid w:val="42D52BD2"/>
    <w:rsid w:val="42DD6885"/>
    <w:rsid w:val="43095432"/>
    <w:rsid w:val="4309F186"/>
    <w:rsid w:val="434D3F52"/>
    <w:rsid w:val="43A0E251"/>
    <w:rsid w:val="43CB9BD2"/>
    <w:rsid w:val="449B0F25"/>
    <w:rsid w:val="44A612C1"/>
    <w:rsid w:val="45105460"/>
    <w:rsid w:val="45DB8671"/>
    <w:rsid w:val="46378A13"/>
    <w:rsid w:val="465C4D57"/>
    <w:rsid w:val="46E43A21"/>
    <w:rsid w:val="471D0AF1"/>
    <w:rsid w:val="47215EC8"/>
    <w:rsid w:val="47420C65"/>
    <w:rsid w:val="47875474"/>
    <w:rsid w:val="47880998"/>
    <w:rsid w:val="47985955"/>
    <w:rsid w:val="4843BEA2"/>
    <w:rsid w:val="4872EB98"/>
    <w:rsid w:val="489E248D"/>
    <w:rsid w:val="48B49BE9"/>
    <w:rsid w:val="4938CE85"/>
    <w:rsid w:val="49BA641D"/>
    <w:rsid w:val="49D35148"/>
    <w:rsid w:val="4A2F8345"/>
    <w:rsid w:val="4AB799A8"/>
    <w:rsid w:val="4B2A48B2"/>
    <w:rsid w:val="4B570B96"/>
    <w:rsid w:val="4B5CD5BE"/>
    <w:rsid w:val="4BABCA76"/>
    <w:rsid w:val="4BB4D485"/>
    <w:rsid w:val="4BE94DB7"/>
    <w:rsid w:val="4C1A13E3"/>
    <w:rsid w:val="4C3849F4"/>
    <w:rsid w:val="4D4596A8"/>
    <w:rsid w:val="4DEAD493"/>
    <w:rsid w:val="4E2FB887"/>
    <w:rsid w:val="4E40ADA9"/>
    <w:rsid w:val="4E6D31E1"/>
    <w:rsid w:val="4E859A98"/>
    <w:rsid w:val="4E8ABA34"/>
    <w:rsid w:val="4EC9BED5"/>
    <w:rsid w:val="4EEE1791"/>
    <w:rsid w:val="4FEA9158"/>
    <w:rsid w:val="5009EA70"/>
    <w:rsid w:val="5018AEF9"/>
    <w:rsid w:val="50765422"/>
    <w:rsid w:val="5094599B"/>
    <w:rsid w:val="512FB250"/>
    <w:rsid w:val="5144415E"/>
    <w:rsid w:val="515C272B"/>
    <w:rsid w:val="51DC9994"/>
    <w:rsid w:val="51DE209B"/>
    <w:rsid w:val="51FEDD5D"/>
    <w:rsid w:val="52231D20"/>
    <w:rsid w:val="523DB4A4"/>
    <w:rsid w:val="52CCB3E3"/>
    <w:rsid w:val="52E44AD9"/>
    <w:rsid w:val="538F37BC"/>
    <w:rsid w:val="53A686AC"/>
    <w:rsid w:val="53ACBBF6"/>
    <w:rsid w:val="53BE5A6C"/>
    <w:rsid w:val="5470DA6E"/>
    <w:rsid w:val="549DAF2D"/>
    <w:rsid w:val="551A1C5C"/>
    <w:rsid w:val="558A47C6"/>
    <w:rsid w:val="55C6AD05"/>
    <w:rsid w:val="55F5867D"/>
    <w:rsid w:val="5693BF18"/>
    <w:rsid w:val="56E7959C"/>
    <w:rsid w:val="57160394"/>
    <w:rsid w:val="57BC93A3"/>
    <w:rsid w:val="57C83012"/>
    <w:rsid w:val="57E60A4A"/>
    <w:rsid w:val="585BF715"/>
    <w:rsid w:val="585D27AC"/>
    <w:rsid w:val="58878184"/>
    <w:rsid w:val="58C3C32D"/>
    <w:rsid w:val="5936478C"/>
    <w:rsid w:val="5963619E"/>
    <w:rsid w:val="59835310"/>
    <w:rsid w:val="598664F5"/>
    <w:rsid w:val="59CA321D"/>
    <w:rsid w:val="5A22ECC6"/>
    <w:rsid w:val="5A577D7B"/>
    <w:rsid w:val="5A92E078"/>
    <w:rsid w:val="5B0FD6C6"/>
    <w:rsid w:val="5B2A7FA4"/>
    <w:rsid w:val="5BFA57B0"/>
    <w:rsid w:val="5C0A143C"/>
    <w:rsid w:val="5C17212E"/>
    <w:rsid w:val="5C5BA7E3"/>
    <w:rsid w:val="5C73FD5E"/>
    <w:rsid w:val="5DA71DB5"/>
    <w:rsid w:val="5DF5A576"/>
    <w:rsid w:val="5EA36E0A"/>
    <w:rsid w:val="5F07A08E"/>
    <w:rsid w:val="5F647BF8"/>
    <w:rsid w:val="5F93BBC0"/>
    <w:rsid w:val="60A37D46"/>
    <w:rsid w:val="60BD2BE2"/>
    <w:rsid w:val="60CBE5E1"/>
    <w:rsid w:val="60E0BB52"/>
    <w:rsid w:val="60FDC566"/>
    <w:rsid w:val="613BE347"/>
    <w:rsid w:val="614341BF"/>
    <w:rsid w:val="617C9F8B"/>
    <w:rsid w:val="61BDBC41"/>
    <w:rsid w:val="62440611"/>
    <w:rsid w:val="6244DC84"/>
    <w:rsid w:val="6267866B"/>
    <w:rsid w:val="629D5F05"/>
    <w:rsid w:val="629FAAD7"/>
    <w:rsid w:val="62C38976"/>
    <w:rsid w:val="63228E6E"/>
    <w:rsid w:val="63250A94"/>
    <w:rsid w:val="634C1714"/>
    <w:rsid w:val="638A1F0E"/>
    <w:rsid w:val="63A2CF4B"/>
    <w:rsid w:val="6443A20A"/>
    <w:rsid w:val="64B14586"/>
    <w:rsid w:val="64B5E9F3"/>
    <w:rsid w:val="64D16AA1"/>
    <w:rsid w:val="64ED3187"/>
    <w:rsid w:val="65026448"/>
    <w:rsid w:val="65AF8FAE"/>
    <w:rsid w:val="65B6B27E"/>
    <w:rsid w:val="663222E4"/>
    <w:rsid w:val="66476F90"/>
    <w:rsid w:val="669C0076"/>
    <w:rsid w:val="66DA9764"/>
    <w:rsid w:val="66E5CA80"/>
    <w:rsid w:val="6763035D"/>
    <w:rsid w:val="676412AD"/>
    <w:rsid w:val="67AE0951"/>
    <w:rsid w:val="67E232A6"/>
    <w:rsid w:val="68209814"/>
    <w:rsid w:val="6848F133"/>
    <w:rsid w:val="68514F6D"/>
    <w:rsid w:val="689E4F80"/>
    <w:rsid w:val="68C60F88"/>
    <w:rsid w:val="691D1B71"/>
    <w:rsid w:val="69B60E38"/>
    <w:rsid w:val="6A039122"/>
    <w:rsid w:val="6A112000"/>
    <w:rsid w:val="6AAFD99D"/>
    <w:rsid w:val="6B0C8AFB"/>
    <w:rsid w:val="6B9115F9"/>
    <w:rsid w:val="6BC79A2E"/>
    <w:rsid w:val="6BD57A13"/>
    <w:rsid w:val="6C2BC898"/>
    <w:rsid w:val="6C2F4B78"/>
    <w:rsid w:val="6CB53BF8"/>
    <w:rsid w:val="6D57D9FE"/>
    <w:rsid w:val="6DB93ED2"/>
    <w:rsid w:val="6DCFB4E8"/>
    <w:rsid w:val="6EB279AE"/>
    <w:rsid w:val="6EC3BEFA"/>
    <w:rsid w:val="6FD62AC6"/>
    <w:rsid w:val="70BE2BC1"/>
    <w:rsid w:val="70BE50D0"/>
    <w:rsid w:val="70DB48D1"/>
    <w:rsid w:val="70E60FE2"/>
    <w:rsid w:val="71004E07"/>
    <w:rsid w:val="7101E50B"/>
    <w:rsid w:val="710AABB9"/>
    <w:rsid w:val="711B0C6D"/>
    <w:rsid w:val="71A6D2B9"/>
    <w:rsid w:val="71C9F09B"/>
    <w:rsid w:val="7214EF08"/>
    <w:rsid w:val="722BC44D"/>
    <w:rsid w:val="72436B77"/>
    <w:rsid w:val="726E14D4"/>
    <w:rsid w:val="72A624ED"/>
    <w:rsid w:val="72D0A061"/>
    <w:rsid w:val="72DCCDC4"/>
    <w:rsid w:val="72EBAA22"/>
    <w:rsid w:val="72F02A52"/>
    <w:rsid w:val="72F50481"/>
    <w:rsid w:val="73004E4B"/>
    <w:rsid w:val="7347F193"/>
    <w:rsid w:val="73E3F617"/>
    <w:rsid w:val="73FA14D4"/>
    <w:rsid w:val="73FBFF45"/>
    <w:rsid w:val="74A3F0EF"/>
    <w:rsid w:val="74B5D9D9"/>
    <w:rsid w:val="74B891C8"/>
    <w:rsid w:val="74FE98B4"/>
    <w:rsid w:val="752FE30E"/>
    <w:rsid w:val="767B75F6"/>
    <w:rsid w:val="768115E3"/>
    <w:rsid w:val="76BAA55B"/>
    <w:rsid w:val="76CEE532"/>
    <w:rsid w:val="76F5A4BD"/>
    <w:rsid w:val="771F81CF"/>
    <w:rsid w:val="7727F11D"/>
    <w:rsid w:val="7745AE52"/>
    <w:rsid w:val="776C912D"/>
    <w:rsid w:val="77BB2028"/>
    <w:rsid w:val="77CD77FD"/>
    <w:rsid w:val="77D8BBE3"/>
    <w:rsid w:val="78147938"/>
    <w:rsid w:val="7862963A"/>
    <w:rsid w:val="7863BA92"/>
    <w:rsid w:val="78B4E94B"/>
    <w:rsid w:val="795BB602"/>
    <w:rsid w:val="79CD6D0A"/>
    <w:rsid w:val="79FB59F5"/>
    <w:rsid w:val="7ACBFFD2"/>
    <w:rsid w:val="7B301E2B"/>
    <w:rsid w:val="7B73562A"/>
    <w:rsid w:val="7B8EE5DA"/>
    <w:rsid w:val="7BAACA54"/>
    <w:rsid w:val="7C422520"/>
    <w:rsid w:val="7C759143"/>
    <w:rsid w:val="7CB86140"/>
    <w:rsid w:val="7D2E446B"/>
    <w:rsid w:val="7D4AAFB9"/>
    <w:rsid w:val="7D6A026B"/>
    <w:rsid w:val="7DEA2E04"/>
    <w:rsid w:val="7E10F87C"/>
    <w:rsid w:val="7E17E322"/>
    <w:rsid w:val="7E2A3F9A"/>
    <w:rsid w:val="7E631C9A"/>
    <w:rsid w:val="7EE9EEA9"/>
    <w:rsid w:val="7F635818"/>
    <w:rsid w:val="7F6B1436"/>
    <w:rsid w:val="7FE78C6E"/>
  </w:rsids>
  <m:mathPr>
    <m:mathFont m:val="Cambria Math"/>
    <m:brkBin m:val="before"/>
    <m:brkBinSub m:val="--"/>
    <m:smallFrac/>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A5D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ES_tradnl" w:eastAsia="es-E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A6EA4"/>
    <w:rPr>
      <w:lang w:val="es-MX" w:eastAsia="es-MX"/>
    </w:rPr>
  </w:style>
  <w:style w:type="paragraph" w:styleId="Ttulo1">
    <w:name w:val="heading 1"/>
    <w:basedOn w:val="Normal"/>
    <w:next w:val="Textoindependiente"/>
    <w:qFormat/>
    <w:rsid w:val="00747BE3"/>
    <w:pPr>
      <w:keepNext/>
      <w:keepLines/>
      <w:suppressAutoHyphens/>
      <w:spacing w:line="480" w:lineRule="auto"/>
      <w:jc w:val="center"/>
      <w:outlineLvl w:val="0"/>
    </w:pPr>
    <w:rPr>
      <w:rFonts w:cs="Arial"/>
      <w:bCs/>
      <w:szCs w:val="32"/>
      <w:lang w:val="en-US" w:eastAsia="en-US"/>
    </w:rPr>
  </w:style>
  <w:style w:type="paragraph" w:styleId="Ttulo2">
    <w:name w:val="heading 2"/>
    <w:basedOn w:val="Normal"/>
    <w:next w:val="Textoindependiente"/>
    <w:qFormat/>
    <w:rsid w:val="00747BE3"/>
    <w:pPr>
      <w:keepNext/>
      <w:keepLines/>
      <w:suppressAutoHyphens/>
      <w:spacing w:line="480" w:lineRule="auto"/>
      <w:jc w:val="center"/>
      <w:outlineLvl w:val="1"/>
    </w:pPr>
    <w:rPr>
      <w:rFonts w:cs="Arial"/>
      <w:bCs/>
      <w:i/>
      <w:iCs/>
      <w:szCs w:val="28"/>
      <w:lang w:val="en-US" w:eastAsia="en-US"/>
    </w:rPr>
  </w:style>
  <w:style w:type="paragraph" w:styleId="Ttulo3">
    <w:name w:val="heading 3"/>
    <w:basedOn w:val="Normal"/>
    <w:next w:val="Textoindependiente"/>
    <w:qFormat/>
    <w:rsid w:val="00747BE3"/>
    <w:pPr>
      <w:keepNext/>
      <w:keepLines/>
      <w:suppressAutoHyphens/>
      <w:spacing w:line="480" w:lineRule="auto"/>
      <w:outlineLvl w:val="2"/>
    </w:pPr>
    <w:rPr>
      <w:rFonts w:cs="Arial"/>
      <w:bCs/>
      <w:i/>
      <w:szCs w:val="26"/>
      <w:lang w:val="en-US" w:eastAsia="en-US"/>
    </w:rPr>
  </w:style>
  <w:style w:type="paragraph" w:styleId="Ttulo4">
    <w:name w:val="heading 4"/>
    <w:basedOn w:val="Textoindependiente"/>
    <w:next w:val="Textoindependiente"/>
    <w:qFormat/>
    <w:rsid w:val="00250E85"/>
    <w:pPr>
      <w:outlineLvl w:val="3"/>
    </w:pPr>
    <w:rPr>
      <w:b/>
      <w:i/>
      <w:iCs/>
    </w:rPr>
  </w:style>
  <w:style w:type="paragraph" w:styleId="Ttulo5">
    <w:name w:val="heading 5"/>
    <w:basedOn w:val="Normal"/>
    <w:next w:val="Ttulo1"/>
    <w:qFormat/>
    <w:rsid w:val="00747BE3"/>
    <w:pPr>
      <w:keepNext/>
      <w:keepLines/>
      <w:suppressAutoHyphens/>
      <w:spacing w:line="480" w:lineRule="auto"/>
      <w:jc w:val="center"/>
      <w:outlineLvl w:val="4"/>
    </w:pPr>
    <w:rPr>
      <w:bCs/>
      <w:iCs/>
      <w:caps/>
      <w:szCs w:val="26"/>
      <w:lang w:val="en-US" w:eastAsia="en-US"/>
    </w:rPr>
  </w:style>
  <w:style w:type="paragraph" w:styleId="Ttulo9">
    <w:name w:val="heading 9"/>
    <w:basedOn w:val="Normal"/>
    <w:next w:val="Normal"/>
    <w:qFormat/>
    <w:rsid w:val="00747BE3"/>
    <w:pPr>
      <w:keepNext/>
      <w:keepLines/>
      <w:pageBreakBefore/>
      <w:spacing w:line="480" w:lineRule="auto"/>
      <w:jc w:val="center"/>
      <w:outlineLvl w:val="8"/>
    </w:pPr>
    <w:rPr>
      <w:rFonts w:cs="Arial"/>
      <w:caps/>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47BE3"/>
    <w:pPr>
      <w:tabs>
        <w:tab w:val="right" w:pos="8640"/>
        <w:tab w:val="right" w:pos="9360"/>
      </w:tabs>
      <w:suppressAutoHyphens/>
      <w:spacing w:line="480" w:lineRule="auto"/>
    </w:pPr>
    <w:rPr>
      <w:lang w:val="en-US" w:eastAsia="en-US"/>
    </w:rPr>
  </w:style>
  <w:style w:type="character" w:styleId="TecladoHTML">
    <w:name w:val="HTML Keyboard"/>
    <w:rsid w:val="00747BE3"/>
    <w:rPr>
      <w:rFonts w:ascii="Courier New" w:hAnsi="Courier New"/>
      <w:sz w:val="20"/>
      <w:szCs w:val="20"/>
    </w:rPr>
  </w:style>
  <w:style w:type="character" w:styleId="Nmerodepgina">
    <w:name w:val="page number"/>
    <w:basedOn w:val="Fuentedeprrafopredeter"/>
    <w:rsid w:val="00747BE3"/>
  </w:style>
  <w:style w:type="character" w:styleId="Nmerodelnea">
    <w:name w:val="line number"/>
    <w:basedOn w:val="Fuentedeprrafopredeter"/>
    <w:rsid w:val="00781B23"/>
  </w:style>
  <w:style w:type="paragraph" w:styleId="Piedepgina">
    <w:name w:val="footer"/>
    <w:basedOn w:val="Normal"/>
    <w:rsid w:val="00747BE3"/>
    <w:pPr>
      <w:tabs>
        <w:tab w:val="center" w:pos="4320"/>
        <w:tab w:val="right" w:pos="8640"/>
      </w:tabs>
      <w:suppressAutoHyphens/>
      <w:spacing w:line="480" w:lineRule="auto"/>
    </w:pPr>
    <w:rPr>
      <w:lang w:val="en-US" w:eastAsia="en-US"/>
    </w:rPr>
  </w:style>
  <w:style w:type="paragraph" w:styleId="Textoindependiente">
    <w:name w:val="Body Text"/>
    <w:basedOn w:val="Normal"/>
    <w:rsid w:val="00747BE3"/>
    <w:pPr>
      <w:suppressAutoHyphens/>
      <w:spacing w:line="480" w:lineRule="auto"/>
      <w:ind w:firstLine="720"/>
    </w:pPr>
    <w:rPr>
      <w:lang w:val="en-US" w:eastAsia="en-US"/>
    </w:rPr>
  </w:style>
  <w:style w:type="paragraph" w:styleId="Descripcin">
    <w:name w:val="caption"/>
    <w:basedOn w:val="Normal"/>
    <w:next w:val="Normal"/>
    <w:qFormat/>
    <w:rsid w:val="00747BE3"/>
    <w:pPr>
      <w:keepLines/>
      <w:spacing w:line="480" w:lineRule="auto"/>
    </w:pPr>
    <w:rPr>
      <w:bCs/>
      <w:i/>
      <w:szCs w:val="20"/>
      <w:lang w:val="en-US" w:eastAsia="en-US"/>
    </w:rPr>
  </w:style>
  <w:style w:type="paragraph" w:styleId="Ttulo">
    <w:name w:val="Title"/>
    <w:basedOn w:val="Normal"/>
    <w:qFormat/>
    <w:rsid w:val="00747BE3"/>
    <w:pPr>
      <w:suppressAutoHyphens/>
      <w:spacing w:before="3200" w:line="480" w:lineRule="auto"/>
      <w:ind w:left="1440" w:right="1440"/>
      <w:jc w:val="center"/>
      <w:outlineLvl w:val="0"/>
    </w:pPr>
    <w:rPr>
      <w:rFonts w:cs="Arial"/>
      <w:bCs/>
      <w:kern w:val="28"/>
      <w:szCs w:val="32"/>
      <w:lang w:val="en-US" w:eastAsia="en-US"/>
    </w:rPr>
  </w:style>
  <w:style w:type="paragraph" w:customStyle="1" w:styleId="AuthorList">
    <w:name w:val="Author List"/>
    <w:basedOn w:val="Normal"/>
    <w:rsid w:val="00747BE3"/>
    <w:pPr>
      <w:keepLines/>
      <w:suppressAutoHyphens/>
      <w:spacing w:line="480" w:lineRule="auto"/>
      <w:jc w:val="center"/>
    </w:pPr>
    <w:rPr>
      <w:lang w:val="en-US" w:eastAsia="en-US"/>
    </w:rPr>
  </w:style>
  <w:style w:type="paragraph" w:customStyle="1" w:styleId="AbstractText">
    <w:name w:val="Abstract Text"/>
    <w:basedOn w:val="Normal"/>
    <w:rsid w:val="00747BE3"/>
    <w:pPr>
      <w:suppressAutoHyphens/>
      <w:spacing w:line="480" w:lineRule="auto"/>
    </w:pPr>
    <w:rPr>
      <w:lang w:val="en-US" w:eastAsia="en-US"/>
    </w:rPr>
  </w:style>
  <w:style w:type="paragraph" w:customStyle="1" w:styleId="TableHeading">
    <w:name w:val="Table Heading"/>
    <w:basedOn w:val="Normal"/>
    <w:next w:val="Normal"/>
    <w:rsid w:val="00747BE3"/>
    <w:pPr>
      <w:keepNext/>
      <w:keepLines/>
      <w:suppressAutoHyphens/>
      <w:spacing w:line="480" w:lineRule="auto"/>
    </w:pPr>
    <w:rPr>
      <w:i/>
      <w:lang w:val="en-US" w:eastAsia="en-US"/>
    </w:rPr>
  </w:style>
  <w:style w:type="paragraph" w:customStyle="1" w:styleId="TableNumber">
    <w:name w:val="Table Number"/>
    <w:basedOn w:val="Normal"/>
    <w:next w:val="TableHeading"/>
    <w:rsid w:val="00747BE3"/>
    <w:pPr>
      <w:keepNext/>
      <w:keepLines/>
      <w:suppressAutoHyphens/>
      <w:spacing w:line="480" w:lineRule="auto"/>
    </w:pPr>
    <w:rPr>
      <w:lang w:val="en-US" w:eastAsia="en-US"/>
    </w:rPr>
  </w:style>
  <w:style w:type="paragraph" w:customStyle="1" w:styleId="References">
    <w:name w:val="References"/>
    <w:basedOn w:val="Normal"/>
    <w:rsid w:val="00747BE3"/>
    <w:pPr>
      <w:suppressAutoHyphens/>
      <w:spacing w:line="480" w:lineRule="auto"/>
      <w:ind w:left="720" w:hanging="720"/>
    </w:pPr>
    <w:rPr>
      <w:lang w:val="en-US" w:eastAsia="en-US"/>
    </w:rPr>
  </w:style>
  <w:style w:type="character" w:styleId="Refdecomentario">
    <w:name w:val="annotation reference"/>
    <w:semiHidden/>
    <w:rsid w:val="00747BE3"/>
    <w:rPr>
      <w:sz w:val="16"/>
      <w:szCs w:val="16"/>
    </w:rPr>
  </w:style>
  <w:style w:type="paragraph" w:styleId="Sangradetextoindependiente">
    <w:name w:val="Body Text Indent"/>
    <w:basedOn w:val="Normal"/>
    <w:rsid w:val="00747BE3"/>
    <w:pPr>
      <w:suppressAutoHyphens/>
      <w:spacing w:line="480" w:lineRule="auto"/>
      <w:ind w:left="720"/>
    </w:pPr>
    <w:rPr>
      <w:lang w:val="en-US" w:eastAsia="en-US"/>
    </w:rPr>
  </w:style>
  <w:style w:type="paragraph" w:styleId="Textodebloque">
    <w:name w:val="Block Text"/>
    <w:basedOn w:val="Normal"/>
    <w:rsid w:val="00747BE3"/>
    <w:pPr>
      <w:suppressAutoHyphens/>
      <w:spacing w:line="480" w:lineRule="auto"/>
      <w:ind w:left="720"/>
    </w:pPr>
    <w:rPr>
      <w:lang w:val="en-US" w:eastAsia="en-US"/>
    </w:rPr>
  </w:style>
  <w:style w:type="paragraph" w:styleId="Textocomentario">
    <w:name w:val="annotation text"/>
    <w:basedOn w:val="Normal"/>
    <w:link w:val="TextocomentarioCar"/>
    <w:semiHidden/>
    <w:rsid w:val="00747BE3"/>
    <w:pPr>
      <w:suppressAutoHyphens/>
      <w:spacing w:line="480" w:lineRule="auto"/>
    </w:pPr>
    <w:rPr>
      <w:sz w:val="20"/>
      <w:szCs w:val="20"/>
      <w:lang w:val="en-US" w:eastAsia="en-US"/>
    </w:rPr>
  </w:style>
  <w:style w:type="character" w:styleId="Hipervnculo">
    <w:name w:val="Hyperlink"/>
    <w:basedOn w:val="Fuentedeprrafopredeter"/>
    <w:rsid w:val="0075699F"/>
    <w:rPr>
      <w:color w:val="0000FF" w:themeColor="hyperlink"/>
      <w:u w:val="single"/>
    </w:rPr>
  </w:style>
  <w:style w:type="paragraph" w:styleId="Textodeglobo">
    <w:name w:val="Balloon Text"/>
    <w:basedOn w:val="Normal"/>
    <w:link w:val="TextodegloboCar"/>
    <w:rsid w:val="00F67066"/>
    <w:pPr>
      <w:suppressAutoHyphens/>
    </w:pPr>
    <w:rPr>
      <w:rFonts w:ascii="Lucida Grande" w:hAnsi="Lucida Grande" w:cs="Lucida Grande"/>
      <w:sz w:val="18"/>
      <w:szCs w:val="18"/>
      <w:lang w:val="en-US" w:eastAsia="en-US"/>
    </w:rPr>
  </w:style>
  <w:style w:type="character" w:customStyle="1" w:styleId="TextodegloboCar">
    <w:name w:val="Texto de globo Car"/>
    <w:basedOn w:val="Fuentedeprrafopredeter"/>
    <w:link w:val="Textodeglobo"/>
    <w:rsid w:val="00F67066"/>
    <w:rPr>
      <w:rFonts w:ascii="Lucida Grande" w:hAnsi="Lucida Grande" w:cs="Lucida Grande"/>
      <w:sz w:val="18"/>
      <w:szCs w:val="18"/>
      <w:lang w:val="en-US" w:eastAsia="en-US"/>
    </w:rPr>
  </w:style>
  <w:style w:type="paragraph" w:styleId="Asuntodelcomentario">
    <w:name w:val="annotation subject"/>
    <w:basedOn w:val="Textocomentario"/>
    <w:next w:val="Textocomentario"/>
    <w:link w:val="AsuntodelcomentarioCar"/>
    <w:rsid w:val="00A13125"/>
    <w:pPr>
      <w:spacing w:line="240" w:lineRule="auto"/>
    </w:pPr>
    <w:rPr>
      <w:b/>
      <w:bCs/>
    </w:rPr>
  </w:style>
  <w:style w:type="character" w:customStyle="1" w:styleId="TextocomentarioCar">
    <w:name w:val="Texto comentario Car"/>
    <w:basedOn w:val="Fuentedeprrafopredeter"/>
    <w:link w:val="Textocomentario"/>
    <w:semiHidden/>
    <w:rsid w:val="00A13125"/>
    <w:rPr>
      <w:sz w:val="20"/>
      <w:szCs w:val="20"/>
      <w:lang w:val="en-US" w:eastAsia="en-US"/>
    </w:rPr>
  </w:style>
  <w:style w:type="character" w:customStyle="1" w:styleId="AsuntodelcomentarioCar">
    <w:name w:val="Asunto del comentario Car"/>
    <w:basedOn w:val="TextocomentarioCar"/>
    <w:link w:val="Asuntodelcomentario"/>
    <w:rsid w:val="00A13125"/>
    <w:rPr>
      <w:b/>
      <w:bCs/>
      <w:sz w:val="20"/>
      <w:szCs w:val="20"/>
      <w:lang w:val="en-US" w:eastAsia="en-US"/>
    </w:rPr>
  </w:style>
  <w:style w:type="character" w:customStyle="1" w:styleId="apple-converted-space">
    <w:name w:val="apple-converted-space"/>
    <w:basedOn w:val="Fuentedeprrafopredeter"/>
    <w:rsid w:val="00597BEC"/>
  </w:style>
  <w:style w:type="paragraph" w:styleId="NormalWeb">
    <w:name w:val="Normal (Web)"/>
    <w:basedOn w:val="Normal"/>
    <w:semiHidden/>
    <w:unhideWhenUsed/>
    <w:rsid w:val="00597BEC"/>
    <w:pPr>
      <w:suppressAutoHyphens/>
      <w:spacing w:line="480" w:lineRule="auto"/>
    </w:pPr>
    <w:rPr>
      <w:lang w:val="en-US" w:eastAsia="en-US"/>
    </w:rPr>
  </w:style>
  <w:style w:type="table" w:styleId="Tablaconcuadrcula">
    <w:name w:val="Table Grid"/>
    <w:basedOn w:val="Tablanormal"/>
    <w:uiPriority w:val="59"/>
    <w:rsid w:val="00710DA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n">
    <w:name w:val="Revision"/>
    <w:hidden/>
    <w:semiHidden/>
    <w:rsid w:val="0066387B"/>
    <w:rPr>
      <w:lang w:val="en-US" w:eastAsia="en-US"/>
    </w:rPr>
  </w:style>
  <w:style w:type="paragraph" w:styleId="Prrafodelista">
    <w:name w:val="List Paragraph"/>
    <w:basedOn w:val="Normal"/>
    <w:uiPriority w:val="34"/>
    <w:qFormat/>
    <w:rsid w:val="0014292E"/>
    <w:pPr>
      <w:suppressAutoHyphens/>
      <w:spacing w:line="480" w:lineRule="auto"/>
      <w:ind w:left="720"/>
      <w:contextualSpacing/>
    </w:pPr>
    <w:rPr>
      <w:lang w:val="en-US" w:eastAsia="en-US"/>
    </w:rPr>
  </w:style>
  <w:style w:type="character" w:styleId="Mencinsinresolver">
    <w:name w:val="Unresolved Mention"/>
    <w:basedOn w:val="Fuentedeprrafopredeter"/>
    <w:rsid w:val="000D2E6B"/>
    <w:rPr>
      <w:color w:val="605E5C"/>
      <w:shd w:val="clear" w:color="auto" w:fill="E1DFDD"/>
    </w:rPr>
  </w:style>
  <w:style w:type="character" w:styleId="Mencin">
    <w:name w:val="Mention"/>
    <w:basedOn w:val="Fuentedeprrafopredeter"/>
    <w:uiPriority w:val="99"/>
    <w:unhideWhenUsed/>
    <w:rsid w:val="00C20DF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50511">
      <w:bodyDiv w:val="1"/>
      <w:marLeft w:val="0"/>
      <w:marRight w:val="0"/>
      <w:marTop w:val="0"/>
      <w:marBottom w:val="0"/>
      <w:divBdr>
        <w:top w:val="none" w:sz="0" w:space="0" w:color="auto"/>
        <w:left w:val="none" w:sz="0" w:space="0" w:color="auto"/>
        <w:bottom w:val="none" w:sz="0" w:space="0" w:color="auto"/>
        <w:right w:val="none" w:sz="0" w:space="0" w:color="auto"/>
      </w:divBdr>
    </w:div>
    <w:div w:id="192961258">
      <w:bodyDiv w:val="1"/>
      <w:marLeft w:val="0"/>
      <w:marRight w:val="0"/>
      <w:marTop w:val="0"/>
      <w:marBottom w:val="0"/>
      <w:divBdr>
        <w:top w:val="none" w:sz="0" w:space="0" w:color="auto"/>
        <w:left w:val="none" w:sz="0" w:space="0" w:color="auto"/>
        <w:bottom w:val="none" w:sz="0" w:space="0" w:color="auto"/>
        <w:right w:val="none" w:sz="0" w:space="0" w:color="auto"/>
      </w:divBdr>
    </w:div>
    <w:div w:id="206531896">
      <w:bodyDiv w:val="1"/>
      <w:marLeft w:val="0"/>
      <w:marRight w:val="0"/>
      <w:marTop w:val="0"/>
      <w:marBottom w:val="0"/>
      <w:divBdr>
        <w:top w:val="none" w:sz="0" w:space="0" w:color="auto"/>
        <w:left w:val="none" w:sz="0" w:space="0" w:color="auto"/>
        <w:bottom w:val="none" w:sz="0" w:space="0" w:color="auto"/>
        <w:right w:val="none" w:sz="0" w:space="0" w:color="auto"/>
      </w:divBdr>
    </w:div>
    <w:div w:id="288632766">
      <w:bodyDiv w:val="1"/>
      <w:marLeft w:val="0"/>
      <w:marRight w:val="0"/>
      <w:marTop w:val="0"/>
      <w:marBottom w:val="0"/>
      <w:divBdr>
        <w:top w:val="none" w:sz="0" w:space="0" w:color="auto"/>
        <w:left w:val="none" w:sz="0" w:space="0" w:color="auto"/>
        <w:bottom w:val="none" w:sz="0" w:space="0" w:color="auto"/>
        <w:right w:val="none" w:sz="0" w:space="0" w:color="auto"/>
      </w:divBdr>
      <w:divsChild>
        <w:div w:id="2006126647">
          <w:marLeft w:val="0"/>
          <w:marRight w:val="0"/>
          <w:marTop w:val="0"/>
          <w:marBottom w:val="0"/>
          <w:divBdr>
            <w:top w:val="none" w:sz="0" w:space="0" w:color="auto"/>
            <w:left w:val="none" w:sz="0" w:space="0" w:color="auto"/>
            <w:bottom w:val="none" w:sz="0" w:space="0" w:color="auto"/>
            <w:right w:val="none" w:sz="0" w:space="0" w:color="auto"/>
          </w:divBdr>
        </w:div>
      </w:divsChild>
    </w:div>
    <w:div w:id="347948411">
      <w:bodyDiv w:val="1"/>
      <w:marLeft w:val="0"/>
      <w:marRight w:val="0"/>
      <w:marTop w:val="0"/>
      <w:marBottom w:val="0"/>
      <w:divBdr>
        <w:top w:val="none" w:sz="0" w:space="0" w:color="auto"/>
        <w:left w:val="none" w:sz="0" w:space="0" w:color="auto"/>
        <w:bottom w:val="none" w:sz="0" w:space="0" w:color="auto"/>
        <w:right w:val="none" w:sz="0" w:space="0" w:color="auto"/>
      </w:divBdr>
    </w:div>
    <w:div w:id="406421256">
      <w:bodyDiv w:val="1"/>
      <w:marLeft w:val="0"/>
      <w:marRight w:val="0"/>
      <w:marTop w:val="0"/>
      <w:marBottom w:val="0"/>
      <w:divBdr>
        <w:top w:val="none" w:sz="0" w:space="0" w:color="auto"/>
        <w:left w:val="none" w:sz="0" w:space="0" w:color="auto"/>
        <w:bottom w:val="none" w:sz="0" w:space="0" w:color="auto"/>
        <w:right w:val="none" w:sz="0" w:space="0" w:color="auto"/>
      </w:divBdr>
    </w:div>
    <w:div w:id="435029938">
      <w:bodyDiv w:val="1"/>
      <w:marLeft w:val="0"/>
      <w:marRight w:val="0"/>
      <w:marTop w:val="0"/>
      <w:marBottom w:val="0"/>
      <w:divBdr>
        <w:top w:val="none" w:sz="0" w:space="0" w:color="auto"/>
        <w:left w:val="none" w:sz="0" w:space="0" w:color="auto"/>
        <w:bottom w:val="none" w:sz="0" w:space="0" w:color="auto"/>
        <w:right w:val="none" w:sz="0" w:space="0" w:color="auto"/>
      </w:divBdr>
    </w:div>
    <w:div w:id="764962577">
      <w:bodyDiv w:val="1"/>
      <w:marLeft w:val="0"/>
      <w:marRight w:val="0"/>
      <w:marTop w:val="0"/>
      <w:marBottom w:val="0"/>
      <w:divBdr>
        <w:top w:val="none" w:sz="0" w:space="0" w:color="auto"/>
        <w:left w:val="none" w:sz="0" w:space="0" w:color="auto"/>
        <w:bottom w:val="none" w:sz="0" w:space="0" w:color="auto"/>
        <w:right w:val="none" w:sz="0" w:space="0" w:color="auto"/>
      </w:divBdr>
    </w:div>
    <w:div w:id="780341611">
      <w:bodyDiv w:val="1"/>
      <w:marLeft w:val="0"/>
      <w:marRight w:val="0"/>
      <w:marTop w:val="0"/>
      <w:marBottom w:val="0"/>
      <w:divBdr>
        <w:top w:val="none" w:sz="0" w:space="0" w:color="auto"/>
        <w:left w:val="none" w:sz="0" w:space="0" w:color="auto"/>
        <w:bottom w:val="none" w:sz="0" w:space="0" w:color="auto"/>
        <w:right w:val="none" w:sz="0" w:space="0" w:color="auto"/>
      </w:divBdr>
    </w:div>
    <w:div w:id="939072791">
      <w:bodyDiv w:val="1"/>
      <w:marLeft w:val="0"/>
      <w:marRight w:val="0"/>
      <w:marTop w:val="0"/>
      <w:marBottom w:val="0"/>
      <w:divBdr>
        <w:top w:val="none" w:sz="0" w:space="0" w:color="auto"/>
        <w:left w:val="none" w:sz="0" w:space="0" w:color="auto"/>
        <w:bottom w:val="none" w:sz="0" w:space="0" w:color="auto"/>
        <w:right w:val="none" w:sz="0" w:space="0" w:color="auto"/>
      </w:divBdr>
    </w:div>
    <w:div w:id="992757791">
      <w:bodyDiv w:val="1"/>
      <w:marLeft w:val="0"/>
      <w:marRight w:val="0"/>
      <w:marTop w:val="0"/>
      <w:marBottom w:val="0"/>
      <w:divBdr>
        <w:top w:val="none" w:sz="0" w:space="0" w:color="auto"/>
        <w:left w:val="none" w:sz="0" w:space="0" w:color="auto"/>
        <w:bottom w:val="none" w:sz="0" w:space="0" w:color="auto"/>
        <w:right w:val="none" w:sz="0" w:space="0" w:color="auto"/>
      </w:divBdr>
    </w:div>
    <w:div w:id="1028334529">
      <w:bodyDiv w:val="1"/>
      <w:marLeft w:val="0"/>
      <w:marRight w:val="0"/>
      <w:marTop w:val="0"/>
      <w:marBottom w:val="0"/>
      <w:divBdr>
        <w:top w:val="none" w:sz="0" w:space="0" w:color="auto"/>
        <w:left w:val="none" w:sz="0" w:space="0" w:color="auto"/>
        <w:bottom w:val="none" w:sz="0" w:space="0" w:color="auto"/>
        <w:right w:val="none" w:sz="0" w:space="0" w:color="auto"/>
      </w:divBdr>
    </w:div>
    <w:div w:id="1052073323">
      <w:bodyDiv w:val="1"/>
      <w:marLeft w:val="0"/>
      <w:marRight w:val="0"/>
      <w:marTop w:val="0"/>
      <w:marBottom w:val="0"/>
      <w:divBdr>
        <w:top w:val="none" w:sz="0" w:space="0" w:color="auto"/>
        <w:left w:val="none" w:sz="0" w:space="0" w:color="auto"/>
        <w:bottom w:val="none" w:sz="0" w:space="0" w:color="auto"/>
        <w:right w:val="none" w:sz="0" w:space="0" w:color="auto"/>
      </w:divBdr>
    </w:div>
    <w:div w:id="1337876505">
      <w:bodyDiv w:val="1"/>
      <w:marLeft w:val="0"/>
      <w:marRight w:val="0"/>
      <w:marTop w:val="0"/>
      <w:marBottom w:val="0"/>
      <w:divBdr>
        <w:top w:val="none" w:sz="0" w:space="0" w:color="auto"/>
        <w:left w:val="none" w:sz="0" w:space="0" w:color="auto"/>
        <w:bottom w:val="none" w:sz="0" w:space="0" w:color="auto"/>
        <w:right w:val="none" w:sz="0" w:space="0" w:color="auto"/>
      </w:divBdr>
    </w:div>
    <w:div w:id="1477380776">
      <w:bodyDiv w:val="1"/>
      <w:marLeft w:val="0"/>
      <w:marRight w:val="0"/>
      <w:marTop w:val="0"/>
      <w:marBottom w:val="0"/>
      <w:divBdr>
        <w:top w:val="none" w:sz="0" w:space="0" w:color="auto"/>
        <w:left w:val="none" w:sz="0" w:space="0" w:color="auto"/>
        <w:bottom w:val="none" w:sz="0" w:space="0" w:color="auto"/>
        <w:right w:val="none" w:sz="0" w:space="0" w:color="auto"/>
      </w:divBdr>
    </w:div>
    <w:div w:id="1504399552">
      <w:bodyDiv w:val="1"/>
      <w:marLeft w:val="0"/>
      <w:marRight w:val="0"/>
      <w:marTop w:val="0"/>
      <w:marBottom w:val="0"/>
      <w:divBdr>
        <w:top w:val="none" w:sz="0" w:space="0" w:color="auto"/>
        <w:left w:val="none" w:sz="0" w:space="0" w:color="auto"/>
        <w:bottom w:val="none" w:sz="0" w:space="0" w:color="auto"/>
        <w:right w:val="none" w:sz="0" w:space="0" w:color="auto"/>
      </w:divBdr>
    </w:div>
    <w:div w:id="1507360574">
      <w:bodyDiv w:val="1"/>
      <w:marLeft w:val="0"/>
      <w:marRight w:val="0"/>
      <w:marTop w:val="0"/>
      <w:marBottom w:val="0"/>
      <w:divBdr>
        <w:top w:val="none" w:sz="0" w:space="0" w:color="auto"/>
        <w:left w:val="none" w:sz="0" w:space="0" w:color="auto"/>
        <w:bottom w:val="none" w:sz="0" w:space="0" w:color="auto"/>
        <w:right w:val="none" w:sz="0" w:space="0" w:color="auto"/>
      </w:divBdr>
    </w:div>
    <w:div w:id="1570185736">
      <w:bodyDiv w:val="1"/>
      <w:marLeft w:val="0"/>
      <w:marRight w:val="0"/>
      <w:marTop w:val="0"/>
      <w:marBottom w:val="0"/>
      <w:divBdr>
        <w:top w:val="none" w:sz="0" w:space="0" w:color="auto"/>
        <w:left w:val="none" w:sz="0" w:space="0" w:color="auto"/>
        <w:bottom w:val="none" w:sz="0" w:space="0" w:color="auto"/>
        <w:right w:val="none" w:sz="0" w:space="0" w:color="auto"/>
      </w:divBdr>
    </w:div>
    <w:div w:id="1578202922">
      <w:bodyDiv w:val="1"/>
      <w:marLeft w:val="0"/>
      <w:marRight w:val="0"/>
      <w:marTop w:val="0"/>
      <w:marBottom w:val="0"/>
      <w:divBdr>
        <w:top w:val="none" w:sz="0" w:space="0" w:color="auto"/>
        <w:left w:val="none" w:sz="0" w:space="0" w:color="auto"/>
        <w:bottom w:val="none" w:sz="0" w:space="0" w:color="auto"/>
        <w:right w:val="none" w:sz="0" w:space="0" w:color="auto"/>
      </w:divBdr>
    </w:div>
    <w:div w:id="1617448799">
      <w:bodyDiv w:val="1"/>
      <w:marLeft w:val="0"/>
      <w:marRight w:val="0"/>
      <w:marTop w:val="0"/>
      <w:marBottom w:val="0"/>
      <w:divBdr>
        <w:top w:val="none" w:sz="0" w:space="0" w:color="auto"/>
        <w:left w:val="none" w:sz="0" w:space="0" w:color="auto"/>
        <w:bottom w:val="none" w:sz="0" w:space="0" w:color="auto"/>
        <w:right w:val="none" w:sz="0" w:space="0" w:color="auto"/>
      </w:divBdr>
    </w:div>
    <w:div w:id="1656301816">
      <w:bodyDiv w:val="1"/>
      <w:marLeft w:val="0"/>
      <w:marRight w:val="0"/>
      <w:marTop w:val="0"/>
      <w:marBottom w:val="0"/>
      <w:divBdr>
        <w:top w:val="none" w:sz="0" w:space="0" w:color="auto"/>
        <w:left w:val="none" w:sz="0" w:space="0" w:color="auto"/>
        <w:bottom w:val="none" w:sz="0" w:space="0" w:color="auto"/>
        <w:right w:val="none" w:sz="0" w:space="0" w:color="auto"/>
      </w:divBdr>
    </w:div>
    <w:div w:id="1664700644">
      <w:bodyDiv w:val="1"/>
      <w:marLeft w:val="0"/>
      <w:marRight w:val="0"/>
      <w:marTop w:val="0"/>
      <w:marBottom w:val="0"/>
      <w:divBdr>
        <w:top w:val="none" w:sz="0" w:space="0" w:color="auto"/>
        <w:left w:val="none" w:sz="0" w:space="0" w:color="auto"/>
        <w:bottom w:val="none" w:sz="0" w:space="0" w:color="auto"/>
        <w:right w:val="none" w:sz="0" w:space="0" w:color="auto"/>
      </w:divBdr>
    </w:div>
    <w:div w:id="1872449873">
      <w:bodyDiv w:val="1"/>
      <w:marLeft w:val="0"/>
      <w:marRight w:val="0"/>
      <w:marTop w:val="0"/>
      <w:marBottom w:val="0"/>
      <w:divBdr>
        <w:top w:val="none" w:sz="0" w:space="0" w:color="auto"/>
        <w:left w:val="none" w:sz="0" w:space="0" w:color="auto"/>
        <w:bottom w:val="none" w:sz="0" w:space="0" w:color="auto"/>
        <w:right w:val="none" w:sz="0" w:space="0" w:color="auto"/>
      </w:divBdr>
      <w:divsChild>
        <w:div w:id="1289434682">
          <w:marLeft w:val="0"/>
          <w:marRight w:val="0"/>
          <w:marTop w:val="0"/>
          <w:marBottom w:val="0"/>
          <w:divBdr>
            <w:top w:val="none" w:sz="0" w:space="0" w:color="auto"/>
            <w:left w:val="none" w:sz="0" w:space="0" w:color="auto"/>
            <w:bottom w:val="none" w:sz="0" w:space="0" w:color="auto"/>
            <w:right w:val="none" w:sz="0" w:space="0" w:color="auto"/>
          </w:divBdr>
          <w:divsChild>
            <w:div w:id="597376089">
              <w:marLeft w:val="0"/>
              <w:marRight w:val="0"/>
              <w:marTop w:val="0"/>
              <w:marBottom w:val="0"/>
              <w:divBdr>
                <w:top w:val="none" w:sz="0" w:space="0" w:color="auto"/>
                <w:left w:val="none" w:sz="0" w:space="0" w:color="auto"/>
                <w:bottom w:val="none" w:sz="0" w:space="0" w:color="auto"/>
                <w:right w:val="none" w:sz="0" w:space="0" w:color="auto"/>
              </w:divBdr>
              <w:divsChild>
                <w:div w:id="5659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EndNote%20X3:Templates:APA%206th.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winliveudlap-my.sharepoint.com/personal/julioc_penagos_udlap_mx/Documents/Honores%202019/ERN/ERN%20seg.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Hoja1!$G$1</c:f>
              <c:strCache>
                <c:ptCount val="1"/>
                <c:pt idx="0">
                  <c:v>Right</c:v>
                </c:pt>
              </c:strCache>
            </c:strRef>
          </c:tx>
          <c:spPr>
            <a:solidFill>
              <a:schemeClr val="tx1"/>
            </a:solidFill>
            <a:ln>
              <a:solidFill>
                <a:schemeClr val="tx1"/>
              </a:solidFill>
            </a:ln>
            <a:effectLst/>
          </c:spPr>
          <c:invertIfNegative val="0"/>
          <c:cat>
            <c:strRef>
              <c:f>Hoja1!$F$2:$F$5</c:f>
              <c:strCache>
                <c:ptCount val="4"/>
                <c:pt idx="0">
                  <c:v>WOL-IRF</c:v>
                </c:pt>
                <c:pt idx="1">
                  <c:v>WOL-CRF</c:v>
                </c:pt>
                <c:pt idx="2">
                  <c:v>OL-IRF</c:v>
                </c:pt>
                <c:pt idx="3">
                  <c:v>OL-CRF</c:v>
                </c:pt>
              </c:strCache>
            </c:strRef>
          </c:cat>
          <c:val>
            <c:numRef>
              <c:f>Hoja1!$G$2:$G$5</c:f>
              <c:numCache>
                <c:formatCode>0.0</c:formatCode>
                <c:ptCount val="4"/>
                <c:pt idx="0">
                  <c:v>138.6</c:v>
                </c:pt>
                <c:pt idx="1">
                  <c:v>149.833333333333</c:v>
                </c:pt>
                <c:pt idx="2">
                  <c:v>152.857142857143</c:v>
                </c:pt>
                <c:pt idx="3">
                  <c:v>150.125</c:v>
                </c:pt>
              </c:numCache>
            </c:numRef>
          </c:val>
          <c:extLst>
            <c:ext xmlns:c16="http://schemas.microsoft.com/office/drawing/2014/chart" uri="{C3380CC4-5D6E-409C-BE32-E72D297353CC}">
              <c16:uniqueId val="{00000000-EB45-5E44-927D-B3EC59F734FA}"/>
            </c:ext>
          </c:extLst>
        </c:ser>
        <c:ser>
          <c:idx val="1"/>
          <c:order val="1"/>
          <c:tx>
            <c:strRef>
              <c:f>Hoja1!$H$1</c:f>
              <c:strCache>
                <c:ptCount val="1"/>
                <c:pt idx="0">
                  <c:v>Error</c:v>
                </c:pt>
              </c:strCache>
            </c:strRef>
          </c:tx>
          <c:spPr>
            <a:solidFill>
              <a:schemeClr val="bg1"/>
            </a:solidFill>
            <a:ln>
              <a:solidFill>
                <a:schemeClr val="tx1"/>
              </a:solidFill>
            </a:ln>
            <a:effectLst/>
          </c:spPr>
          <c:invertIfNegative val="0"/>
          <c:cat>
            <c:strRef>
              <c:f>Hoja1!$F$2:$F$5</c:f>
              <c:strCache>
                <c:ptCount val="4"/>
                <c:pt idx="0">
                  <c:v>WOL-IRF</c:v>
                </c:pt>
                <c:pt idx="1">
                  <c:v>WOL-CRF</c:v>
                </c:pt>
                <c:pt idx="2">
                  <c:v>OL-IRF</c:v>
                </c:pt>
                <c:pt idx="3">
                  <c:v>OL-CRF</c:v>
                </c:pt>
              </c:strCache>
            </c:strRef>
          </c:cat>
          <c:val>
            <c:numRef>
              <c:f>Hoja1!$H$2:$H$5</c:f>
              <c:numCache>
                <c:formatCode>0.0</c:formatCode>
                <c:ptCount val="4"/>
                <c:pt idx="0">
                  <c:v>15.545454545454501</c:v>
                </c:pt>
                <c:pt idx="1">
                  <c:v>20</c:v>
                </c:pt>
                <c:pt idx="2">
                  <c:v>14.857142857142801</c:v>
                </c:pt>
                <c:pt idx="3">
                  <c:v>15</c:v>
                </c:pt>
              </c:numCache>
            </c:numRef>
          </c:val>
          <c:extLst>
            <c:ext xmlns:c16="http://schemas.microsoft.com/office/drawing/2014/chart" uri="{C3380CC4-5D6E-409C-BE32-E72D297353CC}">
              <c16:uniqueId val="{00000001-EB45-5E44-927D-B3EC59F734FA}"/>
            </c:ext>
          </c:extLst>
        </c:ser>
        <c:dLbls>
          <c:showLegendKey val="0"/>
          <c:showVal val="0"/>
          <c:showCatName val="0"/>
          <c:showSerName val="0"/>
          <c:showPercent val="0"/>
          <c:showBubbleSize val="0"/>
        </c:dLbls>
        <c:gapWidth val="150"/>
        <c:overlap val="100"/>
        <c:axId val="1680417248"/>
        <c:axId val="1680418880"/>
      </c:barChart>
      <c:catAx>
        <c:axId val="168041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80418880"/>
        <c:crosses val="autoZero"/>
        <c:auto val="1"/>
        <c:lblAlgn val="ctr"/>
        <c:lblOffset val="100"/>
        <c:noMultiLvlLbl val="0"/>
      </c:catAx>
      <c:valAx>
        <c:axId val="1680418880"/>
        <c:scaling>
          <c:orientation val="minMax"/>
        </c:scaling>
        <c:delete val="0"/>
        <c:axPos val="l"/>
        <c:numFmt formatCode="0.0" sourceLinked="1"/>
        <c:majorTickMark val="none"/>
        <c:minorTickMark val="none"/>
        <c:tickLblPos val="nextTo"/>
        <c:spPr>
          <a:noFill/>
          <a:ln>
            <a:noFill/>
          </a:ln>
          <a:effectLst>
            <a:softEdge rad="0"/>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8041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0.10148</cdr:x>
      <cdr:y>0.046</cdr:y>
    </cdr:from>
    <cdr:to>
      <cdr:x>0.10148</cdr:x>
      <cdr:y>0.79281</cdr:y>
    </cdr:to>
    <cdr:cxnSp macro="">
      <cdr:nvCxnSpPr>
        <cdr:cNvPr id="3" name="Conector recto 2"/>
        <cdr:cNvCxnSpPr/>
      </cdr:nvCxnSpPr>
      <cdr:spPr>
        <a:xfrm xmlns:a="http://schemas.openxmlformats.org/drawingml/2006/main" flipV="1">
          <a:off x="461577" y="126622"/>
          <a:ext cx="0" cy="2055778"/>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94F36-2E24-D445-8CFA-CAA4412F2FF1}">
  <ds:schemaRefs>
    <ds:schemaRef ds:uri="http://schemas.openxmlformats.org/officeDocument/2006/bibliography"/>
  </ds:schemaRefs>
</ds:datastoreItem>
</file>

<file path=customXml/itemProps2.xml><?xml version="1.0" encoding="utf-8"?>
<ds:datastoreItem xmlns:ds="http://schemas.openxmlformats.org/officeDocument/2006/customXml" ds:itemID="{CD46D445-940D-4B22-9DAC-12BED36632CD}">
  <ds:schemaRefs>
    <ds:schemaRef ds:uri="http://schemas.openxmlformats.org/officeDocument/2006/bibliography"/>
  </ds:schemaRefs>
</ds:datastoreItem>
</file>

<file path=customXml/itemProps3.xml><?xml version="1.0" encoding="utf-8"?>
<ds:datastoreItem xmlns:ds="http://schemas.openxmlformats.org/officeDocument/2006/customXml" ds:itemID="{DEB959BC-897A-6D47-934F-ABE04D1125AE}">
  <ds:schemaRefs>
    <ds:schemaRef ds:uri="http://schemas.openxmlformats.org/officeDocument/2006/bibliography"/>
  </ds:schemaRefs>
</ds:datastoreItem>
</file>

<file path=customXml/itemProps4.xml><?xml version="1.0" encoding="utf-8"?>
<ds:datastoreItem xmlns:ds="http://schemas.openxmlformats.org/officeDocument/2006/customXml" ds:itemID="{683AC38A-A050-D846-AC67-67C603114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Macintosh%20HD:Applications:EndNote%20X3:Templates:APA%206th.dot</Template>
  <TotalTime>4</TotalTime>
  <Pages>14</Pages>
  <Words>5208</Words>
  <Characters>30888</Characters>
  <Application>Microsoft Office Word</Application>
  <DocSecurity>0</DocSecurity>
  <Lines>482</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35964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2019-09-26T16:40:00Z</dcterms:created>
  <dcterms:modified xsi:type="dcterms:W3CDTF">2019-09-26T23:53:00Z</dcterms:modified>
  <cp:category/>
</cp:coreProperties>
</file>