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B8" w:rsidRDefault="009A6E6D" w:rsidP="00364084">
      <w:pPr>
        <w:autoSpaceDE w:val="0"/>
        <w:autoSpaceDN w:val="0"/>
        <w:adjustRightInd w:val="0"/>
        <w:spacing w:line="276" w:lineRule="auto"/>
        <w:rPr>
          <w:b/>
          <w:bCs/>
          <w:sz w:val="28"/>
          <w:szCs w:val="28"/>
        </w:rPr>
      </w:pPr>
      <w:r w:rsidRPr="009A6E6D">
        <w:rPr>
          <w:b/>
          <w:bCs/>
          <w:sz w:val="28"/>
          <w:szCs w:val="28"/>
        </w:rPr>
        <w:t>ASERTIVIDAD</w:t>
      </w:r>
      <w:r w:rsidR="00880AC7">
        <w:rPr>
          <w:b/>
          <w:bCs/>
          <w:sz w:val="28"/>
          <w:szCs w:val="28"/>
        </w:rPr>
        <w:t xml:space="preserve"> Y REACTANCIA PSICOLÓGICA </w:t>
      </w:r>
      <w:r w:rsidR="00CB497B">
        <w:rPr>
          <w:b/>
          <w:bCs/>
          <w:sz w:val="28"/>
          <w:szCs w:val="28"/>
        </w:rPr>
        <w:t xml:space="preserve">COMO MECANISMOS DE AFRONTAMIENTO </w:t>
      </w:r>
      <w:r w:rsidR="00880AC7">
        <w:rPr>
          <w:b/>
          <w:bCs/>
          <w:sz w:val="28"/>
          <w:szCs w:val="28"/>
        </w:rPr>
        <w:t>ANTE LA</w:t>
      </w:r>
      <w:r w:rsidRPr="009A6E6D">
        <w:rPr>
          <w:b/>
          <w:bCs/>
          <w:sz w:val="28"/>
          <w:szCs w:val="28"/>
        </w:rPr>
        <w:t xml:space="preserve"> PERSUASION PUBLICITARIA</w:t>
      </w:r>
      <w:r w:rsidR="00A5155C">
        <w:rPr>
          <w:b/>
          <w:bCs/>
          <w:sz w:val="28"/>
          <w:szCs w:val="28"/>
        </w:rPr>
        <w:t xml:space="preserve"> </w:t>
      </w:r>
    </w:p>
    <w:p w:rsidR="00175B41" w:rsidRDefault="00175B41" w:rsidP="00364084">
      <w:pPr>
        <w:autoSpaceDE w:val="0"/>
        <w:autoSpaceDN w:val="0"/>
        <w:adjustRightInd w:val="0"/>
        <w:spacing w:line="276" w:lineRule="auto"/>
        <w:rPr>
          <w:b/>
          <w:bCs/>
          <w:sz w:val="28"/>
          <w:szCs w:val="28"/>
        </w:rPr>
      </w:pPr>
    </w:p>
    <w:p w:rsidR="00567222" w:rsidRPr="000B2E60" w:rsidRDefault="00567222" w:rsidP="00963905">
      <w:pPr>
        <w:pStyle w:val="HTMLconformatoprevio"/>
        <w:spacing w:line="276" w:lineRule="auto"/>
        <w:rPr>
          <w:rFonts w:ascii="Times New Roman" w:hAnsi="Times New Roman" w:cs="Times New Roman"/>
          <w:b/>
          <w:sz w:val="28"/>
          <w:szCs w:val="28"/>
        </w:rPr>
      </w:pPr>
      <w:r w:rsidRPr="000B2E60">
        <w:rPr>
          <w:rFonts w:ascii="Times New Roman" w:hAnsi="Times New Roman" w:cs="Times New Roman"/>
          <w:b/>
          <w:sz w:val="28"/>
          <w:szCs w:val="28"/>
        </w:rPr>
        <w:t xml:space="preserve">ASERTIVITY AND PSYCHOLOGICAL REACTANCE AS MECHANISMS OF AFRONTATION </w:t>
      </w:r>
      <w:r w:rsidR="000B2E60" w:rsidRPr="000B2E60">
        <w:rPr>
          <w:rFonts w:ascii="Times New Roman" w:hAnsi="Times New Roman" w:cs="Times New Roman"/>
          <w:b/>
          <w:sz w:val="28"/>
          <w:szCs w:val="28"/>
        </w:rPr>
        <w:t>TOWARD A</w:t>
      </w:r>
      <w:r w:rsidRPr="000B2E60">
        <w:rPr>
          <w:rFonts w:ascii="Times New Roman" w:hAnsi="Times New Roman" w:cs="Times New Roman"/>
          <w:b/>
          <w:sz w:val="28"/>
          <w:szCs w:val="28"/>
        </w:rPr>
        <w:t>DVERTISING PERSUASION</w:t>
      </w:r>
    </w:p>
    <w:p w:rsidR="00567222" w:rsidRPr="009A6E6D" w:rsidRDefault="00567222" w:rsidP="00364084">
      <w:pPr>
        <w:autoSpaceDE w:val="0"/>
        <w:autoSpaceDN w:val="0"/>
        <w:adjustRightInd w:val="0"/>
        <w:spacing w:before="120" w:line="276" w:lineRule="auto"/>
        <w:rPr>
          <w:b/>
          <w:bCs/>
          <w:sz w:val="28"/>
          <w:szCs w:val="28"/>
        </w:rPr>
      </w:pPr>
    </w:p>
    <w:p w:rsidR="00E91CC6" w:rsidRDefault="00D71A15" w:rsidP="002F3ED9">
      <w:pPr>
        <w:spacing w:line="360" w:lineRule="auto"/>
        <w:ind w:firstLine="567"/>
        <w:jc w:val="center"/>
        <w:rPr>
          <w:b/>
          <w:bCs/>
        </w:rPr>
      </w:pPr>
      <w:r w:rsidRPr="00D71A15">
        <w:rPr>
          <w:b/>
          <w:bCs/>
        </w:rPr>
        <w:t>R</w:t>
      </w:r>
      <w:r w:rsidR="00A56D80">
        <w:rPr>
          <w:b/>
          <w:bCs/>
        </w:rPr>
        <w:t>ESUMEN</w:t>
      </w:r>
    </w:p>
    <w:p w:rsidR="00D54ADF" w:rsidRDefault="00D54ADF" w:rsidP="002F3ED9">
      <w:pPr>
        <w:spacing w:line="360" w:lineRule="auto"/>
        <w:ind w:firstLine="567"/>
        <w:rPr>
          <w:b/>
          <w:bCs/>
        </w:rPr>
      </w:pPr>
    </w:p>
    <w:p w:rsidR="00E91CC6" w:rsidRPr="00D71A15" w:rsidRDefault="002A6C43" w:rsidP="00B113CB">
      <w:pPr>
        <w:ind w:firstLine="567"/>
      </w:pPr>
      <w:r>
        <w:t xml:space="preserve">Dada la importancia de analizar los impactos de la persuasión publicitaria, el objetivo general de este estudio </w:t>
      </w:r>
      <w:r w:rsidR="005319DF">
        <w:t xml:space="preserve">es </w:t>
      </w:r>
      <w:r>
        <w:t xml:space="preserve">estudiar la relación entre la asertividad y los mecanismos de resistencia ante la persuasión publicitaria. Para ello, han participado en este estudio 403 </w:t>
      </w:r>
      <w:r w:rsidR="004A1138">
        <w:t xml:space="preserve">participantes </w:t>
      </w:r>
      <w:r>
        <w:t xml:space="preserve">con edades comprendidas entre los 18 y los 70 </w:t>
      </w:r>
      <w:r w:rsidR="009A6E6D">
        <w:t xml:space="preserve"> años (X </w:t>
      </w:r>
      <w:r w:rsidR="00924B0D" w:rsidRPr="00CB5A2E">
        <w:t xml:space="preserve">= 22.87; </w:t>
      </w:r>
      <w:r w:rsidR="006518DF">
        <w:t>DT</w:t>
      </w:r>
      <w:r w:rsidR="00AE7D88">
        <w:t xml:space="preserve"> </w:t>
      </w:r>
      <w:r w:rsidR="00924B0D" w:rsidRPr="00CB5A2E">
        <w:t>= 15.3</w:t>
      </w:r>
      <w:r>
        <w:t>). Se ha comprobado que e</w:t>
      </w:r>
      <w:r w:rsidR="003500A0">
        <w:t xml:space="preserve">l grupo adulto </w:t>
      </w:r>
      <w:r w:rsidR="002F3ED9">
        <w:t xml:space="preserve">joven </w:t>
      </w:r>
      <w:r w:rsidR="003500A0">
        <w:t xml:space="preserve">obtuvo las puntuaciones más altas en asertividad y en reactancia psicológica. En cuanto al género, las mujeres presentaron más conductas asertivas y los hombres mayor reactancia psicológica. Los resultados del estudio muestran que </w:t>
      </w:r>
      <w:r w:rsidR="002F3ED9">
        <w:t>el nivel de estudios resultó ser una variable estadísticamente no significativa y que la situación laboral solo es estadísticamente significativa para la escala de asertividad. Además se demuestra que Internet es la fuente publicitaria que ejerce mayor influencia publicitaria.</w:t>
      </w:r>
    </w:p>
    <w:p w:rsidR="00E91CC6" w:rsidRPr="00D71A15" w:rsidRDefault="00E91CC6" w:rsidP="00B113CB">
      <w:pPr>
        <w:ind w:firstLine="567"/>
      </w:pPr>
    </w:p>
    <w:p w:rsidR="00E91CC6" w:rsidRDefault="00E91CC6" w:rsidP="00B113CB">
      <w:r w:rsidRPr="00A56D80">
        <w:rPr>
          <w:b/>
          <w:iCs/>
        </w:rPr>
        <w:t>Palabras clave</w:t>
      </w:r>
      <w:r w:rsidRPr="002A6C43">
        <w:rPr>
          <w:i/>
          <w:iCs/>
        </w:rPr>
        <w:t>:</w:t>
      </w:r>
      <w:r w:rsidRPr="00D71A15">
        <w:t xml:space="preserve"> asertividad, mecanismos de resiste</w:t>
      </w:r>
      <w:r w:rsidR="004A3FCF">
        <w:t>ncia, persuasión publicitaria, I</w:t>
      </w:r>
      <w:r w:rsidRPr="00D71A15">
        <w:t>nternet, inoculación</w:t>
      </w:r>
      <w:r w:rsidR="003500A0">
        <w:t>.</w:t>
      </w:r>
    </w:p>
    <w:p w:rsidR="007173A2" w:rsidRDefault="007173A2" w:rsidP="00B113CB">
      <w:pPr>
        <w:ind w:firstLine="567"/>
        <w:jc w:val="center"/>
        <w:rPr>
          <w:b/>
          <w:bCs/>
          <w:color w:val="000000" w:themeColor="text1"/>
          <w:lang w:val="en-US"/>
        </w:rPr>
      </w:pPr>
    </w:p>
    <w:p w:rsidR="00E91CC6" w:rsidRDefault="002F3ED9" w:rsidP="00B113CB">
      <w:pPr>
        <w:ind w:firstLine="567"/>
        <w:jc w:val="center"/>
        <w:rPr>
          <w:b/>
          <w:bCs/>
          <w:color w:val="000000" w:themeColor="text1"/>
          <w:lang w:val="en-US"/>
        </w:rPr>
      </w:pPr>
      <w:r w:rsidRPr="002A6C43">
        <w:rPr>
          <w:b/>
          <w:bCs/>
          <w:color w:val="000000" w:themeColor="text1"/>
          <w:lang w:val="en-US"/>
        </w:rPr>
        <w:t>A</w:t>
      </w:r>
      <w:r w:rsidR="00A56D80">
        <w:rPr>
          <w:b/>
          <w:bCs/>
          <w:color w:val="000000" w:themeColor="text1"/>
          <w:lang w:val="en-US"/>
        </w:rPr>
        <w:t>BSTRACT</w:t>
      </w:r>
    </w:p>
    <w:p w:rsidR="00364084" w:rsidRPr="002A6C43" w:rsidRDefault="00364084" w:rsidP="00B113CB">
      <w:pPr>
        <w:ind w:firstLine="567"/>
        <w:jc w:val="center"/>
        <w:rPr>
          <w:b/>
          <w:bCs/>
          <w:color w:val="000000" w:themeColor="text1"/>
          <w:lang w:val="en-US"/>
        </w:rPr>
      </w:pPr>
    </w:p>
    <w:p w:rsidR="00924B0D" w:rsidRPr="00BD3642" w:rsidRDefault="002A6C43" w:rsidP="00B113CB">
      <w:pPr>
        <w:ind w:firstLine="567"/>
        <w:rPr>
          <w:lang w:val="en-US"/>
        </w:rPr>
      </w:pPr>
      <w:r>
        <w:rPr>
          <w:lang w:val="en-US"/>
        </w:rPr>
        <w:t>Given the importance of analyzing the impacts of advertising persuas</w:t>
      </w:r>
      <w:r w:rsidR="00924B0D">
        <w:rPr>
          <w:lang w:val="en-US"/>
        </w:rPr>
        <w:t>ion, the general objective of this study has been to study the relationship between assertiveness and mechanisms of resistance to advertising persuasion. To this end, 403 subjects between the ages of 18 and 70 participated in this study (</w:t>
      </w:r>
      <w:r w:rsidR="006413F2">
        <w:rPr>
          <w:lang w:val="en-US"/>
        </w:rPr>
        <w:t xml:space="preserve">X </w:t>
      </w:r>
      <w:r w:rsidR="00924B0D" w:rsidRPr="00924B0D">
        <w:rPr>
          <w:lang w:val="en-US"/>
        </w:rPr>
        <w:t xml:space="preserve">= 22.87; </w:t>
      </w:r>
      <w:r w:rsidR="006518DF">
        <w:rPr>
          <w:lang w:val="en-US"/>
        </w:rPr>
        <w:t xml:space="preserve">DT </w:t>
      </w:r>
      <w:r w:rsidR="00924B0D" w:rsidRPr="00924B0D">
        <w:rPr>
          <w:lang w:val="en-US"/>
        </w:rPr>
        <w:t>= 15.3</w:t>
      </w:r>
      <w:r w:rsidR="00B113CB">
        <w:rPr>
          <w:lang w:val="en-US"/>
        </w:rPr>
        <w:t xml:space="preserve">). </w:t>
      </w:r>
      <w:r w:rsidR="00924B0D">
        <w:rPr>
          <w:lang w:val="en-US"/>
        </w:rPr>
        <w:t xml:space="preserve">It has been proven that the young adult group obtained the highest scores in assertiveness and psychological reactance. In terms of gender, women presented more assertive </w:t>
      </w:r>
      <w:r w:rsidR="00C41EA8">
        <w:rPr>
          <w:lang w:val="en-US"/>
        </w:rPr>
        <w:t>behaviors</w:t>
      </w:r>
      <w:r w:rsidR="00924B0D">
        <w:rPr>
          <w:lang w:val="en-US"/>
        </w:rPr>
        <w:t xml:space="preserve"> and men more psychological reactance. The results of the study show that the level of studies turned out to be a statistically non- significant variable and that the work situation is only statistically significant for the assertiveness scale. It is also shown that the Internet is the most influential advertising source.</w:t>
      </w:r>
    </w:p>
    <w:p w:rsidR="00B113CB" w:rsidRDefault="00B113CB" w:rsidP="00B113CB">
      <w:pPr>
        <w:rPr>
          <w:i/>
          <w:iCs/>
          <w:lang w:val="en-US"/>
        </w:rPr>
      </w:pPr>
    </w:p>
    <w:p w:rsidR="00E91CC6" w:rsidRDefault="001165A8" w:rsidP="00B113CB">
      <w:pPr>
        <w:rPr>
          <w:lang w:val="en-US"/>
        </w:rPr>
      </w:pPr>
      <w:r>
        <w:rPr>
          <w:b/>
          <w:iCs/>
          <w:lang w:val="en-US"/>
        </w:rPr>
        <w:t>Key</w:t>
      </w:r>
      <w:r w:rsidR="00924B0D" w:rsidRPr="00A56D80">
        <w:rPr>
          <w:b/>
          <w:iCs/>
          <w:lang w:val="en-US"/>
        </w:rPr>
        <w:t>words</w:t>
      </w:r>
      <w:r w:rsidR="00924B0D">
        <w:rPr>
          <w:i/>
          <w:iCs/>
          <w:lang w:val="en-US"/>
        </w:rPr>
        <w:t>:</w:t>
      </w:r>
      <w:r w:rsidR="00924B0D">
        <w:rPr>
          <w:lang w:val="en-US"/>
        </w:rPr>
        <w:t xml:space="preserve"> assertiveness, resistance mechanisms, advertising persuasion, Internet, inoculation. </w:t>
      </w:r>
    </w:p>
    <w:p w:rsidR="00B113CB" w:rsidRDefault="00B113CB">
      <w:pPr>
        <w:rPr>
          <w:lang w:val="en-US"/>
        </w:rPr>
      </w:pPr>
      <w:r>
        <w:rPr>
          <w:lang w:val="en-US"/>
        </w:rPr>
        <w:br w:type="page"/>
      </w:r>
    </w:p>
    <w:p w:rsidR="002F3ED9" w:rsidRPr="00B113CB" w:rsidRDefault="002F3ED9" w:rsidP="00B113CB">
      <w:pPr>
        <w:pStyle w:val="Prrafodelista"/>
        <w:numPr>
          <w:ilvl w:val="0"/>
          <w:numId w:val="14"/>
        </w:numPr>
        <w:rPr>
          <w:rFonts w:ascii="Times New Roman" w:hAnsi="Times New Roman" w:cs="Times New Roman"/>
          <w:b/>
          <w:bCs/>
        </w:rPr>
      </w:pPr>
      <w:r w:rsidRPr="00B113CB">
        <w:rPr>
          <w:rFonts w:ascii="Times New Roman" w:hAnsi="Times New Roman" w:cs="Times New Roman"/>
          <w:b/>
          <w:bCs/>
        </w:rPr>
        <w:lastRenderedPageBreak/>
        <w:t>Introducción</w:t>
      </w:r>
      <w:r w:rsidR="00553074" w:rsidRPr="00B113CB">
        <w:rPr>
          <w:rFonts w:ascii="Times New Roman" w:hAnsi="Times New Roman" w:cs="Times New Roman"/>
          <w:b/>
          <w:bCs/>
        </w:rPr>
        <w:t xml:space="preserve"> </w:t>
      </w:r>
    </w:p>
    <w:p w:rsidR="002F3ED9" w:rsidRPr="003E1D0A" w:rsidRDefault="002F3ED9" w:rsidP="00B113CB">
      <w:pPr>
        <w:ind w:hanging="709"/>
        <w:jc w:val="center"/>
        <w:rPr>
          <w:b/>
          <w:bCs/>
        </w:rPr>
      </w:pPr>
    </w:p>
    <w:p w:rsidR="002F3ED9" w:rsidRPr="003E1D0A" w:rsidRDefault="002F3ED9" w:rsidP="00B113CB">
      <w:pPr>
        <w:ind w:firstLine="567"/>
      </w:pPr>
      <w:r w:rsidRPr="003E1D0A">
        <w:t>La publicidad</w:t>
      </w:r>
      <w:r>
        <w:t xml:space="preserve"> </w:t>
      </w:r>
      <w:r w:rsidR="00AE7D88">
        <w:t>ha ido diversificándose</w:t>
      </w:r>
      <w:r w:rsidR="00927F47">
        <w:t xml:space="preserve"> en los últimos años</w:t>
      </w:r>
      <w:r w:rsidR="00AE7D88">
        <w:t>, lo cual est</w:t>
      </w:r>
      <w:r w:rsidR="00927F47">
        <w:t>á</w:t>
      </w:r>
      <w:r w:rsidR="00AE7D88">
        <w:t xml:space="preserve"> relacionado con</w:t>
      </w:r>
      <w:r w:rsidRPr="003E1D0A">
        <w:t xml:space="preserve">  los progresos de Internet y de las nuevas tecnologías</w:t>
      </w:r>
      <w:r w:rsidR="00927F47">
        <w:t xml:space="preserve"> (</w:t>
      </w:r>
      <w:r w:rsidR="00BC36FE">
        <w:t>Perlado, Papí-Gálvez</w:t>
      </w:r>
      <w:r w:rsidR="00617919">
        <w:t xml:space="preserve"> &amp;</w:t>
      </w:r>
      <w:r w:rsidR="00BC36FE">
        <w:t xml:space="preserve"> Bergaz, 2019) en un contexto postmoderno (Hernández, 2019).</w:t>
      </w:r>
      <w:r w:rsidR="006413F2">
        <w:t xml:space="preserve"> R</w:t>
      </w:r>
      <w:r>
        <w:t xml:space="preserve">epresenta </w:t>
      </w:r>
      <w:r w:rsidRPr="003E1D0A">
        <w:t xml:space="preserve">la alternativa más adecuada frente a los medios de publicidad convencionales (televisión, radio, periódicos, etc.) puesto que </w:t>
      </w:r>
      <w:r w:rsidR="00927F47">
        <w:rPr>
          <w:color w:val="000000" w:themeColor="text1"/>
        </w:rPr>
        <w:t xml:space="preserve">permanece casi inalterable ante </w:t>
      </w:r>
      <w:r w:rsidRPr="003E1D0A">
        <w:rPr>
          <w:color w:val="000000" w:themeColor="text1"/>
        </w:rPr>
        <w:t xml:space="preserve">los múltiples y constantes cambios que sufre nuestra sociedad debido a varias razones: el apoyo de los internautas, las características propias del medio y la versatilidad de </w:t>
      </w:r>
      <w:r>
        <w:rPr>
          <w:color w:val="000000" w:themeColor="text1"/>
        </w:rPr>
        <w:t>e</w:t>
      </w:r>
      <w:r w:rsidRPr="003E1D0A">
        <w:rPr>
          <w:color w:val="000000" w:themeColor="text1"/>
        </w:rPr>
        <w:t>ste (Garrido, 2005).</w:t>
      </w:r>
      <w:r>
        <w:rPr>
          <w:color w:val="000000" w:themeColor="text1"/>
        </w:rPr>
        <w:t xml:space="preserve"> </w:t>
      </w:r>
      <w:r w:rsidR="00B113CB">
        <w:rPr>
          <w:color w:val="000000" w:themeColor="text1"/>
        </w:rPr>
        <w:t xml:space="preserve">Potencialmente, llega </w:t>
      </w:r>
      <w:r w:rsidRPr="003E1D0A">
        <w:t xml:space="preserve">a un gran público en tan solo un mensaje, </w:t>
      </w:r>
      <w:r>
        <w:t xml:space="preserve">lo cual </w:t>
      </w:r>
      <w:r w:rsidRPr="003E1D0A">
        <w:t>se debe a que no tiene las limitaciones de los medios convencionales y permite conectarse al usuario</w:t>
      </w:r>
      <w:r>
        <w:t xml:space="preserve"> en cualquier momento</w:t>
      </w:r>
      <w:r w:rsidRPr="003E1D0A">
        <w:t xml:space="preserve"> (Shukla </w:t>
      </w:r>
      <w:r w:rsidR="00617919">
        <w:t>&amp;</w:t>
      </w:r>
      <w:r w:rsidRPr="003E1D0A">
        <w:t xml:space="preserve"> Dwivedi, 2019)</w:t>
      </w:r>
      <w:r>
        <w:t>.</w:t>
      </w:r>
    </w:p>
    <w:p w:rsidR="002F3ED9" w:rsidRDefault="002F3ED9" w:rsidP="00B113CB">
      <w:pPr>
        <w:ind w:firstLine="567"/>
      </w:pPr>
      <w:r w:rsidRPr="003E1D0A">
        <w:t xml:space="preserve">La era de la publicidad en Internet comenzó en octubre de 1994, desde que se difundió el primer </w:t>
      </w:r>
      <w:r w:rsidRPr="003E1D0A">
        <w:rPr>
          <w:i/>
          <w:iCs/>
        </w:rPr>
        <w:t>banner</w:t>
      </w:r>
      <w:r w:rsidRPr="003E1D0A">
        <w:t xml:space="preserve"> (Amstrong, 2001), desde entonces, </w:t>
      </w:r>
      <w:r w:rsidR="00E72096">
        <w:t xml:space="preserve">es concebido como </w:t>
      </w:r>
      <w:r w:rsidRPr="003E1D0A">
        <w:t>el medio publicitario</w:t>
      </w:r>
      <w:r w:rsidR="00E72096">
        <w:t xml:space="preserve"> </w:t>
      </w:r>
      <w:r w:rsidR="00E72096" w:rsidRPr="003E1D0A">
        <w:t>por excelencia</w:t>
      </w:r>
      <w:r w:rsidRPr="003E1D0A">
        <w:t>.  Sin embargo, según Lekarroz (2005), los banners están perdiendo su efectividad y con ella, su productividad en ventas, generando el rechazo hacia los mismos por parte de los internautas.</w:t>
      </w:r>
      <w:r>
        <w:t xml:space="preserve"> </w:t>
      </w:r>
      <w:r w:rsidRPr="003E1D0A">
        <w:t xml:space="preserve">A pesar de esto, la publicidad en </w:t>
      </w:r>
      <w:r w:rsidR="00AE7D88">
        <w:t>I</w:t>
      </w:r>
      <w:r w:rsidRPr="003E1D0A">
        <w:t xml:space="preserve">nternet sigue evolucionando, </w:t>
      </w:r>
      <w:r>
        <w:t xml:space="preserve">de modo que </w:t>
      </w:r>
      <w:r w:rsidRPr="003E1D0A">
        <w:t>se ha confirmado que el internauta intenta evitar en la medida de lo posible la publicidad, por eso la forma más eficaz de inoculación de mensajes es cuando aparecen en forma de texto</w:t>
      </w:r>
      <w:r w:rsidR="00E72096">
        <w:t>. D</w:t>
      </w:r>
      <w:r w:rsidRPr="003E1D0A">
        <w:t xml:space="preserve">ebido a </w:t>
      </w:r>
      <w:r w:rsidR="00E72096">
        <w:t>ello, la</w:t>
      </w:r>
      <w:r w:rsidRPr="003E1D0A">
        <w:t xml:space="preserve"> alternativa a los banners parecen ser los enlaces patrocinados, </w:t>
      </w:r>
      <w:r w:rsidRPr="00FC5DFB">
        <w:t>que en los últimos años han aumentado su presencia en un 195%, llegando a representar, un 31,5% del total de la publicidad en internet (Garrido, 2005).</w:t>
      </w:r>
      <w:r>
        <w:t xml:space="preserve"> Actualmente, según un estudio realizado por Lo</w:t>
      </w:r>
      <w:r w:rsidR="00C41EA8">
        <w:t>pezosa, Codina y Gonzalo-</w:t>
      </w:r>
      <w:r>
        <w:t xml:space="preserve">Penela </w:t>
      </w:r>
      <w:r w:rsidR="00AE7D88">
        <w:t>(</w:t>
      </w:r>
      <w:r>
        <w:t>2018</w:t>
      </w:r>
      <w:r w:rsidR="00AE7D88">
        <w:t>)</w:t>
      </w:r>
      <w:r>
        <w:t xml:space="preserve">, los enlaces patrocinados han aumentado su presencia en las páginas webs puesto que </w:t>
      </w:r>
      <w:r w:rsidRPr="00DD6671">
        <w:t>representan un nuevo modelo de actividad económica</w:t>
      </w:r>
      <w:r>
        <w:t>, y, en consecuencia, el número de medios que se incluyen en los portales ha experimentado un gran aumento.</w:t>
      </w:r>
      <w:r w:rsidR="00E72096">
        <w:t xml:space="preserve"> </w:t>
      </w:r>
      <w:r w:rsidRPr="003E1D0A">
        <w:t xml:space="preserve">Según un estudio de Marcos y González (2010), esto se justifica por medio de la técnica </w:t>
      </w:r>
      <w:r w:rsidR="00CA1C2E">
        <w:rPr>
          <w:i/>
          <w:iCs/>
        </w:rPr>
        <w:t>eye-</w:t>
      </w:r>
      <w:r w:rsidRPr="00122A78">
        <w:rPr>
          <w:i/>
          <w:iCs/>
        </w:rPr>
        <w:t>tracking</w:t>
      </w:r>
      <w:r w:rsidRPr="003E1D0A">
        <w:t>, que consiste en una tecnología que regula el seguimiento ocular y que nos permite saber con exactitud los movimientos oculares del internauta cuando navega por la red. Aplicando esta técnica demostraron que la mayor duración de las fijaciones visuales era sobre los enlaces patrocinados, lo que demuestra su superioridad frente a los banners.</w:t>
      </w:r>
    </w:p>
    <w:p w:rsidR="0021126D" w:rsidRPr="003E1D0A" w:rsidRDefault="002F3ED9" w:rsidP="00B113CB">
      <w:pPr>
        <w:ind w:firstLine="567"/>
        <w:rPr>
          <w:color w:val="000000" w:themeColor="text1"/>
        </w:rPr>
      </w:pPr>
      <w:r w:rsidRPr="003E1D0A">
        <w:rPr>
          <w:color w:val="000000" w:themeColor="text1"/>
        </w:rPr>
        <w:t xml:space="preserve">Debido a todos estos cambios en los formatos publicitarios, Solana (2010) </w:t>
      </w:r>
      <w:r>
        <w:rPr>
          <w:color w:val="000000" w:themeColor="text1"/>
        </w:rPr>
        <w:t xml:space="preserve">analiza </w:t>
      </w:r>
      <w:r w:rsidRPr="003E1D0A">
        <w:rPr>
          <w:color w:val="000000" w:themeColor="text1"/>
        </w:rPr>
        <w:t>cómo los cambios en la sociedad y la convivencia de diferentes culturas</w:t>
      </w:r>
      <w:r>
        <w:rPr>
          <w:color w:val="000000" w:themeColor="text1"/>
        </w:rPr>
        <w:t xml:space="preserve"> </w:t>
      </w:r>
      <w:r w:rsidRPr="003E1D0A">
        <w:rPr>
          <w:color w:val="000000" w:themeColor="text1"/>
        </w:rPr>
        <w:t>afectan a la publicidad,</w:t>
      </w:r>
      <w:r>
        <w:rPr>
          <w:color w:val="000000" w:themeColor="text1"/>
        </w:rPr>
        <w:t xml:space="preserve"> de modo que estaríamos en la calificada como </w:t>
      </w:r>
      <w:r w:rsidRPr="00E72096">
        <w:rPr>
          <w:i/>
          <w:color w:val="000000" w:themeColor="text1"/>
        </w:rPr>
        <w:t>era de la post-publicidad</w:t>
      </w:r>
      <w:r>
        <w:rPr>
          <w:color w:val="000000" w:themeColor="text1"/>
        </w:rPr>
        <w:t>, dados los cambios en los procesos de</w:t>
      </w:r>
      <w:r w:rsidRPr="003E1D0A">
        <w:rPr>
          <w:color w:val="000000" w:themeColor="text1"/>
        </w:rPr>
        <w:t xml:space="preserve"> </w:t>
      </w:r>
      <w:r>
        <w:rPr>
          <w:color w:val="000000" w:themeColor="text1"/>
        </w:rPr>
        <w:t xml:space="preserve">interacción, la conversación y el diálogo compartido. </w:t>
      </w:r>
      <w:r w:rsidR="00E72096">
        <w:rPr>
          <w:color w:val="000000" w:themeColor="text1"/>
        </w:rPr>
        <w:t xml:space="preserve">Bajo la denominación de </w:t>
      </w:r>
      <w:r w:rsidRPr="003E1D0A">
        <w:rPr>
          <w:i/>
          <w:iCs/>
          <w:color w:val="000000" w:themeColor="text1"/>
        </w:rPr>
        <w:t>neopublicidad</w:t>
      </w:r>
      <w:r w:rsidRPr="003E1D0A">
        <w:rPr>
          <w:color w:val="000000" w:themeColor="text1"/>
        </w:rPr>
        <w:t xml:space="preserve"> </w:t>
      </w:r>
      <w:r w:rsidR="00E72096">
        <w:rPr>
          <w:color w:val="000000" w:themeColor="text1"/>
        </w:rPr>
        <w:t>se alude a una modalidad en la que se incorpora un</w:t>
      </w:r>
      <w:r w:rsidRPr="003E1D0A">
        <w:rPr>
          <w:color w:val="000000" w:themeColor="text1"/>
        </w:rPr>
        <w:t xml:space="preserve"> proceso conocido como </w:t>
      </w:r>
      <w:r w:rsidRPr="003E1D0A">
        <w:rPr>
          <w:i/>
          <w:iCs/>
          <w:color w:val="000000" w:themeColor="text1"/>
        </w:rPr>
        <w:t>enmascaramiento</w:t>
      </w:r>
      <w:r w:rsidRPr="003E1D0A">
        <w:rPr>
          <w:color w:val="000000" w:themeColor="text1"/>
        </w:rPr>
        <w:t>, que consiste en la facilitación del proceso persuasivo mediante la contra argumentación de mensajes recibidos (Bermejo, 2013).</w:t>
      </w:r>
      <w:r w:rsidR="00507C9A">
        <w:rPr>
          <w:color w:val="000000" w:themeColor="text1"/>
        </w:rPr>
        <w:t xml:space="preserve"> </w:t>
      </w:r>
      <w:r w:rsidRPr="003E1D0A">
        <w:rPr>
          <w:color w:val="000000" w:themeColor="text1"/>
        </w:rPr>
        <w:t>En vista de procesos como el enmascaramiento, la persu</w:t>
      </w:r>
      <w:r w:rsidR="00507C9A">
        <w:rPr>
          <w:color w:val="000000" w:themeColor="text1"/>
        </w:rPr>
        <w:t>asión publicitaria ejercida en I</w:t>
      </w:r>
      <w:r w:rsidRPr="003E1D0A">
        <w:rPr>
          <w:color w:val="000000" w:themeColor="text1"/>
        </w:rPr>
        <w:t>nternet es un grave problema de nuestra sociedad, puesto que</w:t>
      </w:r>
      <w:r>
        <w:rPr>
          <w:color w:val="000000" w:themeColor="text1"/>
        </w:rPr>
        <w:t xml:space="preserve">, según el informe que presentan </w:t>
      </w:r>
      <w:r w:rsidRPr="00175B41">
        <w:rPr>
          <w:i/>
          <w:color w:val="000000" w:themeColor="text1"/>
        </w:rPr>
        <w:t>We Are Social y Hootsuite</w:t>
      </w:r>
      <w:r>
        <w:rPr>
          <w:color w:val="000000" w:themeColor="text1"/>
        </w:rPr>
        <w:t xml:space="preserve"> en 2019,</w:t>
      </w:r>
      <w:r w:rsidRPr="003E1D0A">
        <w:rPr>
          <w:color w:val="000000" w:themeColor="text1"/>
        </w:rPr>
        <w:t xml:space="preserve"> alrededor de un </w:t>
      </w:r>
      <w:r>
        <w:rPr>
          <w:color w:val="000000" w:themeColor="text1"/>
        </w:rPr>
        <w:t>57</w:t>
      </w:r>
      <w:r w:rsidRPr="003E1D0A">
        <w:rPr>
          <w:color w:val="000000" w:themeColor="text1"/>
        </w:rPr>
        <w:t xml:space="preserve">% de la población mundial son internautas, y esto, en gran parte, es debido a la gran acogida que han tenido las redes sociales, lo que provoca un uso más intensivo de tiempo en </w:t>
      </w:r>
      <w:r w:rsidR="00AE7D88">
        <w:rPr>
          <w:color w:val="000000" w:themeColor="text1"/>
        </w:rPr>
        <w:t>I</w:t>
      </w:r>
      <w:r w:rsidRPr="003E1D0A">
        <w:rPr>
          <w:color w:val="000000" w:themeColor="text1"/>
        </w:rPr>
        <w:t>nternet</w:t>
      </w:r>
      <w:r w:rsidRPr="003E1D0A">
        <w:rPr>
          <w:i/>
          <w:iCs/>
          <w:color w:val="000000" w:themeColor="text1"/>
        </w:rPr>
        <w:t xml:space="preserve"> </w:t>
      </w:r>
      <w:r w:rsidRPr="003E1D0A">
        <w:rPr>
          <w:color w:val="000000" w:themeColor="text1"/>
        </w:rPr>
        <w:t xml:space="preserve">(García, López de Ayala </w:t>
      </w:r>
      <w:r w:rsidR="00617919">
        <w:rPr>
          <w:color w:val="000000" w:themeColor="text1"/>
        </w:rPr>
        <w:t>&amp;</w:t>
      </w:r>
      <w:r w:rsidRPr="003E1D0A">
        <w:rPr>
          <w:color w:val="000000" w:themeColor="text1"/>
        </w:rPr>
        <w:t xml:space="preserve"> Catalina, 2013</w:t>
      </w:r>
      <w:r w:rsidR="00507C9A">
        <w:rPr>
          <w:color w:val="000000" w:themeColor="text1"/>
        </w:rPr>
        <w:t>)</w:t>
      </w:r>
      <w:r w:rsidRPr="003E1D0A">
        <w:rPr>
          <w:color w:val="000000" w:themeColor="text1"/>
        </w:rPr>
        <w:t>.</w:t>
      </w:r>
      <w:r w:rsidR="0021126D">
        <w:rPr>
          <w:color w:val="000000" w:themeColor="text1"/>
        </w:rPr>
        <w:t xml:space="preserve"> </w:t>
      </w:r>
      <w:r w:rsidR="00175B41">
        <w:rPr>
          <w:color w:val="000000" w:themeColor="text1"/>
        </w:rPr>
        <w:t>E</w:t>
      </w:r>
      <w:r w:rsidR="0021126D">
        <w:rPr>
          <w:color w:val="000000" w:themeColor="text1"/>
        </w:rPr>
        <w:t>specíficamente, s</w:t>
      </w:r>
      <w:r w:rsidR="0021126D">
        <w:t xml:space="preserve">egún Egido (2018), el 60% de los españoles se queja de un exceso de publicidad en Internet. </w:t>
      </w:r>
    </w:p>
    <w:p w:rsidR="002F3ED9" w:rsidRDefault="002F3ED9" w:rsidP="00B113CB">
      <w:pPr>
        <w:ind w:firstLine="567"/>
        <w:rPr>
          <w:color w:val="000000" w:themeColor="text1"/>
        </w:rPr>
      </w:pPr>
      <w:r w:rsidRPr="003E1D0A">
        <w:rPr>
          <w:color w:val="000000" w:themeColor="text1"/>
        </w:rPr>
        <w:t xml:space="preserve">La persuasión es un proceso intrínseco de todo acto publicitario que tiene como fin convencer a un receptor, en este caso a un internauta, de que una idea es mejor que otra, de que debe de adoptar esa idea como suya, y esto lo hace mediante un proceso de argumentación coherente, racional y creativa. Según un estudio clásico sobre la percepción del intento persuasivo de Petty y Cacioppo (1979), cuando los receptores de un mensaje advierten que dicho mensaje tiene la intención de persuadirlos, </w:t>
      </w:r>
      <w:r>
        <w:rPr>
          <w:color w:val="000000" w:themeColor="text1"/>
        </w:rPr>
        <w:t>e</w:t>
      </w:r>
      <w:r w:rsidRPr="003E1D0A">
        <w:rPr>
          <w:color w:val="000000" w:themeColor="text1"/>
        </w:rPr>
        <w:t>stos tienden a contra-argumentar con mucha intensidad, y como resultado, demuestran una resistencia mucho mayor que aquellos receptores que no perciben que están tratando de persuadirlos.</w:t>
      </w:r>
      <w:r>
        <w:rPr>
          <w:color w:val="000000" w:themeColor="text1"/>
        </w:rPr>
        <w:t xml:space="preserve"> Esta cuestión representa un problema debido al </w:t>
      </w:r>
      <w:r w:rsidRPr="003E1D0A">
        <w:rPr>
          <w:color w:val="000000" w:themeColor="text1"/>
        </w:rPr>
        <w:t>conocido “fenómeno influencer”, por el cual estamos siendo constantemente bombardeados por publicidad sin ni siquiera darnos cuenta, puesto que no siempre diferenciamos con claridad la realidad</w:t>
      </w:r>
      <w:r w:rsidR="00617919">
        <w:rPr>
          <w:color w:val="000000" w:themeColor="text1"/>
        </w:rPr>
        <w:t xml:space="preserve"> del mundo virtual (Santamaría &amp;</w:t>
      </w:r>
      <w:r w:rsidRPr="003E1D0A">
        <w:rPr>
          <w:color w:val="000000" w:themeColor="text1"/>
        </w:rPr>
        <w:t xml:space="preserve"> Meana, 2017).</w:t>
      </w:r>
      <w:r>
        <w:rPr>
          <w:color w:val="000000" w:themeColor="text1"/>
        </w:rPr>
        <w:t xml:space="preserve"> Asociado a ello, el calificado como</w:t>
      </w:r>
      <w:r w:rsidRPr="003E1D0A">
        <w:rPr>
          <w:color w:val="000000" w:themeColor="text1"/>
        </w:rPr>
        <w:t xml:space="preserve"> </w:t>
      </w:r>
      <w:r w:rsidRPr="00091CC9">
        <w:rPr>
          <w:i/>
          <w:iCs/>
          <w:color w:val="000000" w:themeColor="text1"/>
        </w:rPr>
        <w:t>fenómeno influencer</w:t>
      </w:r>
      <w:r w:rsidRPr="003E1D0A">
        <w:rPr>
          <w:color w:val="000000" w:themeColor="text1"/>
        </w:rPr>
        <w:t xml:space="preserve"> consiste en la capacidad que tiene una figura pública de influenciar, como el propio término indica, a un público concreto, consiguiendo incluso modificar sus pensamientos, conseguir su admiración y su fidelidad (</w:t>
      </w:r>
      <w:r w:rsidR="00533490">
        <w:rPr>
          <w:color w:val="000000" w:themeColor="text1"/>
        </w:rPr>
        <w:t>Roy, 2015</w:t>
      </w:r>
      <w:r w:rsidRPr="003E1D0A">
        <w:rPr>
          <w:color w:val="000000" w:themeColor="text1"/>
        </w:rPr>
        <w:t xml:space="preserve">), </w:t>
      </w:r>
      <w:r w:rsidR="008B57F5">
        <w:rPr>
          <w:color w:val="000000" w:themeColor="text1"/>
        </w:rPr>
        <w:t xml:space="preserve">de ahí que representan un </w:t>
      </w:r>
      <w:r w:rsidR="001A4E1B">
        <w:rPr>
          <w:color w:val="000000" w:themeColor="text1"/>
        </w:rPr>
        <w:t xml:space="preserve">instrumento </w:t>
      </w:r>
      <w:r w:rsidR="008B57F5">
        <w:rPr>
          <w:color w:val="000000" w:themeColor="text1"/>
        </w:rPr>
        <w:t xml:space="preserve">de incitación </w:t>
      </w:r>
      <w:r w:rsidRPr="003E1D0A">
        <w:rPr>
          <w:color w:val="000000" w:themeColor="text1"/>
        </w:rPr>
        <w:t>al consumo</w:t>
      </w:r>
      <w:r w:rsidR="00533490">
        <w:rPr>
          <w:color w:val="000000" w:themeColor="text1"/>
        </w:rPr>
        <w:t xml:space="preserve">, así como una herramienta en el contexto digital de la publicidad engañosa (Coll </w:t>
      </w:r>
      <w:r w:rsidR="00617919">
        <w:rPr>
          <w:color w:val="000000" w:themeColor="text1"/>
        </w:rPr>
        <w:t>&amp;</w:t>
      </w:r>
      <w:r w:rsidR="00533490">
        <w:rPr>
          <w:color w:val="000000" w:themeColor="text1"/>
        </w:rPr>
        <w:t xml:space="preserve"> Micó, 2019; Gómez, 2018)</w:t>
      </w:r>
      <w:r w:rsidRPr="003E1D0A">
        <w:rPr>
          <w:color w:val="000000" w:themeColor="text1"/>
        </w:rPr>
        <w:t>.</w:t>
      </w:r>
    </w:p>
    <w:p w:rsidR="002F3ED9" w:rsidRDefault="002F3ED9" w:rsidP="00B113CB">
      <w:pPr>
        <w:ind w:firstLine="567"/>
        <w:rPr>
          <w:color w:val="000000" w:themeColor="text1"/>
        </w:rPr>
      </w:pPr>
      <w:r w:rsidRPr="00E22D90">
        <w:rPr>
          <w:color w:val="000000" w:themeColor="text1"/>
        </w:rPr>
        <w:t>Debido a</w:t>
      </w:r>
      <w:r w:rsidRPr="003E1D0A">
        <w:rPr>
          <w:color w:val="000000" w:themeColor="text1"/>
        </w:rPr>
        <w:t xml:space="preserve"> todos estos mecanismos y formas de persuasión citados anteriormente, los internautas debe</w:t>
      </w:r>
      <w:r w:rsidR="00AE7D88">
        <w:rPr>
          <w:color w:val="000000" w:themeColor="text1"/>
        </w:rPr>
        <w:t>rían</w:t>
      </w:r>
      <w:r w:rsidRPr="003E1D0A">
        <w:rPr>
          <w:color w:val="000000" w:themeColor="text1"/>
        </w:rPr>
        <w:t xml:space="preserve"> poseer mecanismos de resistencia ante ellos, y </w:t>
      </w:r>
      <w:r w:rsidR="00AE7D88">
        <w:rPr>
          <w:color w:val="000000" w:themeColor="text1"/>
        </w:rPr>
        <w:t xml:space="preserve">mostrar </w:t>
      </w:r>
      <w:r w:rsidRPr="003E1D0A">
        <w:rPr>
          <w:color w:val="000000" w:themeColor="text1"/>
        </w:rPr>
        <w:t xml:space="preserve">conductas asertivas para poder expresar de forma abierta </w:t>
      </w:r>
      <w:r>
        <w:rPr>
          <w:color w:val="000000" w:themeColor="text1"/>
        </w:rPr>
        <w:t xml:space="preserve">sus </w:t>
      </w:r>
      <w:r w:rsidRPr="003E1D0A">
        <w:rPr>
          <w:color w:val="000000" w:themeColor="text1"/>
        </w:rPr>
        <w:t xml:space="preserve">preferencias con independencia de las de los demás. Como se explicó anteriormente, la publicidad está insertada en </w:t>
      </w:r>
      <w:r w:rsidR="00AE7D88">
        <w:rPr>
          <w:color w:val="000000" w:themeColor="text1"/>
        </w:rPr>
        <w:t>I</w:t>
      </w:r>
      <w:r w:rsidRPr="003E1D0A">
        <w:rPr>
          <w:color w:val="000000" w:themeColor="text1"/>
        </w:rPr>
        <w:t>nternet y en las redes sin que el internauta sea consciente de ello, lo que provoca un elevado nivel de reactancia psicológica (Añaños, 2011).</w:t>
      </w:r>
      <w:r>
        <w:rPr>
          <w:color w:val="000000" w:themeColor="text1"/>
        </w:rPr>
        <w:t xml:space="preserve"> Recordemos que, s</w:t>
      </w:r>
      <w:r w:rsidRPr="003E1D0A">
        <w:rPr>
          <w:color w:val="000000" w:themeColor="text1"/>
        </w:rPr>
        <w:t>egún la Teoría de la Reactancia Psicológica de Brehm (1966), el receptor, en este caso el internauta, tendrá diversas reacciones emocionales o comportamentales cuando perciba que su libertad está siendo amenazada. Edwards, Lee y Li (2002) describen esa reacción emocional con el término irritabilidad, un anuncio sería irritante cuanto más intenso cognitivamente hablando sea, concluyen que el grado de irritabilidad depende de la edad del receptor, los jóvenes se irritan más fácilmente que las personas adultas.</w:t>
      </w:r>
    </w:p>
    <w:p w:rsidR="002F3ED9" w:rsidRDefault="002F3ED9" w:rsidP="00B113CB">
      <w:pPr>
        <w:ind w:firstLine="567"/>
        <w:rPr>
          <w:color w:val="000000" w:themeColor="text1"/>
        </w:rPr>
      </w:pPr>
      <w:r w:rsidRPr="00E22D90">
        <w:rPr>
          <w:color w:val="000000" w:themeColor="text1"/>
        </w:rPr>
        <w:t>Aplicando lo anterior a este estudio, el internauta al entrar en un sitio web o en una red social y encontrarse con publicidad no deseada, cambiaría o saldría de dicha web</w:t>
      </w:r>
      <w:r w:rsidR="00FC524C">
        <w:rPr>
          <w:color w:val="000000" w:themeColor="text1"/>
        </w:rPr>
        <w:t>. S</w:t>
      </w:r>
      <w:r w:rsidRPr="00E22D90">
        <w:rPr>
          <w:color w:val="000000" w:themeColor="text1"/>
        </w:rPr>
        <w:t xml:space="preserve">in embargo, </w:t>
      </w:r>
      <w:r w:rsidR="00A44C17">
        <w:rPr>
          <w:color w:val="000000" w:themeColor="text1"/>
        </w:rPr>
        <w:t xml:space="preserve">en </w:t>
      </w:r>
      <w:r w:rsidRPr="00E22D90">
        <w:rPr>
          <w:color w:val="000000" w:themeColor="text1"/>
        </w:rPr>
        <w:t>estudios realizados por Añaños y Padilla (2011) en jóvenes universitari</w:t>
      </w:r>
      <w:r w:rsidR="00FC524C">
        <w:rPr>
          <w:color w:val="000000" w:themeColor="text1"/>
        </w:rPr>
        <w:t>os acostumbrados a navegar por I</w:t>
      </w:r>
      <w:r w:rsidRPr="00E22D90">
        <w:rPr>
          <w:color w:val="000000" w:themeColor="text1"/>
        </w:rPr>
        <w:t xml:space="preserve">nternet diariamente </w:t>
      </w:r>
      <w:r w:rsidR="00A44C17">
        <w:rPr>
          <w:color w:val="000000" w:themeColor="text1"/>
        </w:rPr>
        <w:t xml:space="preserve">se </w:t>
      </w:r>
      <w:r w:rsidRPr="00E22D90">
        <w:rPr>
          <w:color w:val="000000" w:themeColor="text1"/>
        </w:rPr>
        <w:t>muestra que ven casi siempre la publicidad cuando les aparece en pantalla, lo que provoca un alto nivel de reactancia psicológica, sin embargo, no se desencadena un comportamiento de rechazo, sino de ignora</w:t>
      </w:r>
      <w:r w:rsidR="00AE7D88">
        <w:rPr>
          <w:color w:val="000000" w:themeColor="text1"/>
        </w:rPr>
        <w:t>ncia</w:t>
      </w:r>
      <w:r w:rsidRPr="00E22D90">
        <w:rPr>
          <w:color w:val="000000" w:themeColor="text1"/>
        </w:rPr>
        <w:t xml:space="preserve">. </w:t>
      </w:r>
      <w:r w:rsidRPr="003E1D0A">
        <w:rPr>
          <w:color w:val="000000" w:themeColor="text1"/>
        </w:rPr>
        <w:t>Por tanto, la teoría de la reactancia psicológica se cumple puesto que provoca en el sujeto un nivel alto de irritabilidad, pero este nivel no produce un comportamiento negativo en el sujeto y esto, es debido a que el internauta está tan centrado en lo que está viendo que no realiza ningún esfuerzo atencional ante esta publicidad emergente</w:t>
      </w:r>
      <w:r>
        <w:rPr>
          <w:color w:val="000000" w:themeColor="text1"/>
        </w:rPr>
        <w:t xml:space="preserve"> (Añaños </w:t>
      </w:r>
      <w:r w:rsidR="00617919">
        <w:rPr>
          <w:color w:val="000000" w:themeColor="text1"/>
        </w:rPr>
        <w:t>&amp;</w:t>
      </w:r>
      <w:r>
        <w:rPr>
          <w:color w:val="000000" w:themeColor="text1"/>
        </w:rPr>
        <w:t xml:space="preserve"> Padilla, 2011). </w:t>
      </w:r>
      <w:r w:rsidRPr="00E22D90">
        <w:rPr>
          <w:color w:val="000000" w:themeColor="text1"/>
        </w:rPr>
        <w:t>Con el objetivo</w:t>
      </w:r>
      <w:r w:rsidRPr="003E1D0A">
        <w:rPr>
          <w:color w:val="000000" w:themeColor="text1"/>
        </w:rPr>
        <w:t xml:space="preserve"> de </w:t>
      </w:r>
      <w:r>
        <w:rPr>
          <w:color w:val="000000" w:themeColor="text1"/>
        </w:rPr>
        <w:t xml:space="preserve">comprobar la validez de </w:t>
      </w:r>
      <w:r w:rsidRPr="003E1D0A">
        <w:rPr>
          <w:color w:val="000000" w:themeColor="text1"/>
        </w:rPr>
        <w:t xml:space="preserve">esta teoría, </w:t>
      </w:r>
      <w:r>
        <w:rPr>
          <w:color w:val="000000" w:themeColor="text1"/>
        </w:rPr>
        <w:t>Añaños, Estaún, Tena, Mas y Valli</w:t>
      </w:r>
      <w:r w:rsidR="00AE7D88">
        <w:rPr>
          <w:color w:val="000000" w:themeColor="text1"/>
        </w:rPr>
        <w:t xml:space="preserve"> (2009)</w:t>
      </w:r>
      <w:r w:rsidRPr="003E1D0A">
        <w:rPr>
          <w:color w:val="000000" w:themeColor="text1"/>
        </w:rPr>
        <w:t xml:space="preserve"> estudiaron c</w:t>
      </w:r>
      <w:r w:rsidR="00AE7D88">
        <w:rPr>
          <w:color w:val="000000" w:themeColor="text1"/>
        </w:rPr>
        <w:t>ó</w:t>
      </w:r>
      <w:r w:rsidRPr="003E1D0A">
        <w:rPr>
          <w:color w:val="000000" w:themeColor="text1"/>
        </w:rPr>
        <w:t xml:space="preserve">mo un grupo de sujetos procesaba los formatos de persuasión publicitaria que aparecían en la televisión, y confirmaron que existe una relación estadísticamente significativa entre el reconocimiento de la publicidad y </w:t>
      </w:r>
      <w:r w:rsidR="00AE7D88">
        <w:rPr>
          <w:color w:val="000000" w:themeColor="text1"/>
        </w:rPr>
        <w:t xml:space="preserve">la </w:t>
      </w:r>
      <w:r w:rsidRPr="003E1D0A">
        <w:rPr>
          <w:color w:val="000000" w:themeColor="text1"/>
        </w:rPr>
        <w:t>reactancia psicológica o irritabilidad que causa en el sujeto.</w:t>
      </w:r>
      <w:r>
        <w:rPr>
          <w:color w:val="000000" w:themeColor="text1"/>
        </w:rPr>
        <w:t xml:space="preserve"> </w:t>
      </w:r>
      <w:r w:rsidRPr="003E1D0A">
        <w:rPr>
          <w:color w:val="000000" w:themeColor="text1"/>
        </w:rPr>
        <w:t>Además de niveles de reactancia psicológica, para que el proceso de persuasión no interfiera en el internauta este tiene que poseer conductas asertivas.</w:t>
      </w:r>
    </w:p>
    <w:p w:rsidR="002F3ED9" w:rsidRPr="003E1D0A" w:rsidRDefault="002F3ED9" w:rsidP="00B113CB">
      <w:pPr>
        <w:ind w:firstLine="567"/>
        <w:rPr>
          <w:color w:val="000000" w:themeColor="text1"/>
        </w:rPr>
      </w:pPr>
      <w:r w:rsidRPr="003E1D0A">
        <w:rPr>
          <w:color w:val="000000" w:themeColor="text1"/>
        </w:rPr>
        <w:t>La persuasión publicitaria interfiere directamente en la conducta asertiva, puesto que el internauta deja de escoger libremente para dejarse influir en su decisión.</w:t>
      </w:r>
      <w:r>
        <w:rPr>
          <w:color w:val="000000" w:themeColor="text1"/>
        </w:rPr>
        <w:t xml:space="preserve"> Asociado a ello, l</w:t>
      </w:r>
      <w:r w:rsidRPr="003E1D0A">
        <w:rPr>
          <w:color w:val="000000" w:themeColor="text1"/>
        </w:rPr>
        <w:t>a falta de asertividad es un problema muy grave puesto que deriva en conductas socialmente inadecuadas, las cuales no permiten al individuo desenvolverse en diversos contextos (</w:t>
      </w:r>
      <w:r w:rsidR="003E5900" w:rsidRPr="00567222">
        <w:rPr>
          <w:bCs/>
        </w:rPr>
        <w:t xml:space="preserve">Briñol, Cárdaba, Gallardo </w:t>
      </w:r>
      <w:r w:rsidR="00617919">
        <w:rPr>
          <w:bCs/>
        </w:rPr>
        <w:t>&amp;</w:t>
      </w:r>
      <w:r w:rsidR="003E5900" w:rsidRPr="00567222">
        <w:rPr>
          <w:bCs/>
        </w:rPr>
        <w:t xml:space="preserve"> Horcajo, 2015</w:t>
      </w:r>
      <w:r w:rsidR="003E5900">
        <w:rPr>
          <w:bCs/>
        </w:rPr>
        <w:t xml:space="preserve">; </w:t>
      </w:r>
      <w:r w:rsidR="00617919">
        <w:rPr>
          <w:color w:val="000000" w:themeColor="text1"/>
        </w:rPr>
        <w:t>Castaños, Reyes, Rivera &amp;</w:t>
      </w:r>
      <w:r w:rsidRPr="003E1D0A">
        <w:rPr>
          <w:color w:val="000000" w:themeColor="text1"/>
        </w:rPr>
        <w:t xml:space="preserve"> Rolando, 2011).</w:t>
      </w:r>
    </w:p>
    <w:p w:rsidR="002F3ED9" w:rsidRPr="003E1D0A" w:rsidRDefault="002F3ED9" w:rsidP="00B113CB">
      <w:pPr>
        <w:ind w:firstLine="567"/>
        <w:rPr>
          <w:color w:val="000000" w:themeColor="text1"/>
        </w:rPr>
      </w:pPr>
      <w:r w:rsidRPr="003E1D0A">
        <w:rPr>
          <w:color w:val="000000" w:themeColor="text1"/>
        </w:rPr>
        <w:t xml:space="preserve">Debido a la escasez en la temática que relaciona la asertividad con la persuasión publicitaria en Internet, se tomó como referencia un estudio de Diehl y Mueller (2015) en el cual, se investiga el impacto de la dimensión cultural de la asertividad en la percepción y en la evaluación de un anuncio. Básicamente, este modelo sostiene que un estímulo publicitario es probable que no se evalúe ni se perciba de la misma manera dependiendo del nivel cultual de los individuos, </w:t>
      </w:r>
      <w:r>
        <w:rPr>
          <w:color w:val="000000" w:themeColor="text1"/>
        </w:rPr>
        <w:t xml:space="preserve">de modo </w:t>
      </w:r>
      <w:r w:rsidRPr="003E1D0A">
        <w:rPr>
          <w:color w:val="000000" w:themeColor="text1"/>
        </w:rPr>
        <w:t xml:space="preserve">que el tipo de valores culturales y el origen étnico de los valores van a moderar el efecto que produce el anuncio en el receptor. Paralelamente, </w:t>
      </w:r>
      <w:r w:rsidR="00AE7D88">
        <w:rPr>
          <w:color w:val="000000" w:themeColor="text1"/>
        </w:rPr>
        <w:t xml:space="preserve">en </w:t>
      </w:r>
      <w:r w:rsidRPr="003E1D0A">
        <w:rPr>
          <w:color w:val="000000" w:themeColor="text1"/>
        </w:rPr>
        <w:t xml:space="preserve">el estudio llevado a cabo por Czarnecka, Brennan y Keles (2017) </w:t>
      </w:r>
      <w:r w:rsidR="00AE7D88">
        <w:rPr>
          <w:color w:val="000000" w:themeColor="text1"/>
        </w:rPr>
        <w:t xml:space="preserve">se </w:t>
      </w:r>
      <w:r w:rsidRPr="003E1D0A">
        <w:rPr>
          <w:color w:val="000000" w:themeColor="text1"/>
        </w:rPr>
        <w:t xml:space="preserve">evalúa la teoría de la transferencia del significado cultural y examina en qué medida el significado cultural de los anuncios influyen en una sociedad. Los resultados de este estudio revelaron que los anuncios son más persuasivos cuánto más culturalmente se identifique el receptor con ellos. Los resultados de ambos estudios, además de demostrar que la identificación cultural es una variable que ejerce una fuerte persuasión publicitaria, también </w:t>
      </w:r>
      <w:r w:rsidR="00AE7D88">
        <w:rPr>
          <w:color w:val="000000" w:themeColor="text1"/>
        </w:rPr>
        <w:t xml:space="preserve">confirman </w:t>
      </w:r>
      <w:r w:rsidRPr="003E1D0A">
        <w:rPr>
          <w:color w:val="000000" w:themeColor="text1"/>
        </w:rPr>
        <w:t>que los individuos que perciben el nivel más alto de asertividad en la publicidad tienden a evaluarla más positivamente.</w:t>
      </w:r>
    </w:p>
    <w:p w:rsidR="002F3ED9" w:rsidRPr="003E1D0A" w:rsidRDefault="002F3ED9" w:rsidP="00B113CB">
      <w:pPr>
        <w:ind w:firstLine="567"/>
        <w:rPr>
          <w:color w:val="000000" w:themeColor="text1"/>
        </w:rPr>
      </w:pPr>
    </w:p>
    <w:p w:rsidR="002F3ED9" w:rsidRPr="003E1D0A" w:rsidRDefault="002F3ED9" w:rsidP="00B113CB">
      <w:pPr>
        <w:ind w:firstLine="567"/>
      </w:pPr>
      <w:r w:rsidRPr="003E1D0A">
        <w:t xml:space="preserve">Una vez fundamentado lo anterior, el objetivo general de este estudio fue estudiar la relación entre asertividad y mecanismos de resistencia ante la persuasión publicitaria. </w:t>
      </w:r>
    </w:p>
    <w:p w:rsidR="00B7039A" w:rsidRDefault="002F3ED9" w:rsidP="00B113CB">
      <w:pPr>
        <w:ind w:firstLine="567"/>
        <w:rPr>
          <w:color w:val="000000"/>
        </w:rPr>
      </w:pPr>
      <w:r w:rsidRPr="003E1D0A">
        <w:t xml:space="preserve">Asimismo, se plantean los siguientes objetivos específicos:  </w:t>
      </w:r>
      <w:r w:rsidR="00FC524C" w:rsidRPr="00DD3884">
        <w:rPr>
          <w:i/>
        </w:rPr>
        <w:t>a)</w:t>
      </w:r>
      <w:r w:rsidRPr="003E1D0A">
        <w:rPr>
          <w:color w:val="000000"/>
          <w:shd w:val="clear" w:color="auto" w:fill="FFFFFF"/>
        </w:rPr>
        <w:t xml:space="preserve"> Estudiar las diferencias entre sexos ante la persuasión publicitaria</w:t>
      </w:r>
      <w:r w:rsidR="00FC524C">
        <w:rPr>
          <w:color w:val="000000"/>
          <w:shd w:val="clear" w:color="auto" w:fill="FFFFFF"/>
        </w:rPr>
        <w:t xml:space="preserve">; </w:t>
      </w:r>
      <w:r w:rsidR="00FC524C" w:rsidRPr="00DD3884">
        <w:rPr>
          <w:i/>
          <w:color w:val="000000"/>
          <w:shd w:val="clear" w:color="auto" w:fill="FFFFFF"/>
        </w:rPr>
        <w:t>b)</w:t>
      </w:r>
      <w:r w:rsidRPr="003E1D0A">
        <w:rPr>
          <w:color w:val="000000"/>
        </w:rPr>
        <w:t xml:space="preserve"> Comprobar que a mayor inoculación de mensajes se manifiesta menor reactancia en los internautas</w:t>
      </w:r>
      <w:r w:rsidR="00FC524C">
        <w:rPr>
          <w:color w:val="000000"/>
        </w:rPr>
        <w:t xml:space="preserve">; </w:t>
      </w:r>
      <w:r w:rsidR="00FC524C" w:rsidRPr="00DD3884">
        <w:rPr>
          <w:i/>
          <w:color w:val="000000"/>
        </w:rPr>
        <w:t>c)</w:t>
      </w:r>
      <w:r w:rsidRPr="003E1D0A">
        <w:rPr>
          <w:color w:val="000000"/>
        </w:rPr>
        <w:t xml:space="preserve"> </w:t>
      </w:r>
    </w:p>
    <w:p w:rsidR="002F3ED9" w:rsidRPr="003E1D0A" w:rsidRDefault="002F3ED9" w:rsidP="00175B41">
      <w:pPr>
        <w:rPr>
          <w:color w:val="000000"/>
        </w:rPr>
      </w:pPr>
      <w:r w:rsidRPr="003E1D0A">
        <w:rPr>
          <w:color w:val="000000"/>
        </w:rPr>
        <w:t xml:space="preserve">Estudiar las diferencias entre rangos de edad </w:t>
      </w:r>
      <w:r w:rsidR="00FC524C">
        <w:rPr>
          <w:color w:val="000000"/>
        </w:rPr>
        <w:t>ante la persuasión publicitaria; y, asimismo,</w:t>
      </w:r>
      <w:r w:rsidR="00DD3884">
        <w:rPr>
          <w:color w:val="000000"/>
        </w:rPr>
        <w:t xml:space="preserve"> </w:t>
      </w:r>
      <w:r w:rsidR="00FC524C" w:rsidRPr="00DD3884">
        <w:rPr>
          <w:i/>
          <w:color w:val="000000"/>
        </w:rPr>
        <w:t>d)</w:t>
      </w:r>
      <w:r w:rsidRPr="003E1D0A">
        <w:rPr>
          <w:color w:val="000000"/>
        </w:rPr>
        <w:t xml:space="preserve"> Investigar cuál es la fuente publicitaria que ejerce mayor influencia publicitaria. </w:t>
      </w:r>
    </w:p>
    <w:p w:rsidR="002F3ED9" w:rsidRPr="003E1D0A" w:rsidRDefault="002F3ED9" w:rsidP="00B113CB">
      <w:pPr>
        <w:ind w:firstLine="567"/>
      </w:pPr>
      <w:r w:rsidRPr="003E1D0A">
        <w:t>Se plantean las siguientes hipótesis de investigación:</w:t>
      </w:r>
    </w:p>
    <w:p w:rsidR="002F3ED9" w:rsidRPr="002053D3" w:rsidRDefault="002F3ED9" w:rsidP="00B113CB">
      <w:pPr>
        <w:ind w:firstLine="567"/>
      </w:pPr>
      <w:r>
        <w:t xml:space="preserve">H1: </w:t>
      </w:r>
      <w:r w:rsidRPr="002053D3">
        <w:t>Se prevé que Internet sea la fuente publicitaria con mayor influencia publicitaria.</w:t>
      </w:r>
    </w:p>
    <w:p w:rsidR="002F3ED9" w:rsidRPr="002053D3" w:rsidRDefault="002F3ED9" w:rsidP="00B113CB">
      <w:pPr>
        <w:ind w:firstLine="567"/>
      </w:pPr>
      <w:r>
        <w:t xml:space="preserve">H2: </w:t>
      </w:r>
      <w:r w:rsidRPr="002053D3">
        <w:t>Las mujeres presentarán menos mecanismos de resistencia</w:t>
      </w:r>
      <w:r w:rsidR="00AC2851">
        <w:t xml:space="preserve"> (asertividad y reactancia)</w:t>
      </w:r>
      <w:r w:rsidRPr="002053D3">
        <w:t xml:space="preserve"> ante la persuasión publicitaria.</w:t>
      </w:r>
    </w:p>
    <w:p w:rsidR="002F3ED9" w:rsidRPr="002053D3" w:rsidRDefault="002F3ED9" w:rsidP="00B113CB">
      <w:pPr>
        <w:ind w:firstLine="567"/>
      </w:pPr>
      <w:r>
        <w:t xml:space="preserve">H3: </w:t>
      </w:r>
      <w:r w:rsidRPr="002053D3">
        <w:t>Existirán diferencias en los niveles de persuasión publicitaria en función del rango de edad en el sentido de que a mayor edad más influencia persuasiva ejerce la publicidad.</w:t>
      </w:r>
    </w:p>
    <w:p w:rsidR="00310094" w:rsidRDefault="002F3ED9" w:rsidP="00B113CB">
      <w:pPr>
        <w:ind w:firstLine="567"/>
      </w:pPr>
      <w:r>
        <w:t xml:space="preserve">H4: </w:t>
      </w:r>
      <w:r w:rsidRPr="002053D3">
        <w:t xml:space="preserve">Se prevé que a mayor nivel de estudios, se presentarán más mecanismos de resistencia </w:t>
      </w:r>
      <w:r w:rsidR="00AC2851">
        <w:t xml:space="preserve">(asertividad y reactancia) </w:t>
      </w:r>
      <w:r w:rsidRPr="002053D3">
        <w:t>ante la persuasión publicitaria.</w:t>
      </w:r>
    </w:p>
    <w:p w:rsidR="00310094" w:rsidRPr="002F3ED9" w:rsidRDefault="00310094" w:rsidP="00B113CB"/>
    <w:p w:rsidR="002F3ED9" w:rsidRPr="00175B41" w:rsidRDefault="002F3ED9" w:rsidP="00B113CB">
      <w:pPr>
        <w:pStyle w:val="Prrafodelista"/>
        <w:numPr>
          <w:ilvl w:val="0"/>
          <w:numId w:val="14"/>
        </w:numPr>
        <w:rPr>
          <w:rFonts w:ascii="Times New Roman" w:hAnsi="Times New Roman" w:cs="Times New Roman"/>
          <w:b/>
        </w:rPr>
      </w:pPr>
      <w:r w:rsidRPr="00175B41">
        <w:rPr>
          <w:rFonts w:ascii="Times New Roman" w:hAnsi="Times New Roman" w:cs="Times New Roman"/>
          <w:b/>
        </w:rPr>
        <w:t>M</w:t>
      </w:r>
      <w:r w:rsidR="00553074" w:rsidRPr="00175B41">
        <w:rPr>
          <w:rFonts w:ascii="Times New Roman" w:hAnsi="Times New Roman" w:cs="Times New Roman"/>
          <w:b/>
        </w:rPr>
        <w:t>aterial y m</w:t>
      </w:r>
      <w:r w:rsidRPr="00175B41">
        <w:rPr>
          <w:rFonts w:ascii="Times New Roman" w:hAnsi="Times New Roman" w:cs="Times New Roman"/>
          <w:b/>
        </w:rPr>
        <w:t>étodo</w:t>
      </w:r>
      <w:r w:rsidR="00553074" w:rsidRPr="00175B41">
        <w:rPr>
          <w:rFonts w:ascii="Times New Roman" w:hAnsi="Times New Roman" w:cs="Times New Roman"/>
          <w:b/>
        </w:rPr>
        <w:t>s</w:t>
      </w:r>
    </w:p>
    <w:p w:rsidR="00175B41" w:rsidRPr="00553074" w:rsidRDefault="00175B41" w:rsidP="00175B41">
      <w:pPr>
        <w:pStyle w:val="Prrafodelista"/>
        <w:rPr>
          <w:b/>
        </w:rPr>
      </w:pPr>
    </w:p>
    <w:p w:rsidR="002F3ED9" w:rsidRPr="00DD3884" w:rsidRDefault="002F3ED9" w:rsidP="00B113CB">
      <w:pPr>
        <w:ind w:firstLine="567"/>
        <w:rPr>
          <w:i/>
          <w:iCs/>
        </w:rPr>
      </w:pPr>
      <w:r w:rsidRPr="00DD3884">
        <w:rPr>
          <w:i/>
          <w:iCs/>
        </w:rPr>
        <w:t>Participantes</w:t>
      </w:r>
    </w:p>
    <w:p w:rsidR="00186D95" w:rsidRPr="00CB5A2E" w:rsidRDefault="002F3ED9" w:rsidP="00B113CB">
      <w:pPr>
        <w:ind w:firstLine="567"/>
      </w:pPr>
      <w:r w:rsidRPr="00CB5A2E">
        <w:t>La muestra está integrada por un total de</w:t>
      </w:r>
      <w:r>
        <w:t xml:space="preserve"> </w:t>
      </w:r>
      <w:r w:rsidRPr="00C81320">
        <w:rPr>
          <w:color w:val="000000" w:themeColor="text1"/>
        </w:rPr>
        <w:t xml:space="preserve">402 sujetos </w:t>
      </w:r>
      <w:r w:rsidRPr="00CB5A2E">
        <w:t>de ambos géneros, 161 varones (</w:t>
      </w:r>
      <w:r>
        <w:t xml:space="preserve">40.05%) </w:t>
      </w:r>
      <w:r w:rsidRPr="00CB5A2E">
        <w:t xml:space="preserve">y </w:t>
      </w:r>
      <w:r w:rsidRPr="00C81320">
        <w:rPr>
          <w:color w:val="000000" w:themeColor="text1"/>
        </w:rPr>
        <w:t xml:space="preserve">241 mujeres </w:t>
      </w:r>
      <w:r w:rsidRPr="00CB5A2E">
        <w:t>(</w:t>
      </w:r>
      <w:r>
        <w:t>59.95</w:t>
      </w:r>
      <w:r w:rsidRPr="00CB5A2E">
        <w:t xml:space="preserve">%) con edades comprendidas entre 18 y 70 años </w:t>
      </w:r>
      <w:r w:rsidR="00DD13F8">
        <w:t>(</w:t>
      </w:r>
      <w:r w:rsidR="00EB09F5">
        <w:t xml:space="preserve">X </w:t>
      </w:r>
      <w:r w:rsidRPr="00CB5A2E">
        <w:t xml:space="preserve">= 22.87; </w:t>
      </w:r>
      <w:r w:rsidR="006518DF">
        <w:t>DT</w:t>
      </w:r>
      <w:r w:rsidR="00AE7D88">
        <w:t xml:space="preserve"> </w:t>
      </w:r>
      <w:r w:rsidRPr="00CB5A2E">
        <w:t>= 15.3</w:t>
      </w:r>
      <w:r w:rsidRPr="00945F0B">
        <w:t>).</w:t>
      </w:r>
      <w:r w:rsidR="006518DF" w:rsidRPr="00945F0B">
        <w:t xml:space="preserve"> </w:t>
      </w:r>
      <w:r w:rsidR="00186D95">
        <w:t xml:space="preserve">Han sido seleccionados </w:t>
      </w:r>
      <w:r w:rsidR="00186D95" w:rsidRPr="00CB5A2E">
        <w:t>por medio de un muestreo no probabilístico</w:t>
      </w:r>
      <w:r w:rsidR="00186D95">
        <w:t xml:space="preserve"> </w:t>
      </w:r>
      <w:r w:rsidR="00186D95" w:rsidRPr="00CB5A2E">
        <w:t>de tipo intencional.</w:t>
      </w:r>
    </w:p>
    <w:p w:rsidR="002F3ED9" w:rsidRPr="00CB5A2E" w:rsidRDefault="002F3ED9" w:rsidP="00B113CB">
      <w:pPr>
        <w:ind w:firstLine="567"/>
      </w:pPr>
      <w:r w:rsidRPr="00CB5A2E">
        <w:t>Debido a nuestro interés investigador, una vez que estuvo recopilada la muestra, se procedió a separarla en tres grupos de edad diferentes</w:t>
      </w:r>
      <w:r w:rsidR="007173A2">
        <w:t xml:space="preserve">, </w:t>
      </w:r>
      <w:r w:rsidR="00AC2851">
        <w:t>en base a criterios sociodemográficos y atendiendo al tamaño muestral.</w:t>
      </w:r>
    </w:p>
    <w:p w:rsidR="002F3ED9" w:rsidRPr="00CB5A2E" w:rsidRDefault="002F3ED9" w:rsidP="00B113CB">
      <w:pPr>
        <w:ind w:firstLine="567"/>
      </w:pPr>
      <w:r w:rsidRPr="00CB5A2E">
        <w:t xml:space="preserve">El </w:t>
      </w:r>
      <w:r w:rsidRPr="00D1653B">
        <w:rPr>
          <w:i/>
        </w:rPr>
        <w:t>grupo joven</w:t>
      </w:r>
      <w:r w:rsidRPr="00CB5A2E">
        <w:t xml:space="preserve"> estaba compuesto por un total de 197 sujetos, con edades comprendidas entre los 18 y los 24 años, 80 eran varones (40.61%) y 117 eran mujeres (59.39%). La edad media fue de 21 años (</w:t>
      </w:r>
      <w:r w:rsidR="006518DF">
        <w:t>DT</w:t>
      </w:r>
      <w:r w:rsidR="00A93CBF">
        <w:t xml:space="preserve"> </w:t>
      </w:r>
      <w:r w:rsidRPr="00CB5A2E">
        <w:t>= 2). La mayor parte contaba con estudios universitarios/ formación superior (</w:t>
      </w:r>
      <w:r w:rsidR="006518DF">
        <w:t>n</w:t>
      </w:r>
      <w:r w:rsidR="00A93CBF">
        <w:t xml:space="preserve"> </w:t>
      </w:r>
      <w:r w:rsidRPr="00CB5A2E">
        <w:t>= 162; 82.23%), seguido por los que tenían Bachillerato (</w:t>
      </w:r>
      <w:r w:rsidR="006518DF">
        <w:t>n</w:t>
      </w:r>
      <w:r w:rsidR="00A93CBF">
        <w:t xml:space="preserve"> </w:t>
      </w:r>
      <w:r w:rsidRPr="00CB5A2E">
        <w:t>= 33; 16.75%), y por último,  los que poseían Educación Secundaria Obligatoria (</w:t>
      </w:r>
      <w:r w:rsidR="006518DF">
        <w:t>n</w:t>
      </w:r>
      <w:r w:rsidR="00A93CBF">
        <w:t xml:space="preserve"> </w:t>
      </w:r>
      <w:r w:rsidRPr="00CB5A2E">
        <w:t>= 2; 1.01%)</w:t>
      </w:r>
      <w:r>
        <w:t>.</w:t>
      </w:r>
      <w:r w:rsidR="00A44C17">
        <w:t xml:space="preserve"> </w:t>
      </w:r>
      <w:r w:rsidRPr="00CB5A2E">
        <w:t>Respecto a la situación laboral, la mayor parte eran estudiantes (n</w:t>
      </w:r>
      <w:r w:rsidR="006518DF">
        <w:t xml:space="preserve"> </w:t>
      </w:r>
      <w:r w:rsidRPr="00CB5A2E">
        <w:t>= 179; 90.86%), seguido por los que estaban empleados (n</w:t>
      </w:r>
      <w:r w:rsidR="006518DF">
        <w:t xml:space="preserve"> </w:t>
      </w:r>
      <w:r w:rsidRPr="00CB5A2E">
        <w:t>= 15; 7.61%), y por último, los que estaban desempleados (n</w:t>
      </w:r>
      <w:r w:rsidR="006518DF">
        <w:t xml:space="preserve"> </w:t>
      </w:r>
      <w:r w:rsidRPr="00CB5A2E">
        <w:t>= 3; 1.52%).</w:t>
      </w:r>
    </w:p>
    <w:p w:rsidR="00A44C17" w:rsidRDefault="002F3ED9" w:rsidP="00B113CB">
      <w:pPr>
        <w:ind w:firstLine="567"/>
      </w:pPr>
      <w:r w:rsidRPr="00CB5A2E">
        <w:t xml:space="preserve">El </w:t>
      </w:r>
      <w:r w:rsidRPr="00D1653B">
        <w:rPr>
          <w:i/>
        </w:rPr>
        <w:t>grupo adulto joven</w:t>
      </w:r>
      <w:r w:rsidRPr="00CB5A2E">
        <w:t xml:space="preserve"> estaba compuesto por un total de 10</w:t>
      </w:r>
      <w:r>
        <w:t>6</w:t>
      </w:r>
      <w:r w:rsidRPr="00CB5A2E">
        <w:t xml:space="preserve"> sujetos, con edades comprendidas entre los 25 y los 49 años, 41 eran varones (</w:t>
      </w:r>
      <w:r>
        <w:t>38.68</w:t>
      </w:r>
      <w:r w:rsidRPr="00CB5A2E">
        <w:t>%) y 6</w:t>
      </w:r>
      <w:r>
        <w:t>5</w:t>
      </w:r>
      <w:r w:rsidRPr="00CB5A2E">
        <w:t xml:space="preserve"> eran mujeres (</w:t>
      </w:r>
      <w:r>
        <w:t>38.68</w:t>
      </w:r>
      <w:r w:rsidRPr="00CB5A2E">
        <w:t>%). La edad media fue de 37 años (</w:t>
      </w:r>
      <w:r w:rsidR="006518DF">
        <w:t xml:space="preserve">DT </w:t>
      </w:r>
      <w:r w:rsidRPr="00CB5A2E">
        <w:t>= 7.21). La mayor parte contaba con estudios universitarios/ formación superior (n</w:t>
      </w:r>
      <w:r w:rsidR="006518DF">
        <w:t xml:space="preserve"> </w:t>
      </w:r>
      <w:r w:rsidRPr="00CB5A2E">
        <w:t>= 87; 8</w:t>
      </w:r>
      <w:r>
        <w:t>2</w:t>
      </w:r>
      <w:r w:rsidRPr="00CB5A2E">
        <w:t>.</w:t>
      </w:r>
      <w:r>
        <w:t>07</w:t>
      </w:r>
      <w:r w:rsidR="00A44C17">
        <w:t xml:space="preserve">%) y </w:t>
      </w:r>
      <w:r w:rsidRPr="00CB5A2E">
        <w:t>estaban empleados (n</w:t>
      </w:r>
      <w:r w:rsidR="006518DF">
        <w:t xml:space="preserve"> </w:t>
      </w:r>
      <w:r w:rsidRPr="00CB5A2E">
        <w:t xml:space="preserve">= </w:t>
      </w:r>
      <w:r w:rsidR="00A44C17">
        <w:t>89; 83.18%).</w:t>
      </w:r>
    </w:p>
    <w:p w:rsidR="002F3ED9" w:rsidRDefault="002F3ED9" w:rsidP="00B113CB">
      <w:pPr>
        <w:ind w:firstLine="567"/>
      </w:pPr>
      <w:r w:rsidRPr="00CB5A2E">
        <w:t xml:space="preserve">El </w:t>
      </w:r>
      <w:r w:rsidRPr="00D1653B">
        <w:rPr>
          <w:i/>
        </w:rPr>
        <w:t>grupo adulto mayor</w:t>
      </w:r>
      <w:r w:rsidRPr="00CB5A2E">
        <w:t xml:space="preserve"> estaba compuesto por 99 sujetos, con edades comprendidas entre los 50 y los 70 años, 40 eran varones (40.40%) y 59 eran mujeres (59.59%). La edad media fue de 60 años (</w:t>
      </w:r>
      <w:r w:rsidR="006518DF">
        <w:t xml:space="preserve">DT </w:t>
      </w:r>
      <w:r w:rsidRPr="00CB5A2E">
        <w:t>= 6.05). La mayor parte contaba con estudios universitarios/ formación profesional (n</w:t>
      </w:r>
      <w:r w:rsidR="006518DF">
        <w:t xml:space="preserve"> </w:t>
      </w:r>
      <w:r w:rsidRPr="00CB5A2E">
        <w:t>= 78; 78.78%)</w:t>
      </w:r>
      <w:r w:rsidR="00A44C17">
        <w:t xml:space="preserve"> y casi el 60% estaba empleado (</w:t>
      </w:r>
      <w:r w:rsidRPr="00CB5A2E">
        <w:t>n</w:t>
      </w:r>
      <w:r w:rsidR="006518DF">
        <w:t xml:space="preserve"> </w:t>
      </w:r>
      <w:r w:rsidRPr="00CB5A2E">
        <w:t>= 59; 59.59%)</w:t>
      </w:r>
      <w:r w:rsidR="00A44C17">
        <w:t>.</w:t>
      </w:r>
    </w:p>
    <w:p w:rsidR="00D1653B" w:rsidRDefault="00D1653B" w:rsidP="00B113CB">
      <w:pPr>
        <w:ind w:firstLine="567"/>
      </w:pPr>
    </w:p>
    <w:p w:rsidR="002F3ED9" w:rsidRPr="00C60976" w:rsidRDefault="00A44C17" w:rsidP="00B113CB">
      <w:pPr>
        <w:ind w:firstLine="567"/>
        <w:rPr>
          <w:i/>
          <w:iCs/>
        </w:rPr>
      </w:pPr>
      <w:r w:rsidRPr="00C60976">
        <w:rPr>
          <w:i/>
          <w:iCs/>
        </w:rPr>
        <w:t>I</w:t>
      </w:r>
      <w:r w:rsidR="002F3ED9" w:rsidRPr="00C60976">
        <w:rPr>
          <w:i/>
          <w:iCs/>
        </w:rPr>
        <w:t>nstrumentos de medida</w:t>
      </w:r>
    </w:p>
    <w:p w:rsidR="002F3ED9" w:rsidRPr="00ED4BE5" w:rsidRDefault="002F3ED9" w:rsidP="00B113CB">
      <w:pPr>
        <w:ind w:firstLine="567"/>
      </w:pPr>
      <w:r w:rsidRPr="00ED4BE5">
        <w:t>En primer lugar, se recogió información sociodemográfica básica: género, edad (en años), nivel de estudios (Educación Secundaria Obligatoria, Bachillerato, Estudios Universitarios/ Formación Superior o sin estudios) y situación laboral (estudiante, empleado, desempleado o jubilado).</w:t>
      </w:r>
    </w:p>
    <w:p w:rsidR="001B1C1B" w:rsidRDefault="002F3ED9" w:rsidP="00B113CB">
      <w:pPr>
        <w:ind w:firstLine="567"/>
      </w:pPr>
      <w:r w:rsidRPr="001B1C1B">
        <w:t xml:space="preserve">Los sujetos cumplimentaron siete preguntas elaboradas </w:t>
      </w:r>
      <w:r w:rsidRPr="001B1C1B">
        <w:rPr>
          <w:i/>
          <w:iCs/>
        </w:rPr>
        <w:t>ad hoc</w:t>
      </w:r>
      <w:r w:rsidRPr="001B1C1B">
        <w:t xml:space="preserve"> en las cuales se preguntaba acerca de la inoculación de mensajes publicitarios. </w:t>
      </w:r>
    </w:p>
    <w:p w:rsidR="00055C25" w:rsidRDefault="002F3ED9" w:rsidP="00B113CB">
      <w:pPr>
        <w:ind w:firstLine="567"/>
      </w:pPr>
      <w:r w:rsidRPr="00ED4BE5">
        <w:t xml:space="preserve">Se ha aplicado la </w:t>
      </w:r>
      <w:r w:rsidRPr="00ED4BE5">
        <w:rPr>
          <w:i/>
          <w:iCs/>
        </w:rPr>
        <w:t>Escala de asertividad de Rathus</w:t>
      </w:r>
      <w:r w:rsidRPr="00ED4BE5">
        <w:t xml:space="preserve"> (RAS</w:t>
      </w:r>
      <w:r w:rsidR="001B1C1B">
        <w:t>, 1973</w:t>
      </w:r>
      <w:r w:rsidR="00A93CBF">
        <w:t>)</w:t>
      </w:r>
      <w:r w:rsidRPr="00ED4BE5">
        <w:t>. Se utilizó la adaptación realizada por León y Vargas (2009</w:t>
      </w:r>
      <w:r w:rsidR="00963905">
        <w:t xml:space="preserve">a, </w:t>
      </w:r>
      <w:r w:rsidR="00DF43B6">
        <w:t>2009</w:t>
      </w:r>
      <w:r w:rsidR="00963905">
        <w:t>b</w:t>
      </w:r>
      <w:r w:rsidRPr="00ED4BE5">
        <w:t xml:space="preserve">), que consta de 22 ítems, evaluados mediante escala Likert, que se dividen en seis subescalas (Demostrar disconformidad, Manifestación de sentimientos y creencias, Eficacia, Interacción con organizaciones, Expresión de opiniones y Decir no). Las opciones de respuesta van desde “extremadamente no descriptivo” (0) y “extremadamente descriptivo” (6). Tiene una consistencia interna aceptable ya que el coeficiente alpha de Cronbach </w:t>
      </w:r>
      <w:r>
        <w:t>es 0.636</w:t>
      </w:r>
      <w:r w:rsidRPr="00ED4BE5">
        <w:t xml:space="preserve">, el número de ítems de la escala debe ser considerado de manera que a mayor número el alpha tiende a aumentar (Field, 2009).  </w:t>
      </w:r>
    </w:p>
    <w:p w:rsidR="00055C25" w:rsidRDefault="002F3ED9" w:rsidP="00B113CB">
      <w:pPr>
        <w:ind w:firstLine="567"/>
      </w:pPr>
      <w:r w:rsidRPr="00ED4BE5">
        <w:t xml:space="preserve">También se ha aplicado </w:t>
      </w:r>
      <w:r>
        <w:t xml:space="preserve">la </w:t>
      </w:r>
      <w:r w:rsidRPr="00ED4BE5">
        <w:rPr>
          <w:i/>
          <w:iCs/>
        </w:rPr>
        <w:t>Escala de reactancia psicológica de Hong</w:t>
      </w:r>
      <w:r w:rsidRPr="00ED4BE5">
        <w:t xml:space="preserve"> (Hong Psychological Reactance Scale, HPRS). Se utilizó la escala revisada adaptada al español por De las Cuevas y Peña</w:t>
      </w:r>
      <w:r w:rsidR="00963944">
        <w:t>te</w:t>
      </w:r>
      <w:r w:rsidRPr="00ED4BE5">
        <w:t xml:space="preserve"> (2014), que consta de 10 ítems en formato Likert con unas opciones de respuesta que van desde “totalmente en desacuerdo” (1) a “totalmente de acuerdo” (5). Tiene una alta consistencia interna ya que el coeficiente alpha de Cronbach es de</w:t>
      </w:r>
      <w:r>
        <w:t xml:space="preserve"> 0.877</w:t>
      </w:r>
      <w:r w:rsidRPr="00ED4BE5">
        <w:t xml:space="preserve">. </w:t>
      </w:r>
    </w:p>
    <w:p w:rsidR="00D1653B" w:rsidRDefault="00D1653B" w:rsidP="00B113CB">
      <w:pPr>
        <w:ind w:firstLine="567"/>
      </w:pPr>
    </w:p>
    <w:p w:rsidR="002F3ED9" w:rsidRPr="00EB09F5" w:rsidRDefault="002F3ED9" w:rsidP="00B113CB">
      <w:pPr>
        <w:ind w:firstLine="567"/>
        <w:rPr>
          <w:i/>
          <w:iCs/>
        </w:rPr>
      </w:pPr>
      <w:r w:rsidRPr="00EB09F5">
        <w:rPr>
          <w:i/>
          <w:iCs/>
        </w:rPr>
        <w:t>Procedimiento</w:t>
      </w:r>
    </w:p>
    <w:p w:rsidR="002F3ED9" w:rsidRDefault="002F3ED9" w:rsidP="00B113CB">
      <w:pPr>
        <w:ind w:firstLine="567"/>
        <w:rPr>
          <w:bCs/>
        </w:rPr>
      </w:pPr>
      <w:r>
        <w:rPr>
          <w:bCs/>
        </w:rPr>
        <w:t>Para la recogida de datos se procedió a enviar el cuestionario en forma de enlace al que pudieran acceder las personas para cumplimentarlo desde cualquier dispositivo móvil u ordenador, comenzando a mediados del mes de abril del 2019 y dejándolo habilitado para recibir respuestas en el plazo de un mes.</w:t>
      </w:r>
    </w:p>
    <w:p w:rsidR="002F3ED9" w:rsidRPr="00533527" w:rsidRDefault="002F3ED9" w:rsidP="00B113CB">
      <w:pPr>
        <w:ind w:firstLine="567"/>
        <w:rPr>
          <w:bCs/>
        </w:rPr>
      </w:pPr>
      <w:r>
        <w:rPr>
          <w:bCs/>
        </w:rPr>
        <w:t>El instrumento que se utilizó para recabar la información fue un cuestionario, realizado en formato cuestionario de Google</w:t>
      </w:r>
      <w:r w:rsidR="00055C25">
        <w:rPr>
          <w:bCs/>
        </w:rPr>
        <w:t>.</w:t>
      </w:r>
      <w:r>
        <w:rPr>
          <w:bCs/>
        </w:rPr>
        <w:t xml:space="preserve"> La cumplimentación del consentimiento informado, de la información socio-demográfica básica y de los tres cuestionarios citados anteriormente fue de la misma manera por parte de toda la muestra. </w:t>
      </w:r>
      <w:r w:rsidRPr="00ED4BE5">
        <w:t>La contestación fue totalmente anónima y voluntaria para todos los participantes y solo se tuvieron en cuenta aquellos cuestionarios que fueron contestados hasta el 100%.</w:t>
      </w:r>
    </w:p>
    <w:p w:rsidR="002F3ED9" w:rsidRDefault="002F3ED9" w:rsidP="00B113CB">
      <w:pPr>
        <w:ind w:firstLine="567"/>
      </w:pPr>
      <w:r w:rsidRPr="00ED4BE5">
        <w:t>Una vez conseguidos los resultados, se procedió a eliminar aquellos que no respetaron el criterio de edad, es decir, aquellos que eran menores de 18 años o mayores de 70 años.</w:t>
      </w:r>
    </w:p>
    <w:p w:rsidR="00D1653B" w:rsidRPr="00ED4BE5" w:rsidRDefault="00D1653B" w:rsidP="00B113CB">
      <w:pPr>
        <w:ind w:firstLine="567"/>
      </w:pPr>
    </w:p>
    <w:p w:rsidR="002F3ED9" w:rsidRPr="00EB09F5" w:rsidRDefault="002F3ED9" w:rsidP="00B113CB">
      <w:pPr>
        <w:ind w:firstLine="567"/>
        <w:rPr>
          <w:i/>
          <w:iCs/>
        </w:rPr>
      </w:pPr>
      <w:r w:rsidRPr="00EB09F5">
        <w:rPr>
          <w:i/>
          <w:iCs/>
        </w:rPr>
        <w:t>Diseño</w:t>
      </w:r>
      <w:r w:rsidR="00D1653B">
        <w:rPr>
          <w:i/>
          <w:iCs/>
        </w:rPr>
        <w:t xml:space="preserve"> </w:t>
      </w:r>
    </w:p>
    <w:p w:rsidR="002F3ED9" w:rsidRDefault="002F3ED9" w:rsidP="00B113CB">
      <w:pPr>
        <w:ind w:firstLine="567"/>
        <w:rPr>
          <w:bCs/>
        </w:rPr>
      </w:pPr>
      <w:r w:rsidRPr="00ED4BE5">
        <w:rPr>
          <w:bCs/>
        </w:rPr>
        <w:t>Este estudio está basado en un diseño transversal compuesto por grupos naturales (Ato y Vallejo, 2015) puesto que el objetivo es comparar varias variables de respuesta sobre la inoculación de mensajes publicitarios, la asertividad y los mecanismos de resistencia ante la persuasión publicitaria, de tres grupos, que pertenecen a diferentes niveles que son fuente de diferencias individuales (edad, género, nivel de estudios, situación laboral).</w:t>
      </w:r>
    </w:p>
    <w:p w:rsidR="00D1653B" w:rsidRPr="00ED4BE5" w:rsidRDefault="00D1653B" w:rsidP="00B113CB">
      <w:pPr>
        <w:ind w:firstLine="567"/>
        <w:rPr>
          <w:bCs/>
        </w:rPr>
      </w:pPr>
    </w:p>
    <w:p w:rsidR="002F3ED9" w:rsidRPr="00EB09F5" w:rsidRDefault="002F3ED9" w:rsidP="00B113CB">
      <w:pPr>
        <w:ind w:firstLine="567"/>
        <w:rPr>
          <w:i/>
          <w:iCs/>
        </w:rPr>
      </w:pPr>
      <w:r w:rsidRPr="00EB09F5">
        <w:rPr>
          <w:i/>
          <w:iCs/>
        </w:rPr>
        <w:t>Análisis de datos</w:t>
      </w:r>
    </w:p>
    <w:p w:rsidR="002F3ED9" w:rsidRDefault="002F3ED9" w:rsidP="00B113CB">
      <w:pPr>
        <w:ind w:firstLine="567"/>
      </w:pPr>
      <w:r w:rsidRPr="00ED4BE5">
        <w:t xml:space="preserve">En primer lugar, como tanto la </w:t>
      </w:r>
      <w:r w:rsidRPr="00ED4BE5">
        <w:rPr>
          <w:i/>
          <w:iCs/>
        </w:rPr>
        <w:t>Escala de asertividad de Rathus</w:t>
      </w:r>
      <w:r w:rsidRPr="00ED4BE5">
        <w:t xml:space="preserve"> (RAS, adaptación de León </w:t>
      </w:r>
      <w:r w:rsidR="00617919">
        <w:t>&amp;</w:t>
      </w:r>
      <w:r w:rsidRPr="00ED4BE5">
        <w:t xml:space="preserve"> Vargas, 2009</w:t>
      </w:r>
      <w:r w:rsidR="003E5900">
        <w:t>a</w:t>
      </w:r>
      <w:r w:rsidRPr="00ED4BE5">
        <w:t xml:space="preserve">) </w:t>
      </w:r>
      <w:r w:rsidR="00A93CBF">
        <w:t>como</w:t>
      </w:r>
      <w:r w:rsidRPr="00ED4BE5">
        <w:t xml:space="preserve"> la </w:t>
      </w:r>
      <w:r w:rsidRPr="00ED4BE5">
        <w:rPr>
          <w:i/>
          <w:iCs/>
        </w:rPr>
        <w:t>Escala de reactancia psicológica de Hong</w:t>
      </w:r>
      <w:r w:rsidRPr="00ED4BE5">
        <w:t xml:space="preserve"> (Hong Psychological Reactance Scale, HPRS) tenían una consistencia aceptable dado a sus coeficientes de alpha de Cronbach previamente citados, se procedió a realizar el análisis estadístico de los datos mediante el programa IBM SPSS Stadistics 22</w:t>
      </w:r>
      <w:r>
        <w:t>.</w:t>
      </w:r>
      <w:r w:rsidRPr="00ED4BE5">
        <w:t xml:space="preserve"> </w:t>
      </w:r>
      <w:r>
        <w:t>S</w:t>
      </w:r>
      <w:r w:rsidRPr="00ED4BE5">
        <w:t>e comprobó si las puntuaciones seguían una distribución normal mediante la prueba no paramétrica Kolmogorov- Smirnov</w:t>
      </w:r>
      <w:r>
        <w:t>,</w:t>
      </w:r>
      <w:r w:rsidRPr="00ED4BE5">
        <w:t xml:space="preserve"> y se obtuvo que p= 0.00, por lo que al ser los valores de p menores que 0.05, </w:t>
      </w:r>
      <w:r w:rsidR="00055C25">
        <w:t xml:space="preserve">se asumió </w:t>
      </w:r>
      <w:r w:rsidRPr="00ED4BE5">
        <w:t>que las variables no siguen una distribución normal</w:t>
      </w:r>
      <w:r w:rsidR="00055C25">
        <w:t xml:space="preserve"> y se </w:t>
      </w:r>
      <w:r w:rsidRPr="00ED4BE5">
        <w:t>utilizaron pruebas no paramétricas</w:t>
      </w:r>
      <w:r w:rsidR="00055C25">
        <w:t xml:space="preserve">, empleándose como </w:t>
      </w:r>
      <w:r w:rsidRPr="00ED4BE5">
        <w:t>medida de tendencia central la mediana.</w:t>
      </w:r>
    </w:p>
    <w:p w:rsidR="002F3ED9" w:rsidRPr="00ED4BE5" w:rsidRDefault="002F3ED9" w:rsidP="00B113CB">
      <w:pPr>
        <w:ind w:firstLine="567"/>
      </w:pPr>
      <w:r w:rsidRPr="00ED4BE5">
        <w:t>Se utilizó la prueba de Kruskal-Wallis para muestras independientes para comparar las medianas de las puntuaciones de las escalas de Hong y Rathus</w:t>
      </w:r>
      <w:r w:rsidR="007127A1">
        <w:t xml:space="preserve"> y en las preguntas ad hoc</w:t>
      </w:r>
      <w:r w:rsidRPr="00ED4BE5">
        <w:t>, en función de la edad, del nivel de estudios y de la situación laboral, posteriormente, en ambas comparaciones se realizaron pruebas de comparaciones de parejas siguiendo la corrección de Bonferroni para saber exactamente entre qué grupos estaban las diferencias en las puntuaciones.</w:t>
      </w:r>
    </w:p>
    <w:p w:rsidR="002F3ED9" w:rsidRDefault="002F3ED9" w:rsidP="00B113CB">
      <w:pPr>
        <w:ind w:firstLine="567"/>
      </w:pPr>
      <w:r w:rsidRPr="00ED4BE5">
        <w:t>A continuación, se utilizó la prueba U de Mann Witney para muestras independientes para realizar una comparación entre las medianas de las puntuaciones de las escalas de Hong y Rathus, en función del sexo</w:t>
      </w:r>
      <w:r>
        <w:t>.</w:t>
      </w:r>
    </w:p>
    <w:p w:rsidR="007173A2" w:rsidRDefault="007173A2" w:rsidP="00B113CB">
      <w:pPr>
        <w:jc w:val="center"/>
      </w:pPr>
    </w:p>
    <w:p w:rsidR="00310094" w:rsidRDefault="00310094" w:rsidP="00B113CB">
      <w:pPr>
        <w:jc w:val="center"/>
      </w:pPr>
    </w:p>
    <w:p w:rsidR="006724EB" w:rsidRPr="00D1653B" w:rsidRDefault="006724EB" w:rsidP="00B113CB">
      <w:pPr>
        <w:pStyle w:val="Prrafodelista"/>
        <w:numPr>
          <w:ilvl w:val="0"/>
          <w:numId w:val="14"/>
        </w:numPr>
        <w:rPr>
          <w:rFonts w:ascii="Times New Roman" w:hAnsi="Times New Roman" w:cs="Times New Roman"/>
          <w:b/>
          <w:bCs/>
        </w:rPr>
      </w:pPr>
      <w:r w:rsidRPr="00D1653B">
        <w:rPr>
          <w:rFonts w:ascii="Times New Roman" w:hAnsi="Times New Roman" w:cs="Times New Roman"/>
          <w:b/>
          <w:bCs/>
        </w:rPr>
        <w:t>Resultados</w:t>
      </w:r>
    </w:p>
    <w:p w:rsidR="006724EB" w:rsidRDefault="006724EB" w:rsidP="00B113CB">
      <w:pPr>
        <w:ind w:firstLine="567"/>
        <w:jc w:val="both"/>
      </w:pPr>
    </w:p>
    <w:p w:rsidR="006724EB" w:rsidRDefault="006724EB" w:rsidP="00B113CB">
      <w:pPr>
        <w:ind w:firstLine="567"/>
      </w:pPr>
      <w:r>
        <w:t xml:space="preserve">En primer lugar, se comprobó que </w:t>
      </w:r>
      <w:r w:rsidR="0072699D">
        <w:t xml:space="preserve">los participantes pasan más tiempo navegando por </w:t>
      </w:r>
      <w:r>
        <w:t xml:space="preserve">Internet </w:t>
      </w:r>
      <w:r w:rsidR="0072699D">
        <w:t>que viendo la televisión (Tabla 1)</w:t>
      </w:r>
      <w:r w:rsidR="00D1653B">
        <w:t>,</w:t>
      </w:r>
      <w:r w:rsidR="0072699D">
        <w:t xml:space="preserve"> siendo Internet el medio </w:t>
      </w:r>
      <w:r>
        <w:t>que ejerce mayor influencia publicitaria</w:t>
      </w:r>
      <w:r w:rsidR="00AC2851">
        <w:t xml:space="preserve"> (</w:t>
      </w:r>
      <w:r w:rsidR="0072699D">
        <w:t>T</w:t>
      </w:r>
      <w:r w:rsidR="00AC2851">
        <w:t>ablas 2).</w:t>
      </w:r>
    </w:p>
    <w:p w:rsidR="006724EB" w:rsidRDefault="006724EB" w:rsidP="00B113CB">
      <w:pPr>
        <w:ind w:firstLine="567"/>
      </w:pPr>
    </w:p>
    <w:p w:rsidR="006724EB" w:rsidRDefault="006724EB" w:rsidP="00B113CB">
      <w:pPr>
        <w:ind w:firstLine="567"/>
        <w:rPr>
          <w:b/>
          <w:bCs/>
        </w:rPr>
      </w:pPr>
      <w:r>
        <w:rPr>
          <w:b/>
          <w:bCs/>
        </w:rPr>
        <w:t>Tabla 1</w:t>
      </w:r>
    </w:p>
    <w:p w:rsidR="006724EB" w:rsidRDefault="006724EB" w:rsidP="00B113CB">
      <w:pPr>
        <w:ind w:firstLine="567"/>
        <w:rPr>
          <w:i/>
          <w:iCs/>
        </w:rPr>
      </w:pPr>
      <w:r>
        <w:rPr>
          <w:i/>
          <w:iCs/>
        </w:rPr>
        <w:t>Frecuencias de respuesta preguntas ad hoc tiempo en Internet frente a televisión</w:t>
      </w:r>
    </w:p>
    <w:tbl>
      <w:tblPr>
        <w:tblStyle w:val="PlainTable2"/>
        <w:tblW w:w="0" w:type="auto"/>
        <w:tblLook w:val="04A0"/>
      </w:tblPr>
      <w:tblGrid>
        <w:gridCol w:w="5070"/>
        <w:gridCol w:w="992"/>
        <w:gridCol w:w="992"/>
        <w:gridCol w:w="709"/>
        <w:gridCol w:w="785"/>
      </w:tblGrid>
      <w:tr w:rsidR="006724EB" w:rsidTr="00D04254">
        <w:trPr>
          <w:cnfStyle w:val="100000000000"/>
        </w:trPr>
        <w:tc>
          <w:tcPr>
            <w:cnfStyle w:val="001000000000"/>
            <w:tcW w:w="5070" w:type="dxa"/>
          </w:tcPr>
          <w:p w:rsidR="006724EB" w:rsidRPr="001D7241" w:rsidRDefault="006724EB" w:rsidP="00B113CB"/>
        </w:tc>
        <w:tc>
          <w:tcPr>
            <w:tcW w:w="992" w:type="dxa"/>
          </w:tcPr>
          <w:p w:rsidR="006724EB" w:rsidRPr="00604C76" w:rsidRDefault="006724EB" w:rsidP="00B113CB">
            <w:pPr>
              <w:cnfStyle w:val="100000000000"/>
              <w:rPr>
                <w:b w:val="0"/>
              </w:rPr>
            </w:pPr>
            <w:r w:rsidRPr="00604C76">
              <w:rPr>
                <w:b w:val="0"/>
                <w:color w:val="222222"/>
                <w:shd w:val="clear" w:color="auto" w:fill="FFFFFF"/>
              </w:rPr>
              <w:t>&lt;1</w:t>
            </w:r>
          </w:p>
        </w:tc>
        <w:tc>
          <w:tcPr>
            <w:tcW w:w="992" w:type="dxa"/>
          </w:tcPr>
          <w:p w:rsidR="006724EB" w:rsidRPr="00604C76" w:rsidRDefault="006724EB" w:rsidP="00B113CB">
            <w:pPr>
              <w:cnfStyle w:val="100000000000"/>
              <w:rPr>
                <w:b w:val="0"/>
              </w:rPr>
            </w:pPr>
            <w:r w:rsidRPr="00604C76">
              <w:rPr>
                <w:b w:val="0"/>
              </w:rPr>
              <w:t>1-2</w:t>
            </w:r>
          </w:p>
        </w:tc>
        <w:tc>
          <w:tcPr>
            <w:tcW w:w="709" w:type="dxa"/>
          </w:tcPr>
          <w:p w:rsidR="006724EB" w:rsidRPr="00604C76" w:rsidRDefault="006724EB" w:rsidP="00B113CB">
            <w:pPr>
              <w:cnfStyle w:val="100000000000"/>
              <w:rPr>
                <w:b w:val="0"/>
              </w:rPr>
            </w:pPr>
            <w:r w:rsidRPr="00604C76">
              <w:rPr>
                <w:b w:val="0"/>
              </w:rPr>
              <w:t>2-4</w:t>
            </w:r>
          </w:p>
        </w:tc>
        <w:tc>
          <w:tcPr>
            <w:tcW w:w="785" w:type="dxa"/>
          </w:tcPr>
          <w:p w:rsidR="006724EB" w:rsidRPr="00604C76" w:rsidRDefault="006724EB" w:rsidP="00B113CB">
            <w:pPr>
              <w:cnfStyle w:val="100000000000"/>
              <w:rPr>
                <w:b w:val="0"/>
              </w:rPr>
            </w:pPr>
            <w:r w:rsidRPr="00604C76">
              <w:rPr>
                <w:b w:val="0"/>
                <w:color w:val="222222"/>
                <w:shd w:val="clear" w:color="auto" w:fill="FFFFFF"/>
              </w:rPr>
              <w:t>&gt;5</w:t>
            </w:r>
          </w:p>
        </w:tc>
      </w:tr>
      <w:tr w:rsidR="006724EB" w:rsidTr="00D04254">
        <w:trPr>
          <w:cnfStyle w:val="000000100000"/>
        </w:trPr>
        <w:tc>
          <w:tcPr>
            <w:cnfStyle w:val="001000000000"/>
            <w:tcW w:w="5070" w:type="dxa"/>
          </w:tcPr>
          <w:p w:rsidR="00D04254" w:rsidRPr="00604C76" w:rsidRDefault="00D04254" w:rsidP="00B113CB">
            <w:pPr>
              <w:pStyle w:val="Prrafodelista"/>
              <w:ind w:left="567"/>
              <w:rPr>
                <w:rFonts w:ascii="Times New Roman" w:hAnsi="Times New Roman" w:cs="Times New Roman"/>
                <w:b w:val="0"/>
              </w:rPr>
            </w:pPr>
            <w:r w:rsidRPr="00604C76">
              <w:rPr>
                <w:rFonts w:ascii="Times New Roman" w:hAnsi="Times New Roman" w:cs="Times New Roman"/>
                <w:b w:val="0"/>
              </w:rPr>
              <w:t>¿Cuántas horas al día pasas en internet?</w:t>
            </w:r>
          </w:p>
          <w:p w:rsidR="006724EB" w:rsidRPr="00604C76" w:rsidRDefault="006724EB" w:rsidP="00B113CB">
            <w:pPr>
              <w:rPr>
                <w:b w:val="0"/>
              </w:rPr>
            </w:pPr>
          </w:p>
        </w:tc>
        <w:tc>
          <w:tcPr>
            <w:tcW w:w="992" w:type="dxa"/>
          </w:tcPr>
          <w:p w:rsidR="006724EB" w:rsidRPr="001D7241" w:rsidRDefault="006724EB" w:rsidP="00B113CB">
            <w:pPr>
              <w:cnfStyle w:val="000000100000"/>
            </w:pPr>
            <w:r w:rsidRPr="001D7241">
              <w:t>58</w:t>
            </w:r>
          </w:p>
        </w:tc>
        <w:tc>
          <w:tcPr>
            <w:tcW w:w="992" w:type="dxa"/>
          </w:tcPr>
          <w:p w:rsidR="006724EB" w:rsidRPr="001D7241" w:rsidRDefault="006724EB" w:rsidP="00B113CB">
            <w:pPr>
              <w:cnfStyle w:val="000000100000"/>
            </w:pPr>
            <w:r w:rsidRPr="001D7241">
              <w:t>145</w:t>
            </w:r>
          </w:p>
        </w:tc>
        <w:tc>
          <w:tcPr>
            <w:tcW w:w="709" w:type="dxa"/>
          </w:tcPr>
          <w:p w:rsidR="006724EB" w:rsidRPr="001D7241" w:rsidRDefault="006724EB" w:rsidP="00B113CB">
            <w:pPr>
              <w:cnfStyle w:val="000000100000"/>
            </w:pPr>
            <w:r w:rsidRPr="001D7241">
              <w:t>145</w:t>
            </w:r>
          </w:p>
        </w:tc>
        <w:tc>
          <w:tcPr>
            <w:tcW w:w="785" w:type="dxa"/>
          </w:tcPr>
          <w:p w:rsidR="006724EB" w:rsidRPr="001D7241" w:rsidRDefault="006724EB" w:rsidP="00B113CB">
            <w:pPr>
              <w:cnfStyle w:val="000000100000"/>
            </w:pPr>
            <w:r w:rsidRPr="001D7241">
              <w:t>54</w:t>
            </w:r>
          </w:p>
        </w:tc>
      </w:tr>
      <w:tr w:rsidR="006724EB" w:rsidTr="00D04254">
        <w:trPr>
          <w:trHeight w:val="77"/>
        </w:trPr>
        <w:tc>
          <w:tcPr>
            <w:cnfStyle w:val="001000000000"/>
            <w:tcW w:w="5070" w:type="dxa"/>
          </w:tcPr>
          <w:p w:rsidR="00D04254" w:rsidRPr="00604C76" w:rsidRDefault="00D04254" w:rsidP="00B113CB">
            <w:pPr>
              <w:pStyle w:val="Prrafodelista"/>
              <w:ind w:left="567"/>
              <w:rPr>
                <w:rFonts w:ascii="Times New Roman" w:hAnsi="Times New Roman" w:cs="Times New Roman"/>
                <w:b w:val="0"/>
              </w:rPr>
            </w:pPr>
            <w:r w:rsidRPr="00604C76">
              <w:rPr>
                <w:rFonts w:ascii="Times New Roman" w:hAnsi="Times New Roman" w:cs="Times New Roman"/>
                <w:b w:val="0"/>
              </w:rPr>
              <w:t>¿Cuántas horas de televisión consumes al día?</w:t>
            </w:r>
          </w:p>
          <w:p w:rsidR="006724EB" w:rsidRPr="00604C76" w:rsidRDefault="006724EB" w:rsidP="00B113CB">
            <w:pPr>
              <w:rPr>
                <w:b w:val="0"/>
              </w:rPr>
            </w:pPr>
          </w:p>
        </w:tc>
        <w:tc>
          <w:tcPr>
            <w:tcW w:w="992" w:type="dxa"/>
          </w:tcPr>
          <w:p w:rsidR="006724EB" w:rsidRPr="001D7241" w:rsidRDefault="006724EB" w:rsidP="00B113CB">
            <w:pPr>
              <w:cnfStyle w:val="000000000000"/>
            </w:pPr>
            <w:r w:rsidRPr="001D7241">
              <w:t>203</w:t>
            </w:r>
          </w:p>
        </w:tc>
        <w:tc>
          <w:tcPr>
            <w:tcW w:w="992" w:type="dxa"/>
          </w:tcPr>
          <w:p w:rsidR="006724EB" w:rsidRPr="001D7241" w:rsidRDefault="006724EB" w:rsidP="00B113CB">
            <w:pPr>
              <w:cnfStyle w:val="000000000000"/>
            </w:pPr>
            <w:r w:rsidRPr="001D7241">
              <w:t>152</w:t>
            </w:r>
          </w:p>
        </w:tc>
        <w:tc>
          <w:tcPr>
            <w:tcW w:w="709" w:type="dxa"/>
          </w:tcPr>
          <w:p w:rsidR="006724EB" w:rsidRPr="001D7241" w:rsidRDefault="006724EB" w:rsidP="00B113CB">
            <w:pPr>
              <w:cnfStyle w:val="000000000000"/>
            </w:pPr>
            <w:r w:rsidRPr="001D7241">
              <w:t>41</w:t>
            </w:r>
          </w:p>
        </w:tc>
        <w:tc>
          <w:tcPr>
            <w:tcW w:w="785" w:type="dxa"/>
          </w:tcPr>
          <w:p w:rsidR="006724EB" w:rsidRPr="001D7241" w:rsidRDefault="006724EB" w:rsidP="00B113CB">
            <w:pPr>
              <w:cnfStyle w:val="000000000000"/>
            </w:pPr>
            <w:r w:rsidRPr="001D7241">
              <w:t>6</w:t>
            </w:r>
          </w:p>
        </w:tc>
      </w:tr>
    </w:tbl>
    <w:p w:rsidR="006724EB" w:rsidRPr="00D1653B" w:rsidRDefault="006724EB" w:rsidP="00B113CB">
      <w:pPr>
        <w:ind w:firstLine="567"/>
        <w:rPr>
          <w:color w:val="222222"/>
          <w:sz w:val="20"/>
          <w:szCs w:val="20"/>
          <w:shd w:val="clear" w:color="auto" w:fill="FFFFFF"/>
        </w:rPr>
      </w:pPr>
      <w:r w:rsidRPr="00D1653B">
        <w:rPr>
          <w:sz w:val="20"/>
          <w:szCs w:val="20"/>
        </w:rPr>
        <w:t xml:space="preserve">Las puntuaciones reflejadas en la tabla representan las frecuencias de respuesta de los sujetos. Siendo </w:t>
      </w:r>
      <w:r w:rsidRPr="00D1653B">
        <w:rPr>
          <w:color w:val="222222"/>
          <w:sz w:val="20"/>
          <w:szCs w:val="20"/>
          <w:shd w:val="clear" w:color="auto" w:fill="FFFFFF"/>
        </w:rPr>
        <w:t>&lt;1 = menos de 1 hora, 1-2 = entre 1 y 2 horas, 2-4 = entre 2 y 4 horas y &gt;5= más de 5 horas.</w:t>
      </w:r>
    </w:p>
    <w:p w:rsidR="006724EB" w:rsidRPr="001D7241" w:rsidRDefault="006724EB" w:rsidP="00B113CB">
      <w:pPr>
        <w:ind w:firstLine="567"/>
        <w:rPr>
          <w:sz w:val="21"/>
          <w:szCs w:val="21"/>
        </w:rPr>
      </w:pPr>
    </w:p>
    <w:p w:rsidR="006724EB" w:rsidRPr="001D7241" w:rsidRDefault="006724EB" w:rsidP="00B113CB">
      <w:pPr>
        <w:ind w:firstLine="567"/>
        <w:rPr>
          <w:b/>
          <w:bCs/>
        </w:rPr>
      </w:pPr>
      <w:r w:rsidRPr="001D7241">
        <w:rPr>
          <w:b/>
          <w:bCs/>
        </w:rPr>
        <w:t>Tabla 2</w:t>
      </w:r>
    </w:p>
    <w:p w:rsidR="006724EB" w:rsidRPr="001D7241" w:rsidRDefault="006724EB" w:rsidP="00B113CB">
      <w:pPr>
        <w:ind w:firstLine="567"/>
        <w:rPr>
          <w:i/>
          <w:iCs/>
        </w:rPr>
      </w:pPr>
      <w:r w:rsidRPr="001D7241">
        <w:rPr>
          <w:i/>
          <w:iCs/>
        </w:rPr>
        <w:t>Frecuencias de respuesta preguntas ad hoc inoculación de mensajes publicitarios</w:t>
      </w:r>
    </w:p>
    <w:tbl>
      <w:tblPr>
        <w:tblStyle w:val="PlainTable2"/>
        <w:tblW w:w="0" w:type="auto"/>
        <w:tblLook w:val="04A0"/>
      </w:tblPr>
      <w:tblGrid>
        <w:gridCol w:w="6487"/>
        <w:gridCol w:w="1276"/>
        <w:gridCol w:w="725"/>
      </w:tblGrid>
      <w:tr w:rsidR="006724EB" w:rsidTr="00604C76">
        <w:trPr>
          <w:cnfStyle w:val="100000000000"/>
        </w:trPr>
        <w:tc>
          <w:tcPr>
            <w:cnfStyle w:val="001000000000"/>
            <w:tcW w:w="6487" w:type="dxa"/>
          </w:tcPr>
          <w:p w:rsidR="006724EB" w:rsidRDefault="006724EB" w:rsidP="00B113CB"/>
        </w:tc>
        <w:tc>
          <w:tcPr>
            <w:tcW w:w="1276" w:type="dxa"/>
          </w:tcPr>
          <w:p w:rsidR="006724EB" w:rsidRPr="00604C76" w:rsidRDefault="006724EB" w:rsidP="00B113CB">
            <w:pPr>
              <w:cnfStyle w:val="100000000000"/>
              <w:rPr>
                <w:b w:val="0"/>
              </w:rPr>
            </w:pPr>
            <w:r w:rsidRPr="00604C76">
              <w:rPr>
                <w:b w:val="0"/>
              </w:rPr>
              <w:t>Si</w:t>
            </w:r>
          </w:p>
        </w:tc>
        <w:tc>
          <w:tcPr>
            <w:tcW w:w="725" w:type="dxa"/>
          </w:tcPr>
          <w:p w:rsidR="006724EB" w:rsidRPr="00604C76" w:rsidRDefault="006724EB" w:rsidP="00B113CB">
            <w:pPr>
              <w:cnfStyle w:val="100000000000"/>
              <w:rPr>
                <w:b w:val="0"/>
              </w:rPr>
            </w:pPr>
            <w:r w:rsidRPr="00604C76">
              <w:rPr>
                <w:b w:val="0"/>
              </w:rPr>
              <w:t>No</w:t>
            </w:r>
          </w:p>
        </w:tc>
      </w:tr>
      <w:tr w:rsidR="006724EB" w:rsidTr="00604C76">
        <w:trPr>
          <w:cnfStyle w:val="000000100000"/>
        </w:trPr>
        <w:tc>
          <w:tcPr>
            <w:cnfStyle w:val="001000000000"/>
            <w:tcW w:w="6487" w:type="dxa"/>
          </w:tcPr>
          <w:p w:rsidR="006724EB" w:rsidRPr="00604C76" w:rsidRDefault="00604C76" w:rsidP="00B113CB">
            <w:pPr>
              <w:rPr>
                <w:b w:val="0"/>
              </w:rPr>
            </w:pPr>
            <w:r w:rsidRPr="00604C76">
              <w:rPr>
                <w:b w:val="0"/>
              </w:rPr>
              <w:t xml:space="preserve">¿Visualizas anuncios (de ropa, de películas, de páginas web, etc.) cuando estás navegando en internet, por ejemplo, cuando consultas el correo electrónico? </w:t>
            </w:r>
          </w:p>
        </w:tc>
        <w:tc>
          <w:tcPr>
            <w:tcW w:w="1276" w:type="dxa"/>
          </w:tcPr>
          <w:p w:rsidR="006724EB" w:rsidRDefault="006724EB" w:rsidP="00B113CB">
            <w:pPr>
              <w:cnfStyle w:val="000000100000"/>
            </w:pPr>
            <w:r>
              <w:t>267</w:t>
            </w:r>
          </w:p>
        </w:tc>
        <w:tc>
          <w:tcPr>
            <w:tcW w:w="725" w:type="dxa"/>
          </w:tcPr>
          <w:p w:rsidR="006724EB" w:rsidRDefault="006724EB" w:rsidP="00B113CB">
            <w:pPr>
              <w:cnfStyle w:val="000000100000"/>
            </w:pPr>
            <w:r>
              <w:t>135</w:t>
            </w:r>
          </w:p>
        </w:tc>
      </w:tr>
      <w:tr w:rsidR="006724EB" w:rsidTr="00604C76">
        <w:tc>
          <w:tcPr>
            <w:cnfStyle w:val="001000000000"/>
            <w:tcW w:w="6487" w:type="dxa"/>
          </w:tcPr>
          <w:p w:rsidR="006724EB" w:rsidRDefault="00604C76" w:rsidP="00B113CB">
            <w:r w:rsidRPr="00604C76">
              <w:rPr>
                <w:b w:val="0"/>
              </w:rPr>
              <w:t>¿Cuándo visualizas la televisión ves anuncios publicitarios?</w:t>
            </w:r>
          </w:p>
        </w:tc>
        <w:tc>
          <w:tcPr>
            <w:tcW w:w="1276" w:type="dxa"/>
          </w:tcPr>
          <w:p w:rsidR="006724EB" w:rsidRDefault="006724EB" w:rsidP="00B113CB">
            <w:pPr>
              <w:cnfStyle w:val="000000000000"/>
            </w:pPr>
            <w:r>
              <w:t>250</w:t>
            </w:r>
          </w:p>
        </w:tc>
        <w:tc>
          <w:tcPr>
            <w:tcW w:w="725" w:type="dxa"/>
          </w:tcPr>
          <w:p w:rsidR="006724EB" w:rsidRDefault="006724EB" w:rsidP="00B113CB">
            <w:pPr>
              <w:cnfStyle w:val="000000000000"/>
            </w:pPr>
            <w:r>
              <w:t>152</w:t>
            </w:r>
          </w:p>
        </w:tc>
      </w:tr>
      <w:tr w:rsidR="006724EB" w:rsidRPr="00604C76" w:rsidTr="00604C76">
        <w:trPr>
          <w:cnfStyle w:val="000000100000"/>
        </w:trPr>
        <w:tc>
          <w:tcPr>
            <w:cnfStyle w:val="001000000000"/>
            <w:tcW w:w="6487" w:type="dxa"/>
          </w:tcPr>
          <w:p w:rsidR="006724EB" w:rsidRPr="00604C76" w:rsidRDefault="00604C76" w:rsidP="00B113CB">
            <w:pPr>
              <w:rPr>
                <w:b w:val="0"/>
              </w:rPr>
            </w:pPr>
            <w:r w:rsidRPr="00604C76">
              <w:rPr>
                <w:b w:val="0"/>
                <w:color w:val="000000"/>
              </w:rPr>
              <w:t>Cuando visualizas publicidad en internet del tipo hay rebajas en X sitio, ¿sueles entrar en el mensaje?</w:t>
            </w:r>
          </w:p>
        </w:tc>
        <w:tc>
          <w:tcPr>
            <w:tcW w:w="1276" w:type="dxa"/>
          </w:tcPr>
          <w:p w:rsidR="006724EB" w:rsidRPr="00604C76" w:rsidRDefault="006724EB" w:rsidP="00B113CB">
            <w:pPr>
              <w:cnfStyle w:val="000000100000"/>
            </w:pPr>
            <w:r w:rsidRPr="00604C76">
              <w:t>101</w:t>
            </w:r>
          </w:p>
        </w:tc>
        <w:tc>
          <w:tcPr>
            <w:tcW w:w="725" w:type="dxa"/>
          </w:tcPr>
          <w:p w:rsidR="006724EB" w:rsidRPr="00604C76" w:rsidRDefault="006724EB" w:rsidP="00B113CB">
            <w:pPr>
              <w:cnfStyle w:val="000000100000"/>
            </w:pPr>
            <w:r w:rsidRPr="00604C76">
              <w:t>301</w:t>
            </w:r>
          </w:p>
        </w:tc>
      </w:tr>
      <w:tr w:rsidR="006724EB" w:rsidTr="00604C76">
        <w:tc>
          <w:tcPr>
            <w:cnfStyle w:val="001000000000"/>
            <w:tcW w:w="6487" w:type="dxa"/>
          </w:tcPr>
          <w:p w:rsidR="006724EB" w:rsidRDefault="00604C76" w:rsidP="00B113CB">
            <w:r w:rsidRPr="00604C76">
              <w:rPr>
                <w:b w:val="0"/>
                <w:color w:val="000000"/>
              </w:rPr>
              <w:t>En el caso de tener redes sociales, ¿sigues algún influencer”?</w:t>
            </w:r>
          </w:p>
        </w:tc>
        <w:tc>
          <w:tcPr>
            <w:tcW w:w="1276" w:type="dxa"/>
          </w:tcPr>
          <w:p w:rsidR="006724EB" w:rsidRDefault="006724EB" w:rsidP="00B113CB">
            <w:pPr>
              <w:cnfStyle w:val="000000000000"/>
            </w:pPr>
            <w:r>
              <w:t>189</w:t>
            </w:r>
          </w:p>
        </w:tc>
        <w:tc>
          <w:tcPr>
            <w:tcW w:w="725" w:type="dxa"/>
          </w:tcPr>
          <w:p w:rsidR="006724EB" w:rsidRDefault="006724EB" w:rsidP="00B113CB">
            <w:pPr>
              <w:cnfStyle w:val="000000000000"/>
            </w:pPr>
            <w:r>
              <w:t>179</w:t>
            </w:r>
          </w:p>
        </w:tc>
      </w:tr>
    </w:tbl>
    <w:p w:rsidR="006724EB" w:rsidRPr="00816D62" w:rsidRDefault="006724EB" w:rsidP="00B113CB">
      <w:pPr>
        <w:ind w:firstLine="567"/>
        <w:rPr>
          <w:sz w:val="21"/>
          <w:szCs w:val="21"/>
        </w:rPr>
      </w:pPr>
      <w:r>
        <w:rPr>
          <w:sz w:val="21"/>
          <w:szCs w:val="21"/>
        </w:rPr>
        <w:t xml:space="preserve"> </w:t>
      </w:r>
    </w:p>
    <w:p w:rsidR="006724EB" w:rsidRDefault="006724EB" w:rsidP="00B113CB"/>
    <w:p w:rsidR="007173A2" w:rsidRDefault="006724EB" w:rsidP="00B113CB">
      <w:pPr>
        <w:ind w:firstLine="567"/>
      </w:pPr>
      <w:r>
        <w:t xml:space="preserve">Seguidamente, se constató que existen diferencias </w:t>
      </w:r>
      <w:r w:rsidR="00D1653B">
        <w:t xml:space="preserve">inter-género </w:t>
      </w:r>
      <w:r>
        <w:t xml:space="preserve">significativas en ambas escalas por medio de la prueba de U de Mann- Witney para muestras independientes. Así específicamente, como se recoge en la Tabla 3, las mujeres presentan un rango medio de puntuaciones mayor que el de los hombres por lo que se </w:t>
      </w:r>
      <w:r w:rsidR="003B184B">
        <w:t xml:space="preserve">perciben como más </w:t>
      </w:r>
      <w:r>
        <w:t>asertivas</w:t>
      </w:r>
      <w:r w:rsidR="003B184B">
        <w:t xml:space="preserve"> en la mayoría de los indicadores objeto de análisis</w:t>
      </w:r>
      <w:r>
        <w:t>.</w:t>
      </w:r>
    </w:p>
    <w:p w:rsidR="00D04254" w:rsidRDefault="00D04254" w:rsidP="00B113CB">
      <w:pPr>
        <w:ind w:firstLine="567"/>
        <w:rPr>
          <w:b/>
          <w:bCs/>
        </w:rPr>
      </w:pPr>
    </w:p>
    <w:p w:rsidR="006724EB" w:rsidRPr="00EB020B" w:rsidRDefault="006724EB" w:rsidP="00B113CB">
      <w:pPr>
        <w:ind w:firstLine="567"/>
      </w:pPr>
      <w:r w:rsidRPr="005B725E">
        <w:rPr>
          <w:b/>
          <w:bCs/>
        </w:rPr>
        <w:t xml:space="preserve">Tabla </w:t>
      </w:r>
      <w:r>
        <w:rPr>
          <w:b/>
          <w:bCs/>
        </w:rPr>
        <w:t>3</w:t>
      </w:r>
    </w:p>
    <w:p w:rsidR="006724EB" w:rsidRDefault="006724EB" w:rsidP="00B113CB">
      <w:pPr>
        <w:ind w:firstLine="567"/>
        <w:rPr>
          <w:i/>
          <w:iCs/>
        </w:rPr>
      </w:pPr>
      <w:r>
        <w:rPr>
          <w:i/>
          <w:iCs/>
        </w:rPr>
        <w:t xml:space="preserve">Rango de media de las puntuaciones en la escala de </w:t>
      </w:r>
      <w:r w:rsidR="003B184B">
        <w:rPr>
          <w:i/>
          <w:iCs/>
        </w:rPr>
        <w:t xml:space="preserve">asertividad de </w:t>
      </w:r>
      <w:r>
        <w:rPr>
          <w:i/>
          <w:iCs/>
        </w:rPr>
        <w:t>Rathus según el sexo</w:t>
      </w:r>
    </w:p>
    <w:tbl>
      <w:tblPr>
        <w:tblStyle w:val="PlainTable2"/>
        <w:tblW w:w="0" w:type="auto"/>
        <w:tblLook w:val="04A0"/>
      </w:tblPr>
      <w:tblGrid>
        <w:gridCol w:w="1671"/>
        <w:gridCol w:w="1915"/>
        <w:gridCol w:w="1865"/>
        <w:gridCol w:w="1623"/>
        <w:gridCol w:w="1424"/>
      </w:tblGrid>
      <w:tr w:rsidR="00ED4507" w:rsidRPr="00604C76" w:rsidTr="00ED4507">
        <w:trPr>
          <w:cnfStyle w:val="100000000000"/>
        </w:trPr>
        <w:tc>
          <w:tcPr>
            <w:cnfStyle w:val="001000000000"/>
            <w:tcW w:w="1671" w:type="dxa"/>
          </w:tcPr>
          <w:p w:rsidR="00ED4507" w:rsidRDefault="00ED4507" w:rsidP="00B113CB">
            <w:pPr>
              <w:rPr>
                <w:b w:val="0"/>
                <w:bCs w:val="0"/>
              </w:rPr>
            </w:pPr>
          </w:p>
        </w:tc>
        <w:tc>
          <w:tcPr>
            <w:tcW w:w="1915" w:type="dxa"/>
          </w:tcPr>
          <w:p w:rsidR="00ED4507" w:rsidRPr="00604C76" w:rsidRDefault="00ED4507" w:rsidP="00B113CB">
            <w:pPr>
              <w:cnfStyle w:val="100000000000"/>
            </w:pPr>
            <w:r w:rsidRPr="00604C76">
              <w:t>Hombres</w:t>
            </w:r>
          </w:p>
        </w:tc>
        <w:tc>
          <w:tcPr>
            <w:tcW w:w="1865" w:type="dxa"/>
          </w:tcPr>
          <w:p w:rsidR="00ED4507" w:rsidRPr="00604C76" w:rsidRDefault="00ED4507" w:rsidP="00B113CB">
            <w:pPr>
              <w:cnfStyle w:val="100000000000"/>
            </w:pPr>
            <w:r w:rsidRPr="00604C76">
              <w:t>Mujeres</w:t>
            </w:r>
          </w:p>
        </w:tc>
        <w:tc>
          <w:tcPr>
            <w:tcW w:w="1623" w:type="dxa"/>
          </w:tcPr>
          <w:p w:rsidR="00ED4507" w:rsidRPr="00604C76" w:rsidRDefault="00ED4507" w:rsidP="00B113CB">
            <w:pPr>
              <w:cnfStyle w:val="100000000000"/>
            </w:pPr>
            <w:r w:rsidRPr="00604C76">
              <w:t>Sig.</w:t>
            </w:r>
          </w:p>
        </w:tc>
        <w:tc>
          <w:tcPr>
            <w:tcW w:w="1424" w:type="dxa"/>
          </w:tcPr>
          <w:p w:rsidR="00ED4507" w:rsidRPr="00604C76" w:rsidRDefault="00ED4507" w:rsidP="003B184B">
            <w:pPr>
              <w:cnfStyle w:val="100000000000"/>
            </w:pPr>
            <w:r w:rsidRPr="00604C76">
              <w:t>T</w:t>
            </w:r>
            <w:r w:rsidR="003B184B">
              <w:t>amaño del efecto</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1</w:t>
            </w:r>
          </w:p>
        </w:tc>
        <w:tc>
          <w:tcPr>
            <w:tcW w:w="1915" w:type="dxa"/>
          </w:tcPr>
          <w:p w:rsidR="00ED4507" w:rsidRPr="00604C76" w:rsidRDefault="00ED4507" w:rsidP="00B113CB">
            <w:pPr>
              <w:cnfStyle w:val="000000100000"/>
            </w:pPr>
            <w:r w:rsidRPr="00604C76">
              <w:t>196.65</w:t>
            </w:r>
          </w:p>
        </w:tc>
        <w:tc>
          <w:tcPr>
            <w:tcW w:w="1865" w:type="dxa"/>
          </w:tcPr>
          <w:p w:rsidR="00ED4507" w:rsidRPr="00604C76" w:rsidRDefault="00ED4507" w:rsidP="00B113CB">
            <w:pPr>
              <w:cnfStyle w:val="000000100000"/>
            </w:pPr>
            <w:r w:rsidRPr="00604C76">
              <w:t>204.74</w:t>
            </w:r>
          </w:p>
        </w:tc>
        <w:tc>
          <w:tcPr>
            <w:tcW w:w="1623" w:type="dxa"/>
          </w:tcPr>
          <w:p w:rsidR="00ED4507" w:rsidRPr="00604C76" w:rsidRDefault="00ED4507" w:rsidP="00B113CB">
            <w:pPr>
              <w:cnfStyle w:val="000000100000"/>
            </w:pPr>
            <w:r w:rsidRPr="00604C76">
              <w:t>0.482</w:t>
            </w:r>
          </w:p>
        </w:tc>
        <w:tc>
          <w:tcPr>
            <w:tcW w:w="1424" w:type="dxa"/>
          </w:tcPr>
          <w:p w:rsidR="00ED4507" w:rsidRPr="00604C76" w:rsidRDefault="001E7362" w:rsidP="00B113CB">
            <w:pPr>
              <w:cnfStyle w:val="000000100000"/>
            </w:pPr>
            <w:r w:rsidRPr="00604C76">
              <w:t>0.001</w:t>
            </w:r>
          </w:p>
        </w:tc>
      </w:tr>
      <w:tr w:rsidR="00ED4507" w:rsidTr="00ED4507">
        <w:tc>
          <w:tcPr>
            <w:cnfStyle w:val="001000000000"/>
            <w:tcW w:w="1671" w:type="dxa"/>
          </w:tcPr>
          <w:p w:rsidR="00ED4507" w:rsidRPr="00604C76" w:rsidRDefault="00ED4507" w:rsidP="00B113CB">
            <w:pPr>
              <w:rPr>
                <w:b w:val="0"/>
              </w:rPr>
            </w:pPr>
            <w:r w:rsidRPr="00604C76">
              <w:rPr>
                <w:b w:val="0"/>
              </w:rPr>
              <w:t>Ítem 2</w:t>
            </w:r>
          </w:p>
        </w:tc>
        <w:tc>
          <w:tcPr>
            <w:tcW w:w="1915" w:type="dxa"/>
          </w:tcPr>
          <w:p w:rsidR="00ED4507" w:rsidRPr="00604C76" w:rsidRDefault="00ED4507" w:rsidP="00B113CB">
            <w:pPr>
              <w:cnfStyle w:val="000000000000"/>
            </w:pPr>
            <w:r w:rsidRPr="00604C76">
              <w:t>202.31</w:t>
            </w:r>
          </w:p>
        </w:tc>
        <w:tc>
          <w:tcPr>
            <w:tcW w:w="1865" w:type="dxa"/>
          </w:tcPr>
          <w:p w:rsidR="00ED4507" w:rsidRPr="00604C76" w:rsidRDefault="00ED4507" w:rsidP="00B113CB">
            <w:pPr>
              <w:cnfStyle w:val="000000000000"/>
            </w:pPr>
            <w:r w:rsidRPr="00604C76">
              <w:t>200.96</w:t>
            </w:r>
          </w:p>
        </w:tc>
        <w:tc>
          <w:tcPr>
            <w:tcW w:w="1623" w:type="dxa"/>
          </w:tcPr>
          <w:p w:rsidR="00ED4507" w:rsidRPr="00604C76" w:rsidRDefault="00ED4507" w:rsidP="00B113CB">
            <w:pPr>
              <w:cnfStyle w:val="000000000000"/>
            </w:pPr>
            <w:r w:rsidRPr="00604C76">
              <w:t>0.908</w:t>
            </w:r>
          </w:p>
        </w:tc>
        <w:tc>
          <w:tcPr>
            <w:tcW w:w="1424" w:type="dxa"/>
          </w:tcPr>
          <w:p w:rsidR="00ED4507" w:rsidRPr="00604C76" w:rsidRDefault="001E7362" w:rsidP="00B113CB">
            <w:pPr>
              <w:cnfStyle w:val="000000000000"/>
            </w:pPr>
            <w:r w:rsidRPr="00604C76">
              <w:t>0.000</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3</w:t>
            </w:r>
          </w:p>
        </w:tc>
        <w:tc>
          <w:tcPr>
            <w:tcW w:w="1915" w:type="dxa"/>
          </w:tcPr>
          <w:p w:rsidR="00ED4507" w:rsidRPr="00604C76" w:rsidRDefault="00ED4507" w:rsidP="00B113CB">
            <w:pPr>
              <w:cnfStyle w:val="000000100000"/>
            </w:pPr>
            <w:r w:rsidRPr="00604C76">
              <w:t>216.51</w:t>
            </w:r>
          </w:p>
        </w:tc>
        <w:tc>
          <w:tcPr>
            <w:tcW w:w="1865" w:type="dxa"/>
          </w:tcPr>
          <w:p w:rsidR="00ED4507" w:rsidRPr="00604C76" w:rsidRDefault="00ED4507" w:rsidP="00B113CB">
            <w:pPr>
              <w:cnfStyle w:val="000000100000"/>
            </w:pPr>
            <w:r w:rsidRPr="00604C76">
              <w:t>191.48</w:t>
            </w:r>
          </w:p>
        </w:tc>
        <w:tc>
          <w:tcPr>
            <w:tcW w:w="1623" w:type="dxa"/>
          </w:tcPr>
          <w:p w:rsidR="00ED4507" w:rsidRPr="00604C76" w:rsidRDefault="00ED4507" w:rsidP="00B113CB">
            <w:pPr>
              <w:cnfStyle w:val="000000100000"/>
            </w:pPr>
            <w:r w:rsidRPr="00604C76">
              <w:t>0.030*</w:t>
            </w:r>
          </w:p>
        </w:tc>
        <w:tc>
          <w:tcPr>
            <w:tcW w:w="1424" w:type="dxa"/>
          </w:tcPr>
          <w:p w:rsidR="00ED4507" w:rsidRPr="00604C76" w:rsidRDefault="00ED4507" w:rsidP="00B113CB">
            <w:pPr>
              <w:cnfStyle w:val="000000100000"/>
            </w:pPr>
            <w:r w:rsidRPr="00604C76">
              <w:t>0.011</w:t>
            </w:r>
          </w:p>
        </w:tc>
      </w:tr>
      <w:tr w:rsidR="00ED4507" w:rsidTr="00ED4507">
        <w:tc>
          <w:tcPr>
            <w:cnfStyle w:val="001000000000"/>
            <w:tcW w:w="1671" w:type="dxa"/>
          </w:tcPr>
          <w:p w:rsidR="00ED4507" w:rsidRPr="00604C76" w:rsidRDefault="00ED4507" w:rsidP="00B113CB">
            <w:pPr>
              <w:rPr>
                <w:b w:val="0"/>
              </w:rPr>
            </w:pPr>
            <w:r w:rsidRPr="00604C76">
              <w:rPr>
                <w:b w:val="0"/>
              </w:rPr>
              <w:t>Ítem 4</w:t>
            </w:r>
          </w:p>
        </w:tc>
        <w:tc>
          <w:tcPr>
            <w:tcW w:w="1915" w:type="dxa"/>
          </w:tcPr>
          <w:p w:rsidR="00ED4507" w:rsidRPr="00604C76" w:rsidRDefault="00ED4507" w:rsidP="00B113CB">
            <w:pPr>
              <w:cnfStyle w:val="000000000000"/>
            </w:pPr>
            <w:r w:rsidRPr="00604C76">
              <w:t>177.12</w:t>
            </w:r>
          </w:p>
        </w:tc>
        <w:tc>
          <w:tcPr>
            <w:tcW w:w="1865" w:type="dxa"/>
          </w:tcPr>
          <w:p w:rsidR="00ED4507" w:rsidRPr="00604C76" w:rsidRDefault="00ED4507" w:rsidP="00B113CB">
            <w:pPr>
              <w:cnfStyle w:val="000000000000"/>
            </w:pPr>
            <w:r w:rsidRPr="00604C76">
              <w:t>217.78</w:t>
            </w:r>
          </w:p>
        </w:tc>
        <w:tc>
          <w:tcPr>
            <w:tcW w:w="1623" w:type="dxa"/>
          </w:tcPr>
          <w:p w:rsidR="00ED4507" w:rsidRPr="00604C76" w:rsidRDefault="00ED4507" w:rsidP="00B113CB">
            <w:pPr>
              <w:cnfStyle w:val="000000000000"/>
            </w:pPr>
            <w:r w:rsidRPr="00604C76">
              <w:t>0.000*</w:t>
            </w:r>
          </w:p>
        </w:tc>
        <w:tc>
          <w:tcPr>
            <w:tcW w:w="1424" w:type="dxa"/>
          </w:tcPr>
          <w:p w:rsidR="00ED4507" w:rsidRPr="00604C76" w:rsidRDefault="00ED4507" w:rsidP="00B113CB">
            <w:pPr>
              <w:cnfStyle w:val="000000000000"/>
            </w:pPr>
            <w:r w:rsidRPr="00604C76">
              <w:t>0.031</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5</w:t>
            </w:r>
          </w:p>
        </w:tc>
        <w:tc>
          <w:tcPr>
            <w:tcW w:w="1915" w:type="dxa"/>
          </w:tcPr>
          <w:p w:rsidR="00ED4507" w:rsidRPr="009056C1" w:rsidRDefault="00ED4507" w:rsidP="00B113CB">
            <w:pPr>
              <w:cnfStyle w:val="000000100000"/>
            </w:pPr>
            <w:r w:rsidRPr="009056C1">
              <w:t>193.02</w:t>
            </w:r>
          </w:p>
        </w:tc>
        <w:tc>
          <w:tcPr>
            <w:tcW w:w="1865" w:type="dxa"/>
          </w:tcPr>
          <w:p w:rsidR="00ED4507" w:rsidRPr="009056C1" w:rsidRDefault="00ED4507" w:rsidP="00B113CB">
            <w:pPr>
              <w:cnfStyle w:val="000000100000"/>
            </w:pPr>
            <w:r w:rsidRPr="009056C1">
              <w:t>207.16</w:t>
            </w:r>
          </w:p>
        </w:tc>
        <w:tc>
          <w:tcPr>
            <w:tcW w:w="1623" w:type="dxa"/>
          </w:tcPr>
          <w:p w:rsidR="00ED4507" w:rsidRPr="009056C1" w:rsidRDefault="00ED4507" w:rsidP="00B113CB">
            <w:pPr>
              <w:cnfStyle w:val="000000100000"/>
            </w:pPr>
            <w:r w:rsidRPr="009056C1">
              <w:t>0.213</w:t>
            </w:r>
          </w:p>
        </w:tc>
        <w:tc>
          <w:tcPr>
            <w:tcW w:w="1424" w:type="dxa"/>
          </w:tcPr>
          <w:p w:rsidR="00ED4507" w:rsidRPr="009056C1" w:rsidRDefault="001E7362" w:rsidP="00B113CB">
            <w:pPr>
              <w:cnfStyle w:val="000000100000"/>
            </w:pPr>
            <w:r>
              <w:t>0.004</w:t>
            </w:r>
          </w:p>
        </w:tc>
      </w:tr>
      <w:tr w:rsidR="00ED4507" w:rsidTr="00ED4507">
        <w:tc>
          <w:tcPr>
            <w:cnfStyle w:val="001000000000"/>
            <w:tcW w:w="1671" w:type="dxa"/>
          </w:tcPr>
          <w:p w:rsidR="00ED4507" w:rsidRPr="00604C76" w:rsidRDefault="00ED4507" w:rsidP="00B113CB">
            <w:pPr>
              <w:rPr>
                <w:b w:val="0"/>
              </w:rPr>
            </w:pPr>
            <w:r w:rsidRPr="00604C76">
              <w:rPr>
                <w:b w:val="0"/>
              </w:rPr>
              <w:t>Ítem 6</w:t>
            </w:r>
          </w:p>
        </w:tc>
        <w:tc>
          <w:tcPr>
            <w:tcW w:w="1915" w:type="dxa"/>
          </w:tcPr>
          <w:p w:rsidR="00ED4507" w:rsidRPr="009056C1" w:rsidRDefault="00ED4507" w:rsidP="00B113CB">
            <w:pPr>
              <w:cnfStyle w:val="000000000000"/>
            </w:pPr>
            <w:r w:rsidRPr="009056C1">
              <w:t>185.11</w:t>
            </w:r>
          </w:p>
        </w:tc>
        <w:tc>
          <w:tcPr>
            <w:tcW w:w="1865" w:type="dxa"/>
          </w:tcPr>
          <w:p w:rsidR="00ED4507" w:rsidRPr="009056C1" w:rsidRDefault="00ED4507" w:rsidP="00B113CB">
            <w:pPr>
              <w:cnfStyle w:val="000000000000"/>
            </w:pPr>
            <w:r w:rsidRPr="009056C1">
              <w:t>212.45</w:t>
            </w:r>
          </w:p>
        </w:tc>
        <w:tc>
          <w:tcPr>
            <w:tcW w:w="1623" w:type="dxa"/>
          </w:tcPr>
          <w:p w:rsidR="00ED4507" w:rsidRPr="009056C1" w:rsidRDefault="00ED4507" w:rsidP="00B113CB">
            <w:pPr>
              <w:cnfStyle w:val="000000000000"/>
            </w:pPr>
            <w:r w:rsidRPr="009056C1">
              <w:t>0.017*</w:t>
            </w:r>
          </w:p>
        </w:tc>
        <w:tc>
          <w:tcPr>
            <w:tcW w:w="1424" w:type="dxa"/>
          </w:tcPr>
          <w:p w:rsidR="00ED4507" w:rsidRPr="009056C1" w:rsidRDefault="001E7362" w:rsidP="00B113CB">
            <w:pPr>
              <w:cnfStyle w:val="000000000000"/>
            </w:pPr>
            <w:r>
              <w:t>0.014</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7</w:t>
            </w:r>
          </w:p>
        </w:tc>
        <w:tc>
          <w:tcPr>
            <w:tcW w:w="1915" w:type="dxa"/>
          </w:tcPr>
          <w:p w:rsidR="00ED4507" w:rsidRPr="009056C1" w:rsidRDefault="00ED4507" w:rsidP="00B113CB">
            <w:pPr>
              <w:cnfStyle w:val="000000100000"/>
            </w:pPr>
            <w:r w:rsidRPr="009056C1">
              <w:t>201.00</w:t>
            </w:r>
          </w:p>
        </w:tc>
        <w:tc>
          <w:tcPr>
            <w:tcW w:w="1865" w:type="dxa"/>
          </w:tcPr>
          <w:p w:rsidR="00ED4507" w:rsidRPr="009056C1" w:rsidRDefault="00ED4507" w:rsidP="00B113CB">
            <w:pPr>
              <w:cnfStyle w:val="000000100000"/>
            </w:pPr>
            <w:r w:rsidRPr="009056C1">
              <w:t>201.84</w:t>
            </w:r>
          </w:p>
        </w:tc>
        <w:tc>
          <w:tcPr>
            <w:tcW w:w="1623" w:type="dxa"/>
          </w:tcPr>
          <w:p w:rsidR="00ED4507" w:rsidRPr="009056C1" w:rsidRDefault="00ED4507" w:rsidP="00B113CB">
            <w:pPr>
              <w:cnfStyle w:val="000000100000"/>
            </w:pPr>
            <w:r w:rsidRPr="009056C1">
              <w:t>0.942</w:t>
            </w:r>
          </w:p>
        </w:tc>
        <w:tc>
          <w:tcPr>
            <w:tcW w:w="1424" w:type="dxa"/>
          </w:tcPr>
          <w:p w:rsidR="00ED4507" w:rsidRPr="009056C1" w:rsidRDefault="001E7362" w:rsidP="00B113CB">
            <w:pPr>
              <w:cnfStyle w:val="000000100000"/>
            </w:pPr>
            <w:r>
              <w:t>0.000</w:t>
            </w:r>
          </w:p>
        </w:tc>
      </w:tr>
      <w:tr w:rsidR="00ED4507" w:rsidTr="00ED4507">
        <w:tc>
          <w:tcPr>
            <w:cnfStyle w:val="001000000000"/>
            <w:tcW w:w="1671" w:type="dxa"/>
          </w:tcPr>
          <w:p w:rsidR="00ED4507" w:rsidRPr="00604C76" w:rsidRDefault="00ED4507" w:rsidP="00B113CB">
            <w:pPr>
              <w:rPr>
                <w:b w:val="0"/>
              </w:rPr>
            </w:pPr>
            <w:r w:rsidRPr="00604C76">
              <w:rPr>
                <w:b w:val="0"/>
              </w:rPr>
              <w:t>Ítem 8</w:t>
            </w:r>
          </w:p>
        </w:tc>
        <w:tc>
          <w:tcPr>
            <w:tcW w:w="1915" w:type="dxa"/>
          </w:tcPr>
          <w:p w:rsidR="00ED4507" w:rsidRPr="009056C1" w:rsidRDefault="00ED4507" w:rsidP="00B113CB">
            <w:pPr>
              <w:cnfStyle w:val="000000000000"/>
            </w:pPr>
            <w:r w:rsidRPr="009056C1">
              <w:t>199.25</w:t>
            </w:r>
          </w:p>
        </w:tc>
        <w:tc>
          <w:tcPr>
            <w:tcW w:w="1865" w:type="dxa"/>
          </w:tcPr>
          <w:p w:rsidR="00ED4507" w:rsidRPr="009056C1" w:rsidRDefault="00ED4507" w:rsidP="00B113CB">
            <w:pPr>
              <w:cnfStyle w:val="000000000000"/>
            </w:pPr>
            <w:r w:rsidRPr="009056C1">
              <w:t>203.00</w:t>
            </w:r>
          </w:p>
        </w:tc>
        <w:tc>
          <w:tcPr>
            <w:tcW w:w="1623" w:type="dxa"/>
          </w:tcPr>
          <w:p w:rsidR="00ED4507" w:rsidRPr="009056C1" w:rsidRDefault="00ED4507" w:rsidP="00B113CB">
            <w:pPr>
              <w:cnfStyle w:val="000000000000"/>
            </w:pPr>
            <w:r w:rsidRPr="009056C1">
              <w:t>0.747</w:t>
            </w:r>
          </w:p>
        </w:tc>
        <w:tc>
          <w:tcPr>
            <w:tcW w:w="1424" w:type="dxa"/>
          </w:tcPr>
          <w:p w:rsidR="00ED4507" w:rsidRPr="009056C1" w:rsidRDefault="001E7362" w:rsidP="00B113CB">
            <w:pPr>
              <w:cnfStyle w:val="000000000000"/>
            </w:pPr>
            <w:r>
              <w:t>0.000</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9</w:t>
            </w:r>
          </w:p>
        </w:tc>
        <w:tc>
          <w:tcPr>
            <w:tcW w:w="1915" w:type="dxa"/>
          </w:tcPr>
          <w:p w:rsidR="00ED4507" w:rsidRPr="009056C1" w:rsidRDefault="00ED4507" w:rsidP="00B113CB">
            <w:pPr>
              <w:cnfStyle w:val="000000100000"/>
            </w:pPr>
            <w:r w:rsidRPr="009056C1">
              <w:t>177.61</w:t>
            </w:r>
          </w:p>
        </w:tc>
        <w:tc>
          <w:tcPr>
            <w:tcW w:w="1865" w:type="dxa"/>
          </w:tcPr>
          <w:p w:rsidR="00ED4507" w:rsidRPr="009056C1" w:rsidRDefault="00ED4507" w:rsidP="00B113CB">
            <w:pPr>
              <w:cnfStyle w:val="000000100000"/>
            </w:pPr>
            <w:r w:rsidRPr="009056C1">
              <w:t>217.46</w:t>
            </w:r>
          </w:p>
        </w:tc>
        <w:tc>
          <w:tcPr>
            <w:tcW w:w="1623" w:type="dxa"/>
          </w:tcPr>
          <w:p w:rsidR="00ED4507" w:rsidRPr="009056C1" w:rsidRDefault="00ED4507" w:rsidP="00B113CB">
            <w:pPr>
              <w:cnfStyle w:val="000000100000"/>
            </w:pPr>
            <w:r w:rsidRPr="009056C1">
              <w:t>0.001*</w:t>
            </w:r>
          </w:p>
        </w:tc>
        <w:tc>
          <w:tcPr>
            <w:tcW w:w="1424" w:type="dxa"/>
          </w:tcPr>
          <w:p w:rsidR="00ED4507" w:rsidRPr="009056C1" w:rsidRDefault="001E7362" w:rsidP="00B113CB">
            <w:pPr>
              <w:cnfStyle w:val="000000100000"/>
            </w:pPr>
            <w:r>
              <w:t>0.028</w:t>
            </w:r>
          </w:p>
        </w:tc>
      </w:tr>
      <w:tr w:rsidR="00ED4507" w:rsidTr="00ED4507">
        <w:tc>
          <w:tcPr>
            <w:cnfStyle w:val="001000000000"/>
            <w:tcW w:w="1671" w:type="dxa"/>
          </w:tcPr>
          <w:p w:rsidR="00ED4507" w:rsidRPr="00604C76" w:rsidRDefault="00ED4507" w:rsidP="00B113CB">
            <w:pPr>
              <w:rPr>
                <w:b w:val="0"/>
              </w:rPr>
            </w:pPr>
            <w:r w:rsidRPr="00604C76">
              <w:rPr>
                <w:b w:val="0"/>
              </w:rPr>
              <w:t>Ítem 10</w:t>
            </w:r>
          </w:p>
        </w:tc>
        <w:tc>
          <w:tcPr>
            <w:tcW w:w="1915" w:type="dxa"/>
          </w:tcPr>
          <w:p w:rsidR="00ED4507" w:rsidRPr="009056C1" w:rsidRDefault="00ED4507" w:rsidP="00B113CB">
            <w:pPr>
              <w:cnfStyle w:val="000000000000"/>
            </w:pPr>
            <w:r w:rsidRPr="009056C1">
              <w:t>207.40</w:t>
            </w:r>
          </w:p>
        </w:tc>
        <w:tc>
          <w:tcPr>
            <w:tcW w:w="1865" w:type="dxa"/>
          </w:tcPr>
          <w:p w:rsidR="00ED4507" w:rsidRPr="009056C1" w:rsidRDefault="00ED4507" w:rsidP="00B113CB">
            <w:pPr>
              <w:cnfStyle w:val="000000000000"/>
            </w:pPr>
            <w:r w:rsidRPr="009056C1">
              <w:t>197.56</w:t>
            </w:r>
          </w:p>
        </w:tc>
        <w:tc>
          <w:tcPr>
            <w:tcW w:w="1623" w:type="dxa"/>
          </w:tcPr>
          <w:p w:rsidR="00ED4507" w:rsidRPr="009056C1" w:rsidRDefault="00ED4507" w:rsidP="00B113CB">
            <w:pPr>
              <w:cnfStyle w:val="000000000000"/>
            </w:pPr>
            <w:r w:rsidRPr="009056C1">
              <w:t>0.348</w:t>
            </w:r>
          </w:p>
        </w:tc>
        <w:tc>
          <w:tcPr>
            <w:tcW w:w="1424" w:type="dxa"/>
          </w:tcPr>
          <w:p w:rsidR="00ED4507" w:rsidRPr="009056C1" w:rsidRDefault="001E7362" w:rsidP="00B113CB">
            <w:pPr>
              <w:cnfStyle w:val="000000000000"/>
            </w:pPr>
            <w:r>
              <w:t>0.020</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11</w:t>
            </w:r>
          </w:p>
        </w:tc>
        <w:tc>
          <w:tcPr>
            <w:tcW w:w="1915" w:type="dxa"/>
          </w:tcPr>
          <w:p w:rsidR="00ED4507" w:rsidRPr="009056C1" w:rsidRDefault="00ED4507" w:rsidP="00B113CB">
            <w:pPr>
              <w:cnfStyle w:val="000000100000"/>
            </w:pPr>
            <w:r w:rsidRPr="009056C1">
              <w:t>208.60</w:t>
            </w:r>
          </w:p>
        </w:tc>
        <w:tc>
          <w:tcPr>
            <w:tcW w:w="1865" w:type="dxa"/>
          </w:tcPr>
          <w:p w:rsidR="00ED4507" w:rsidRPr="009056C1" w:rsidRDefault="00ED4507" w:rsidP="00B113CB">
            <w:pPr>
              <w:cnfStyle w:val="000000100000"/>
            </w:pPr>
            <w:r w:rsidRPr="009056C1">
              <w:t>196.76</w:t>
            </w:r>
          </w:p>
        </w:tc>
        <w:tc>
          <w:tcPr>
            <w:tcW w:w="1623" w:type="dxa"/>
          </w:tcPr>
          <w:p w:rsidR="00ED4507" w:rsidRPr="009056C1" w:rsidRDefault="00ED4507" w:rsidP="00B113CB">
            <w:pPr>
              <w:cnfStyle w:val="000000100000"/>
            </w:pPr>
            <w:r w:rsidRPr="009056C1">
              <w:t>0.308</w:t>
            </w:r>
          </w:p>
        </w:tc>
        <w:tc>
          <w:tcPr>
            <w:tcW w:w="1424" w:type="dxa"/>
          </w:tcPr>
          <w:p w:rsidR="00ED4507" w:rsidRPr="009056C1" w:rsidRDefault="001E7362" w:rsidP="00B113CB">
            <w:pPr>
              <w:cnfStyle w:val="000000100000"/>
            </w:pPr>
            <w:r>
              <w:t>0.002</w:t>
            </w:r>
          </w:p>
        </w:tc>
      </w:tr>
      <w:tr w:rsidR="00ED4507" w:rsidTr="00ED4507">
        <w:tc>
          <w:tcPr>
            <w:cnfStyle w:val="001000000000"/>
            <w:tcW w:w="1671" w:type="dxa"/>
          </w:tcPr>
          <w:p w:rsidR="00ED4507" w:rsidRPr="00604C76" w:rsidRDefault="00ED4507" w:rsidP="00B113CB">
            <w:pPr>
              <w:rPr>
                <w:b w:val="0"/>
              </w:rPr>
            </w:pPr>
            <w:r w:rsidRPr="00604C76">
              <w:rPr>
                <w:b w:val="0"/>
              </w:rPr>
              <w:t>Ítem 12</w:t>
            </w:r>
          </w:p>
        </w:tc>
        <w:tc>
          <w:tcPr>
            <w:tcW w:w="1915" w:type="dxa"/>
          </w:tcPr>
          <w:p w:rsidR="00ED4507" w:rsidRPr="009056C1" w:rsidRDefault="00ED4507" w:rsidP="00B113CB">
            <w:pPr>
              <w:cnfStyle w:val="000000000000"/>
            </w:pPr>
            <w:r w:rsidRPr="009056C1">
              <w:t>180.78</w:t>
            </w:r>
          </w:p>
        </w:tc>
        <w:tc>
          <w:tcPr>
            <w:tcW w:w="1865" w:type="dxa"/>
          </w:tcPr>
          <w:p w:rsidR="00ED4507" w:rsidRPr="009056C1" w:rsidRDefault="00ED4507" w:rsidP="00B113CB">
            <w:pPr>
              <w:cnfStyle w:val="000000000000"/>
            </w:pPr>
            <w:r w:rsidRPr="009056C1">
              <w:t>215.34</w:t>
            </w:r>
          </w:p>
        </w:tc>
        <w:tc>
          <w:tcPr>
            <w:tcW w:w="1623" w:type="dxa"/>
          </w:tcPr>
          <w:p w:rsidR="00ED4507" w:rsidRPr="009056C1" w:rsidRDefault="00ED4507" w:rsidP="00B113CB">
            <w:pPr>
              <w:cnfStyle w:val="000000000000"/>
            </w:pPr>
            <w:r w:rsidRPr="009056C1">
              <w:t>0.003*</w:t>
            </w:r>
          </w:p>
        </w:tc>
        <w:tc>
          <w:tcPr>
            <w:tcW w:w="1424" w:type="dxa"/>
          </w:tcPr>
          <w:p w:rsidR="00ED4507" w:rsidRPr="009056C1" w:rsidRDefault="001E7362" w:rsidP="00B113CB">
            <w:pPr>
              <w:cnfStyle w:val="000000000000"/>
            </w:pPr>
            <w:r>
              <w:t>0.022</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13</w:t>
            </w:r>
          </w:p>
        </w:tc>
        <w:tc>
          <w:tcPr>
            <w:tcW w:w="1915" w:type="dxa"/>
          </w:tcPr>
          <w:p w:rsidR="00ED4507" w:rsidRPr="009056C1" w:rsidRDefault="00ED4507" w:rsidP="00B113CB">
            <w:pPr>
              <w:cnfStyle w:val="000000100000"/>
            </w:pPr>
            <w:r w:rsidRPr="009056C1">
              <w:t>191.27</w:t>
            </w:r>
          </w:p>
        </w:tc>
        <w:tc>
          <w:tcPr>
            <w:tcW w:w="1865" w:type="dxa"/>
          </w:tcPr>
          <w:p w:rsidR="00ED4507" w:rsidRPr="009056C1" w:rsidRDefault="00ED4507" w:rsidP="00B113CB">
            <w:pPr>
              <w:cnfStyle w:val="000000100000"/>
            </w:pPr>
            <w:r w:rsidRPr="009056C1">
              <w:t>208.33</w:t>
            </w:r>
          </w:p>
        </w:tc>
        <w:tc>
          <w:tcPr>
            <w:tcW w:w="1623" w:type="dxa"/>
          </w:tcPr>
          <w:p w:rsidR="00ED4507" w:rsidRPr="009056C1" w:rsidRDefault="00ED4507" w:rsidP="00B113CB">
            <w:pPr>
              <w:cnfStyle w:val="000000100000"/>
            </w:pPr>
            <w:r w:rsidRPr="009056C1">
              <w:t>0.139</w:t>
            </w:r>
          </w:p>
        </w:tc>
        <w:tc>
          <w:tcPr>
            <w:tcW w:w="1424" w:type="dxa"/>
          </w:tcPr>
          <w:p w:rsidR="00ED4507" w:rsidRPr="009056C1" w:rsidRDefault="001E7362" w:rsidP="00B113CB">
            <w:pPr>
              <w:cnfStyle w:val="000000100000"/>
            </w:pPr>
            <w:r>
              <w:t>0.005</w:t>
            </w:r>
          </w:p>
        </w:tc>
      </w:tr>
      <w:tr w:rsidR="00ED4507" w:rsidTr="00ED4507">
        <w:tc>
          <w:tcPr>
            <w:cnfStyle w:val="001000000000"/>
            <w:tcW w:w="1671" w:type="dxa"/>
          </w:tcPr>
          <w:p w:rsidR="00ED4507" w:rsidRPr="00604C76" w:rsidRDefault="00ED4507" w:rsidP="00B113CB">
            <w:pPr>
              <w:rPr>
                <w:b w:val="0"/>
              </w:rPr>
            </w:pPr>
            <w:r w:rsidRPr="00604C76">
              <w:rPr>
                <w:b w:val="0"/>
              </w:rPr>
              <w:t>Ítem 14</w:t>
            </w:r>
          </w:p>
        </w:tc>
        <w:tc>
          <w:tcPr>
            <w:tcW w:w="1915" w:type="dxa"/>
          </w:tcPr>
          <w:p w:rsidR="00ED4507" w:rsidRPr="009056C1" w:rsidRDefault="00ED4507" w:rsidP="00B113CB">
            <w:pPr>
              <w:cnfStyle w:val="000000000000"/>
            </w:pPr>
            <w:r w:rsidRPr="009056C1">
              <w:t>202.37</w:t>
            </w:r>
          </w:p>
        </w:tc>
        <w:tc>
          <w:tcPr>
            <w:tcW w:w="1865" w:type="dxa"/>
          </w:tcPr>
          <w:p w:rsidR="00ED4507" w:rsidRPr="009056C1" w:rsidRDefault="00ED4507" w:rsidP="00B113CB">
            <w:pPr>
              <w:cnfStyle w:val="000000000000"/>
            </w:pPr>
            <w:r w:rsidRPr="009056C1">
              <w:t>200.92</w:t>
            </w:r>
          </w:p>
        </w:tc>
        <w:tc>
          <w:tcPr>
            <w:tcW w:w="1623" w:type="dxa"/>
          </w:tcPr>
          <w:p w:rsidR="00ED4507" w:rsidRPr="009056C1" w:rsidRDefault="00ED4507" w:rsidP="00B113CB">
            <w:pPr>
              <w:cnfStyle w:val="000000000000"/>
            </w:pPr>
            <w:r w:rsidRPr="009056C1">
              <w:t>0.901</w:t>
            </w:r>
          </w:p>
        </w:tc>
        <w:tc>
          <w:tcPr>
            <w:tcW w:w="1424" w:type="dxa"/>
          </w:tcPr>
          <w:p w:rsidR="00ED4507" w:rsidRPr="009056C1" w:rsidRDefault="001E7362" w:rsidP="00B113CB">
            <w:pPr>
              <w:cnfStyle w:val="000000000000"/>
            </w:pPr>
            <w:r>
              <w:t>0.000</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15</w:t>
            </w:r>
          </w:p>
        </w:tc>
        <w:tc>
          <w:tcPr>
            <w:tcW w:w="1915" w:type="dxa"/>
          </w:tcPr>
          <w:p w:rsidR="00ED4507" w:rsidRPr="009056C1" w:rsidRDefault="00ED4507" w:rsidP="00B113CB">
            <w:pPr>
              <w:cnfStyle w:val="000000100000"/>
            </w:pPr>
            <w:r w:rsidRPr="009056C1">
              <w:t>181.80</w:t>
            </w:r>
          </w:p>
        </w:tc>
        <w:tc>
          <w:tcPr>
            <w:tcW w:w="1865" w:type="dxa"/>
          </w:tcPr>
          <w:p w:rsidR="00ED4507" w:rsidRPr="009056C1" w:rsidRDefault="00ED4507" w:rsidP="00B113CB">
            <w:pPr>
              <w:cnfStyle w:val="000000100000"/>
            </w:pPr>
            <w:r w:rsidRPr="009056C1">
              <w:t>214.66</w:t>
            </w:r>
          </w:p>
        </w:tc>
        <w:tc>
          <w:tcPr>
            <w:tcW w:w="1623" w:type="dxa"/>
          </w:tcPr>
          <w:p w:rsidR="00ED4507" w:rsidRPr="009056C1" w:rsidRDefault="00ED4507" w:rsidP="00B113CB">
            <w:pPr>
              <w:cnfStyle w:val="000000100000"/>
            </w:pPr>
            <w:r w:rsidRPr="009056C1">
              <w:t>0.005*</w:t>
            </w:r>
          </w:p>
        </w:tc>
        <w:tc>
          <w:tcPr>
            <w:tcW w:w="1424" w:type="dxa"/>
          </w:tcPr>
          <w:p w:rsidR="00ED4507" w:rsidRPr="009056C1" w:rsidRDefault="001E7362" w:rsidP="00B113CB">
            <w:pPr>
              <w:cnfStyle w:val="000000100000"/>
            </w:pPr>
            <w:r>
              <w:t>0.020</w:t>
            </w:r>
          </w:p>
        </w:tc>
      </w:tr>
      <w:tr w:rsidR="00ED4507" w:rsidTr="00ED4507">
        <w:tc>
          <w:tcPr>
            <w:cnfStyle w:val="001000000000"/>
            <w:tcW w:w="1671" w:type="dxa"/>
          </w:tcPr>
          <w:p w:rsidR="00ED4507" w:rsidRPr="00604C76" w:rsidRDefault="00ED4507" w:rsidP="00B113CB">
            <w:pPr>
              <w:rPr>
                <w:b w:val="0"/>
              </w:rPr>
            </w:pPr>
            <w:r w:rsidRPr="00604C76">
              <w:rPr>
                <w:b w:val="0"/>
              </w:rPr>
              <w:t>Ítem 16</w:t>
            </w:r>
          </w:p>
        </w:tc>
        <w:tc>
          <w:tcPr>
            <w:tcW w:w="1915" w:type="dxa"/>
          </w:tcPr>
          <w:p w:rsidR="00ED4507" w:rsidRPr="009056C1" w:rsidRDefault="00ED4507" w:rsidP="00B113CB">
            <w:pPr>
              <w:cnfStyle w:val="000000000000"/>
            </w:pPr>
            <w:r w:rsidRPr="009056C1">
              <w:t>210.17</w:t>
            </w:r>
          </w:p>
        </w:tc>
        <w:tc>
          <w:tcPr>
            <w:tcW w:w="1865" w:type="dxa"/>
          </w:tcPr>
          <w:p w:rsidR="00ED4507" w:rsidRPr="009056C1" w:rsidRDefault="00ED4507" w:rsidP="00B113CB">
            <w:pPr>
              <w:cnfStyle w:val="000000000000"/>
            </w:pPr>
            <w:r w:rsidRPr="009056C1">
              <w:t>195.71</w:t>
            </w:r>
          </w:p>
        </w:tc>
        <w:tc>
          <w:tcPr>
            <w:tcW w:w="1623" w:type="dxa"/>
          </w:tcPr>
          <w:p w:rsidR="00ED4507" w:rsidRPr="009056C1" w:rsidRDefault="00ED4507" w:rsidP="00B113CB">
            <w:pPr>
              <w:cnfStyle w:val="000000000000"/>
            </w:pPr>
            <w:r w:rsidRPr="009056C1">
              <w:t>0.211</w:t>
            </w:r>
          </w:p>
        </w:tc>
        <w:tc>
          <w:tcPr>
            <w:tcW w:w="1424" w:type="dxa"/>
          </w:tcPr>
          <w:p w:rsidR="00ED4507" w:rsidRPr="009056C1" w:rsidRDefault="001E7362" w:rsidP="00B113CB">
            <w:pPr>
              <w:cnfStyle w:val="000000000000"/>
            </w:pPr>
            <w:r>
              <w:t>0.003</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17</w:t>
            </w:r>
          </w:p>
        </w:tc>
        <w:tc>
          <w:tcPr>
            <w:tcW w:w="1915" w:type="dxa"/>
          </w:tcPr>
          <w:p w:rsidR="00ED4507" w:rsidRPr="009056C1" w:rsidRDefault="00ED4507" w:rsidP="00B113CB">
            <w:pPr>
              <w:cnfStyle w:val="000000100000"/>
            </w:pPr>
            <w:r w:rsidRPr="009056C1">
              <w:t>220.60</w:t>
            </w:r>
          </w:p>
        </w:tc>
        <w:tc>
          <w:tcPr>
            <w:tcW w:w="1865" w:type="dxa"/>
          </w:tcPr>
          <w:p w:rsidR="00ED4507" w:rsidRPr="009056C1" w:rsidRDefault="00ED4507" w:rsidP="00B113CB">
            <w:pPr>
              <w:cnfStyle w:val="000000100000"/>
            </w:pPr>
            <w:r w:rsidRPr="009056C1">
              <w:t>188.74</w:t>
            </w:r>
          </w:p>
        </w:tc>
        <w:tc>
          <w:tcPr>
            <w:tcW w:w="1623" w:type="dxa"/>
          </w:tcPr>
          <w:p w:rsidR="00ED4507" w:rsidRPr="009056C1" w:rsidRDefault="00ED4507" w:rsidP="00B113CB">
            <w:pPr>
              <w:cnfStyle w:val="000000100000"/>
            </w:pPr>
            <w:r w:rsidRPr="009056C1">
              <w:t>0.006*</w:t>
            </w:r>
          </w:p>
        </w:tc>
        <w:tc>
          <w:tcPr>
            <w:tcW w:w="1424" w:type="dxa"/>
          </w:tcPr>
          <w:p w:rsidR="00ED4507" w:rsidRPr="009056C1" w:rsidRDefault="001E7362" w:rsidP="00B113CB">
            <w:pPr>
              <w:cnfStyle w:val="000000100000"/>
            </w:pPr>
            <w:r>
              <w:t>0.019</w:t>
            </w:r>
          </w:p>
        </w:tc>
      </w:tr>
      <w:tr w:rsidR="00ED4507" w:rsidTr="00ED4507">
        <w:tc>
          <w:tcPr>
            <w:cnfStyle w:val="001000000000"/>
            <w:tcW w:w="1671" w:type="dxa"/>
          </w:tcPr>
          <w:p w:rsidR="00ED4507" w:rsidRPr="00604C76" w:rsidRDefault="00ED4507" w:rsidP="00B113CB">
            <w:pPr>
              <w:rPr>
                <w:b w:val="0"/>
              </w:rPr>
            </w:pPr>
            <w:r w:rsidRPr="00604C76">
              <w:rPr>
                <w:b w:val="0"/>
              </w:rPr>
              <w:t>Ítem 18</w:t>
            </w:r>
          </w:p>
        </w:tc>
        <w:tc>
          <w:tcPr>
            <w:tcW w:w="1915" w:type="dxa"/>
          </w:tcPr>
          <w:p w:rsidR="00ED4507" w:rsidRPr="009056C1" w:rsidRDefault="00ED4507" w:rsidP="00B113CB">
            <w:pPr>
              <w:cnfStyle w:val="000000000000"/>
            </w:pPr>
            <w:r w:rsidRPr="009056C1">
              <w:t>184.15</w:t>
            </w:r>
          </w:p>
        </w:tc>
        <w:tc>
          <w:tcPr>
            <w:tcW w:w="1865" w:type="dxa"/>
          </w:tcPr>
          <w:p w:rsidR="00ED4507" w:rsidRPr="009056C1" w:rsidRDefault="00ED4507" w:rsidP="00B113CB">
            <w:pPr>
              <w:cnfStyle w:val="000000000000"/>
            </w:pPr>
            <w:r w:rsidRPr="009056C1">
              <w:t>213.09</w:t>
            </w:r>
          </w:p>
        </w:tc>
        <w:tc>
          <w:tcPr>
            <w:tcW w:w="1623" w:type="dxa"/>
          </w:tcPr>
          <w:p w:rsidR="00ED4507" w:rsidRPr="009056C1" w:rsidRDefault="00ED4507" w:rsidP="00B113CB">
            <w:pPr>
              <w:cnfStyle w:val="000000000000"/>
            </w:pPr>
            <w:r w:rsidRPr="009056C1">
              <w:t>0.013*</w:t>
            </w:r>
          </w:p>
        </w:tc>
        <w:tc>
          <w:tcPr>
            <w:tcW w:w="1424" w:type="dxa"/>
          </w:tcPr>
          <w:p w:rsidR="00ED4507" w:rsidRPr="009056C1" w:rsidRDefault="001E7362" w:rsidP="00B113CB">
            <w:pPr>
              <w:cnfStyle w:val="000000000000"/>
            </w:pPr>
            <w:r>
              <w:t>0.016</w:t>
            </w:r>
          </w:p>
        </w:tc>
      </w:tr>
      <w:tr w:rsidR="00ED4507" w:rsidTr="00ED4507">
        <w:trPr>
          <w:cnfStyle w:val="000000100000"/>
        </w:trPr>
        <w:tc>
          <w:tcPr>
            <w:cnfStyle w:val="001000000000"/>
            <w:tcW w:w="1671" w:type="dxa"/>
          </w:tcPr>
          <w:p w:rsidR="00ED4507" w:rsidRPr="00604C76" w:rsidRDefault="00ED4507" w:rsidP="00B113CB">
            <w:pPr>
              <w:rPr>
                <w:b w:val="0"/>
                <w:bCs w:val="0"/>
              </w:rPr>
            </w:pPr>
            <w:r w:rsidRPr="00604C76">
              <w:rPr>
                <w:b w:val="0"/>
              </w:rPr>
              <w:t>Ítem 19</w:t>
            </w:r>
          </w:p>
        </w:tc>
        <w:tc>
          <w:tcPr>
            <w:tcW w:w="1915" w:type="dxa"/>
          </w:tcPr>
          <w:p w:rsidR="00ED4507" w:rsidRPr="009056C1" w:rsidRDefault="00ED4507" w:rsidP="00B113CB">
            <w:pPr>
              <w:cnfStyle w:val="000000100000"/>
            </w:pPr>
            <w:r w:rsidRPr="009056C1">
              <w:t>222.55</w:t>
            </w:r>
          </w:p>
        </w:tc>
        <w:tc>
          <w:tcPr>
            <w:tcW w:w="1865" w:type="dxa"/>
          </w:tcPr>
          <w:p w:rsidR="00ED4507" w:rsidRPr="009056C1" w:rsidRDefault="00ED4507" w:rsidP="00B113CB">
            <w:pPr>
              <w:cnfStyle w:val="000000100000"/>
            </w:pPr>
            <w:r w:rsidRPr="009056C1">
              <w:t>187.44</w:t>
            </w:r>
          </w:p>
        </w:tc>
        <w:tc>
          <w:tcPr>
            <w:tcW w:w="1623" w:type="dxa"/>
          </w:tcPr>
          <w:p w:rsidR="00ED4507" w:rsidRPr="009056C1" w:rsidRDefault="00ED4507" w:rsidP="00B113CB">
            <w:pPr>
              <w:cnfStyle w:val="000000100000"/>
            </w:pPr>
            <w:r w:rsidRPr="009056C1">
              <w:t>0.002*</w:t>
            </w:r>
          </w:p>
        </w:tc>
        <w:tc>
          <w:tcPr>
            <w:tcW w:w="1424" w:type="dxa"/>
          </w:tcPr>
          <w:p w:rsidR="00ED4507" w:rsidRPr="009056C1" w:rsidRDefault="001E7362" w:rsidP="00B113CB">
            <w:pPr>
              <w:cnfStyle w:val="000000100000"/>
            </w:pPr>
            <w:r>
              <w:t>0.023</w:t>
            </w:r>
          </w:p>
        </w:tc>
      </w:tr>
      <w:tr w:rsidR="00ED4507" w:rsidTr="00ED4507">
        <w:tc>
          <w:tcPr>
            <w:cnfStyle w:val="001000000000"/>
            <w:tcW w:w="1671" w:type="dxa"/>
          </w:tcPr>
          <w:p w:rsidR="00ED4507" w:rsidRPr="00604C76" w:rsidRDefault="00ED4507" w:rsidP="00B113CB">
            <w:pPr>
              <w:rPr>
                <w:b w:val="0"/>
              </w:rPr>
            </w:pPr>
            <w:r w:rsidRPr="00604C76">
              <w:rPr>
                <w:b w:val="0"/>
              </w:rPr>
              <w:t>Ítem 20</w:t>
            </w:r>
          </w:p>
        </w:tc>
        <w:tc>
          <w:tcPr>
            <w:tcW w:w="1915" w:type="dxa"/>
          </w:tcPr>
          <w:p w:rsidR="00ED4507" w:rsidRPr="009056C1" w:rsidRDefault="00ED4507" w:rsidP="00B113CB">
            <w:pPr>
              <w:cnfStyle w:val="000000000000"/>
            </w:pPr>
            <w:r w:rsidRPr="009056C1">
              <w:t>219.52</w:t>
            </w:r>
          </w:p>
        </w:tc>
        <w:tc>
          <w:tcPr>
            <w:tcW w:w="1865" w:type="dxa"/>
          </w:tcPr>
          <w:p w:rsidR="00ED4507" w:rsidRPr="009056C1" w:rsidRDefault="00ED4507" w:rsidP="00B113CB">
            <w:pPr>
              <w:cnfStyle w:val="000000000000"/>
            </w:pPr>
            <w:r w:rsidRPr="009056C1">
              <w:t>189.46</w:t>
            </w:r>
          </w:p>
        </w:tc>
        <w:tc>
          <w:tcPr>
            <w:tcW w:w="1623" w:type="dxa"/>
          </w:tcPr>
          <w:p w:rsidR="00ED4507" w:rsidRPr="009056C1" w:rsidRDefault="00ED4507" w:rsidP="00B113CB">
            <w:pPr>
              <w:cnfStyle w:val="000000000000"/>
            </w:pPr>
            <w:r w:rsidRPr="009056C1">
              <w:t>0.010*</w:t>
            </w:r>
          </w:p>
        </w:tc>
        <w:tc>
          <w:tcPr>
            <w:tcW w:w="1424" w:type="dxa"/>
          </w:tcPr>
          <w:p w:rsidR="00ED4507" w:rsidRPr="009056C1" w:rsidRDefault="001E7362" w:rsidP="00B113CB">
            <w:pPr>
              <w:cnfStyle w:val="000000000000"/>
            </w:pPr>
            <w:r>
              <w:t>0.016</w:t>
            </w:r>
          </w:p>
        </w:tc>
      </w:tr>
      <w:tr w:rsidR="00ED4507" w:rsidTr="00ED4507">
        <w:trPr>
          <w:cnfStyle w:val="000000100000"/>
        </w:trPr>
        <w:tc>
          <w:tcPr>
            <w:cnfStyle w:val="001000000000"/>
            <w:tcW w:w="1671" w:type="dxa"/>
          </w:tcPr>
          <w:p w:rsidR="00ED4507" w:rsidRPr="00604C76" w:rsidRDefault="00ED4507" w:rsidP="00B113CB">
            <w:pPr>
              <w:rPr>
                <w:b w:val="0"/>
              </w:rPr>
            </w:pPr>
            <w:r w:rsidRPr="00604C76">
              <w:rPr>
                <w:b w:val="0"/>
              </w:rPr>
              <w:t>Ítem 21</w:t>
            </w:r>
          </w:p>
        </w:tc>
        <w:tc>
          <w:tcPr>
            <w:tcW w:w="1915" w:type="dxa"/>
          </w:tcPr>
          <w:p w:rsidR="00ED4507" w:rsidRPr="009056C1" w:rsidRDefault="00ED4507" w:rsidP="00B113CB">
            <w:pPr>
              <w:cnfStyle w:val="000000100000"/>
            </w:pPr>
            <w:r w:rsidRPr="009056C1">
              <w:t>220.28</w:t>
            </w:r>
          </w:p>
        </w:tc>
        <w:tc>
          <w:tcPr>
            <w:tcW w:w="1865" w:type="dxa"/>
          </w:tcPr>
          <w:p w:rsidR="00ED4507" w:rsidRPr="009056C1" w:rsidRDefault="00ED4507" w:rsidP="00B113CB">
            <w:pPr>
              <w:cnfStyle w:val="000000100000"/>
            </w:pPr>
            <w:r w:rsidRPr="009056C1">
              <w:t>188.95</w:t>
            </w:r>
          </w:p>
        </w:tc>
        <w:tc>
          <w:tcPr>
            <w:tcW w:w="1623" w:type="dxa"/>
          </w:tcPr>
          <w:p w:rsidR="00ED4507" w:rsidRPr="009056C1" w:rsidRDefault="00ED4507" w:rsidP="00B113CB">
            <w:pPr>
              <w:cnfStyle w:val="000000100000"/>
            </w:pPr>
            <w:r w:rsidRPr="009056C1">
              <w:t>0.006*</w:t>
            </w:r>
          </w:p>
        </w:tc>
        <w:tc>
          <w:tcPr>
            <w:tcW w:w="1424" w:type="dxa"/>
          </w:tcPr>
          <w:p w:rsidR="00ED4507" w:rsidRPr="009056C1" w:rsidRDefault="001E7362" w:rsidP="00B113CB">
            <w:pPr>
              <w:cnfStyle w:val="000000100000"/>
            </w:pPr>
            <w:r>
              <w:t>0.019</w:t>
            </w:r>
          </w:p>
        </w:tc>
      </w:tr>
      <w:tr w:rsidR="00ED4507" w:rsidTr="00ED4507">
        <w:tc>
          <w:tcPr>
            <w:cnfStyle w:val="001000000000"/>
            <w:tcW w:w="1671" w:type="dxa"/>
          </w:tcPr>
          <w:p w:rsidR="00ED4507" w:rsidRPr="00604C76" w:rsidRDefault="00ED4507" w:rsidP="00B113CB">
            <w:pPr>
              <w:rPr>
                <w:b w:val="0"/>
              </w:rPr>
            </w:pPr>
            <w:r w:rsidRPr="00604C76">
              <w:rPr>
                <w:b w:val="0"/>
              </w:rPr>
              <w:t>Ítem 22</w:t>
            </w:r>
          </w:p>
        </w:tc>
        <w:tc>
          <w:tcPr>
            <w:tcW w:w="1915" w:type="dxa"/>
          </w:tcPr>
          <w:p w:rsidR="00ED4507" w:rsidRPr="009056C1" w:rsidRDefault="00ED4507" w:rsidP="00B113CB">
            <w:pPr>
              <w:cnfStyle w:val="000000000000"/>
            </w:pPr>
            <w:r w:rsidRPr="009056C1">
              <w:t>187.18</w:t>
            </w:r>
          </w:p>
        </w:tc>
        <w:tc>
          <w:tcPr>
            <w:tcW w:w="1865" w:type="dxa"/>
          </w:tcPr>
          <w:p w:rsidR="00ED4507" w:rsidRPr="009056C1" w:rsidRDefault="00ED4507" w:rsidP="00B113CB">
            <w:pPr>
              <w:cnfStyle w:val="000000000000"/>
            </w:pPr>
            <w:r w:rsidRPr="009056C1">
              <w:t>211.06</w:t>
            </w:r>
          </w:p>
        </w:tc>
        <w:tc>
          <w:tcPr>
            <w:tcW w:w="1623" w:type="dxa"/>
          </w:tcPr>
          <w:p w:rsidR="00ED4507" w:rsidRPr="009056C1" w:rsidRDefault="00ED4507" w:rsidP="00B113CB">
            <w:pPr>
              <w:cnfStyle w:val="000000000000"/>
            </w:pPr>
            <w:r w:rsidRPr="009056C1">
              <w:t>0.039*</w:t>
            </w:r>
          </w:p>
        </w:tc>
        <w:tc>
          <w:tcPr>
            <w:tcW w:w="1424" w:type="dxa"/>
          </w:tcPr>
          <w:p w:rsidR="00ED4507" w:rsidRPr="009056C1" w:rsidRDefault="001E7362" w:rsidP="00B113CB">
            <w:pPr>
              <w:cnfStyle w:val="000000000000"/>
            </w:pPr>
            <w:r>
              <w:t>0.010</w:t>
            </w:r>
          </w:p>
        </w:tc>
      </w:tr>
    </w:tbl>
    <w:p w:rsidR="006724EB" w:rsidRDefault="006724EB" w:rsidP="00B113CB"/>
    <w:p w:rsidR="007173A2" w:rsidRDefault="006724EB" w:rsidP="00B113CB">
      <w:pPr>
        <w:ind w:firstLine="567"/>
      </w:pPr>
      <w:r>
        <w:t>Por lo que respecta a las diferencias en los indicadores que evalúan reactancia psicológica, se ha confirmado que los hombres presentan mayor reactancia psicológica (véase Tabla 4)</w:t>
      </w:r>
      <w:r w:rsidR="00AC2851">
        <w:t>.</w:t>
      </w:r>
    </w:p>
    <w:p w:rsidR="003B184B" w:rsidRDefault="003B184B" w:rsidP="00B113CB">
      <w:pPr>
        <w:ind w:firstLine="567"/>
      </w:pPr>
    </w:p>
    <w:p w:rsidR="006724EB" w:rsidRDefault="006724EB" w:rsidP="00B113CB">
      <w:pPr>
        <w:ind w:firstLine="567"/>
        <w:rPr>
          <w:b/>
          <w:bCs/>
        </w:rPr>
      </w:pPr>
      <w:r w:rsidRPr="00B170C1">
        <w:rPr>
          <w:b/>
          <w:bCs/>
        </w:rPr>
        <w:t xml:space="preserve">Tabla </w:t>
      </w:r>
      <w:r>
        <w:rPr>
          <w:b/>
          <w:bCs/>
        </w:rPr>
        <w:t>4</w:t>
      </w:r>
    </w:p>
    <w:p w:rsidR="006724EB" w:rsidRDefault="006724EB" w:rsidP="00B113CB">
      <w:pPr>
        <w:ind w:firstLine="567"/>
        <w:rPr>
          <w:i/>
          <w:iCs/>
        </w:rPr>
      </w:pPr>
      <w:r>
        <w:rPr>
          <w:i/>
          <w:iCs/>
        </w:rPr>
        <w:t xml:space="preserve">Rango de media de las puntuaciones en la escala de </w:t>
      </w:r>
      <w:r w:rsidR="003B184B">
        <w:rPr>
          <w:i/>
          <w:iCs/>
        </w:rPr>
        <w:t xml:space="preserve">reactancia de </w:t>
      </w:r>
      <w:r>
        <w:rPr>
          <w:i/>
          <w:iCs/>
        </w:rPr>
        <w:t>Hong según el sexo</w:t>
      </w:r>
    </w:p>
    <w:tbl>
      <w:tblPr>
        <w:tblStyle w:val="PlainTable2"/>
        <w:tblW w:w="0" w:type="auto"/>
        <w:tblLook w:val="04A0"/>
      </w:tblPr>
      <w:tblGrid>
        <w:gridCol w:w="1665"/>
        <w:gridCol w:w="1814"/>
        <w:gridCol w:w="1784"/>
        <w:gridCol w:w="1722"/>
        <w:gridCol w:w="1513"/>
      </w:tblGrid>
      <w:tr w:rsidR="00ED4507" w:rsidTr="00ED4507">
        <w:trPr>
          <w:cnfStyle w:val="100000000000"/>
        </w:trPr>
        <w:tc>
          <w:tcPr>
            <w:cnfStyle w:val="001000000000"/>
            <w:tcW w:w="1665" w:type="dxa"/>
          </w:tcPr>
          <w:p w:rsidR="00ED4507" w:rsidRPr="00B170C1" w:rsidRDefault="00ED4507" w:rsidP="00B113CB"/>
        </w:tc>
        <w:tc>
          <w:tcPr>
            <w:tcW w:w="1814" w:type="dxa"/>
          </w:tcPr>
          <w:p w:rsidR="00ED4507" w:rsidRPr="00B170C1" w:rsidRDefault="00ED4507" w:rsidP="00B113CB">
            <w:pPr>
              <w:cnfStyle w:val="100000000000"/>
            </w:pPr>
            <w:r w:rsidRPr="00B170C1">
              <w:t>Hombres</w:t>
            </w:r>
          </w:p>
        </w:tc>
        <w:tc>
          <w:tcPr>
            <w:tcW w:w="1784" w:type="dxa"/>
          </w:tcPr>
          <w:p w:rsidR="00ED4507" w:rsidRPr="00B170C1" w:rsidRDefault="00ED4507" w:rsidP="00B113CB">
            <w:pPr>
              <w:cnfStyle w:val="100000000000"/>
            </w:pPr>
            <w:r w:rsidRPr="00B170C1">
              <w:t xml:space="preserve">Mujeres </w:t>
            </w:r>
          </w:p>
        </w:tc>
        <w:tc>
          <w:tcPr>
            <w:tcW w:w="1722" w:type="dxa"/>
          </w:tcPr>
          <w:p w:rsidR="00ED4507" w:rsidRPr="00B170C1" w:rsidRDefault="00ED4507" w:rsidP="00B113CB">
            <w:pPr>
              <w:cnfStyle w:val="100000000000"/>
            </w:pPr>
            <w:r w:rsidRPr="00B170C1">
              <w:t>Sig.</w:t>
            </w:r>
          </w:p>
        </w:tc>
        <w:tc>
          <w:tcPr>
            <w:tcW w:w="1513" w:type="dxa"/>
          </w:tcPr>
          <w:p w:rsidR="00ED4507" w:rsidRPr="00B170C1" w:rsidRDefault="00ED4507" w:rsidP="003B184B">
            <w:pPr>
              <w:cnfStyle w:val="100000000000"/>
            </w:pPr>
            <w:r>
              <w:t>T</w:t>
            </w:r>
            <w:r w:rsidR="003B184B">
              <w:t>amaño del efecto</w:t>
            </w:r>
          </w:p>
        </w:tc>
      </w:tr>
      <w:tr w:rsidR="00ED4507" w:rsidTr="00ED4507">
        <w:trPr>
          <w:cnfStyle w:val="000000100000"/>
        </w:trPr>
        <w:tc>
          <w:tcPr>
            <w:cnfStyle w:val="001000000000"/>
            <w:tcW w:w="1665" w:type="dxa"/>
          </w:tcPr>
          <w:p w:rsidR="00ED4507" w:rsidRPr="00604C76" w:rsidRDefault="00ED4507" w:rsidP="00B113CB">
            <w:pPr>
              <w:rPr>
                <w:b w:val="0"/>
              </w:rPr>
            </w:pPr>
            <w:r w:rsidRPr="00604C76">
              <w:rPr>
                <w:b w:val="0"/>
              </w:rPr>
              <w:t>Ítem 1</w:t>
            </w:r>
          </w:p>
        </w:tc>
        <w:tc>
          <w:tcPr>
            <w:tcW w:w="1814" w:type="dxa"/>
          </w:tcPr>
          <w:p w:rsidR="00ED4507" w:rsidRPr="00B170C1" w:rsidRDefault="00ED4507" w:rsidP="00B113CB">
            <w:pPr>
              <w:cnfStyle w:val="000000100000"/>
            </w:pPr>
            <w:r w:rsidRPr="00B170C1">
              <w:t>206.20</w:t>
            </w:r>
            <w:r>
              <w:t xml:space="preserve"> </w:t>
            </w:r>
          </w:p>
        </w:tc>
        <w:tc>
          <w:tcPr>
            <w:tcW w:w="1784" w:type="dxa"/>
          </w:tcPr>
          <w:p w:rsidR="00ED4507" w:rsidRPr="00B170C1" w:rsidRDefault="00ED4507" w:rsidP="00B113CB">
            <w:pPr>
              <w:cnfStyle w:val="000000100000"/>
            </w:pPr>
            <w:r w:rsidRPr="00B170C1">
              <w:t>198.36</w:t>
            </w:r>
          </w:p>
        </w:tc>
        <w:tc>
          <w:tcPr>
            <w:tcW w:w="1722" w:type="dxa"/>
          </w:tcPr>
          <w:p w:rsidR="00ED4507" w:rsidRPr="00B170C1" w:rsidRDefault="00ED4507" w:rsidP="00B113CB">
            <w:pPr>
              <w:cnfStyle w:val="000000100000"/>
            </w:pPr>
            <w:r w:rsidRPr="00B170C1">
              <w:t>0.463</w:t>
            </w:r>
          </w:p>
        </w:tc>
        <w:tc>
          <w:tcPr>
            <w:tcW w:w="1513" w:type="dxa"/>
          </w:tcPr>
          <w:p w:rsidR="00ED4507" w:rsidRPr="00B170C1" w:rsidRDefault="001E7362" w:rsidP="00B113CB">
            <w:pPr>
              <w:cnfStyle w:val="000000100000"/>
            </w:pPr>
            <w:r>
              <w:t>0.001</w:t>
            </w:r>
          </w:p>
        </w:tc>
      </w:tr>
      <w:tr w:rsidR="00ED4507" w:rsidTr="00ED4507">
        <w:tc>
          <w:tcPr>
            <w:cnfStyle w:val="001000000000"/>
            <w:tcW w:w="1665" w:type="dxa"/>
          </w:tcPr>
          <w:p w:rsidR="00ED4507" w:rsidRPr="00604C76" w:rsidRDefault="00ED4507" w:rsidP="00B113CB">
            <w:pPr>
              <w:rPr>
                <w:b w:val="0"/>
              </w:rPr>
            </w:pPr>
            <w:r w:rsidRPr="00604C76">
              <w:rPr>
                <w:b w:val="0"/>
              </w:rPr>
              <w:t>Ítem 2</w:t>
            </w:r>
          </w:p>
        </w:tc>
        <w:tc>
          <w:tcPr>
            <w:tcW w:w="1814" w:type="dxa"/>
          </w:tcPr>
          <w:p w:rsidR="00ED4507" w:rsidRPr="00B170C1" w:rsidRDefault="00ED4507" w:rsidP="00B113CB">
            <w:pPr>
              <w:cnfStyle w:val="000000000000"/>
            </w:pPr>
            <w:r w:rsidRPr="00B170C1">
              <w:t>205.18</w:t>
            </w:r>
          </w:p>
        </w:tc>
        <w:tc>
          <w:tcPr>
            <w:tcW w:w="1784" w:type="dxa"/>
          </w:tcPr>
          <w:p w:rsidR="00ED4507" w:rsidRPr="00B170C1" w:rsidRDefault="00ED4507" w:rsidP="00B113CB">
            <w:pPr>
              <w:cnfStyle w:val="000000000000"/>
            </w:pPr>
            <w:r w:rsidRPr="00B170C1">
              <w:t>199.04</w:t>
            </w:r>
          </w:p>
        </w:tc>
        <w:tc>
          <w:tcPr>
            <w:tcW w:w="1722" w:type="dxa"/>
          </w:tcPr>
          <w:p w:rsidR="00ED4507" w:rsidRPr="00B170C1" w:rsidRDefault="00ED4507" w:rsidP="00B113CB">
            <w:pPr>
              <w:cnfStyle w:val="000000000000"/>
            </w:pPr>
            <w:r w:rsidRPr="00B170C1">
              <w:t>0.564</w:t>
            </w:r>
          </w:p>
        </w:tc>
        <w:tc>
          <w:tcPr>
            <w:tcW w:w="1513" w:type="dxa"/>
          </w:tcPr>
          <w:p w:rsidR="00ED4507" w:rsidRPr="00B170C1" w:rsidRDefault="001E7362" w:rsidP="00B113CB">
            <w:pPr>
              <w:cnfStyle w:val="000000000000"/>
            </w:pPr>
            <w:r>
              <w:t>0.000</w:t>
            </w:r>
          </w:p>
        </w:tc>
      </w:tr>
      <w:tr w:rsidR="00ED4507" w:rsidTr="00ED4507">
        <w:trPr>
          <w:cnfStyle w:val="000000100000"/>
        </w:trPr>
        <w:tc>
          <w:tcPr>
            <w:cnfStyle w:val="001000000000"/>
            <w:tcW w:w="1665" w:type="dxa"/>
          </w:tcPr>
          <w:p w:rsidR="00ED4507" w:rsidRPr="00604C76" w:rsidRDefault="00ED4507" w:rsidP="00B113CB">
            <w:pPr>
              <w:rPr>
                <w:b w:val="0"/>
                <w:bCs w:val="0"/>
              </w:rPr>
            </w:pPr>
            <w:r w:rsidRPr="00604C76">
              <w:rPr>
                <w:b w:val="0"/>
              </w:rPr>
              <w:t>Ítem 3</w:t>
            </w:r>
          </w:p>
        </w:tc>
        <w:tc>
          <w:tcPr>
            <w:tcW w:w="1814" w:type="dxa"/>
          </w:tcPr>
          <w:p w:rsidR="00ED4507" w:rsidRPr="00B170C1" w:rsidRDefault="00ED4507" w:rsidP="00B113CB">
            <w:pPr>
              <w:cnfStyle w:val="000000100000"/>
            </w:pPr>
            <w:r w:rsidRPr="00B170C1">
              <w:t>200.69</w:t>
            </w:r>
          </w:p>
        </w:tc>
        <w:tc>
          <w:tcPr>
            <w:tcW w:w="1784" w:type="dxa"/>
          </w:tcPr>
          <w:p w:rsidR="00ED4507" w:rsidRPr="00B170C1" w:rsidRDefault="00ED4507" w:rsidP="00B113CB">
            <w:pPr>
              <w:cnfStyle w:val="000000100000"/>
            </w:pPr>
            <w:r w:rsidRPr="00B170C1">
              <w:t>202.04</w:t>
            </w:r>
          </w:p>
        </w:tc>
        <w:tc>
          <w:tcPr>
            <w:tcW w:w="1722" w:type="dxa"/>
          </w:tcPr>
          <w:p w:rsidR="00ED4507" w:rsidRPr="00B170C1" w:rsidRDefault="00ED4507" w:rsidP="00B113CB">
            <w:pPr>
              <w:cnfStyle w:val="000000100000"/>
            </w:pPr>
            <w:r w:rsidRPr="00B170C1">
              <w:t>0.901</w:t>
            </w:r>
          </w:p>
        </w:tc>
        <w:tc>
          <w:tcPr>
            <w:tcW w:w="1513" w:type="dxa"/>
          </w:tcPr>
          <w:p w:rsidR="00ED4507" w:rsidRPr="00B170C1" w:rsidRDefault="001E7362" w:rsidP="00B113CB">
            <w:pPr>
              <w:cnfStyle w:val="000000100000"/>
            </w:pPr>
            <w:r>
              <w:t>0.000</w:t>
            </w:r>
          </w:p>
        </w:tc>
      </w:tr>
      <w:tr w:rsidR="00ED4507" w:rsidTr="00ED4507">
        <w:tc>
          <w:tcPr>
            <w:cnfStyle w:val="001000000000"/>
            <w:tcW w:w="1665" w:type="dxa"/>
          </w:tcPr>
          <w:p w:rsidR="00ED4507" w:rsidRPr="00604C76" w:rsidRDefault="00ED4507" w:rsidP="00B113CB">
            <w:pPr>
              <w:rPr>
                <w:b w:val="0"/>
              </w:rPr>
            </w:pPr>
            <w:r w:rsidRPr="00604C76">
              <w:rPr>
                <w:b w:val="0"/>
              </w:rPr>
              <w:t>Ítem 4</w:t>
            </w:r>
          </w:p>
        </w:tc>
        <w:tc>
          <w:tcPr>
            <w:tcW w:w="1814" w:type="dxa"/>
          </w:tcPr>
          <w:p w:rsidR="00ED4507" w:rsidRPr="00B170C1" w:rsidRDefault="00ED4507" w:rsidP="00B113CB">
            <w:pPr>
              <w:cnfStyle w:val="000000000000"/>
            </w:pPr>
            <w:r w:rsidRPr="00B170C1">
              <w:t>209.02</w:t>
            </w:r>
          </w:p>
        </w:tc>
        <w:tc>
          <w:tcPr>
            <w:tcW w:w="1784" w:type="dxa"/>
          </w:tcPr>
          <w:p w:rsidR="00ED4507" w:rsidRPr="00B170C1" w:rsidRDefault="00ED4507" w:rsidP="00B113CB">
            <w:pPr>
              <w:cnfStyle w:val="000000000000"/>
            </w:pPr>
            <w:r w:rsidRPr="00B170C1">
              <w:t>196.48</w:t>
            </w:r>
          </w:p>
        </w:tc>
        <w:tc>
          <w:tcPr>
            <w:tcW w:w="1722" w:type="dxa"/>
          </w:tcPr>
          <w:p w:rsidR="00ED4507" w:rsidRPr="00B170C1" w:rsidRDefault="00ED4507" w:rsidP="00B113CB">
            <w:pPr>
              <w:cnfStyle w:val="000000000000"/>
            </w:pPr>
            <w:r w:rsidRPr="00B170C1">
              <w:t>0.247</w:t>
            </w:r>
          </w:p>
        </w:tc>
        <w:tc>
          <w:tcPr>
            <w:tcW w:w="1513" w:type="dxa"/>
          </w:tcPr>
          <w:p w:rsidR="00ED4507" w:rsidRPr="00B170C1" w:rsidRDefault="001E7362" w:rsidP="00B113CB">
            <w:pPr>
              <w:cnfStyle w:val="000000000000"/>
            </w:pPr>
            <w:r>
              <w:t>0.003</w:t>
            </w:r>
          </w:p>
        </w:tc>
      </w:tr>
      <w:tr w:rsidR="00ED4507" w:rsidTr="00ED4507">
        <w:trPr>
          <w:cnfStyle w:val="000000100000"/>
        </w:trPr>
        <w:tc>
          <w:tcPr>
            <w:cnfStyle w:val="001000000000"/>
            <w:tcW w:w="1665" w:type="dxa"/>
          </w:tcPr>
          <w:p w:rsidR="00ED4507" w:rsidRPr="00604C76" w:rsidRDefault="00ED4507" w:rsidP="00B113CB">
            <w:pPr>
              <w:rPr>
                <w:b w:val="0"/>
              </w:rPr>
            </w:pPr>
            <w:r w:rsidRPr="00604C76">
              <w:rPr>
                <w:b w:val="0"/>
              </w:rPr>
              <w:t>Ítem 5</w:t>
            </w:r>
          </w:p>
        </w:tc>
        <w:tc>
          <w:tcPr>
            <w:tcW w:w="1814" w:type="dxa"/>
          </w:tcPr>
          <w:p w:rsidR="00ED4507" w:rsidRPr="00B170C1" w:rsidRDefault="00ED4507" w:rsidP="00B113CB">
            <w:pPr>
              <w:cnfStyle w:val="000000100000"/>
            </w:pPr>
            <w:r w:rsidRPr="00B170C1">
              <w:t>211.58</w:t>
            </w:r>
          </w:p>
        </w:tc>
        <w:tc>
          <w:tcPr>
            <w:tcW w:w="1784" w:type="dxa"/>
          </w:tcPr>
          <w:p w:rsidR="00ED4507" w:rsidRPr="00B170C1" w:rsidRDefault="00ED4507" w:rsidP="00B113CB">
            <w:pPr>
              <w:cnfStyle w:val="000000100000"/>
            </w:pPr>
            <w:r w:rsidRPr="00B170C1">
              <w:t>194.77</w:t>
            </w:r>
          </w:p>
        </w:tc>
        <w:tc>
          <w:tcPr>
            <w:tcW w:w="1722" w:type="dxa"/>
          </w:tcPr>
          <w:p w:rsidR="00ED4507" w:rsidRPr="00B170C1" w:rsidRDefault="00ED4507" w:rsidP="00B113CB">
            <w:pPr>
              <w:cnfStyle w:val="000000100000"/>
            </w:pPr>
            <w:r w:rsidRPr="00B170C1">
              <w:t>0.113</w:t>
            </w:r>
          </w:p>
        </w:tc>
        <w:tc>
          <w:tcPr>
            <w:tcW w:w="1513" w:type="dxa"/>
          </w:tcPr>
          <w:p w:rsidR="00ED4507" w:rsidRPr="00B170C1" w:rsidRDefault="001E7362" w:rsidP="00B113CB">
            <w:pPr>
              <w:cnfStyle w:val="000000100000"/>
            </w:pPr>
            <w:r>
              <w:t>0.006</w:t>
            </w:r>
          </w:p>
        </w:tc>
      </w:tr>
      <w:tr w:rsidR="00ED4507" w:rsidTr="00ED4507">
        <w:tc>
          <w:tcPr>
            <w:cnfStyle w:val="001000000000"/>
            <w:tcW w:w="1665" w:type="dxa"/>
          </w:tcPr>
          <w:p w:rsidR="00ED4507" w:rsidRPr="00604C76" w:rsidRDefault="00ED4507" w:rsidP="00B113CB">
            <w:pPr>
              <w:rPr>
                <w:b w:val="0"/>
              </w:rPr>
            </w:pPr>
            <w:r w:rsidRPr="00604C76">
              <w:rPr>
                <w:b w:val="0"/>
              </w:rPr>
              <w:t>Ítem 6</w:t>
            </w:r>
          </w:p>
        </w:tc>
        <w:tc>
          <w:tcPr>
            <w:tcW w:w="1814" w:type="dxa"/>
          </w:tcPr>
          <w:p w:rsidR="00ED4507" w:rsidRPr="00B170C1" w:rsidRDefault="00ED4507" w:rsidP="00B113CB">
            <w:pPr>
              <w:cnfStyle w:val="000000000000"/>
            </w:pPr>
            <w:r w:rsidRPr="00B170C1">
              <w:t>202.44</w:t>
            </w:r>
          </w:p>
        </w:tc>
        <w:tc>
          <w:tcPr>
            <w:tcW w:w="1784" w:type="dxa"/>
          </w:tcPr>
          <w:p w:rsidR="00ED4507" w:rsidRPr="00B170C1" w:rsidRDefault="00ED4507" w:rsidP="00B113CB">
            <w:pPr>
              <w:cnfStyle w:val="000000000000"/>
            </w:pPr>
            <w:r w:rsidRPr="00B170C1">
              <w:t>200.87</w:t>
            </w:r>
          </w:p>
        </w:tc>
        <w:tc>
          <w:tcPr>
            <w:tcW w:w="1722" w:type="dxa"/>
          </w:tcPr>
          <w:p w:rsidR="00ED4507" w:rsidRPr="00B170C1" w:rsidRDefault="00ED4507" w:rsidP="00B113CB">
            <w:pPr>
              <w:cnfStyle w:val="000000000000"/>
            </w:pPr>
            <w:r w:rsidRPr="00B170C1">
              <w:t>0.882</w:t>
            </w:r>
          </w:p>
        </w:tc>
        <w:tc>
          <w:tcPr>
            <w:tcW w:w="1513" w:type="dxa"/>
          </w:tcPr>
          <w:p w:rsidR="00ED4507" w:rsidRPr="00B170C1" w:rsidRDefault="001E7362" w:rsidP="00B113CB">
            <w:pPr>
              <w:cnfStyle w:val="000000000000"/>
            </w:pPr>
            <w:r>
              <w:t>0.000</w:t>
            </w:r>
          </w:p>
        </w:tc>
      </w:tr>
      <w:tr w:rsidR="00ED4507" w:rsidTr="00ED4507">
        <w:trPr>
          <w:cnfStyle w:val="000000100000"/>
        </w:trPr>
        <w:tc>
          <w:tcPr>
            <w:cnfStyle w:val="001000000000"/>
            <w:tcW w:w="1665" w:type="dxa"/>
          </w:tcPr>
          <w:p w:rsidR="00ED4507" w:rsidRPr="00604C76" w:rsidRDefault="00ED4507" w:rsidP="00B113CB">
            <w:pPr>
              <w:rPr>
                <w:b w:val="0"/>
              </w:rPr>
            </w:pPr>
            <w:r w:rsidRPr="00604C76">
              <w:rPr>
                <w:b w:val="0"/>
              </w:rPr>
              <w:t>Ítem 7</w:t>
            </w:r>
          </w:p>
        </w:tc>
        <w:tc>
          <w:tcPr>
            <w:tcW w:w="1814" w:type="dxa"/>
          </w:tcPr>
          <w:p w:rsidR="00ED4507" w:rsidRPr="00B170C1" w:rsidRDefault="00ED4507" w:rsidP="00B113CB">
            <w:pPr>
              <w:cnfStyle w:val="000000100000"/>
            </w:pPr>
            <w:r w:rsidRPr="00B170C1">
              <w:t>222.11</w:t>
            </w:r>
          </w:p>
        </w:tc>
        <w:tc>
          <w:tcPr>
            <w:tcW w:w="1784" w:type="dxa"/>
          </w:tcPr>
          <w:p w:rsidR="00ED4507" w:rsidRPr="00B170C1" w:rsidRDefault="00ED4507" w:rsidP="00B113CB">
            <w:pPr>
              <w:cnfStyle w:val="000000100000"/>
            </w:pPr>
            <w:r w:rsidRPr="00B170C1">
              <w:t>187.73</w:t>
            </w:r>
          </w:p>
        </w:tc>
        <w:tc>
          <w:tcPr>
            <w:tcW w:w="1722" w:type="dxa"/>
          </w:tcPr>
          <w:p w:rsidR="00ED4507" w:rsidRPr="00B170C1" w:rsidRDefault="00ED4507" w:rsidP="00B113CB">
            <w:pPr>
              <w:cnfStyle w:val="000000100000"/>
            </w:pPr>
            <w:r w:rsidRPr="00B170C1">
              <w:t>0.002*</w:t>
            </w:r>
          </w:p>
        </w:tc>
        <w:tc>
          <w:tcPr>
            <w:tcW w:w="1513" w:type="dxa"/>
          </w:tcPr>
          <w:p w:rsidR="00ED4507" w:rsidRPr="00B170C1" w:rsidRDefault="001E7362" w:rsidP="00B113CB">
            <w:pPr>
              <w:cnfStyle w:val="000000100000"/>
            </w:pPr>
            <w:r>
              <w:t>0.024</w:t>
            </w:r>
          </w:p>
        </w:tc>
      </w:tr>
      <w:tr w:rsidR="00ED4507" w:rsidTr="00ED4507">
        <w:tc>
          <w:tcPr>
            <w:cnfStyle w:val="001000000000"/>
            <w:tcW w:w="1665" w:type="dxa"/>
          </w:tcPr>
          <w:p w:rsidR="00ED4507" w:rsidRPr="00604C76" w:rsidRDefault="00ED4507" w:rsidP="00B113CB">
            <w:pPr>
              <w:rPr>
                <w:b w:val="0"/>
              </w:rPr>
            </w:pPr>
            <w:r w:rsidRPr="00604C76">
              <w:rPr>
                <w:b w:val="0"/>
              </w:rPr>
              <w:t>Ítem 8</w:t>
            </w:r>
          </w:p>
        </w:tc>
        <w:tc>
          <w:tcPr>
            <w:tcW w:w="1814" w:type="dxa"/>
          </w:tcPr>
          <w:p w:rsidR="00ED4507" w:rsidRPr="00B170C1" w:rsidRDefault="00ED4507" w:rsidP="00B113CB">
            <w:pPr>
              <w:cnfStyle w:val="000000000000"/>
            </w:pPr>
            <w:r w:rsidRPr="00B170C1">
              <w:t>221.03</w:t>
            </w:r>
          </w:p>
        </w:tc>
        <w:tc>
          <w:tcPr>
            <w:tcW w:w="1784" w:type="dxa"/>
          </w:tcPr>
          <w:p w:rsidR="00ED4507" w:rsidRPr="00B170C1" w:rsidRDefault="00ED4507" w:rsidP="00B113CB">
            <w:pPr>
              <w:cnfStyle w:val="000000000000"/>
            </w:pPr>
            <w:r w:rsidRPr="00B170C1">
              <w:t>188.45</w:t>
            </w:r>
          </w:p>
        </w:tc>
        <w:tc>
          <w:tcPr>
            <w:tcW w:w="1722" w:type="dxa"/>
          </w:tcPr>
          <w:p w:rsidR="00ED4507" w:rsidRPr="00B170C1" w:rsidRDefault="00ED4507" w:rsidP="00B113CB">
            <w:pPr>
              <w:cnfStyle w:val="000000000000"/>
            </w:pPr>
            <w:r w:rsidRPr="00B170C1">
              <w:t>0.002*</w:t>
            </w:r>
          </w:p>
        </w:tc>
        <w:tc>
          <w:tcPr>
            <w:tcW w:w="1513" w:type="dxa"/>
          </w:tcPr>
          <w:p w:rsidR="00ED4507" w:rsidRPr="00B170C1" w:rsidRDefault="001E7362" w:rsidP="00B113CB">
            <w:pPr>
              <w:cnfStyle w:val="000000000000"/>
            </w:pPr>
            <w:r>
              <w:t>0.023</w:t>
            </w:r>
          </w:p>
        </w:tc>
      </w:tr>
      <w:tr w:rsidR="00ED4507" w:rsidTr="00ED4507">
        <w:trPr>
          <w:cnfStyle w:val="000000100000"/>
        </w:trPr>
        <w:tc>
          <w:tcPr>
            <w:cnfStyle w:val="001000000000"/>
            <w:tcW w:w="1665" w:type="dxa"/>
          </w:tcPr>
          <w:p w:rsidR="00ED4507" w:rsidRPr="00604C76" w:rsidRDefault="00ED4507" w:rsidP="00B113CB">
            <w:pPr>
              <w:rPr>
                <w:b w:val="0"/>
              </w:rPr>
            </w:pPr>
            <w:r w:rsidRPr="00604C76">
              <w:rPr>
                <w:b w:val="0"/>
              </w:rPr>
              <w:t>Ítem 9</w:t>
            </w:r>
          </w:p>
        </w:tc>
        <w:tc>
          <w:tcPr>
            <w:tcW w:w="1814" w:type="dxa"/>
          </w:tcPr>
          <w:p w:rsidR="00ED4507" w:rsidRPr="00B170C1" w:rsidRDefault="00ED4507" w:rsidP="00B113CB">
            <w:pPr>
              <w:cnfStyle w:val="000000100000"/>
            </w:pPr>
            <w:r w:rsidRPr="00B170C1">
              <w:t>219.21</w:t>
            </w:r>
          </w:p>
        </w:tc>
        <w:tc>
          <w:tcPr>
            <w:tcW w:w="1784" w:type="dxa"/>
          </w:tcPr>
          <w:p w:rsidR="00ED4507" w:rsidRPr="00B170C1" w:rsidRDefault="00ED4507" w:rsidP="00B113CB">
            <w:pPr>
              <w:cnfStyle w:val="000000100000"/>
            </w:pPr>
            <w:r w:rsidRPr="00B170C1">
              <w:t>189.67</w:t>
            </w:r>
          </w:p>
        </w:tc>
        <w:tc>
          <w:tcPr>
            <w:tcW w:w="1722" w:type="dxa"/>
          </w:tcPr>
          <w:p w:rsidR="00ED4507" w:rsidRPr="00B170C1" w:rsidRDefault="00ED4507" w:rsidP="00B113CB">
            <w:pPr>
              <w:cnfStyle w:val="000000100000"/>
            </w:pPr>
            <w:r w:rsidRPr="00B170C1">
              <w:t>0.006*</w:t>
            </w:r>
          </w:p>
        </w:tc>
        <w:tc>
          <w:tcPr>
            <w:tcW w:w="1513" w:type="dxa"/>
          </w:tcPr>
          <w:p w:rsidR="00ED4507" w:rsidRPr="00B170C1" w:rsidRDefault="001E7362" w:rsidP="00B113CB">
            <w:pPr>
              <w:cnfStyle w:val="000000100000"/>
            </w:pPr>
            <w:r>
              <w:t>0.019</w:t>
            </w:r>
          </w:p>
        </w:tc>
      </w:tr>
      <w:tr w:rsidR="00ED4507" w:rsidTr="00ED4507">
        <w:tc>
          <w:tcPr>
            <w:cnfStyle w:val="001000000000"/>
            <w:tcW w:w="1665" w:type="dxa"/>
          </w:tcPr>
          <w:p w:rsidR="00ED4507" w:rsidRPr="00604C76" w:rsidRDefault="00ED4507" w:rsidP="00B113CB">
            <w:pPr>
              <w:rPr>
                <w:b w:val="0"/>
              </w:rPr>
            </w:pPr>
            <w:r w:rsidRPr="00604C76">
              <w:rPr>
                <w:b w:val="0"/>
              </w:rPr>
              <w:t>Ítem 10</w:t>
            </w:r>
          </w:p>
        </w:tc>
        <w:tc>
          <w:tcPr>
            <w:tcW w:w="1814" w:type="dxa"/>
          </w:tcPr>
          <w:p w:rsidR="00ED4507" w:rsidRPr="00B170C1" w:rsidRDefault="00ED4507" w:rsidP="00B113CB">
            <w:pPr>
              <w:cnfStyle w:val="000000000000"/>
            </w:pPr>
            <w:r w:rsidRPr="00B170C1">
              <w:t>216.24</w:t>
            </w:r>
          </w:p>
        </w:tc>
        <w:tc>
          <w:tcPr>
            <w:tcW w:w="1784" w:type="dxa"/>
          </w:tcPr>
          <w:p w:rsidR="00ED4507" w:rsidRPr="00B170C1" w:rsidRDefault="00ED4507" w:rsidP="00B113CB">
            <w:pPr>
              <w:cnfStyle w:val="000000000000"/>
            </w:pPr>
            <w:r w:rsidRPr="00B170C1">
              <w:t>191.65</w:t>
            </w:r>
          </w:p>
        </w:tc>
        <w:tc>
          <w:tcPr>
            <w:tcW w:w="1722" w:type="dxa"/>
          </w:tcPr>
          <w:p w:rsidR="00ED4507" w:rsidRPr="00B170C1" w:rsidRDefault="00ED4507" w:rsidP="00B113CB">
            <w:pPr>
              <w:cnfStyle w:val="000000000000"/>
            </w:pPr>
            <w:r w:rsidRPr="00B170C1">
              <w:t>0.023*</w:t>
            </w:r>
          </w:p>
        </w:tc>
        <w:tc>
          <w:tcPr>
            <w:tcW w:w="1513" w:type="dxa"/>
          </w:tcPr>
          <w:p w:rsidR="00ED4507" w:rsidRPr="00B170C1" w:rsidRDefault="001E7362" w:rsidP="00B113CB">
            <w:pPr>
              <w:cnfStyle w:val="000000000000"/>
            </w:pPr>
            <w:r>
              <w:t>0.013</w:t>
            </w:r>
          </w:p>
        </w:tc>
      </w:tr>
    </w:tbl>
    <w:p w:rsidR="006724EB" w:rsidRDefault="006724EB" w:rsidP="00B113CB">
      <w:pPr>
        <w:rPr>
          <w:sz w:val="21"/>
          <w:szCs w:val="21"/>
        </w:rPr>
      </w:pPr>
    </w:p>
    <w:p w:rsidR="003B184B" w:rsidRDefault="003B184B" w:rsidP="00B113CB">
      <w:pPr>
        <w:rPr>
          <w:sz w:val="21"/>
          <w:szCs w:val="21"/>
        </w:rPr>
      </w:pPr>
    </w:p>
    <w:p w:rsidR="006724EB" w:rsidRDefault="006724EB" w:rsidP="00B113CB">
      <w:pPr>
        <w:ind w:firstLine="567"/>
      </w:pPr>
      <w:r>
        <w:t xml:space="preserve">Posteriormente, se comprobó si </w:t>
      </w:r>
      <w:r w:rsidR="003B184B">
        <w:t xml:space="preserve">en </w:t>
      </w:r>
      <w:r>
        <w:t xml:space="preserve">las escalas tanto de Rathus como de Hong </w:t>
      </w:r>
      <w:r w:rsidR="003B184B">
        <w:t xml:space="preserve">se </w:t>
      </w:r>
      <w:r>
        <w:t xml:space="preserve">presentaban diferencias </w:t>
      </w:r>
      <w:r w:rsidR="003B184B">
        <w:t xml:space="preserve">en función de los </w:t>
      </w:r>
      <w:r>
        <w:t>grupos de edad de los participantes. Para ello, se estudió si existían diferencias significativas entre las variables de ambas escalas en relación con la variable edad a través de la prueba Kruskal- Wallis para muestras independientes.</w:t>
      </w:r>
    </w:p>
    <w:p w:rsidR="006724EB" w:rsidRDefault="006724EB" w:rsidP="00B113CB">
      <w:pPr>
        <w:ind w:firstLine="567"/>
      </w:pPr>
      <w:r>
        <w:t xml:space="preserve">Como se puede comprobar en la </w:t>
      </w:r>
      <w:r w:rsidRPr="00816D62">
        <w:t xml:space="preserve">Tabla </w:t>
      </w:r>
      <w:r w:rsidR="00604C76">
        <w:t>5</w:t>
      </w:r>
      <w:r>
        <w:t>, la escala de Rathus sí presentaba diferencias significativas en función al nivel de edad, pero no en todos los ítems. Se tomó como nivel de confianza de 0.05 según el criterio clásico.</w:t>
      </w:r>
    </w:p>
    <w:p w:rsidR="007173A2" w:rsidRDefault="006724EB" w:rsidP="00B113CB">
      <w:pPr>
        <w:ind w:firstLine="567"/>
      </w:pPr>
      <w:r>
        <w:t xml:space="preserve">Los ítems de la  escala de asertividad de Rathus, como se citó anteriormente, se evalúan mediante </w:t>
      </w:r>
      <w:r w:rsidR="00604C76">
        <w:t xml:space="preserve">seis </w:t>
      </w:r>
      <w:r>
        <w:t xml:space="preserve">opciones de respuesta diferentes que </w:t>
      </w:r>
      <w:r w:rsidRPr="00ED4BE5">
        <w:t>van desde “extremadamente no descriptivo” (0) y “extremadamente descriptivo” (6</w:t>
      </w:r>
      <w:r>
        <w:t>), y no todos los ítem puntúan igual, por lo que no tuvo sentido realizar un promedio de las puntuaciones obtenidas en el test. Para saber cuál fue el grupo que presentó las mayores puntuaciones en asertividad se compararon los rangos promedios de cada ítem y a partir de estos datos podemos afirmar que el grupo que presenta mayores puntuaciones en asertividad es el grupo adulto joven.</w:t>
      </w:r>
    </w:p>
    <w:p w:rsidR="00310094" w:rsidRDefault="00310094" w:rsidP="00B113CB">
      <w:pPr>
        <w:ind w:firstLine="567"/>
      </w:pPr>
    </w:p>
    <w:p w:rsidR="00646B9E" w:rsidRPr="00310094" w:rsidRDefault="00646B9E" w:rsidP="00B113CB">
      <w:pPr>
        <w:ind w:firstLine="567"/>
      </w:pPr>
    </w:p>
    <w:p w:rsidR="006724EB" w:rsidRDefault="006724EB" w:rsidP="00B113CB">
      <w:pPr>
        <w:ind w:firstLine="567"/>
        <w:rPr>
          <w:b/>
          <w:bCs/>
        </w:rPr>
      </w:pPr>
      <w:r w:rsidRPr="00816D62">
        <w:rPr>
          <w:b/>
          <w:bCs/>
        </w:rPr>
        <w:t xml:space="preserve">Tabla </w:t>
      </w:r>
      <w:r w:rsidR="00604C76">
        <w:rPr>
          <w:b/>
          <w:bCs/>
        </w:rPr>
        <w:t>5</w:t>
      </w:r>
    </w:p>
    <w:p w:rsidR="006724EB" w:rsidRDefault="006724EB" w:rsidP="00B113CB">
      <w:pPr>
        <w:ind w:firstLine="567"/>
        <w:rPr>
          <w:i/>
          <w:iCs/>
        </w:rPr>
      </w:pPr>
      <w:r>
        <w:rPr>
          <w:i/>
          <w:iCs/>
        </w:rPr>
        <w:t xml:space="preserve">Puntuaciones de la escala de </w:t>
      </w:r>
      <w:r w:rsidR="003B184B">
        <w:rPr>
          <w:i/>
          <w:iCs/>
        </w:rPr>
        <w:t xml:space="preserve">asertividad </w:t>
      </w:r>
      <w:r>
        <w:rPr>
          <w:i/>
          <w:iCs/>
        </w:rPr>
        <w:t>Rathus según los grupos de edad</w:t>
      </w:r>
    </w:p>
    <w:tbl>
      <w:tblPr>
        <w:tblStyle w:val="PlainTable2"/>
        <w:tblW w:w="0" w:type="auto"/>
        <w:tblLook w:val="04A0"/>
      </w:tblPr>
      <w:tblGrid>
        <w:gridCol w:w="2122"/>
        <w:gridCol w:w="2122"/>
        <w:gridCol w:w="2122"/>
        <w:gridCol w:w="2122"/>
      </w:tblGrid>
      <w:tr w:rsidR="006724EB" w:rsidTr="00BC228C">
        <w:trPr>
          <w:cnfStyle w:val="100000000000"/>
        </w:trPr>
        <w:tc>
          <w:tcPr>
            <w:cnfStyle w:val="001000000000"/>
            <w:tcW w:w="2122" w:type="dxa"/>
          </w:tcPr>
          <w:p w:rsidR="006724EB" w:rsidRDefault="006724EB" w:rsidP="00B113CB"/>
        </w:tc>
        <w:tc>
          <w:tcPr>
            <w:tcW w:w="2122" w:type="dxa"/>
          </w:tcPr>
          <w:p w:rsidR="006724EB" w:rsidRDefault="006724EB" w:rsidP="00B113CB">
            <w:pPr>
              <w:cnfStyle w:val="100000000000"/>
            </w:pPr>
            <w:r>
              <w:t>J- AJ</w:t>
            </w:r>
          </w:p>
        </w:tc>
        <w:tc>
          <w:tcPr>
            <w:tcW w:w="2122" w:type="dxa"/>
          </w:tcPr>
          <w:p w:rsidR="006724EB" w:rsidRDefault="006724EB" w:rsidP="00B113CB">
            <w:pPr>
              <w:cnfStyle w:val="100000000000"/>
            </w:pPr>
            <w:r>
              <w:t>AJ- AM</w:t>
            </w:r>
          </w:p>
        </w:tc>
        <w:tc>
          <w:tcPr>
            <w:tcW w:w="2122" w:type="dxa"/>
          </w:tcPr>
          <w:p w:rsidR="006724EB" w:rsidRDefault="006724EB" w:rsidP="00B113CB">
            <w:pPr>
              <w:cnfStyle w:val="100000000000"/>
            </w:pPr>
            <w:r>
              <w:t>AM- J</w:t>
            </w:r>
          </w:p>
        </w:tc>
      </w:tr>
      <w:tr w:rsidR="006724EB" w:rsidTr="00BC228C">
        <w:trPr>
          <w:cnfStyle w:val="000000100000"/>
        </w:trPr>
        <w:tc>
          <w:tcPr>
            <w:cnfStyle w:val="001000000000"/>
            <w:tcW w:w="2122" w:type="dxa"/>
          </w:tcPr>
          <w:p w:rsidR="006724EB" w:rsidRPr="00604C76" w:rsidRDefault="006724EB" w:rsidP="00B113CB">
            <w:pPr>
              <w:rPr>
                <w:b w:val="0"/>
              </w:rPr>
            </w:pPr>
            <w:r w:rsidRPr="00604C76">
              <w:rPr>
                <w:b w:val="0"/>
              </w:rPr>
              <w:t>Ítem 2</w:t>
            </w:r>
          </w:p>
        </w:tc>
        <w:tc>
          <w:tcPr>
            <w:tcW w:w="2122" w:type="dxa"/>
          </w:tcPr>
          <w:p w:rsidR="006724EB" w:rsidRDefault="006724EB" w:rsidP="00B113CB">
            <w:pPr>
              <w:cnfStyle w:val="000000100000"/>
            </w:pPr>
            <w:r>
              <w:t>0.00</w:t>
            </w:r>
            <w:r w:rsidR="00BC228C">
              <w:t>0 (0.009)</w:t>
            </w:r>
          </w:p>
        </w:tc>
        <w:tc>
          <w:tcPr>
            <w:tcW w:w="2122" w:type="dxa"/>
          </w:tcPr>
          <w:p w:rsidR="006724EB" w:rsidRDefault="006724EB" w:rsidP="00B113CB">
            <w:pPr>
              <w:cnfStyle w:val="000000100000"/>
            </w:pPr>
          </w:p>
        </w:tc>
        <w:tc>
          <w:tcPr>
            <w:tcW w:w="2122" w:type="dxa"/>
          </w:tcPr>
          <w:p w:rsidR="006724EB" w:rsidRDefault="006724EB" w:rsidP="00B113CB">
            <w:pPr>
              <w:cnfStyle w:val="000000100000"/>
            </w:pPr>
            <w:r>
              <w:t>0.001</w:t>
            </w:r>
            <w:r w:rsidR="00BC228C">
              <w:t xml:space="preserve"> (0.008)</w:t>
            </w:r>
          </w:p>
        </w:tc>
      </w:tr>
      <w:tr w:rsidR="006724EB" w:rsidTr="00BC228C">
        <w:tc>
          <w:tcPr>
            <w:cnfStyle w:val="001000000000"/>
            <w:tcW w:w="2122" w:type="dxa"/>
          </w:tcPr>
          <w:p w:rsidR="006724EB" w:rsidRPr="00604C76" w:rsidRDefault="006724EB" w:rsidP="00B113CB">
            <w:pPr>
              <w:rPr>
                <w:b w:val="0"/>
              </w:rPr>
            </w:pPr>
            <w:r w:rsidRPr="00604C76">
              <w:rPr>
                <w:b w:val="0"/>
              </w:rPr>
              <w:t>Ítem 3</w:t>
            </w:r>
          </w:p>
        </w:tc>
        <w:tc>
          <w:tcPr>
            <w:tcW w:w="2122" w:type="dxa"/>
          </w:tcPr>
          <w:p w:rsidR="006724EB" w:rsidRDefault="006724EB" w:rsidP="00B113CB">
            <w:pPr>
              <w:cnfStyle w:val="000000000000"/>
            </w:pPr>
          </w:p>
        </w:tc>
        <w:tc>
          <w:tcPr>
            <w:tcW w:w="2122" w:type="dxa"/>
          </w:tcPr>
          <w:p w:rsidR="006724EB" w:rsidRDefault="006724EB" w:rsidP="00B113CB">
            <w:pPr>
              <w:cnfStyle w:val="000000000000"/>
            </w:pPr>
          </w:p>
        </w:tc>
        <w:tc>
          <w:tcPr>
            <w:tcW w:w="2122" w:type="dxa"/>
          </w:tcPr>
          <w:p w:rsidR="006724EB" w:rsidRDefault="006724EB" w:rsidP="00B113CB">
            <w:pPr>
              <w:cnfStyle w:val="000000000000"/>
            </w:pPr>
            <w:r>
              <w:t>0.000</w:t>
            </w:r>
            <w:r w:rsidR="00BC228C">
              <w:t xml:space="preserve"> (0.009)</w:t>
            </w:r>
          </w:p>
        </w:tc>
      </w:tr>
      <w:tr w:rsidR="006724EB" w:rsidTr="00BC228C">
        <w:trPr>
          <w:cnfStyle w:val="000000100000"/>
        </w:trPr>
        <w:tc>
          <w:tcPr>
            <w:cnfStyle w:val="001000000000"/>
            <w:tcW w:w="2122" w:type="dxa"/>
          </w:tcPr>
          <w:p w:rsidR="006724EB" w:rsidRPr="00604C76" w:rsidRDefault="006724EB" w:rsidP="00B113CB">
            <w:pPr>
              <w:rPr>
                <w:b w:val="0"/>
              </w:rPr>
            </w:pPr>
            <w:r w:rsidRPr="00604C76">
              <w:rPr>
                <w:b w:val="0"/>
              </w:rPr>
              <w:t>Ítem 4</w:t>
            </w:r>
          </w:p>
        </w:tc>
        <w:tc>
          <w:tcPr>
            <w:tcW w:w="2122" w:type="dxa"/>
          </w:tcPr>
          <w:p w:rsidR="006724EB" w:rsidRDefault="006724EB" w:rsidP="00B113CB">
            <w:pPr>
              <w:cnfStyle w:val="000000100000"/>
            </w:pPr>
          </w:p>
        </w:tc>
        <w:tc>
          <w:tcPr>
            <w:tcW w:w="2122" w:type="dxa"/>
          </w:tcPr>
          <w:p w:rsidR="006724EB" w:rsidRDefault="006724EB" w:rsidP="00B113CB">
            <w:pPr>
              <w:cnfStyle w:val="000000100000"/>
            </w:pPr>
          </w:p>
        </w:tc>
        <w:tc>
          <w:tcPr>
            <w:tcW w:w="2122" w:type="dxa"/>
          </w:tcPr>
          <w:p w:rsidR="006724EB" w:rsidRDefault="006724EB" w:rsidP="00B113CB">
            <w:pPr>
              <w:cnfStyle w:val="000000100000"/>
            </w:pPr>
            <w:r>
              <w:t>0.050</w:t>
            </w:r>
            <w:r w:rsidR="00BC228C">
              <w:t xml:space="preserve"> (0.005)</w:t>
            </w:r>
          </w:p>
        </w:tc>
      </w:tr>
      <w:tr w:rsidR="006724EB" w:rsidTr="00BC228C">
        <w:tc>
          <w:tcPr>
            <w:cnfStyle w:val="001000000000"/>
            <w:tcW w:w="2122" w:type="dxa"/>
          </w:tcPr>
          <w:p w:rsidR="006724EB" w:rsidRPr="00604C76" w:rsidRDefault="006724EB" w:rsidP="00B113CB">
            <w:pPr>
              <w:rPr>
                <w:b w:val="0"/>
              </w:rPr>
            </w:pPr>
            <w:r w:rsidRPr="00604C76">
              <w:rPr>
                <w:b w:val="0"/>
              </w:rPr>
              <w:t>Ítem 5</w:t>
            </w:r>
          </w:p>
        </w:tc>
        <w:tc>
          <w:tcPr>
            <w:tcW w:w="2122" w:type="dxa"/>
          </w:tcPr>
          <w:p w:rsidR="006724EB" w:rsidRDefault="006724EB" w:rsidP="00B113CB">
            <w:pPr>
              <w:cnfStyle w:val="000000000000"/>
            </w:pPr>
          </w:p>
        </w:tc>
        <w:tc>
          <w:tcPr>
            <w:tcW w:w="2122" w:type="dxa"/>
          </w:tcPr>
          <w:p w:rsidR="006724EB" w:rsidRDefault="006724EB" w:rsidP="00B113CB">
            <w:pPr>
              <w:cnfStyle w:val="000000000000"/>
            </w:pPr>
            <w:r>
              <w:t>0.0</w:t>
            </w:r>
            <w:r w:rsidR="00A32ED1">
              <w:t>38</w:t>
            </w:r>
            <w:r w:rsidR="00BC228C">
              <w:t xml:space="preserve"> (0.006)</w:t>
            </w:r>
          </w:p>
        </w:tc>
        <w:tc>
          <w:tcPr>
            <w:tcW w:w="2122" w:type="dxa"/>
          </w:tcPr>
          <w:p w:rsidR="006724EB" w:rsidRDefault="006724EB" w:rsidP="00B113CB">
            <w:pPr>
              <w:cnfStyle w:val="000000000000"/>
            </w:pPr>
            <w:r>
              <w:t>0.038</w:t>
            </w:r>
            <w:r w:rsidR="00BC228C">
              <w:t xml:space="preserve"> (0.006)</w:t>
            </w:r>
          </w:p>
        </w:tc>
      </w:tr>
      <w:tr w:rsidR="006724EB" w:rsidTr="00BC228C">
        <w:trPr>
          <w:cnfStyle w:val="000000100000"/>
        </w:trPr>
        <w:tc>
          <w:tcPr>
            <w:cnfStyle w:val="001000000000"/>
            <w:tcW w:w="2122" w:type="dxa"/>
          </w:tcPr>
          <w:p w:rsidR="006724EB" w:rsidRPr="00604C76" w:rsidRDefault="006724EB" w:rsidP="00B113CB">
            <w:pPr>
              <w:rPr>
                <w:b w:val="0"/>
              </w:rPr>
            </w:pPr>
            <w:r w:rsidRPr="00604C76">
              <w:rPr>
                <w:b w:val="0"/>
              </w:rPr>
              <w:t>Ítem 8</w:t>
            </w:r>
          </w:p>
        </w:tc>
        <w:tc>
          <w:tcPr>
            <w:tcW w:w="2122" w:type="dxa"/>
          </w:tcPr>
          <w:p w:rsidR="006724EB" w:rsidRDefault="006724EB" w:rsidP="00B113CB">
            <w:pPr>
              <w:cnfStyle w:val="000000100000"/>
            </w:pPr>
            <w:r>
              <w:t>0.000</w:t>
            </w:r>
            <w:r w:rsidR="00BC228C">
              <w:t xml:space="preserve"> (0.011)</w:t>
            </w:r>
          </w:p>
        </w:tc>
        <w:tc>
          <w:tcPr>
            <w:tcW w:w="2122" w:type="dxa"/>
          </w:tcPr>
          <w:p w:rsidR="006724EB" w:rsidRDefault="006724EB" w:rsidP="00B113CB">
            <w:pPr>
              <w:cnfStyle w:val="000000100000"/>
            </w:pPr>
          </w:p>
        </w:tc>
        <w:tc>
          <w:tcPr>
            <w:tcW w:w="2122" w:type="dxa"/>
          </w:tcPr>
          <w:p w:rsidR="006724EB" w:rsidRDefault="006724EB" w:rsidP="00B113CB">
            <w:pPr>
              <w:cnfStyle w:val="000000100000"/>
            </w:pPr>
          </w:p>
        </w:tc>
      </w:tr>
      <w:tr w:rsidR="006724EB" w:rsidTr="00BC228C">
        <w:tc>
          <w:tcPr>
            <w:cnfStyle w:val="001000000000"/>
            <w:tcW w:w="2122" w:type="dxa"/>
          </w:tcPr>
          <w:p w:rsidR="006724EB" w:rsidRPr="00604C76" w:rsidRDefault="006724EB" w:rsidP="00B113CB">
            <w:pPr>
              <w:rPr>
                <w:b w:val="0"/>
              </w:rPr>
            </w:pPr>
            <w:r w:rsidRPr="00604C76">
              <w:rPr>
                <w:b w:val="0"/>
              </w:rPr>
              <w:t>Ítem 10</w:t>
            </w:r>
          </w:p>
        </w:tc>
        <w:tc>
          <w:tcPr>
            <w:tcW w:w="2122" w:type="dxa"/>
          </w:tcPr>
          <w:p w:rsidR="006724EB" w:rsidRDefault="006724EB" w:rsidP="00B113CB">
            <w:pPr>
              <w:cnfStyle w:val="000000000000"/>
            </w:pPr>
          </w:p>
        </w:tc>
        <w:tc>
          <w:tcPr>
            <w:tcW w:w="2122" w:type="dxa"/>
          </w:tcPr>
          <w:p w:rsidR="006724EB" w:rsidRDefault="006724EB" w:rsidP="00B113CB">
            <w:pPr>
              <w:cnfStyle w:val="000000000000"/>
            </w:pPr>
            <w:r>
              <w:t>0.02</w:t>
            </w:r>
            <w:r w:rsidR="00A32ED1">
              <w:t>3</w:t>
            </w:r>
            <w:r w:rsidR="00BC228C">
              <w:t xml:space="preserve"> (0.006)</w:t>
            </w:r>
          </w:p>
        </w:tc>
        <w:tc>
          <w:tcPr>
            <w:tcW w:w="2122" w:type="dxa"/>
          </w:tcPr>
          <w:p w:rsidR="006724EB" w:rsidRDefault="006724EB" w:rsidP="00B113CB">
            <w:pPr>
              <w:cnfStyle w:val="000000000000"/>
            </w:pPr>
            <w:r>
              <w:t>0.001</w:t>
            </w:r>
            <w:r w:rsidR="00BC228C">
              <w:t xml:space="preserve"> (0.009)</w:t>
            </w:r>
          </w:p>
        </w:tc>
      </w:tr>
      <w:tr w:rsidR="006724EB" w:rsidTr="00BC228C">
        <w:trPr>
          <w:cnfStyle w:val="000000100000"/>
        </w:trPr>
        <w:tc>
          <w:tcPr>
            <w:cnfStyle w:val="001000000000"/>
            <w:tcW w:w="2122" w:type="dxa"/>
          </w:tcPr>
          <w:p w:rsidR="006724EB" w:rsidRPr="00604C76" w:rsidRDefault="006724EB" w:rsidP="00B113CB">
            <w:pPr>
              <w:rPr>
                <w:b w:val="0"/>
              </w:rPr>
            </w:pPr>
            <w:r w:rsidRPr="00604C76">
              <w:rPr>
                <w:b w:val="0"/>
              </w:rPr>
              <w:t>Ítem 11</w:t>
            </w:r>
          </w:p>
        </w:tc>
        <w:tc>
          <w:tcPr>
            <w:tcW w:w="2122" w:type="dxa"/>
          </w:tcPr>
          <w:p w:rsidR="006724EB" w:rsidRDefault="006724EB" w:rsidP="00B113CB">
            <w:pPr>
              <w:cnfStyle w:val="000000100000"/>
            </w:pPr>
          </w:p>
        </w:tc>
        <w:tc>
          <w:tcPr>
            <w:tcW w:w="2122" w:type="dxa"/>
          </w:tcPr>
          <w:p w:rsidR="006724EB" w:rsidRDefault="006724EB" w:rsidP="00B113CB">
            <w:pPr>
              <w:cnfStyle w:val="000000100000"/>
            </w:pPr>
            <w:r>
              <w:t>0.00</w:t>
            </w:r>
            <w:r w:rsidR="00A32ED1">
              <w:t>9</w:t>
            </w:r>
            <w:r w:rsidR="00BC228C">
              <w:t xml:space="preserve"> (0.007)</w:t>
            </w:r>
          </w:p>
        </w:tc>
        <w:tc>
          <w:tcPr>
            <w:tcW w:w="2122" w:type="dxa"/>
          </w:tcPr>
          <w:p w:rsidR="006724EB" w:rsidRDefault="006724EB" w:rsidP="00B113CB">
            <w:pPr>
              <w:cnfStyle w:val="000000100000"/>
            </w:pPr>
            <w:r>
              <w:t>0.001</w:t>
            </w:r>
            <w:r w:rsidR="00BC228C">
              <w:t xml:space="preserve"> (0.008)</w:t>
            </w:r>
          </w:p>
        </w:tc>
      </w:tr>
      <w:tr w:rsidR="006724EB" w:rsidTr="00BC228C">
        <w:tc>
          <w:tcPr>
            <w:cnfStyle w:val="001000000000"/>
            <w:tcW w:w="2122" w:type="dxa"/>
          </w:tcPr>
          <w:p w:rsidR="006724EB" w:rsidRPr="00604C76" w:rsidRDefault="006724EB" w:rsidP="00B113CB">
            <w:pPr>
              <w:rPr>
                <w:b w:val="0"/>
              </w:rPr>
            </w:pPr>
            <w:r w:rsidRPr="00604C76">
              <w:rPr>
                <w:b w:val="0"/>
              </w:rPr>
              <w:t>Ítem 12</w:t>
            </w:r>
          </w:p>
        </w:tc>
        <w:tc>
          <w:tcPr>
            <w:tcW w:w="2122" w:type="dxa"/>
          </w:tcPr>
          <w:p w:rsidR="006724EB" w:rsidRDefault="006724EB" w:rsidP="00B113CB">
            <w:pPr>
              <w:cnfStyle w:val="000000000000"/>
            </w:pPr>
            <w:r>
              <w:t>0.00</w:t>
            </w:r>
            <w:r w:rsidR="00BC228C">
              <w:t>4 (0.007)</w:t>
            </w:r>
          </w:p>
        </w:tc>
        <w:tc>
          <w:tcPr>
            <w:tcW w:w="2122" w:type="dxa"/>
          </w:tcPr>
          <w:p w:rsidR="006724EB" w:rsidRDefault="006724EB" w:rsidP="00B113CB">
            <w:pPr>
              <w:cnfStyle w:val="000000000000"/>
            </w:pPr>
          </w:p>
        </w:tc>
        <w:tc>
          <w:tcPr>
            <w:tcW w:w="2122" w:type="dxa"/>
          </w:tcPr>
          <w:p w:rsidR="006724EB" w:rsidRDefault="006724EB" w:rsidP="00B113CB">
            <w:pPr>
              <w:cnfStyle w:val="000000000000"/>
            </w:pPr>
            <w:r>
              <w:t>0.000</w:t>
            </w:r>
            <w:r w:rsidR="004D1DB5">
              <w:t xml:space="preserve"> </w:t>
            </w:r>
            <w:r w:rsidR="00BC228C">
              <w:t>(0.011)</w:t>
            </w:r>
          </w:p>
        </w:tc>
      </w:tr>
      <w:tr w:rsidR="006724EB" w:rsidTr="00BC228C">
        <w:trPr>
          <w:cnfStyle w:val="000000100000"/>
        </w:trPr>
        <w:tc>
          <w:tcPr>
            <w:cnfStyle w:val="001000000000"/>
            <w:tcW w:w="2122" w:type="dxa"/>
          </w:tcPr>
          <w:p w:rsidR="006724EB" w:rsidRPr="00604C76" w:rsidRDefault="006724EB" w:rsidP="00B113CB">
            <w:pPr>
              <w:rPr>
                <w:b w:val="0"/>
              </w:rPr>
            </w:pPr>
            <w:r w:rsidRPr="00604C76">
              <w:rPr>
                <w:b w:val="0"/>
              </w:rPr>
              <w:t>Ítem 13</w:t>
            </w:r>
          </w:p>
        </w:tc>
        <w:tc>
          <w:tcPr>
            <w:tcW w:w="2122" w:type="dxa"/>
          </w:tcPr>
          <w:p w:rsidR="006724EB" w:rsidRDefault="006724EB" w:rsidP="00B113CB">
            <w:pPr>
              <w:cnfStyle w:val="000000100000"/>
            </w:pPr>
            <w:r>
              <w:t>0.00</w:t>
            </w:r>
            <w:r w:rsidR="00A32ED1">
              <w:t>1</w:t>
            </w:r>
            <w:r w:rsidR="00BC228C">
              <w:t xml:space="preserve"> (</w:t>
            </w:r>
            <w:r w:rsidR="00A32ED1">
              <w:t>0.008</w:t>
            </w:r>
            <w:r w:rsidR="00BC228C">
              <w:t>)</w:t>
            </w:r>
          </w:p>
        </w:tc>
        <w:tc>
          <w:tcPr>
            <w:tcW w:w="2122" w:type="dxa"/>
          </w:tcPr>
          <w:p w:rsidR="006724EB" w:rsidRDefault="006724EB" w:rsidP="00B113CB">
            <w:pPr>
              <w:cnfStyle w:val="000000100000"/>
            </w:pPr>
          </w:p>
        </w:tc>
        <w:tc>
          <w:tcPr>
            <w:tcW w:w="2122" w:type="dxa"/>
          </w:tcPr>
          <w:p w:rsidR="006724EB" w:rsidRDefault="006724EB" w:rsidP="00B113CB">
            <w:pPr>
              <w:cnfStyle w:val="000000100000"/>
            </w:pPr>
          </w:p>
        </w:tc>
      </w:tr>
      <w:tr w:rsidR="006724EB" w:rsidTr="00BC228C">
        <w:tc>
          <w:tcPr>
            <w:cnfStyle w:val="001000000000"/>
            <w:tcW w:w="2122" w:type="dxa"/>
          </w:tcPr>
          <w:p w:rsidR="006724EB" w:rsidRPr="00604C76" w:rsidRDefault="006724EB" w:rsidP="00B113CB">
            <w:pPr>
              <w:rPr>
                <w:b w:val="0"/>
              </w:rPr>
            </w:pPr>
            <w:r w:rsidRPr="00604C76">
              <w:rPr>
                <w:b w:val="0"/>
              </w:rPr>
              <w:t>Ítem 17</w:t>
            </w:r>
          </w:p>
        </w:tc>
        <w:tc>
          <w:tcPr>
            <w:tcW w:w="2122" w:type="dxa"/>
          </w:tcPr>
          <w:p w:rsidR="006724EB" w:rsidRDefault="006724EB" w:rsidP="00B113CB">
            <w:pPr>
              <w:cnfStyle w:val="000000000000"/>
            </w:pPr>
            <w:r>
              <w:t>0.00</w:t>
            </w:r>
            <w:r w:rsidR="00A32ED1">
              <w:t>2</w:t>
            </w:r>
            <w:r w:rsidR="00BC228C">
              <w:t xml:space="preserve"> (</w:t>
            </w:r>
            <w:r w:rsidR="00A32ED1">
              <w:t>0.008</w:t>
            </w:r>
            <w:r w:rsidR="00BC228C">
              <w:t>)</w:t>
            </w:r>
          </w:p>
        </w:tc>
        <w:tc>
          <w:tcPr>
            <w:tcW w:w="2122" w:type="dxa"/>
          </w:tcPr>
          <w:p w:rsidR="006724EB" w:rsidRDefault="006724EB" w:rsidP="00B113CB">
            <w:pPr>
              <w:cnfStyle w:val="000000000000"/>
            </w:pPr>
            <w:r>
              <w:t>0.0</w:t>
            </w:r>
            <w:r w:rsidR="00A32ED1">
              <w:t>18</w:t>
            </w:r>
            <w:r w:rsidR="00BC228C">
              <w:t xml:space="preserve"> (</w:t>
            </w:r>
            <w:r w:rsidR="00A32ED1">
              <w:t>0.006</w:t>
            </w:r>
            <w:r w:rsidR="00BC228C">
              <w:t>)</w:t>
            </w:r>
          </w:p>
        </w:tc>
        <w:tc>
          <w:tcPr>
            <w:tcW w:w="2122" w:type="dxa"/>
          </w:tcPr>
          <w:p w:rsidR="006724EB" w:rsidRDefault="006724EB" w:rsidP="00B113CB">
            <w:pPr>
              <w:cnfStyle w:val="000000000000"/>
            </w:pPr>
            <w:r>
              <w:t>0.00</w:t>
            </w:r>
            <w:r w:rsidR="00A32ED1">
              <w:t>0</w:t>
            </w:r>
            <w:r w:rsidR="00BC228C">
              <w:t xml:space="preserve"> (</w:t>
            </w:r>
            <w:r w:rsidR="00A32ED1">
              <w:t>0.016</w:t>
            </w:r>
            <w:r w:rsidR="00BC228C">
              <w:t>)</w:t>
            </w:r>
          </w:p>
        </w:tc>
      </w:tr>
      <w:tr w:rsidR="006724EB" w:rsidTr="00BC228C">
        <w:trPr>
          <w:cnfStyle w:val="000000100000"/>
        </w:trPr>
        <w:tc>
          <w:tcPr>
            <w:cnfStyle w:val="001000000000"/>
            <w:tcW w:w="2122" w:type="dxa"/>
          </w:tcPr>
          <w:p w:rsidR="006724EB" w:rsidRPr="00604C76" w:rsidRDefault="006724EB" w:rsidP="00B113CB">
            <w:pPr>
              <w:rPr>
                <w:b w:val="0"/>
              </w:rPr>
            </w:pPr>
            <w:r w:rsidRPr="00604C76">
              <w:rPr>
                <w:b w:val="0"/>
              </w:rPr>
              <w:t>Ítem 19</w:t>
            </w:r>
          </w:p>
        </w:tc>
        <w:tc>
          <w:tcPr>
            <w:tcW w:w="2122" w:type="dxa"/>
          </w:tcPr>
          <w:p w:rsidR="006724EB" w:rsidRDefault="006724EB" w:rsidP="00B113CB">
            <w:pPr>
              <w:cnfStyle w:val="000000100000"/>
            </w:pPr>
          </w:p>
        </w:tc>
        <w:tc>
          <w:tcPr>
            <w:tcW w:w="2122" w:type="dxa"/>
          </w:tcPr>
          <w:p w:rsidR="006724EB" w:rsidRDefault="006724EB" w:rsidP="00B113CB">
            <w:pPr>
              <w:cnfStyle w:val="000000100000"/>
            </w:pPr>
            <w:r>
              <w:t>0.0</w:t>
            </w:r>
            <w:r w:rsidR="00A32ED1">
              <w:t>19</w:t>
            </w:r>
            <w:r w:rsidR="00BC228C">
              <w:t xml:space="preserve"> (</w:t>
            </w:r>
            <w:r w:rsidR="00A32ED1">
              <w:t>0.006</w:t>
            </w:r>
            <w:r w:rsidR="00BC228C">
              <w:t>)</w:t>
            </w:r>
          </w:p>
        </w:tc>
        <w:tc>
          <w:tcPr>
            <w:tcW w:w="2122" w:type="dxa"/>
          </w:tcPr>
          <w:p w:rsidR="006724EB" w:rsidRDefault="006724EB" w:rsidP="00B113CB">
            <w:pPr>
              <w:cnfStyle w:val="000000100000"/>
            </w:pPr>
            <w:r>
              <w:t>0.006</w:t>
            </w:r>
            <w:r w:rsidR="00BC228C">
              <w:t xml:space="preserve"> (</w:t>
            </w:r>
            <w:r w:rsidR="00A32ED1">
              <w:t>0.007</w:t>
            </w:r>
            <w:r w:rsidR="00BC228C">
              <w:t>)</w:t>
            </w:r>
          </w:p>
        </w:tc>
      </w:tr>
      <w:tr w:rsidR="006724EB" w:rsidTr="00BC228C">
        <w:tc>
          <w:tcPr>
            <w:cnfStyle w:val="001000000000"/>
            <w:tcW w:w="2122" w:type="dxa"/>
          </w:tcPr>
          <w:p w:rsidR="006724EB" w:rsidRPr="00604C76" w:rsidRDefault="006724EB" w:rsidP="00B113CB">
            <w:pPr>
              <w:rPr>
                <w:b w:val="0"/>
              </w:rPr>
            </w:pPr>
            <w:r w:rsidRPr="00604C76">
              <w:rPr>
                <w:b w:val="0"/>
              </w:rPr>
              <w:t>Ítem 20</w:t>
            </w:r>
          </w:p>
        </w:tc>
        <w:tc>
          <w:tcPr>
            <w:tcW w:w="2122" w:type="dxa"/>
          </w:tcPr>
          <w:p w:rsidR="006724EB" w:rsidRDefault="006724EB" w:rsidP="00B113CB">
            <w:pPr>
              <w:cnfStyle w:val="000000000000"/>
            </w:pPr>
          </w:p>
        </w:tc>
        <w:tc>
          <w:tcPr>
            <w:tcW w:w="2122" w:type="dxa"/>
          </w:tcPr>
          <w:p w:rsidR="006724EB" w:rsidRDefault="006724EB" w:rsidP="00B113CB">
            <w:pPr>
              <w:cnfStyle w:val="000000000000"/>
            </w:pPr>
          </w:p>
        </w:tc>
        <w:tc>
          <w:tcPr>
            <w:tcW w:w="2122" w:type="dxa"/>
          </w:tcPr>
          <w:p w:rsidR="006724EB" w:rsidRDefault="006724EB" w:rsidP="00B113CB">
            <w:pPr>
              <w:cnfStyle w:val="000000000000"/>
            </w:pPr>
            <w:r>
              <w:t>0.000</w:t>
            </w:r>
            <w:r w:rsidR="00BC228C">
              <w:t xml:space="preserve"> (</w:t>
            </w:r>
            <w:r w:rsidR="00A32ED1">
              <w:t>0.010</w:t>
            </w:r>
            <w:r w:rsidR="00BC228C">
              <w:t>)</w:t>
            </w:r>
          </w:p>
        </w:tc>
      </w:tr>
    </w:tbl>
    <w:p w:rsidR="006724EB" w:rsidRPr="00A93CBF" w:rsidRDefault="006724EB" w:rsidP="00B113CB">
      <w:pPr>
        <w:ind w:firstLine="567"/>
        <w:rPr>
          <w:sz w:val="21"/>
          <w:szCs w:val="21"/>
        </w:rPr>
      </w:pPr>
      <w:r w:rsidRPr="00A93CBF">
        <w:rPr>
          <w:sz w:val="21"/>
          <w:szCs w:val="21"/>
        </w:rPr>
        <w:t>Las puntuaciones reflejadas en la tabla representan las diferencias significativas por parejas de edad en los ítems.</w:t>
      </w:r>
      <w:r>
        <w:rPr>
          <w:sz w:val="21"/>
          <w:szCs w:val="21"/>
        </w:rPr>
        <w:t xml:space="preserve"> </w:t>
      </w:r>
      <w:r w:rsidR="00BC228C">
        <w:rPr>
          <w:sz w:val="21"/>
          <w:szCs w:val="21"/>
        </w:rPr>
        <w:t>Los tamaños del efecto se encuentran entre paréntesis.</w:t>
      </w:r>
    </w:p>
    <w:p w:rsidR="006724EB" w:rsidRPr="00A93CBF" w:rsidRDefault="006724EB" w:rsidP="00B113CB">
      <w:pPr>
        <w:ind w:firstLine="567"/>
        <w:rPr>
          <w:sz w:val="21"/>
          <w:szCs w:val="21"/>
        </w:rPr>
      </w:pPr>
      <w:r w:rsidRPr="00A93CBF">
        <w:rPr>
          <w:sz w:val="21"/>
          <w:szCs w:val="21"/>
        </w:rPr>
        <w:t>J= Grupo Joven, AJ= Grupo Adulto Joven y AM= Grupo Adulto Mayor</w:t>
      </w:r>
    </w:p>
    <w:p w:rsidR="006724EB" w:rsidRDefault="006724EB" w:rsidP="00B113CB">
      <w:pPr>
        <w:ind w:firstLine="567"/>
        <w:rPr>
          <w:i/>
          <w:iCs/>
        </w:rPr>
      </w:pPr>
    </w:p>
    <w:p w:rsidR="006724EB" w:rsidRDefault="006724EB" w:rsidP="00B113CB">
      <w:pPr>
        <w:ind w:firstLine="567"/>
      </w:pPr>
      <w:r>
        <w:t>A continuación, se realizó el mismo proce</w:t>
      </w:r>
      <w:r w:rsidR="00604C76">
        <w:t>dimiento con la escala de Hong encontrándose dife</w:t>
      </w:r>
      <w:r>
        <w:t xml:space="preserve">rencias significativas </w:t>
      </w:r>
      <w:r w:rsidR="00604C76">
        <w:t xml:space="preserve">en el ítem 6 “Puedo resolver la mayoría de los problemas si me esfuerzo lo necesario”.  El </w:t>
      </w:r>
      <w:r>
        <w:t xml:space="preserve">grupo adulto joven fue el que obtuvo las puntuaciones más altas en reactancia psicológica con una media de 4.3 sobre 5, seguido del grupo joven con 4.15 y por último, el grupo adulto mayor con 4.0. </w:t>
      </w:r>
    </w:p>
    <w:p w:rsidR="00604C76" w:rsidRDefault="006724EB" w:rsidP="00B113CB">
      <w:pPr>
        <w:ind w:firstLine="567"/>
        <w:rPr>
          <w:color w:val="000000" w:themeColor="text1"/>
        </w:rPr>
      </w:pPr>
      <w:r w:rsidRPr="001B69C0">
        <w:rPr>
          <w:color w:val="000000" w:themeColor="text1"/>
        </w:rPr>
        <w:t xml:space="preserve">En cuanto a las preguntas </w:t>
      </w:r>
      <w:r w:rsidRPr="00F420C2">
        <w:rPr>
          <w:i/>
          <w:color w:val="000000" w:themeColor="text1"/>
        </w:rPr>
        <w:t>ad hoc</w:t>
      </w:r>
      <w:r w:rsidRPr="001B69C0">
        <w:rPr>
          <w:color w:val="000000" w:themeColor="text1"/>
        </w:rPr>
        <w:t xml:space="preserve"> sobre la inoculación de mensajes publicitarios, mediante la prueba de Kruskal Wallis para muestras independientes se obtuvo</w:t>
      </w:r>
      <w:r w:rsidR="00604C76">
        <w:rPr>
          <w:color w:val="000000" w:themeColor="text1"/>
        </w:rPr>
        <w:t xml:space="preserve"> </w:t>
      </w:r>
      <w:r w:rsidR="00604C76" w:rsidRPr="002652CC">
        <w:rPr>
          <w:color w:val="000000" w:themeColor="text1"/>
        </w:rPr>
        <w:t xml:space="preserve">que el grupo joven es el que pasa más horas al día </w:t>
      </w:r>
      <w:r w:rsidR="00604C76">
        <w:rPr>
          <w:color w:val="000000" w:themeColor="text1"/>
        </w:rPr>
        <w:t>conectado a</w:t>
      </w:r>
      <w:r w:rsidR="00604C76" w:rsidRPr="002652CC">
        <w:rPr>
          <w:color w:val="000000" w:themeColor="text1"/>
        </w:rPr>
        <w:t xml:space="preserve"> Internet, sin embargo, es el grupo adulto mayor el que visualiza mayor cantidad de mensajes publicitarios en Internet y, en consecuencia, el que más </w:t>
      </w:r>
      <w:r w:rsidR="00F420C2">
        <w:rPr>
          <w:color w:val="000000" w:themeColor="text1"/>
        </w:rPr>
        <w:t>accede a</w:t>
      </w:r>
      <w:r w:rsidR="00604C76" w:rsidRPr="002652CC">
        <w:rPr>
          <w:color w:val="000000" w:themeColor="text1"/>
        </w:rPr>
        <w:t xml:space="preserve"> los mensajes publicitarios. Este grupo también es el que sigue en redes sociales a más “i</w:t>
      </w:r>
      <w:r w:rsidR="00604C76" w:rsidRPr="002652CC">
        <w:rPr>
          <w:i/>
          <w:iCs/>
          <w:color w:val="000000" w:themeColor="text1"/>
        </w:rPr>
        <w:t>nfluencers</w:t>
      </w:r>
      <w:r w:rsidR="00604C76" w:rsidRPr="002652CC">
        <w:rPr>
          <w:color w:val="000000" w:themeColor="text1"/>
        </w:rPr>
        <w:t>” y el que más hace caso a sus recomendaciones y alguna vez ha probado los productos que promocionan. Además, también son los que más horas de televisión consumen al día y por tanto, el que más anuncios publicitarios visualiza en televisión</w:t>
      </w:r>
      <w:r w:rsidR="00604C76">
        <w:rPr>
          <w:color w:val="000000" w:themeColor="text1"/>
        </w:rPr>
        <w:t xml:space="preserve"> (véase Tabla 6)</w:t>
      </w:r>
      <w:r w:rsidR="00604C76" w:rsidRPr="002652CC">
        <w:rPr>
          <w:color w:val="000000" w:themeColor="text1"/>
        </w:rPr>
        <w:t>.</w:t>
      </w:r>
    </w:p>
    <w:p w:rsidR="00604C76" w:rsidRPr="007173A2" w:rsidRDefault="00604C76" w:rsidP="00B113CB">
      <w:pPr>
        <w:ind w:firstLine="567"/>
        <w:rPr>
          <w:color w:val="000000" w:themeColor="text1"/>
        </w:rPr>
      </w:pPr>
    </w:p>
    <w:p w:rsidR="006724EB" w:rsidRPr="002652CC" w:rsidRDefault="006724EB" w:rsidP="00B113CB">
      <w:pPr>
        <w:ind w:firstLine="567"/>
        <w:rPr>
          <w:b/>
          <w:bCs/>
          <w:color w:val="000000" w:themeColor="text1"/>
        </w:rPr>
      </w:pPr>
      <w:r w:rsidRPr="00816D62">
        <w:rPr>
          <w:b/>
          <w:bCs/>
          <w:color w:val="000000" w:themeColor="text1"/>
        </w:rPr>
        <w:t>Tabla</w:t>
      </w:r>
      <w:r w:rsidR="00604C76">
        <w:rPr>
          <w:b/>
          <w:bCs/>
          <w:color w:val="000000" w:themeColor="text1"/>
        </w:rPr>
        <w:t xml:space="preserve"> 6</w:t>
      </w:r>
    </w:p>
    <w:p w:rsidR="006724EB" w:rsidRPr="001B69C0" w:rsidRDefault="006724EB" w:rsidP="00B113CB">
      <w:pPr>
        <w:ind w:firstLine="567"/>
        <w:rPr>
          <w:i/>
          <w:iCs/>
          <w:color w:val="000000" w:themeColor="text1"/>
        </w:rPr>
      </w:pPr>
      <w:r>
        <w:rPr>
          <w:i/>
          <w:iCs/>
          <w:color w:val="000000" w:themeColor="text1"/>
        </w:rPr>
        <w:t>Puntuaciones preguntas ad hoc según los grupos de edad</w:t>
      </w:r>
    </w:p>
    <w:tbl>
      <w:tblPr>
        <w:tblStyle w:val="PlainTable2"/>
        <w:tblW w:w="0" w:type="auto"/>
        <w:tblLook w:val="04A0"/>
      </w:tblPr>
      <w:tblGrid>
        <w:gridCol w:w="2122"/>
        <w:gridCol w:w="2122"/>
        <w:gridCol w:w="2122"/>
        <w:gridCol w:w="2122"/>
      </w:tblGrid>
      <w:tr w:rsidR="006724EB" w:rsidTr="00BC228C">
        <w:trPr>
          <w:cnfStyle w:val="100000000000"/>
        </w:trPr>
        <w:tc>
          <w:tcPr>
            <w:cnfStyle w:val="001000000000"/>
            <w:tcW w:w="2122" w:type="dxa"/>
          </w:tcPr>
          <w:p w:rsidR="006724EB" w:rsidRDefault="006724EB" w:rsidP="00B113CB"/>
        </w:tc>
        <w:tc>
          <w:tcPr>
            <w:tcW w:w="2122" w:type="dxa"/>
          </w:tcPr>
          <w:p w:rsidR="006724EB" w:rsidRDefault="006724EB" w:rsidP="00B113CB">
            <w:pPr>
              <w:cnfStyle w:val="100000000000"/>
            </w:pPr>
            <w:r>
              <w:t>J- AD</w:t>
            </w:r>
          </w:p>
        </w:tc>
        <w:tc>
          <w:tcPr>
            <w:tcW w:w="2122" w:type="dxa"/>
          </w:tcPr>
          <w:p w:rsidR="006724EB" w:rsidRDefault="006724EB" w:rsidP="00B113CB">
            <w:pPr>
              <w:cnfStyle w:val="100000000000"/>
            </w:pPr>
            <w:r>
              <w:t>AD- AM</w:t>
            </w:r>
          </w:p>
        </w:tc>
        <w:tc>
          <w:tcPr>
            <w:tcW w:w="2122" w:type="dxa"/>
          </w:tcPr>
          <w:p w:rsidR="006724EB" w:rsidRDefault="006724EB" w:rsidP="00B113CB">
            <w:pPr>
              <w:cnfStyle w:val="100000000000"/>
            </w:pPr>
            <w:r>
              <w:t>AM- J</w:t>
            </w:r>
          </w:p>
        </w:tc>
      </w:tr>
      <w:tr w:rsidR="006724EB" w:rsidTr="00BC228C">
        <w:trPr>
          <w:cnfStyle w:val="000000100000"/>
        </w:trPr>
        <w:tc>
          <w:tcPr>
            <w:cnfStyle w:val="001000000000"/>
            <w:tcW w:w="2122" w:type="dxa"/>
          </w:tcPr>
          <w:p w:rsidR="006724EB" w:rsidRPr="00604C76" w:rsidRDefault="006724EB" w:rsidP="00B113CB">
            <w:pPr>
              <w:rPr>
                <w:b w:val="0"/>
              </w:rPr>
            </w:pPr>
            <w:r w:rsidRPr="00604C76">
              <w:rPr>
                <w:b w:val="0"/>
              </w:rPr>
              <w:t>Ítem 1</w:t>
            </w:r>
          </w:p>
        </w:tc>
        <w:tc>
          <w:tcPr>
            <w:tcW w:w="2122" w:type="dxa"/>
          </w:tcPr>
          <w:p w:rsidR="006724EB" w:rsidRDefault="006724EB" w:rsidP="00B113CB">
            <w:pPr>
              <w:cnfStyle w:val="000000100000"/>
            </w:pPr>
            <w:r>
              <w:t>0.000</w:t>
            </w:r>
            <w:r w:rsidR="004D1DB5">
              <w:t xml:space="preserve"> (0.013)</w:t>
            </w:r>
          </w:p>
        </w:tc>
        <w:tc>
          <w:tcPr>
            <w:tcW w:w="2122" w:type="dxa"/>
          </w:tcPr>
          <w:p w:rsidR="006724EB" w:rsidRDefault="006724EB" w:rsidP="00B113CB">
            <w:pPr>
              <w:cnfStyle w:val="000000100000"/>
            </w:pPr>
            <w:r>
              <w:t>0.000</w:t>
            </w:r>
            <w:r w:rsidR="004D1DB5">
              <w:t xml:space="preserve"> (0.009)</w:t>
            </w:r>
          </w:p>
        </w:tc>
        <w:tc>
          <w:tcPr>
            <w:tcW w:w="2122" w:type="dxa"/>
          </w:tcPr>
          <w:p w:rsidR="006724EB" w:rsidRDefault="006724EB" w:rsidP="00B113CB">
            <w:pPr>
              <w:cnfStyle w:val="000000100000"/>
            </w:pPr>
            <w:r>
              <w:t>0.000</w:t>
            </w:r>
            <w:r w:rsidR="004D1DB5">
              <w:t xml:space="preserve"> (0.024)</w:t>
            </w:r>
          </w:p>
        </w:tc>
      </w:tr>
      <w:tr w:rsidR="006724EB" w:rsidTr="00BC228C">
        <w:tc>
          <w:tcPr>
            <w:cnfStyle w:val="001000000000"/>
            <w:tcW w:w="2122" w:type="dxa"/>
          </w:tcPr>
          <w:p w:rsidR="006724EB" w:rsidRPr="00604C76" w:rsidRDefault="006724EB" w:rsidP="00B113CB">
            <w:pPr>
              <w:rPr>
                <w:b w:val="0"/>
              </w:rPr>
            </w:pPr>
            <w:r w:rsidRPr="00604C76">
              <w:rPr>
                <w:b w:val="0"/>
              </w:rPr>
              <w:t>Ítem 2</w:t>
            </w:r>
          </w:p>
        </w:tc>
        <w:tc>
          <w:tcPr>
            <w:tcW w:w="2122" w:type="dxa"/>
          </w:tcPr>
          <w:p w:rsidR="006724EB" w:rsidRDefault="006724EB" w:rsidP="00B113CB">
            <w:pPr>
              <w:cnfStyle w:val="000000000000"/>
            </w:pPr>
          </w:p>
        </w:tc>
        <w:tc>
          <w:tcPr>
            <w:tcW w:w="2122" w:type="dxa"/>
          </w:tcPr>
          <w:p w:rsidR="006724EB" w:rsidRDefault="006724EB" w:rsidP="00B113CB">
            <w:pPr>
              <w:cnfStyle w:val="000000000000"/>
            </w:pPr>
            <w:r>
              <w:t>0.008</w:t>
            </w:r>
            <w:r w:rsidR="004D1DB5">
              <w:t xml:space="preserve"> (0.007)</w:t>
            </w:r>
          </w:p>
        </w:tc>
        <w:tc>
          <w:tcPr>
            <w:tcW w:w="2122" w:type="dxa"/>
          </w:tcPr>
          <w:p w:rsidR="006724EB" w:rsidRDefault="006724EB" w:rsidP="00B113CB">
            <w:pPr>
              <w:cnfStyle w:val="000000000000"/>
            </w:pPr>
            <w:r>
              <w:t>0.000</w:t>
            </w:r>
            <w:r w:rsidR="004D1DB5">
              <w:t xml:space="preserve"> (0.012)</w:t>
            </w:r>
          </w:p>
        </w:tc>
      </w:tr>
      <w:tr w:rsidR="006724EB" w:rsidTr="00BC228C">
        <w:trPr>
          <w:cnfStyle w:val="000000100000"/>
        </w:trPr>
        <w:tc>
          <w:tcPr>
            <w:cnfStyle w:val="001000000000"/>
            <w:tcW w:w="2122" w:type="dxa"/>
          </w:tcPr>
          <w:p w:rsidR="006724EB" w:rsidRPr="00604C76" w:rsidRDefault="006724EB" w:rsidP="00B113CB">
            <w:pPr>
              <w:rPr>
                <w:b w:val="0"/>
              </w:rPr>
            </w:pPr>
            <w:r w:rsidRPr="00604C76">
              <w:rPr>
                <w:b w:val="0"/>
              </w:rPr>
              <w:t>Ítem 3</w:t>
            </w:r>
          </w:p>
        </w:tc>
        <w:tc>
          <w:tcPr>
            <w:tcW w:w="2122" w:type="dxa"/>
          </w:tcPr>
          <w:p w:rsidR="006724EB" w:rsidRDefault="006724EB" w:rsidP="00B113CB">
            <w:pPr>
              <w:cnfStyle w:val="000000100000"/>
            </w:pPr>
            <w:r>
              <w:t>0.033</w:t>
            </w:r>
            <w:r w:rsidR="004D1DB5">
              <w:t xml:space="preserve"> (</w:t>
            </w:r>
            <w:r w:rsidR="00A0408E">
              <w:t>0.006</w:t>
            </w:r>
            <w:r w:rsidR="004D1DB5">
              <w:t>)</w:t>
            </w:r>
          </w:p>
        </w:tc>
        <w:tc>
          <w:tcPr>
            <w:tcW w:w="2122" w:type="dxa"/>
          </w:tcPr>
          <w:p w:rsidR="006724EB" w:rsidRDefault="006724EB" w:rsidP="00B113CB">
            <w:pPr>
              <w:cnfStyle w:val="000000100000"/>
            </w:pPr>
            <w:r>
              <w:t>0.000</w:t>
            </w:r>
            <w:r w:rsidR="004D1DB5">
              <w:t xml:space="preserve"> (</w:t>
            </w:r>
            <w:r w:rsidR="00A0408E">
              <w:t>0.021</w:t>
            </w:r>
            <w:r w:rsidR="004D1DB5">
              <w:t>)</w:t>
            </w:r>
          </w:p>
        </w:tc>
        <w:tc>
          <w:tcPr>
            <w:tcW w:w="2122" w:type="dxa"/>
          </w:tcPr>
          <w:p w:rsidR="006724EB" w:rsidRDefault="006724EB" w:rsidP="00B113CB">
            <w:pPr>
              <w:cnfStyle w:val="000000100000"/>
            </w:pPr>
            <w:r>
              <w:t>0.000</w:t>
            </w:r>
            <w:r w:rsidR="004D1DB5">
              <w:t xml:space="preserve"> (</w:t>
            </w:r>
            <w:r w:rsidR="00A0408E">
              <w:t>0.020</w:t>
            </w:r>
            <w:r w:rsidR="004D1DB5">
              <w:t>)</w:t>
            </w:r>
          </w:p>
        </w:tc>
      </w:tr>
      <w:tr w:rsidR="006724EB" w:rsidTr="00BC228C">
        <w:tc>
          <w:tcPr>
            <w:cnfStyle w:val="001000000000"/>
            <w:tcW w:w="2122" w:type="dxa"/>
          </w:tcPr>
          <w:p w:rsidR="006724EB" w:rsidRPr="00604C76" w:rsidRDefault="006724EB" w:rsidP="00B113CB">
            <w:pPr>
              <w:rPr>
                <w:b w:val="0"/>
              </w:rPr>
            </w:pPr>
            <w:r w:rsidRPr="00604C76">
              <w:rPr>
                <w:b w:val="0"/>
              </w:rPr>
              <w:t>Ítem 4</w:t>
            </w:r>
          </w:p>
        </w:tc>
        <w:tc>
          <w:tcPr>
            <w:tcW w:w="2122" w:type="dxa"/>
          </w:tcPr>
          <w:p w:rsidR="006724EB" w:rsidRDefault="006724EB" w:rsidP="00B113CB">
            <w:pPr>
              <w:cnfStyle w:val="000000000000"/>
            </w:pPr>
          </w:p>
        </w:tc>
        <w:tc>
          <w:tcPr>
            <w:tcW w:w="2122" w:type="dxa"/>
          </w:tcPr>
          <w:p w:rsidR="006724EB" w:rsidRDefault="006724EB" w:rsidP="00B113CB">
            <w:pPr>
              <w:cnfStyle w:val="000000000000"/>
            </w:pPr>
          </w:p>
        </w:tc>
        <w:tc>
          <w:tcPr>
            <w:tcW w:w="2122" w:type="dxa"/>
          </w:tcPr>
          <w:p w:rsidR="006724EB" w:rsidRDefault="006724EB" w:rsidP="00B113CB">
            <w:pPr>
              <w:cnfStyle w:val="000000000000"/>
            </w:pPr>
            <w:r>
              <w:t>0.001</w:t>
            </w:r>
            <w:r w:rsidR="004D1DB5">
              <w:t xml:space="preserve"> (</w:t>
            </w:r>
            <w:r w:rsidR="00A0408E">
              <w:t>0.008</w:t>
            </w:r>
            <w:r w:rsidR="004D1DB5">
              <w:t>)</w:t>
            </w:r>
          </w:p>
        </w:tc>
      </w:tr>
      <w:tr w:rsidR="006724EB" w:rsidTr="00BC228C">
        <w:trPr>
          <w:cnfStyle w:val="000000100000"/>
        </w:trPr>
        <w:tc>
          <w:tcPr>
            <w:cnfStyle w:val="001000000000"/>
            <w:tcW w:w="2122" w:type="dxa"/>
          </w:tcPr>
          <w:p w:rsidR="006724EB" w:rsidRPr="00604C76" w:rsidRDefault="006724EB" w:rsidP="00B113CB">
            <w:pPr>
              <w:rPr>
                <w:b w:val="0"/>
              </w:rPr>
            </w:pPr>
            <w:r w:rsidRPr="00604C76">
              <w:rPr>
                <w:b w:val="0"/>
              </w:rPr>
              <w:t>Ítem 6</w:t>
            </w:r>
          </w:p>
        </w:tc>
        <w:tc>
          <w:tcPr>
            <w:tcW w:w="2122" w:type="dxa"/>
          </w:tcPr>
          <w:p w:rsidR="006724EB" w:rsidRDefault="006724EB" w:rsidP="00B113CB">
            <w:pPr>
              <w:cnfStyle w:val="000000100000"/>
            </w:pPr>
            <w:r>
              <w:t>0.002</w:t>
            </w:r>
            <w:r w:rsidR="004D1DB5">
              <w:t xml:space="preserve"> (</w:t>
            </w:r>
            <w:r w:rsidR="00A0408E">
              <w:t>0.008</w:t>
            </w:r>
            <w:r w:rsidR="004D1DB5">
              <w:t>)</w:t>
            </w:r>
          </w:p>
        </w:tc>
        <w:tc>
          <w:tcPr>
            <w:tcW w:w="2122" w:type="dxa"/>
          </w:tcPr>
          <w:p w:rsidR="006724EB" w:rsidRDefault="006724EB" w:rsidP="00B113CB">
            <w:pPr>
              <w:cnfStyle w:val="000000100000"/>
            </w:pPr>
            <w:r>
              <w:t>0.000</w:t>
            </w:r>
            <w:r w:rsidR="004D1DB5">
              <w:t xml:space="preserve"> (</w:t>
            </w:r>
            <w:r w:rsidR="00A0408E">
              <w:t>0.014</w:t>
            </w:r>
            <w:r w:rsidR="004D1DB5">
              <w:t>)</w:t>
            </w:r>
          </w:p>
        </w:tc>
        <w:tc>
          <w:tcPr>
            <w:tcW w:w="2122" w:type="dxa"/>
          </w:tcPr>
          <w:p w:rsidR="006724EB" w:rsidRDefault="006724EB" w:rsidP="00B113CB">
            <w:pPr>
              <w:cnfStyle w:val="000000100000"/>
            </w:pPr>
            <w:r>
              <w:t>0.000</w:t>
            </w:r>
            <w:r w:rsidR="004D1DB5">
              <w:t xml:space="preserve"> (</w:t>
            </w:r>
            <w:r w:rsidR="00A0408E">
              <w:t>0.025</w:t>
            </w:r>
            <w:r w:rsidR="004D1DB5">
              <w:t>)</w:t>
            </w:r>
          </w:p>
        </w:tc>
      </w:tr>
      <w:tr w:rsidR="006724EB" w:rsidTr="00BC228C">
        <w:tc>
          <w:tcPr>
            <w:cnfStyle w:val="001000000000"/>
            <w:tcW w:w="2122" w:type="dxa"/>
          </w:tcPr>
          <w:p w:rsidR="006724EB" w:rsidRPr="00604C76" w:rsidRDefault="006724EB" w:rsidP="00B113CB">
            <w:pPr>
              <w:rPr>
                <w:b w:val="0"/>
              </w:rPr>
            </w:pPr>
            <w:r w:rsidRPr="00604C76">
              <w:rPr>
                <w:b w:val="0"/>
              </w:rPr>
              <w:t>Ítem 7</w:t>
            </w:r>
          </w:p>
        </w:tc>
        <w:tc>
          <w:tcPr>
            <w:tcW w:w="2122" w:type="dxa"/>
          </w:tcPr>
          <w:p w:rsidR="006724EB" w:rsidRDefault="006724EB" w:rsidP="00B113CB">
            <w:pPr>
              <w:cnfStyle w:val="000000000000"/>
            </w:pPr>
          </w:p>
        </w:tc>
        <w:tc>
          <w:tcPr>
            <w:tcW w:w="2122" w:type="dxa"/>
          </w:tcPr>
          <w:p w:rsidR="006724EB" w:rsidRDefault="006724EB" w:rsidP="00B113CB">
            <w:pPr>
              <w:cnfStyle w:val="000000000000"/>
            </w:pPr>
            <w:r>
              <w:t>0.000</w:t>
            </w:r>
            <w:r w:rsidR="004D1DB5">
              <w:t xml:space="preserve"> (</w:t>
            </w:r>
            <w:r w:rsidR="00A0408E">
              <w:t>0.012</w:t>
            </w:r>
            <w:r w:rsidR="004D1DB5">
              <w:t>)</w:t>
            </w:r>
          </w:p>
        </w:tc>
        <w:tc>
          <w:tcPr>
            <w:tcW w:w="2122" w:type="dxa"/>
          </w:tcPr>
          <w:p w:rsidR="006724EB" w:rsidRDefault="006724EB" w:rsidP="00B113CB">
            <w:pPr>
              <w:cnfStyle w:val="000000000000"/>
            </w:pPr>
            <w:r>
              <w:t>0.000</w:t>
            </w:r>
            <w:r w:rsidR="004D1DB5">
              <w:t xml:space="preserve"> (</w:t>
            </w:r>
            <w:r w:rsidR="00A0408E">
              <w:t>0.019</w:t>
            </w:r>
            <w:r w:rsidR="004D1DB5">
              <w:t>)</w:t>
            </w:r>
          </w:p>
        </w:tc>
      </w:tr>
    </w:tbl>
    <w:p w:rsidR="006724EB" w:rsidRPr="00EB020B" w:rsidRDefault="006724EB" w:rsidP="00B113CB">
      <w:pPr>
        <w:ind w:firstLine="567"/>
        <w:rPr>
          <w:sz w:val="21"/>
          <w:szCs w:val="21"/>
        </w:rPr>
      </w:pPr>
      <w:r w:rsidRPr="00EB020B">
        <w:rPr>
          <w:sz w:val="21"/>
          <w:szCs w:val="21"/>
        </w:rPr>
        <w:t>Las puntuaciones reflejadas en la tabla representan las diferencias significativas por parejas de edad en los ítems.</w:t>
      </w:r>
      <w:r>
        <w:rPr>
          <w:sz w:val="21"/>
          <w:szCs w:val="21"/>
        </w:rPr>
        <w:t xml:space="preserve"> </w:t>
      </w:r>
      <w:r w:rsidR="004D1DB5">
        <w:rPr>
          <w:sz w:val="21"/>
          <w:szCs w:val="21"/>
        </w:rPr>
        <w:t>Los tamaños del efecto se encuentran entre paréntesis.</w:t>
      </w:r>
    </w:p>
    <w:p w:rsidR="006724EB" w:rsidRPr="00EB020B" w:rsidRDefault="006724EB" w:rsidP="00B113CB">
      <w:pPr>
        <w:ind w:firstLine="567"/>
        <w:rPr>
          <w:sz w:val="21"/>
          <w:szCs w:val="21"/>
        </w:rPr>
      </w:pPr>
      <w:r w:rsidRPr="00EB020B">
        <w:rPr>
          <w:sz w:val="21"/>
          <w:szCs w:val="21"/>
        </w:rPr>
        <w:t>J= Grupo Joven, AJ= Grupo Adulto Joven y AM= Grupo Adulto Mayor</w:t>
      </w:r>
    </w:p>
    <w:p w:rsidR="006724EB" w:rsidRDefault="006724EB" w:rsidP="00B113CB">
      <w:pPr>
        <w:ind w:firstLine="567"/>
      </w:pPr>
    </w:p>
    <w:p w:rsidR="006724EB" w:rsidRDefault="006724EB" w:rsidP="00B113CB">
      <w:pPr>
        <w:ind w:firstLine="567"/>
      </w:pPr>
      <w:r w:rsidRPr="00F35717">
        <w:t xml:space="preserve">Seguidamente, se comprobaron las diferencias existentes entre </w:t>
      </w:r>
      <w:r>
        <w:t xml:space="preserve">el </w:t>
      </w:r>
      <w:r w:rsidRPr="00F35717">
        <w:t>nivel de estudios</w:t>
      </w:r>
      <w:r>
        <w:t xml:space="preserve"> mediante la prueba de Kruskal Wallis</w:t>
      </w:r>
      <w:r w:rsidRPr="00F35717">
        <w:t>, y en ningun</w:t>
      </w:r>
      <w:r>
        <w:t xml:space="preserve">a de las escalas </w:t>
      </w:r>
      <w:r w:rsidRPr="00F35717">
        <w:t>se encontraron diferencias significativas, por lo que se concluye que no es una variable estadísticamente significativa para este estudio.</w:t>
      </w:r>
    </w:p>
    <w:p w:rsidR="007173A2" w:rsidRDefault="006724EB" w:rsidP="00B113CB">
      <w:pPr>
        <w:ind w:firstLine="567"/>
        <w:rPr>
          <w:color w:val="000000" w:themeColor="text1"/>
        </w:rPr>
      </w:pPr>
      <w:r>
        <w:rPr>
          <w:color w:val="000000" w:themeColor="text1"/>
        </w:rPr>
        <w:t xml:space="preserve">Sin embargo, </w:t>
      </w:r>
      <w:r w:rsidRPr="00332BAC">
        <w:rPr>
          <w:color w:val="000000" w:themeColor="text1"/>
        </w:rPr>
        <w:t xml:space="preserve">por medio de la prueba de Kruskal Wallis, </w:t>
      </w:r>
      <w:r w:rsidR="00C30699">
        <w:rPr>
          <w:color w:val="000000" w:themeColor="text1"/>
        </w:rPr>
        <w:t xml:space="preserve">se obtuvieron diferencias significativas </w:t>
      </w:r>
      <w:r w:rsidR="00C30699" w:rsidRPr="00C30699">
        <w:rPr>
          <w:color w:val="000000" w:themeColor="text1"/>
        </w:rPr>
        <w:t>en</w:t>
      </w:r>
      <w:r w:rsidRPr="00C30699">
        <w:rPr>
          <w:color w:val="000000" w:themeColor="text1"/>
        </w:rPr>
        <w:t xml:space="preserve"> </w:t>
      </w:r>
      <w:r w:rsidR="00C30699" w:rsidRPr="00C30699">
        <w:rPr>
          <w:color w:val="000000" w:themeColor="text1"/>
        </w:rPr>
        <w:t xml:space="preserve">dos de las </w:t>
      </w:r>
      <w:r w:rsidRPr="00C30699">
        <w:rPr>
          <w:color w:val="000000" w:themeColor="text1"/>
        </w:rPr>
        <w:t xml:space="preserve">preguntas elaboradas </w:t>
      </w:r>
      <w:r w:rsidRPr="00C30699">
        <w:rPr>
          <w:i/>
          <w:color w:val="000000" w:themeColor="text1"/>
        </w:rPr>
        <w:t>ad hoc</w:t>
      </w:r>
      <w:r w:rsidR="00C30699">
        <w:rPr>
          <w:color w:val="000000" w:themeColor="text1"/>
        </w:rPr>
        <w:t xml:space="preserve">. Se confirmó que </w:t>
      </w:r>
      <w:r w:rsidRPr="00332BAC">
        <w:rPr>
          <w:color w:val="000000" w:themeColor="text1"/>
        </w:rPr>
        <w:t xml:space="preserve">los sujetos que </w:t>
      </w:r>
      <w:r w:rsidR="00B74906">
        <w:rPr>
          <w:color w:val="000000" w:themeColor="text1"/>
        </w:rPr>
        <w:t xml:space="preserve">han cursado </w:t>
      </w:r>
      <w:r w:rsidRPr="00332BAC">
        <w:rPr>
          <w:color w:val="000000" w:themeColor="text1"/>
        </w:rPr>
        <w:t>Educación Secundaria Obligatoria consumen más horas de Internet y de televisión al día</w:t>
      </w:r>
      <w:r w:rsidR="00C30699">
        <w:rPr>
          <w:color w:val="000000" w:themeColor="text1"/>
        </w:rPr>
        <w:t xml:space="preserve"> (véase Tabla 7)</w:t>
      </w:r>
      <w:r w:rsidRPr="00332BAC">
        <w:rPr>
          <w:color w:val="000000" w:themeColor="text1"/>
        </w:rPr>
        <w:t>.</w:t>
      </w:r>
    </w:p>
    <w:p w:rsidR="007173A2" w:rsidRPr="007173A2" w:rsidRDefault="007173A2" w:rsidP="00B113CB">
      <w:pPr>
        <w:ind w:firstLine="567"/>
        <w:rPr>
          <w:color w:val="000000" w:themeColor="text1"/>
        </w:rPr>
      </w:pPr>
    </w:p>
    <w:p w:rsidR="006724EB" w:rsidRPr="00332BAC" w:rsidRDefault="006724EB" w:rsidP="00B113CB">
      <w:pPr>
        <w:ind w:firstLine="567"/>
        <w:rPr>
          <w:b/>
          <w:bCs/>
          <w:color w:val="000000" w:themeColor="text1"/>
        </w:rPr>
      </w:pPr>
      <w:r w:rsidRPr="00332BAC">
        <w:rPr>
          <w:b/>
          <w:bCs/>
          <w:color w:val="000000" w:themeColor="text1"/>
        </w:rPr>
        <w:t xml:space="preserve">Tabla </w:t>
      </w:r>
      <w:r w:rsidR="00B74906">
        <w:rPr>
          <w:b/>
          <w:bCs/>
          <w:color w:val="000000" w:themeColor="text1"/>
        </w:rPr>
        <w:t>7</w:t>
      </w:r>
    </w:p>
    <w:p w:rsidR="006724EB" w:rsidRPr="00332BAC" w:rsidRDefault="006724EB" w:rsidP="00B113CB">
      <w:pPr>
        <w:ind w:firstLine="567"/>
        <w:rPr>
          <w:i/>
          <w:iCs/>
          <w:color w:val="000000" w:themeColor="text1"/>
        </w:rPr>
      </w:pPr>
      <w:r w:rsidRPr="00332BAC">
        <w:rPr>
          <w:i/>
          <w:iCs/>
          <w:color w:val="000000" w:themeColor="text1"/>
        </w:rPr>
        <w:t>Puntuaciones preguntas ad hoc según nivel de estudios</w:t>
      </w:r>
    </w:p>
    <w:tbl>
      <w:tblPr>
        <w:tblStyle w:val="PlainTable2"/>
        <w:tblW w:w="0" w:type="auto"/>
        <w:tblLook w:val="04A0"/>
      </w:tblPr>
      <w:tblGrid>
        <w:gridCol w:w="2122"/>
        <w:gridCol w:w="2122"/>
        <w:gridCol w:w="2122"/>
        <w:gridCol w:w="2122"/>
      </w:tblGrid>
      <w:tr w:rsidR="006724EB" w:rsidRPr="00332BAC" w:rsidTr="00BC228C">
        <w:trPr>
          <w:cnfStyle w:val="100000000000"/>
        </w:trPr>
        <w:tc>
          <w:tcPr>
            <w:cnfStyle w:val="001000000000"/>
            <w:tcW w:w="2122" w:type="dxa"/>
          </w:tcPr>
          <w:p w:rsidR="006724EB" w:rsidRPr="00332BAC" w:rsidRDefault="006724EB" w:rsidP="00B113CB">
            <w:pPr>
              <w:rPr>
                <w:color w:val="000000" w:themeColor="text1"/>
              </w:rPr>
            </w:pPr>
          </w:p>
        </w:tc>
        <w:tc>
          <w:tcPr>
            <w:tcW w:w="2122" w:type="dxa"/>
          </w:tcPr>
          <w:p w:rsidR="006724EB" w:rsidRPr="00332BAC" w:rsidRDefault="006724EB" w:rsidP="00B113CB">
            <w:pPr>
              <w:cnfStyle w:val="100000000000"/>
              <w:rPr>
                <w:color w:val="000000" w:themeColor="text1"/>
              </w:rPr>
            </w:pPr>
            <w:r w:rsidRPr="00332BAC">
              <w:rPr>
                <w:color w:val="000000" w:themeColor="text1"/>
              </w:rPr>
              <w:t>ESO- BA</w:t>
            </w:r>
          </w:p>
        </w:tc>
        <w:tc>
          <w:tcPr>
            <w:tcW w:w="2122" w:type="dxa"/>
          </w:tcPr>
          <w:p w:rsidR="006724EB" w:rsidRPr="00332BAC" w:rsidRDefault="006724EB" w:rsidP="00B113CB">
            <w:pPr>
              <w:cnfStyle w:val="100000000000"/>
              <w:rPr>
                <w:color w:val="000000" w:themeColor="text1"/>
              </w:rPr>
            </w:pPr>
            <w:r w:rsidRPr="00332BAC">
              <w:rPr>
                <w:color w:val="000000" w:themeColor="text1"/>
              </w:rPr>
              <w:t>ESO- UN/FP</w:t>
            </w:r>
          </w:p>
        </w:tc>
        <w:tc>
          <w:tcPr>
            <w:tcW w:w="2122" w:type="dxa"/>
          </w:tcPr>
          <w:p w:rsidR="006724EB" w:rsidRPr="00332BAC" w:rsidRDefault="006724EB" w:rsidP="00B113CB">
            <w:pPr>
              <w:cnfStyle w:val="100000000000"/>
              <w:rPr>
                <w:color w:val="000000" w:themeColor="text1"/>
              </w:rPr>
            </w:pPr>
            <w:r w:rsidRPr="00332BAC">
              <w:rPr>
                <w:color w:val="000000" w:themeColor="text1"/>
              </w:rPr>
              <w:t>BA- UN/FP</w:t>
            </w:r>
          </w:p>
        </w:tc>
      </w:tr>
      <w:tr w:rsidR="006724EB" w:rsidRPr="00332BAC" w:rsidTr="00BC228C">
        <w:trPr>
          <w:cnfStyle w:val="000000100000"/>
        </w:trPr>
        <w:tc>
          <w:tcPr>
            <w:cnfStyle w:val="001000000000"/>
            <w:tcW w:w="2122" w:type="dxa"/>
          </w:tcPr>
          <w:p w:rsidR="006724EB" w:rsidRPr="00B74906" w:rsidRDefault="006724EB" w:rsidP="00B113CB">
            <w:pPr>
              <w:rPr>
                <w:b w:val="0"/>
                <w:color w:val="000000" w:themeColor="text1"/>
              </w:rPr>
            </w:pPr>
            <w:r w:rsidRPr="00B74906">
              <w:rPr>
                <w:b w:val="0"/>
                <w:color w:val="000000" w:themeColor="text1"/>
              </w:rPr>
              <w:t>Ítem 1</w:t>
            </w:r>
          </w:p>
        </w:tc>
        <w:tc>
          <w:tcPr>
            <w:tcW w:w="2122" w:type="dxa"/>
          </w:tcPr>
          <w:p w:rsidR="006724EB" w:rsidRPr="00332BAC" w:rsidRDefault="006724EB" w:rsidP="00B113CB">
            <w:pPr>
              <w:cnfStyle w:val="000000100000"/>
              <w:rPr>
                <w:color w:val="000000" w:themeColor="text1"/>
              </w:rPr>
            </w:pPr>
          </w:p>
        </w:tc>
        <w:tc>
          <w:tcPr>
            <w:tcW w:w="2122" w:type="dxa"/>
          </w:tcPr>
          <w:p w:rsidR="006724EB" w:rsidRPr="00332BAC" w:rsidRDefault="006724EB" w:rsidP="00B113CB">
            <w:pPr>
              <w:cnfStyle w:val="000000100000"/>
              <w:rPr>
                <w:color w:val="000000" w:themeColor="text1"/>
              </w:rPr>
            </w:pPr>
            <w:r w:rsidRPr="00332BAC">
              <w:rPr>
                <w:color w:val="000000" w:themeColor="text1"/>
              </w:rPr>
              <w:t>0.004</w:t>
            </w:r>
            <w:r w:rsidR="00A0408E">
              <w:rPr>
                <w:color w:val="000000" w:themeColor="text1"/>
              </w:rPr>
              <w:t xml:space="preserve"> (0.007)</w:t>
            </w:r>
          </w:p>
        </w:tc>
        <w:tc>
          <w:tcPr>
            <w:tcW w:w="2122" w:type="dxa"/>
          </w:tcPr>
          <w:p w:rsidR="006724EB" w:rsidRPr="00332BAC" w:rsidRDefault="006724EB" w:rsidP="00B113CB">
            <w:pPr>
              <w:cnfStyle w:val="000000100000"/>
              <w:rPr>
                <w:color w:val="000000" w:themeColor="text1"/>
              </w:rPr>
            </w:pPr>
          </w:p>
        </w:tc>
      </w:tr>
      <w:tr w:rsidR="006724EB" w:rsidRPr="00332BAC" w:rsidTr="00BC228C">
        <w:tc>
          <w:tcPr>
            <w:cnfStyle w:val="001000000000"/>
            <w:tcW w:w="2122" w:type="dxa"/>
          </w:tcPr>
          <w:p w:rsidR="006724EB" w:rsidRPr="00B74906" w:rsidRDefault="006724EB" w:rsidP="00B113CB">
            <w:pPr>
              <w:rPr>
                <w:b w:val="0"/>
                <w:color w:val="000000" w:themeColor="text1"/>
              </w:rPr>
            </w:pPr>
            <w:r w:rsidRPr="00B74906">
              <w:rPr>
                <w:b w:val="0"/>
                <w:color w:val="000000" w:themeColor="text1"/>
              </w:rPr>
              <w:t>Ítem 3</w:t>
            </w:r>
          </w:p>
        </w:tc>
        <w:tc>
          <w:tcPr>
            <w:tcW w:w="2122" w:type="dxa"/>
          </w:tcPr>
          <w:p w:rsidR="006724EB" w:rsidRPr="00332BAC" w:rsidRDefault="006724EB" w:rsidP="00B113CB">
            <w:pPr>
              <w:cnfStyle w:val="000000000000"/>
              <w:rPr>
                <w:color w:val="000000" w:themeColor="text1"/>
              </w:rPr>
            </w:pPr>
          </w:p>
        </w:tc>
        <w:tc>
          <w:tcPr>
            <w:tcW w:w="2122" w:type="dxa"/>
          </w:tcPr>
          <w:p w:rsidR="006724EB" w:rsidRPr="00332BAC" w:rsidRDefault="006724EB" w:rsidP="00B113CB">
            <w:pPr>
              <w:cnfStyle w:val="000000000000"/>
              <w:rPr>
                <w:color w:val="000000" w:themeColor="text1"/>
              </w:rPr>
            </w:pPr>
            <w:r w:rsidRPr="00332BAC">
              <w:rPr>
                <w:color w:val="000000" w:themeColor="text1"/>
              </w:rPr>
              <w:t>0.006</w:t>
            </w:r>
            <w:r w:rsidR="00A0408E">
              <w:rPr>
                <w:color w:val="000000" w:themeColor="text1"/>
              </w:rPr>
              <w:t xml:space="preserve"> </w:t>
            </w:r>
            <w:r w:rsidR="00A0408E">
              <w:t>(0.007)</w:t>
            </w:r>
          </w:p>
        </w:tc>
        <w:tc>
          <w:tcPr>
            <w:tcW w:w="2122" w:type="dxa"/>
          </w:tcPr>
          <w:p w:rsidR="006724EB" w:rsidRPr="00332BAC" w:rsidRDefault="006724EB" w:rsidP="00B113CB">
            <w:pPr>
              <w:cnfStyle w:val="000000000000"/>
              <w:rPr>
                <w:color w:val="000000" w:themeColor="text1"/>
              </w:rPr>
            </w:pPr>
            <w:r w:rsidRPr="00332BAC">
              <w:rPr>
                <w:color w:val="000000" w:themeColor="text1"/>
              </w:rPr>
              <w:t>0.023</w:t>
            </w:r>
            <w:r w:rsidR="00A0408E">
              <w:rPr>
                <w:color w:val="000000" w:themeColor="text1"/>
              </w:rPr>
              <w:t xml:space="preserve"> </w:t>
            </w:r>
            <w:r w:rsidR="00A0408E">
              <w:t>(0.006)</w:t>
            </w:r>
          </w:p>
        </w:tc>
      </w:tr>
    </w:tbl>
    <w:p w:rsidR="004D1DB5" w:rsidRPr="00A93CBF" w:rsidRDefault="006724EB" w:rsidP="00B113CB">
      <w:pPr>
        <w:ind w:firstLine="567"/>
        <w:rPr>
          <w:sz w:val="21"/>
          <w:szCs w:val="21"/>
        </w:rPr>
      </w:pPr>
      <w:r w:rsidRPr="00332BAC">
        <w:rPr>
          <w:color w:val="000000" w:themeColor="text1"/>
          <w:sz w:val="21"/>
          <w:szCs w:val="21"/>
        </w:rPr>
        <w:t>Las puntuaciones reflejadas en la tabla representan las diferencias según el nivel de estudios donde ESO= Educación Secundaria Obligatoria, BA= Bachillerato y UN/FP= Estudios Universitarios/ Formación Profesional.</w:t>
      </w:r>
      <w:r w:rsidR="004D1DB5">
        <w:rPr>
          <w:color w:val="000000" w:themeColor="text1"/>
          <w:sz w:val="21"/>
          <w:szCs w:val="21"/>
        </w:rPr>
        <w:t xml:space="preserve"> </w:t>
      </w:r>
      <w:r w:rsidR="004D1DB5">
        <w:rPr>
          <w:sz w:val="21"/>
          <w:szCs w:val="21"/>
        </w:rPr>
        <w:t>Los tamaños del efecto se encuentran entre paréntesis.</w:t>
      </w:r>
    </w:p>
    <w:p w:rsidR="006724EB" w:rsidRPr="00F35717" w:rsidRDefault="006724EB" w:rsidP="00B113CB"/>
    <w:p w:rsidR="00AC2851" w:rsidRPr="00AC2851" w:rsidRDefault="00AC2851" w:rsidP="00B113CB">
      <w:pPr>
        <w:ind w:firstLine="567"/>
        <w:rPr>
          <w:sz w:val="21"/>
          <w:szCs w:val="21"/>
        </w:rPr>
      </w:pPr>
    </w:p>
    <w:p w:rsidR="002F3ED9" w:rsidRDefault="002F3ED9" w:rsidP="00B113CB">
      <w:pPr>
        <w:ind w:firstLine="567"/>
        <w:jc w:val="center"/>
        <w:rPr>
          <w:b/>
          <w:bCs/>
          <w:color w:val="000000" w:themeColor="text1"/>
        </w:rPr>
      </w:pPr>
      <w:r w:rsidRPr="00537CAC">
        <w:rPr>
          <w:b/>
          <w:bCs/>
        </w:rPr>
        <w:t>Discusión</w:t>
      </w:r>
    </w:p>
    <w:p w:rsidR="00B45C19" w:rsidRPr="00B45C19" w:rsidRDefault="00B45C19" w:rsidP="00B113CB">
      <w:pPr>
        <w:ind w:firstLine="567"/>
        <w:jc w:val="center"/>
        <w:rPr>
          <w:b/>
          <w:bCs/>
          <w:color w:val="000000" w:themeColor="text1"/>
        </w:rPr>
      </w:pPr>
    </w:p>
    <w:p w:rsidR="002F3ED9" w:rsidRDefault="002F3ED9" w:rsidP="00B113CB">
      <w:pPr>
        <w:ind w:firstLine="567"/>
      </w:pPr>
      <w:r w:rsidRPr="00CA54F5">
        <w:t xml:space="preserve">El interés de este trabajo se centró en el estudio y </w:t>
      </w:r>
      <w:r>
        <w:t xml:space="preserve">en </w:t>
      </w:r>
      <w:r w:rsidRPr="00CA54F5">
        <w:t>la comparación de variables entre la asertividad y los mecanismos de resistencia ante la persuasión publicitaria en tres grupos de edad distintos.</w:t>
      </w:r>
    </w:p>
    <w:p w:rsidR="001C6364" w:rsidRDefault="00AC2851" w:rsidP="00B113CB">
      <w:pPr>
        <w:ind w:firstLine="567"/>
      </w:pPr>
      <w:r>
        <w:t>Se ha confirmado que Internet es la fuente con mayor influencia publicitaria, así como que las mujeres presentan menos conductas de reactancia psicológica que los hombres, pero presentan más conductas asertivas. Asimismo, se ha constatado que a mayor edad más influencia persuasiva ejerce la publicidad y que el nivel de estudios resultó ser una variable no significativa en este estudio.</w:t>
      </w:r>
      <w:bookmarkStart w:id="0" w:name="_GoBack"/>
      <w:bookmarkEnd w:id="0"/>
    </w:p>
    <w:p w:rsidR="00B45C19" w:rsidRDefault="00AC2851" w:rsidP="00B113CB">
      <w:pPr>
        <w:ind w:firstLine="567"/>
      </w:pPr>
      <w:r>
        <w:t>Derivado de lo anterior, e</w:t>
      </w:r>
      <w:r w:rsidR="001C6364">
        <w:t>n cuanto a la inoculación de mensajes publicitarios, s</w:t>
      </w:r>
      <w:r w:rsidR="00537CAC">
        <w:t xml:space="preserve">e </w:t>
      </w:r>
      <w:r w:rsidR="00B45C19">
        <w:t>obtuvo que el grupo joven y los estudiantes son los que más horas al día pasa</w:t>
      </w:r>
      <w:r w:rsidR="00537CAC">
        <w:t>n</w:t>
      </w:r>
      <w:r w:rsidR="00B45C19">
        <w:t xml:space="preserve"> </w:t>
      </w:r>
      <w:r>
        <w:t xml:space="preserve">conectados a </w:t>
      </w:r>
      <w:r w:rsidR="00B45C19">
        <w:t>Internet</w:t>
      </w:r>
      <w:r w:rsidR="007A2E9D">
        <w:t>,</w:t>
      </w:r>
      <w:r w:rsidR="00B45C19">
        <w:t xml:space="preserve"> lo que concuerda con el estudio de Rial, Gómez, Braña y Varela (2014) </w:t>
      </w:r>
      <w:r w:rsidR="00537CAC">
        <w:t>quienes</w:t>
      </w:r>
      <w:r w:rsidR="00B45C19">
        <w:t xml:space="preserve"> afirman que es necesario poner en marcha planes de acción de manera inmediata ante el excesivo uso de Internet y de las redes sociales por parte de los jóvenes</w:t>
      </w:r>
      <w:r w:rsidR="00537CAC">
        <w:t xml:space="preserve">. Sin embargo, difiere de </w:t>
      </w:r>
      <w:r w:rsidR="00B45C19">
        <w:t>los resultados obtenidos sobre las redes sociales puesto que es el grupo adulto mayor el que sigue a mayor número de “</w:t>
      </w:r>
      <w:r w:rsidR="00B45C19">
        <w:rPr>
          <w:i/>
          <w:iCs/>
        </w:rPr>
        <w:t>influencers</w:t>
      </w:r>
      <w:r w:rsidR="00B45C19">
        <w:t>” y es el que más sigue sus consejos</w:t>
      </w:r>
      <w:r w:rsidR="007A2E9D">
        <w:t xml:space="preserve">. Este hecho </w:t>
      </w:r>
      <w:r w:rsidR="00537CAC">
        <w:t xml:space="preserve">contradice los resultados </w:t>
      </w:r>
      <w:r w:rsidR="00B45C19">
        <w:t xml:space="preserve">de Peris, Maganto y Garaigordobil (2018) </w:t>
      </w:r>
      <w:r w:rsidR="007A2E9D">
        <w:t xml:space="preserve">al constatarse que </w:t>
      </w:r>
      <w:r w:rsidR="00B45C19">
        <w:t xml:space="preserve">los jóvenes emplean </w:t>
      </w:r>
      <w:r w:rsidR="007A2E9D">
        <w:t xml:space="preserve">más </w:t>
      </w:r>
      <w:r w:rsidR="00B45C19">
        <w:t xml:space="preserve">las redes sociales siendo un factor de riesgo de adicción. </w:t>
      </w:r>
      <w:r w:rsidR="00537CAC">
        <w:t xml:space="preserve">Por lo que </w:t>
      </w:r>
      <w:r w:rsidR="00B45C19">
        <w:t>concierne a la televisión</w:t>
      </w:r>
      <w:r w:rsidR="007A2E9D">
        <w:t>,</w:t>
      </w:r>
      <w:r w:rsidR="00B45C19">
        <w:t xml:space="preserve"> los resultados concuerdan con </w:t>
      </w:r>
      <w:r w:rsidR="007A2E9D">
        <w:t xml:space="preserve">los hallazgos de </w:t>
      </w:r>
      <w:r w:rsidR="003E5900">
        <w:t>Quintas-Froure y Gónzalez-</w:t>
      </w:r>
      <w:r w:rsidR="00B45C19">
        <w:t>Neira (2016) puesto que exponen que a partir del avance de Internet y de las redes sociales los jóvenes cada vez consumen menos televisión, también coincide con los resultados respecto a la situación laboral, ya que afirman que los desempleados al tener más horas del día libres consumen más horas de televisión.</w:t>
      </w:r>
    </w:p>
    <w:p w:rsidR="00B45C19" w:rsidRDefault="001C6364" w:rsidP="00B113CB">
      <w:pPr>
        <w:ind w:firstLine="567"/>
      </w:pPr>
      <w:r>
        <w:t xml:space="preserve">Respecto </w:t>
      </w:r>
      <w:r w:rsidR="00B45C19">
        <w:t xml:space="preserve">al nivel de estudios, se obtuvo que los sujetos que </w:t>
      </w:r>
      <w:r w:rsidR="007A2E9D">
        <w:t xml:space="preserve">habían cursado </w:t>
      </w:r>
      <w:r w:rsidR="00B45C19">
        <w:t>Educación Secundaria Obligatoria consumían más horas de televisión y de Internet al día</w:t>
      </w:r>
      <w:r w:rsidR="007A2E9D">
        <w:t xml:space="preserve">. Esta tendencia </w:t>
      </w:r>
      <w:r w:rsidR="00B45C19">
        <w:t xml:space="preserve">difiere </w:t>
      </w:r>
      <w:r w:rsidR="007A2E9D">
        <w:t>de los resultados de l</w:t>
      </w:r>
      <w:r w:rsidR="00B45C19">
        <w:t>a investigación de García</w:t>
      </w:r>
      <w:r w:rsidR="003E5900">
        <w:t xml:space="preserve"> et al. </w:t>
      </w:r>
      <w:r w:rsidR="00B45C19">
        <w:t xml:space="preserve">(2013) </w:t>
      </w:r>
      <w:r w:rsidR="00A56381">
        <w:t xml:space="preserve">al constatarse </w:t>
      </w:r>
      <w:r w:rsidR="00B45C19">
        <w:t>que el nivel de estudios no es una variable estadísticamente significativa.</w:t>
      </w:r>
    </w:p>
    <w:p w:rsidR="00B45C19" w:rsidRPr="001C6364" w:rsidRDefault="001C6364" w:rsidP="00B113CB">
      <w:pPr>
        <w:ind w:firstLine="567"/>
      </w:pPr>
      <w:r w:rsidRPr="001C6364">
        <w:t xml:space="preserve">En lo que concierne </w:t>
      </w:r>
      <w:r w:rsidR="00B45C19" w:rsidRPr="001C6364">
        <w:t>al sexo, los resultados contr</w:t>
      </w:r>
      <w:r w:rsidR="003E5900">
        <w:t>astan con los estudios de Vico-</w:t>
      </w:r>
      <w:r w:rsidR="00B45C19" w:rsidRPr="001C6364">
        <w:t>Bosch y Rebollo-Catalán (2019) debido a que afirman que las mujeres pasan más tiempo en redes sociales y en Internet</w:t>
      </w:r>
      <w:r w:rsidR="00036EF3">
        <w:t>,</w:t>
      </w:r>
      <w:r w:rsidR="00B45C19" w:rsidRPr="001C6364">
        <w:t xml:space="preserve"> pero los resultados de este estudio muestran que son los hombres los que dedican más tiempo a las redes sociales.</w:t>
      </w:r>
    </w:p>
    <w:p w:rsidR="001C6364" w:rsidRDefault="00036EF3" w:rsidP="00B113CB">
      <w:pPr>
        <w:ind w:firstLine="567"/>
      </w:pPr>
      <w:r>
        <w:t>P</w:t>
      </w:r>
      <w:r w:rsidR="00B45C19" w:rsidRPr="001C6364">
        <w:t>or último, se confirma que Internet es la mayor fuente de publicidad, puesto que todos los sujetos se conectan al menos una vez al día a internet y afirman visualizar anuncios publicitarios mientras navega</w:t>
      </w:r>
      <w:r>
        <w:t xml:space="preserve">n por la red. Estos hallazgos son coincidentes con </w:t>
      </w:r>
      <w:r w:rsidR="008F583B">
        <w:t xml:space="preserve">otros estudios (véase Garrido, 2005; </w:t>
      </w:r>
      <w:r w:rsidR="00B45C19" w:rsidRPr="001C6364">
        <w:t xml:space="preserve">Shukla </w:t>
      </w:r>
      <w:r w:rsidR="00617919">
        <w:t>&amp;</w:t>
      </w:r>
      <w:r w:rsidR="00B45C19" w:rsidRPr="001C6364">
        <w:t xml:space="preserve"> Dwivedi</w:t>
      </w:r>
      <w:r w:rsidR="008F583B">
        <w:t xml:space="preserve">, </w:t>
      </w:r>
      <w:r w:rsidR="00B45C19" w:rsidRPr="001C6364">
        <w:t xml:space="preserve">2019) </w:t>
      </w:r>
      <w:r w:rsidR="008F583B">
        <w:t xml:space="preserve">en los que se comprueba </w:t>
      </w:r>
      <w:r w:rsidR="00B45C19" w:rsidRPr="001C6364">
        <w:t>que Internet es la alternativa más adecuada frente a los medios de publicidad convencionales puesto que no tiene ninguna de sus limitaciones y permite al usuario conectarse en cualquier momento.</w:t>
      </w:r>
    </w:p>
    <w:p w:rsidR="00BD3642" w:rsidRDefault="009808D0" w:rsidP="00B113CB">
      <w:pPr>
        <w:ind w:firstLine="567"/>
        <w:rPr>
          <w:rStyle w:val="apple-converted-space"/>
          <w:color w:val="000000"/>
        </w:rPr>
      </w:pPr>
      <w:r>
        <w:rPr>
          <w:color w:val="000000"/>
        </w:rPr>
        <w:t>Al evaluar las d</w:t>
      </w:r>
      <w:r w:rsidR="001C6364" w:rsidRPr="001C6364">
        <w:rPr>
          <w:color w:val="000000"/>
        </w:rPr>
        <w:t>iferencias en cuanto al grupo de edad</w:t>
      </w:r>
      <w:r>
        <w:rPr>
          <w:color w:val="000000"/>
        </w:rPr>
        <w:t xml:space="preserve"> se ha confirmado que </w:t>
      </w:r>
      <w:r w:rsidR="001C6364" w:rsidRPr="001C6364">
        <w:rPr>
          <w:color w:val="000000"/>
        </w:rPr>
        <w:t>el grupo adulto joven obtuvo las puntuaciones más altas en asertividad lo que concuerda con los resultados del estudio realizado por Castaños</w:t>
      </w:r>
      <w:r w:rsidR="00AB5354">
        <w:rPr>
          <w:color w:val="000000"/>
        </w:rPr>
        <w:t xml:space="preserve"> et al. </w:t>
      </w:r>
      <w:r w:rsidR="001C6364" w:rsidRPr="001C6364">
        <w:rPr>
          <w:color w:val="000000"/>
        </w:rPr>
        <w:t xml:space="preserve">(2011) constatando </w:t>
      </w:r>
      <w:r>
        <w:rPr>
          <w:color w:val="000000"/>
        </w:rPr>
        <w:t xml:space="preserve">que </w:t>
      </w:r>
      <w:r w:rsidR="001C6364" w:rsidRPr="001C6364">
        <w:rPr>
          <w:color w:val="000000"/>
        </w:rPr>
        <w:t xml:space="preserve">a medida que va aumentando la edad </w:t>
      </w:r>
      <w:r>
        <w:rPr>
          <w:color w:val="000000"/>
        </w:rPr>
        <w:t xml:space="preserve">se incrementan </w:t>
      </w:r>
      <w:r w:rsidR="001C6364" w:rsidRPr="001C6364">
        <w:rPr>
          <w:color w:val="000000"/>
        </w:rPr>
        <w:t xml:space="preserve">las </w:t>
      </w:r>
      <w:r>
        <w:rPr>
          <w:color w:val="000000"/>
        </w:rPr>
        <w:t>conductas asertivas</w:t>
      </w:r>
      <w:r w:rsidR="001C6364" w:rsidRPr="001C6364">
        <w:rPr>
          <w:color w:val="000000"/>
        </w:rPr>
        <w:t>. A su vez, en la investigación de León y Vargas (2009)</w:t>
      </w:r>
      <w:r>
        <w:rPr>
          <w:color w:val="000000"/>
        </w:rPr>
        <w:t xml:space="preserve"> también</w:t>
      </w:r>
      <w:r w:rsidR="001C6364" w:rsidRPr="001C6364">
        <w:rPr>
          <w:color w:val="000000"/>
        </w:rPr>
        <w:t xml:space="preserve"> se confirmó la existencia de diferencias en asertividad en función de la edad. En lo que concierne a la reactancia psicológica se confirmó que el grupo adulto joven presentó las puntuaciones más altas lo que concuerda con la investigación realizada por Guerra y Martínez (2017), si bien difiere de los resultados del análisis realizado por Edwars, Lee y Li (2002) en el cual afirman que las personas jóvenes tienen mayores niveles de reactancia psicológica frente a las personas adultas.</w:t>
      </w:r>
      <w:r w:rsidR="001C6364" w:rsidRPr="001C6364">
        <w:rPr>
          <w:rStyle w:val="apple-converted-space"/>
          <w:color w:val="000000"/>
        </w:rPr>
        <w:t> </w:t>
      </w:r>
    </w:p>
    <w:p w:rsidR="00BD3642" w:rsidRDefault="001C6364" w:rsidP="00B113CB">
      <w:pPr>
        <w:ind w:firstLine="567"/>
        <w:rPr>
          <w:rStyle w:val="apple-converted-space"/>
          <w:color w:val="000000"/>
        </w:rPr>
      </w:pPr>
      <w:r w:rsidRPr="001C6364">
        <w:rPr>
          <w:color w:val="000000"/>
        </w:rPr>
        <w:t xml:space="preserve">Respecto al nivel de estudios, no se encontraron diferencias estadísticamente significativas </w:t>
      </w:r>
      <w:r w:rsidR="009808D0">
        <w:rPr>
          <w:color w:val="000000"/>
        </w:rPr>
        <w:t>n</w:t>
      </w:r>
      <w:r w:rsidR="00B7193C">
        <w:rPr>
          <w:color w:val="000000"/>
        </w:rPr>
        <w:t>i</w:t>
      </w:r>
      <w:r w:rsidR="009808D0">
        <w:rPr>
          <w:color w:val="000000"/>
        </w:rPr>
        <w:t xml:space="preserve"> en reactancia ni en asertividad</w:t>
      </w:r>
      <w:r w:rsidR="00BD3642">
        <w:rPr>
          <w:color w:val="000000"/>
        </w:rPr>
        <w:t xml:space="preserve">. </w:t>
      </w:r>
      <w:r w:rsidRPr="001C6364">
        <w:rPr>
          <w:color w:val="000000"/>
        </w:rPr>
        <w:t xml:space="preserve">Estos resultados coinciden con los hallazgos de Velásquez et al. (2013) </w:t>
      </w:r>
      <w:r w:rsidR="00BD3642">
        <w:rPr>
          <w:color w:val="000000"/>
        </w:rPr>
        <w:t xml:space="preserve">al </w:t>
      </w:r>
      <w:r w:rsidRPr="001C6364">
        <w:rPr>
          <w:color w:val="000000"/>
        </w:rPr>
        <w:t>afirma</w:t>
      </w:r>
      <w:r w:rsidR="00BD3642">
        <w:rPr>
          <w:color w:val="000000"/>
        </w:rPr>
        <w:t>r</w:t>
      </w:r>
      <w:r w:rsidRPr="001C6364">
        <w:rPr>
          <w:color w:val="000000"/>
        </w:rPr>
        <w:t xml:space="preserve"> que la situación académica no interfiere en la asertividad. Por otro lado, los resultados en reactancia psicológica se corresponden con los resultados de la investigación realizada por González y Hernández (2016) y por Guerra y Martínez (2017) que demuestran que el nivel educativo no es una variable estadísticamente significativa.</w:t>
      </w:r>
      <w:r w:rsidRPr="001C6364">
        <w:rPr>
          <w:rStyle w:val="apple-converted-space"/>
          <w:color w:val="000000"/>
        </w:rPr>
        <w:t> </w:t>
      </w:r>
    </w:p>
    <w:p w:rsidR="00BD3642" w:rsidRDefault="001C6364" w:rsidP="00B113CB">
      <w:pPr>
        <w:ind w:firstLine="567"/>
        <w:rPr>
          <w:color w:val="000000"/>
        </w:rPr>
      </w:pPr>
      <w:r w:rsidRPr="001C6364">
        <w:rPr>
          <w:color w:val="000000"/>
        </w:rPr>
        <w:t xml:space="preserve">En lo que concierne al sexo, se encontraron diferencias en las puntuaciones de </w:t>
      </w:r>
      <w:r w:rsidR="009808D0">
        <w:rPr>
          <w:color w:val="000000"/>
        </w:rPr>
        <w:t>ambos constructos</w:t>
      </w:r>
      <w:r w:rsidRPr="001C6364">
        <w:rPr>
          <w:color w:val="000000"/>
        </w:rPr>
        <w:t>. Así, contrariamente a los hallazgos de Velásquez et al. (2013) y de León y Vargas (2009) en los que no se hallaron diferencias significativas, en este estudio se comprobó que las mujeres presentan mayor asertividad. En cuanto a la reactancia psicológica, los resultados de nu</w:t>
      </w:r>
      <w:r w:rsidR="00034DB2">
        <w:rPr>
          <w:color w:val="000000"/>
        </w:rPr>
        <w:t>estro estudio concuerdan con los hallazgos de</w:t>
      </w:r>
      <w:r w:rsidRPr="001C6364">
        <w:rPr>
          <w:color w:val="000000"/>
        </w:rPr>
        <w:t xml:space="preserve"> González y Hernández (2016) que evidencian que el sexo está directamente relacionado con la reactancia</w:t>
      </w:r>
      <w:r>
        <w:rPr>
          <w:color w:val="000000"/>
        </w:rPr>
        <w:t xml:space="preserve"> </w:t>
      </w:r>
      <w:r w:rsidRPr="001C6364">
        <w:rPr>
          <w:color w:val="000000"/>
        </w:rPr>
        <w:t>psicológica, pero no mencionan diferencias entre hombres y mujeres</w:t>
      </w:r>
      <w:r>
        <w:rPr>
          <w:color w:val="000000"/>
        </w:rPr>
        <w:t>.</w:t>
      </w:r>
    </w:p>
    <w:p w:rsidR="002B3586" w:rsidRDefault="002B3586" w:rsidP="00B113CB">
      <w:pPr>
        <w:ind w:firstLine="567"/>
        <w:rPr>
          <w:color w:val="000000"/>
        </w:rPr>
      </w:pPr>
    </w:p>
    <w:p w:rsidR="002F3ED9" w:rsidRDefault="002F3ED9" w:rsidP="00B113CB">
      <w:pPr>
        <w:ind w:firstLine="567"/>
      </w:pPr>
      <w:r w:rsidRPr="00CA54F5">
        <w:t xml:space="preserve">En cuanto a las limitaciones que presenta la investigación, en primer lugar </w:t>
      </w:r>
      <w:r w:rsidR="00B45C19">
        <w:t xml:space="preserve">conviene señalar que la distribución por sexo no está equilibrada </w:t>
      </w:r>
      <w:r w:rsidRPr="00CA54F5">
        <w:t>(</w:t>
      </w:r>
      <w:r>
        <w:t>59.95</w:t>
      </w:r>
      <w:r w:rsidRPr="00CA54F5">
        <w:t xml:space="preserve">% de mujeres frente a </w:t>
      </w:r>
      <w:r>
        <w:t>40.05</w:t>
      </w:r>
      <w:r w:rsidRPr="00CA54F5">
        <w:t>% de hombres)</w:t>
      </w:r>
      <w:r w:rsidR="00B45C19">
        <w:t>. E</w:t>
      </w:r>
      <w:r w:rsidRPr="00CA54F5">
        <w:t xml:space="preserve">n segundo lugar, debido a la cantidad de ítems podrían existir sesgos </w:t>
      </w:r>
      <w:r w:rsidR="00B45C19">
        <w:t xml:space="preserve">atribuibles </w:t>
      </w:r>
      <w:r w:rsidR="00B45C19" w:rsidRPr="00310094">
        <w:t xml:space="preserve">al </w:t>
      </w:r>
      <w:r w:rsidR="00310094">
        <w:t xml:space="preserve">cansancio </w:t>
      </w:r>
      <w:r w:rsidRPr="00310094">
        <w:t>en las respuestas,</w:t>
      </w:r>
      <w:r w:rsidRPr="00CA54F5">
        <w:t xml:space="preserve"> aunque los resultados obtenidos no lo reflejan, y por último, aunque los datos hayan sido recogidos de manera anónima para trata</w:t>
      </w:r>
      <w:r w:rsidR="00CD5A1C">
        <w:t>r de evitarlo, podría verse afectado por s</w:t>
      </w:r>
      <w:r w:rsidRPr="00CA54F5">
        <w:t>esgos de deseabilidad social por parte de los sujetos, los cuales buscan la aprobación social.</w:t>
      </w:r>
    </w:p>
    <w:p w:rsidR="00EB3E1C" w:rsidRDefault="00CD5A1C" w:rsidP="00CD5A1C">
      <w:pPr>
        <w:ind w:firstLine="567"/>
      </w:pPr>
      <w:r>
        <w:t>Finalmente, p</w:t>
      </w:r>
      <w:r w:rsidRPr="00CA54F5">
        <w:t xml:space="preserve">or lo que concierne a las perspectivas de futuro que se plantean a partir de este trabajo </w:t>
      </w:r>
      <w:r>
        <w:t>se incide en la necesidad de incrementar las investigaciones</w:t>
      </w:r>
      <w:r w:rsidR="00F61789">
        <w:t xml:space="preserve"> sobre la persuasión publicitaria asociada a las </w:t>
      </w:r>
      <w:r w:rsidR="00F61789" w:rsidRPr="003E1D0A">
        <w:t>nuevas tecnologías</w:t>
      </w:r>
      <w:r w:rsidR="00F61789">
        <w:t xml:space="preserve"> (Hernández, 2019; Perlado, Papí-Gálvez </w:t>
      </w:r>
      <w:r w:rsidR="00617919">
        <w:t>&amp;</w:t>
      </w:r>
      <w:r w:rsidR="00F61789">
        <w:t xml:space="preserve"> Bergaz, 2019). Asimismo, se incide en la pertinencia de fortalecer los mecanismos de resistencia a la persuasión p</w:t>
      </w:r>
      <w:r w:rsidRPr="00CA54F5">
        <w:t>ublicitaria</w:t>
      </w:r>
      <w:r w:rsidR="00EB3E1C">
        <w:t xml:space="preserve"> (</w:t>
      </w:r>
      <w:r w:rsidR="00471FB2">
        <w:t xml:space="preserve">Pini, 2018; Sánchez-Muñoz, Calcerrada, González </w:t>
      </w:r>
      <w:r w:rsidR="00617919">
        <w:t>&amp;</w:t>
      </w:r>
      <w:r w:rsidR="00471FB2">
        <w:t xml:space="preserve"> de Juan, 2018) como amortiguadores de sus impactos psicosociales.</w:t>
      </w:r>
    </w:p>
    <w:p w:rsidR="00CD5A1C" w:rsidRPr="00CA54F5" w:rsidRDefault="00CD5A1C" w:rsidP="00B113CB">
      <w:pPr>
        <w:ind w:firstLine="567"/>
      </w:pPr>
    </w:p>
    <w:p w:rsidR="002F3ED9" w:rsidRPr="00CA54F5" w:rsidRDefault="002F3ED9" w:rsidP="00B113CB">
      <w:pPr>
        <w:ind w:firstLine="567"/>
        <w:jc w:val="center"/>
      </w:pPr>
    </w:p>
    <w:p w:rsidR="002F3ED9" w:rsidRDefault="002F3ED9" w:rsidP="00B113CB">
      <w:pPr>
        <w:ind w:firstLine="567"/>
        <w:jc w:val="center"/>
        <w:rPr>
          <w:b/>
          <w:color w:val="FF0000"/>
          <w:lang w:val="en-US"/>
        </w:rPr>
      </w:pPr>
      <w:r w:rsidRPr="007F676D">
        <w:rPr>
          <w:b/>
          <w:lang w:val="en-US"/>
        </w:rPr>
        <w:t>Referencias</w:t>
      </w:r>
    </w:p>
    <w:p w:rsidR="00111816" w:rsidRDefault="00111816" w:rsidP="00B113CB">
      <w:pPr>
        <w:rPr>
          <w:bCs/>
          <w:color w:val="000000" w:themeColor="text1"/>
          <w:lang w:val="en-US"/>
        </w:rPr>
      </w:pPr>
    </w:p>
    <w:p w:rsidR="00111816" w:rsidRDefault="002F3ED9" w:rsidP="00111816">
      <w:pPr>
        <w:spacing w:line="360" w:lineRule="auto"/>
        <w:ind w:left="709" w:hanging="709"/>
        <w:rPr>
          <w:bCs/>
          <w:color w:val="000000" w:themeColor="text1"/>
          <w:lang w:val="en-US"/>
        </w:rPr>
      </w:pPr>
      <w:r w:rsidRPr="007F676D">
        <w:rPr>
          <w:bCs/>
          <w:color w:val="000000" w:themeColor="text1"/>
          <w:lang w:val="en-US"/>
        </w:rPr>
        <w:t xml:space="preserve">Amstrong, M. (2001). </w:t>
      </w:r>
      <w:r w:rsidR="00111816">
        <w:rPr>
          <w:bCs/>
          <w:color w:val="000000" w:themeColor="text1"/>
          <w:lang w:val="en-US"/>
        </w:rPr>
        <w:t xml:space="preserve"> </w:t>
      </w:r>
      <w:r w:rsidRPr="007F676D">
        <w:rPr>
          <w:bCs/>
          <w:i/>
          <w:iCs/>
          <w:color w:val="000000" w:themeColor="text1"/>
          <w:lang w:val="en-US"/>
        </w:rPr>
        <w:t xml:space="preserve">A handbook of human resource management practice, </w:t>
      </w:r>
      <w:r w:rsidRPr="007F676D">
        <w:rPr>
          <w:bCs/>
          <w:color w:val="000000" w:themeColor="text1"/>
          <w:lang w:val="en-US"/>
        </w:rPr>
        <w:t>London, United Kingdom: Kogan Page.</w:t>
      </w:r>
    </w:p>
    <w:p w:rsidR="00111816" w:rsidRPr="006A4C3B" w:rsidRDefault="002F3ED9" w:rsidP="00111816">
      <w:pPr>
        <w:spacing w:line="360" w:lineRule="auto"/>
        <w:ind w:left="709" w:hanging="709"/>
        <w:rPr>
          <w:bCs/>
        </w:rPr>
      </w:pPr>
      <w:r w:rsidRPr="007F676D">
        <w:rPr>
          <w:bCs/>
        </w:rPr>
        <w:t xml:space="preserve">Añaños, E. (2011). Comunicació publicitària no convencional a la TV: reactancia psicològica o persuasió? </w:t>
      </w:r>
      <w:r w:rsidRPr="005E23A6">
        <w:rPr>
          <w:bCs/>
          <w:i/>
          <w:iCs/>
        </w:rPr>
        <w:t>Comunicació: Revista de Recerca i d’Anàlisi, 28</w:t>
      </w:r>
      <w:r w:rsidRPr="005E23A6">
        <w:rPr>
          <w:bCs/>
        </w:rPr>
        <w:t xml:space="preserve">(2), 129-148. </w:t>
      </w:r>
      <w:hyperlink r:id="rId8" w:history="1">
        <w:r w:rsidR="00111816" w:rsidRPr="006A4C3B">
          <w:rPr>
            <w:rStyle w:val="Hipervnculo"/>
            <w:bCs/>
            <w:color w:val="auto"/>
            <w:u w:val="none"/>
          </w:rPr>
          <w:t>https://doi.org/10.2436/20.3008.01.88</w:t>
        </w:r>
      </w:hyperlink>
    </w:p>
    <w:p w:rsidR="006A4C3B" w:rsidRDefault="002F3ED9" w:rsidP="00111816">
      <w:pPr>
        <w:spacing w:line="360" w:lineRule="auto"/>
        <w:ind w:left="709" w:hanging="709"/>
        <w:rPr>
          <w:bCs/>
        </w:rPr>
      </w:pPr>
      <w:r w:rsidRPr="005E23A6">
        <w:rPr>
          <w:bCs/>
        </w:rPr>
        <w:t>Añaños, E.</w:t>
      </w:r>
      <w:r w:rsidR="006A4C3B">
        <w:rPr>
          <w:bCs/>
        </w:rPr>
        <w:t>,</w:t>
      </w:r>
      <w:r w:rsidRPr="005E23A6">
        <w:rPr>
          <w:bCs/>
        </w:rPr>
        <w:t xml:space="preserve"> </w:t>
      </w:r>
      <w:r w:rsidR="006A4C3B">
        <w:rPr>
          <w:bCs/>
        </w:rPr>
        <w:t>&amp;</w:t>
      </w:r>
      <w:r w:rsidRPr="005E23A6">
        <w:rPr>
          <w:bCs/>
        </w:rPr>
        <w:t xml:space="preserve"> Padilla, A. (2011). Jóvenes internautas: Comportamiento y reactancia psicológica ante la publicidad en internet. En Pérez, J. M. (Presidencia).  </w:t>
      </w:r>
      <w:r w:rsidRPr="005E23A6">
        <w:rPr>
          <w:bCs/>
          <w:i/>
          <w:iCs/>
        </w:rPr>
        <w:t>I Congreso: comunicación y educación.</w:t>
      </w:r>
      <w:r w:rsidRPr="005E23A6">
        <w:rPr>
          <w:bCs/>
        </w:rPr>
        <w:t xml:space="preserve"> </w:t>
      </w:r>
      <w:r w:rsidRPr="005E23A6">
        <w:rPr>
          <w:bCs/>
          <w:i/>
          <w:iCs/>
        </w:rPr>
        <w:t xml:space="preserve">Estrategias de alfabetización mediática: reflexiones sobre comunicación y educación </w:t>
      </w:r>
      <w:r w:rsidRPr="005E23A6">
        <w:rPr>
          <w:bCs/>
        </w:rPr>
        <w:t>(pp.</w:t>
      </w:r>
      <w:r w:rsidR="00C60976">
        <w:rPr>
          <w:bCs/>
        </w:rPr>
        <w:t xml:space="preserve"> </w:t>
      </w:r>
      <w:r w:rsidRPr="005E23A6">
        <w:rPr>
          <w:bCs/>
        </w:rPr>
        <w:t>1-16).</w:t>
      </w:r>
      <w:r w:rsidRPr="005E23A6">
        <w:rPr>
          <w:bCs/>
          <w:i/>
          <w:iCs/>
        </w:rPr>
        <w:t xml:space="preserve"> </w:t>
      </w:r>
      <w:r w:rsidR="006A4C3B" w:rsidRPr="006A4C3B">
        <w:rPr>
          <w:color w:val="000000"/>
          <w:shd w:val="clear" w:color="auto" w:fill="FFFFFF"/>
        </w:rPr>
        <w:t>Universitat Autònoma de Barcelona. Departament de Publicitat, Relacions Públiques i Comunicació Audiovisual</w:t>
      </w:r>
      <w:r w:rsidR="006A4C3B">
        <w:rPr>
          <w:color w:val="000000"/>
          <w:shd w:val="clear" w:color="auto" w:fill="FFFFFF"/>
        </w:rPr>
        <w:t>.</w:t>
      </w:r>
    </w:p>
    <w:p w:rsidR="00111816" w:rsidRDefault="002F3ED9" w:rsidP="00111816">
      <w:pPr>
        <w:spacing w:line="360" w:lineRule="auto"/>
        <w:ind w:left="709" w:hanging="709"/>
        <w:rPr>
          <w:bCs/>
        </w:rPr>
      </w:pPr>
      <w:r w:rsidRPr="005E23A6">
        <w:rPr>
          <w:bCs/>
        </w:rPr>
        <w:t>Añaños, E., Estaún, S., Tena, D., Mas, M. T.</w:t>
      </w:r>
      <w:r w:rsidR="006A4C3B">
        <w:rPr>
          <w:bCs/>
        </w:rPr>
        <w:t>,</w:t>
      </w:r>
      <w:r w:rsidRPr="005E23A6">
        <w:rPr>
          <w:bCs/>
        </w:rPr>
        <w:t xml:space="preserve"> </w:t>
      </w:r>
      <w:r w:rsidR="006A4C3B">
        <w:rPr>
          <w:bCs/>
        </w:rPr>
        <w:t>&amp;</w:t>
      </w:r>
      <w:r w:rsidRPr="005E23A6">
        <w:rPr>
          <w:bCs/>
        </w:rPr>
        <w:t xml:space="preserve"> Valli, A. (2009). </w:t>
      </w:r>
      <w:r w:rsidRPr="005E23A6">
        <w:rPr>
          <w:bCs/>
          <w:i/>
          <w:iCs/>
        </w:rPr>
        <w:t>Psicología y comunicación publicitaria</w:t>
      </w:r>
      <w:r w:rsidR="00111816">
        <w:rPr>
          <w:bCs/>
          <w:i/>
          <w:iCs/>
        </w:rPr>
        <w:t>.</w:t>
      </w:r>
      <w:r w:rsidRPr="005E23A6">
        <w:rPr>
          <w:bCs/>
        </w:rPr>
        <w:t xml:space="preserve"> Barcelona: Servei de Publicacions de la Universitat Autònoma de Barcelona.</w:t>
      </w:r>
    </w:p>
    <w:p w:rsidR="00111816" w:rsidRDefault="002F3ED9" w:rsidP="00111816">
      <w:pPr>
        <w:spacing w:line="360" w:lineRule="auto"/>
        <w:ind w:left="709" w:hanging="709"/>
      </w:pPr>
      <w:r w:rsidRPr="005E23A6">
        <w:rPr>
          <w:bCs/>
        </w:rPr>
        <w:t xml:space="preserve">Bermejo, J. (2013). Nuevas estrategias retóricas en la sociedad de la neopublicidad. </w:t>
      </w:r>
      <w:r w:rsidRPr="005E23A6">
        <w:rPr>
          <w:bCs/>
          <w:i/>
          <w:iCs/>
        </w:rPr>
        <w:t>Icono 14,</w:t>
      </w:r>
      <w:r w:rsidRPr="005E23A6">
        <w:rPr>
          <w:bCs/>
        </w:rPr>
        <w:t xml:space="preserve"> </w:t>
      </w:r>
      <w:r w:rsidRPr="005E23A6">
        <w:rPr>
          <w:bCs/>
          <w:i/>
          <w:iCs/>
        </w:rPr>
        <w:t>11</w:t>
      </w:r>
      <w:r w:rsidRPr="005E23A6">
        <w:rPr>
          <w:bCs/>
        </w:rPr>
        <w:t xml:space="preserve">(1), 99-124. </w:t>
      </w:r>
      <w:hyperlink r:id="rId9" w:history="1">
        <w:r w:rsidRPr="005E23A6">
          <w:rPr>
            <w:rStyle w:val="Hipervnculo"/>
            <w:bCs/>
            <w:color w:val="auto"/>
            <w:u w:val="none"/>
          </w:rPr>
          <w:t>https://doi.org/10.7195/ri14.v11i1.528</w:t>
        </w:r>
      </w:hyperlink>
    </w:p>
    <w:p w:rsidR="002D1E86" w:rsidRPr="002D1E86" w:rsidRDefault="002D1E86" w:rsidP="00111816">
      <w:pPr>
        <w:spacing w:line="360" w:lineRule="auto"/>
        <w:ind w:left="709" w:hanging="709"/>
      </w:pPr>
      <w:r w:rsidRPr="002D1E86">
        <w:rPr>
          <w:color w:val="333333"/>
          <w:shd w:val="clear" w:color="auto" w:fill="FFFFFF"/>
        </w:rPr>
        <w:t xml:space="preserve">Brehm, J. W. (1966). </w:t>
      </w:r>
      <w:r w:rsidRPr="002D1E86">
        <w:rPr>
          <w:i/>
          <w:color w:val="333333"/>
          <w:shd w:val="clear" w:color="auto" w:fill="FFFFFF"/>
        </w:rPr>
        <w:t>A theory of psychological reactance</w:t>
      </w:r>
      <w:r w:rsidRPr="002D1E86">
        <w:rPr>
          <w:color w:val="333333"/>
          <w:shd w:val="clear" w:color="auto" w:fill="FFFFFF"/>
        </w:rPr>
        <w:t>. Oxford, England: Academic Press</w:t>
      </w:r>
    </w:p>
    <w:p w:rsidR="00111816" w:rsidRPr="00567222" w:rsidRDefault="002F3ED9" w:rsidP="00111816">
      <w:pPr>
        <w:spacing w:line="360" w:lineRule="auto"/>
        <w:ind w:left="709" w:hanging="709"/>
      </w:pPr>
      <w:r w:rsidRPr="00567222">
        <w:rPr>
          <w:bCs/>
        </w:rPr>
        <w:t>Briñol, P., Cárdaba, M-Á., Gallardo, I.</w:t>
      </w:r>
      <w:r w:rsidR="006A4C3B">
        <w:rPr>
          <w:bCs/>
        </w:rPr>
        <w:t>,</w:t>
      </w:r>
      <w:r w:rsidRPr="00567222">
        <w:rPr>
          <w:bCs/>
        </w:rPr>
        <w:t xml:space="preserve"> </w:t>
      </w:r>
      <w:r w:rsidR="006A4C3B">
        <w:rPr>
          <w:bCs/>
        </w:rPr>
        <w:t>&amp;</w:t>
      </w:r>
      <w:r w:rsidRPr="00567222">
        <w:rPr>
          <w:bCs/>
        </w:rPr>
        <w:t xml:space="preserve"> Horcajo, J. (2015). La advertencia del intento persuasivo en contextos publicitarios. </w:t>
      </w:r>
      <w:r w:rsidRPr="00567222">
        <w:rPr>
          <w:bCs/>
          <w:i/>
          <w:iCs/>
        </w:rPr>
        <w:t>Psicología,</w:t>
      </w:r>
      <w:r w:rsidRPr="00567222">
        <w:rPr>
          <w:bCs/>
        </w:rPr>
        <w:t xml:space="preserve"> </w:t>
      </w:r>
      <w:r w:rsidRPr="00567222">
        <w:rPr>
          <w:bCs/>
          <w:i/>
          <w:iCs/>
        </w:rPr>
        <w:t>31</w:t>
      </w:r>
      <w:r w:rsidRPr="00567222">
        <w:rPr>
          <w:bCs/>
        </w:rPr>
        <w:t xml:space="preserve">(1), 184-189.  </w:t>
      </w:r>
      <w:hyperlink r:id="rId10" w:history="1">
        <w:r w:rsidRPr="00567222">
          <w:rPr>
            <w:rStyle w:val="Hipervnculo"/>
            <w:bCs/>
            <w:color w:val="auto"/>
            <w:u w:val="none"/>
          </w:rPr>
          <w:t>https://dx.doi.org/10.6018/analesps.31.1.158241</w:t>
        </w:r>
      </w:hyperlink>
    </w:p>
    <w:p w:rsidR="00111816" w:rsidRDefault="002F3ED9" w:rsidP="00111816">
      <w:pPr>
        <w:spacing w:line="360" w:lineRule="auto"/>
        <w:ind w:left="709" w:hanging="709"/>
        <w:rPr>
          <w:bCs/>
        </w:rPr>
      </w:pPr>
      <w:r w:rsidRPr="005E23A6">
        <w:rPr>
          <w:bCs/>
        </w:rPr>
        <w:t>Castaños, S., Reyes, I., Rivera, S.</w:t>
      </w:r>
      <w:r w:rsidR="006A4C3B">
        <w:rPr>
          <w:bCs/>
        </w:rPr>
        <w:t>,</w:t>
      </w:r>
      <w:r w:rsidRPr="005E23A6">
        <w:rPr>
          <w:bCs/>
        </w:rPr>
        <w:t xml:space="preserve"> </w:t>
      </w:r>
      <w:r w:rsidR="006A4C3B">
        <w:rPr>
          <w:bCs/>
        </w:rPr>
        <w:t>&amp;</w:t>
      </w:r>
      <w:r w:rsidRPr="005E23A6">
        <w:rPr>
          <w:bCs/>
        </w:rPr>
        <w:t xml:space="preserve"> Díaz, R. (2011). Estandarización del Inventario de Asertividad de Gambrill y Richey- II. </w:t>
      </w:r>
      <w:r w:rsidRPr="005E23A6">
        <w:rPr>
          <w:bCs/>
          <w:i/>
          <w:iCs/>
        </w:rPr>
        <w:t>Ridep, 1</w:t>
      </w:r>
      <w:r w:rsidRPr="005E23A6">
        <w:rPr>
          <w:bCs/>
        </w:rPr>
        <w:t>(29), 27- 50.</w:t>
      </w:r>
    </w:p>
    <w:p w:rsidR="00111816" w:rsidRDefault="00786318" w:rsidP="00111816">
      <w:pPr>
        <w:spacing w:line="360" w:lineRule="auto"/>
        <w:ind w:left="709" w:hanging="709"/>
      </w:pPr>
      <w:r w:rsidRPr="005E23A6">
        <w:t>Coll, P.</w:t>
      </w:r>
      <w:r w:rsidR="006A4C3B">
        <w:t>,</w:t>
      </w:r>
      <w:r w:rsidRPr="005E23A6">
        <w:t xml:space="preserve"> </w:t>
      </w:r>
      <w:r w:rsidR="006A4C3B">
        <w:t>&amp;</w:t>
      </w:r>
      <w:r w:rsidRPr="005E23A6">
        <w:t xml:space="preserve"> Micó, J. L. (2019). Influencer: marketing in the growth hacking strategy of digital brands. </w:t>
      </w:r>
      <w:r w:rsidRPr="005E23A6">
        <w:rPr>
          <w:i/>
        </w:rPr>
        <w:t>Observatorio OBS, 13</w:t>
      </w:r>
      <w:r w:rsidRPr="005E23A6">
        <w:t>(2), 84-105</w:t>
      </w:r>
      <w:r w:rsidR="00111816">
        <w:t>.</w:t>
      </w:r>
    </w:p>
    <w:p w:rsidR="00111816" w:rsidRDefault="002F3ED9" w:rsidP="00111816">
      <w:pPr>
        <w:spacing w:line="360" w:lineRule="auto"/>
        <w:ind w:left="709" w:hanging="709"/>
      </w:pPr>
      <w:r w:rsidRPr="005E23A6">
        <w:rPr>
          <w:bCs/>
          <w:lang w:val="en-US"/>
        </w:rPr>
        <w:t xml:space="preserve">Czarnecka, B., Brennan, R., &amp; Keles, S. (2017). Cultural meaning, Advertising and National Culture: A four-Country Study. </w:t>
      </w:r>
      <w:r w:rsidRPr="005E23A6">
        <w:rPr>
          <w:bCs/>
          <w:i/>
          <w:iCs/>
          <w:lang w:val="en-US"/>
        </w:rPr>
        <w:t>Journal of Global Marketing, 31</w:t>
      </w:r>
      <w:r w:rsidRPr="005E23A6">
        <w:rPr>
          <w:bCs/>
          <w:lang w:val="en-US"/>
        </w:rPr>
        <w:t xml:space="preserve">(1), 4- 17. </w:t>
      </w:r>
      <w:hyperlink r:id="rId11" w:history="1">
        <w:r w:rsidRPr="005E23A6">
          <w:rPr>
            <w:rStyle w:val="Hipervnculo"/>
            <w:bCs/>
            <w:color w:val="auto"/>
            <w:u w:val="none"/>
            <w:lang w:val="en-US"/>
          </w:rPr>
          <w:t>https://doi.org/10.1080/08911762.2017.1376364</w:t>
        </w:r>
      </w:hyperlink>
    </w:p>
    <w:p w:rsidR="00111816" w:rsidRDefault="002F3ED9" w:rsidP="00111816">
      <w:pPr>
        <w:spacing w:line="360" w:lineRule="auto"/>
        <w:ind w:left="709" w:hanging="709"/>
      </w:pPr>
      <w:r w:rsidRPr="005E23A6">
        <w:rPr>
          <w:bCs/>
          <w:lang w:val="en-US"/>
        </w:rPr>
        <w:t>De las Cuevas, C.</w:t>
      </w:r>
      <w:r w:rsidR="006A4C3B">
        <w:rPr>
          <w:bCs/>
          <w:lang w:val="en-US"/>
        </w:rPr>
        <w:t>, &amp;</w:t>
      </w:r>
      <w:r w:rsidRPr="005E23A6">
        <w:rPr>
          <w:bCs/>
          <w:lang w:val="en-US"/>
        </w:rPr>
        <w:t xml:space="preserve"> Peñate, W. (2015). Validation of the general self-efficacy scale in psychiatric outpatient care. </w:t>
      </w:r>
      <w:r w:rsidRPr="005E23A6">
        <w:rPr>
          <w:bCs/>
          <w:i/>
          <w:iCs/>
          <w:lang w:val="en-US"/>
        </w:rPr>
        <w:t>Psicothema, 27</w:t>
      </w:r>
      <w:r w:rsidRPr="005E23A6">
        <w:rPr>
          <w:bCs/>
          <w:lang w:val="en-US"/>
        </w:rPr>
        <w:t xml:space="preserve">(4), 410-415. </w:t>
      </w:r>
      <w:hyperlink r:id="rId12" w:history="1">
        <w:r w:rsidRPr="005E23A6">
          <w:rPr>
            <w:rStyle w:val="Hipervnculo"/>
            <w:bCs/>
            <w:color w:val="auto"/>
            <w:u w:val="none"/>
            <w:lang w:val="en-US"/>
          </w:rPr>
          <w:t>https://doi.org/</w:t>
        </w:r>
        <w:r w:rsidRPr="005E23A6">
          <w:rPr>
            <w:rStyle w:val="Hipervnculo"/>
            <w:color w:val="auto"/>
            <w:u w:val="none"/>
            <w:shd w:val="clear" w:color="auto" w:fill="FFFFFF"/>
            <w:lang w:val="en-US"/>
          </w:rPr>
          <w:t>10.7334/psicothema2015.56</w:t>
        </w:r>
      </w:hyperlink>
    </w:p>
    <w:p w:rsidR="00111816" w:rsidRDefault="002F3ED9" w:rsidP="00111816">
      <w:pPr>
        <w:spacing w:line="360" w:lineRule="auto"/>
        <w:ind w:left="709" w:hanging="709"/>
      </w:pPr>
      <w:r w:rsidRPr="005E23A6">
        <w:rPr>
          <w:shd w:val="clear" w:color="auto" w:fill="FFFFFF"/>
          <w:lang w:val="en-US"/>
        </w:rPr>
        <w:t xml:space="preserve">Diehl, S., &amp; Mueller, B. (2015). The cultural dimension of assertiveness in cross-cultural advertising. </w:t>
      </w:r>
      <w:r w:rsidRPr="005E23A6">
        <w:rPr>
          <w:i/>
          <w:iCs/>
          <w:shd w:val="clear" w:color="auto" w:fill="FFFFFF"/>
          <w:lang w:val="en-US"/>
        </w:rPr>
        <w:t>International Journal of Advertising, 29</w:t>
      </w:r>
      <w:r w:rsidRPr="005E23A6">
        <w:rPr>
          <w:shd w:val="clear" w:color="auto" w:fill="FFFFFF"/>
          <w:lang w:val="en-US"/>
        </w:rPr>
        <w:t xml:space="preserve">(3), 369- 399. </w:t>
      </w:r>
      <w:hyperlink r:id="rId13" w:history="1">
        <w:r w:rsidRPr="005E23A6">
          <w:rPr>
            <w:rStyle w:val="Hipervnculo"/>
            <w:color w:val="auto"/>
            <w:u w:val="none"/>
            <w:shd w:val="clear" w:color="auto" w:fill="FFFFFF"/>
            <w:lang w:val="en-US"/>
          </w:rPr>
          <w:t>https://doi.org/10.2501/S0265048710201233</w:t>
        </w:r>
      </w:hyperlink>
    </w:p>
    <w:p w:rsidR="00111816" w:rsidRDefault="002F3ED9" w:rsidP="00111816">
      <w:pPr>
        <w:spacing w:line="360" w:lineRule="auto"/>
        <w:ind w:left="709" w:hanging="709"/>
      </w:pPr>
      <w:r w:rsidRPr="005E23A6">
        <w:rPr>
          <w:bCs/>
          <w:lang w:val="en-US"/>
        </w:rPr>
        <w:t xml:space="preserve">Edwards, M. Lee, J-H &amp; Li, E. (2002). Measuring the Intrusiveness of Advertisements: Scale Development and Validation. </w:t>
      </w:r>
      <w:r w:rsidRPr="005E23A6">
        <w:rPr>
          <w:bCs/>
          <w:i/>
          <w:iCs/>
          <w:lang w:val="en-US"/>
        </w:rPr>
        <w:t>Journal of Advertising,</w:t>
      </w:r>
      <w:r w:rsidRPr="005E23A6">
        <w:rPr>
          <w:bCs/>
          <w:lang w:val="en-US"/>
        </w:rPr>
        <w:t xml:space="preserve"> </w:t>
      </w:r>
      <w:r w:rsidRPr="005E23A6">
        <w:rPr>
          <w:bCs/>
          <w:i/>
          <w:iCs/>
          <w:lang w:val="en-US"/>
        </w:rPr>
        <w:t>31</w:t>
      </w:r>
      <w:r w:rsidRPr="005E23A6">
        <w:rPr>
          <w:bCs/>
          <w:lang w:val="en-US"/>
        </w:rPr>
        <w:t xml:space="preserve">(2), 37- 47. </w:t>
      </w:r>
      <w:hyperlink r:id="rId14" w:history="1">
        <w:r w:rsidRPr="005E23A6">
          <w:rPr>
            <w:rStyle w:val="Hipervnculo"/>
            <w:bCs/>
            <w:color w:val="auto"/>
            <w:u w:val="none"/>
            <w:lang w:val="en-US"/>
          </w:rPr>
          <w:t>https://doi.org/</w:t>
        </w:r>
        <w:r w:rsidRPr="005E23A6">
          <w:rPr>
            <w:rStyle w:val="Hipervnculo"/>
            <w:color w:val="auto"/>
            <w:u w:val="none"/>
            <w:lang w:val="en-US"/>
          </w:rPr>
          <w:t>10.1080/00913367.2002.10673665</w:t>
        </w:r>
      </w:hyperlink>
    </w:p>
    <w:p w:rsidR="00111816" w:rsidRDefault="005E23A6" w:rsidP="00111816">
      <w:pPr>
        <w:spacing w:line="360" w:lineRule="auto"/>
        <w:ind w:left="709" w:hanging="709"/>
      </w:pPr>
      <w:r w:rsidRPr="005E23A6">
        <w:t>Egido, A. (2018</w:t>
      </w:r>
      <w:r w:rsidR="00111816">
        <w:t>)</w:t>
      </w:r>
      <w:r w:rsidRPr="005E23A6">
        <w:t xml:space="preserve">. El 60% de los españoles se queja de un exceso de publicidad en Internet. </w:t>
      </w:r>
      <w:r w:rsidRPr="005E23A6">
        <w:rPr>
          <w:i/>
        </w:rPr>
        <w:t>Ipmark: Información de Publicidad y Márketing, 846</w:t>
      </w:r>
      <w:r w:rsidRPr="005E23A6">
        <w:t>, 40</w:t>
      </w:r>
      <w:r w:rsidR="00111816">
        <w:t>.</w:t>
      </w:r>
    </w:p>
    <w:p w:rsidR="00B7193C" w:rsidRPr="00B7193C" w:rsidRDefault="00B7193C" w:rsidP="00111816">
      <w:pPr>
        <w:spacing w:line="360" w:lineRule="auto"/>
        <w:ind w:left="709" w:hanging="709"/>
      </w:pPr>
      <w:r w:rsidRPr="00B7193C">
        <w:rPr>
          <w:rStyle w:val="nfasis"/>
          <w:bCs/>
          <w:i w:val="0"/>
          <w:iCs w:val="0"/>
          <w:shd w:val="clear" w:color="auto" w:fill="FFFFFF"/>
        </w:rPr>
        <w:t>Field</w:t>
      </w:r>
      <w:r w:rsidRPr="00B7193C">
        <w:rPr>
          <w:shd w:val="clear" w:color="auto" w:fill="FFFFFF"/>
        </w:rPr>
        <w:t>, A. (</w:t>
      </w:r>
      <w:r w:rsidRPr="00B7193C">
        <w:rPr>
          <w:rStyle w:val="nfasis"/>
          <w:bCs/>
          <w:i w:val="0"/>
          <w:iCs w:val="0"/>
          <w:shd w:val="clear" w:color="auto" w:fill="FFFFFF"/>
        </w:rPr>
        <w:t>2009</w:t>
      </w:r>
      <w:r w:rsidRPr="00B7193C">
        <w:rPr>
          <w:shd w:val="clear" w:color="auto" w:fill="FFFFFF"/>
        </w:rPr>
        <w:t xml:space="preserve">). </w:t>
      </w:r>
      <w:r w:rsidRPr="00B7193C">
        <w:rPr>
          <w:i/>
          <w:shd w:val="clear" w:color="auto" w:fill="FFFFFF"/>
        </w:rPr>
        <w:t>Discovering Statistics Using SPSS</w:t>
      </w:r>
      <w:r w:rsidRPr="00B7193C">
        <w:rPr>
          <w:shd w:val="clear" w:color="auto" w:fill="FFFFFF"/>
        </w:rPr>
        <w:t>. 3rd Edition, Sage Publications Ltd., London.</w:t>
      </w:r>
    </w:p>
    <w:p w:rsidR="00111816" w:rsidRDefault="002F3ED9" w:rsidP="00111816">
      <w:pPr>
        <w:spacing w:line="360" w:lineRule="auto"/>
        <w:ind w:left="709" w:hanging="709"/>
      </w:pPr>
      <w:r w:rsidRPr="005E23A6">
        <w:rPr>
          <w:bCs/>
        </w:rPr>
        <w:t>García, A., López de Ayala, M.C.</w:t>
      </w:r>
      <w:r w:rsidR="006A4C3B">
        <w:rPr>
          <w:bCs/>
        </w:rPr>
        <w:t>, &amp;</w:t>
      </w:r>
      <w:r w:rsidRPr="005E23A6">
        <w:rPr>
          <w:bCs/>
        </w:rPr>
        <w:t xml:space="preserve"> Catalina, B. (2013). Hábitos de uso en Internet y en las redes sociales de los adolescentes españoles. </w:t>
      </w:r>
      <w:r w:rsidRPr="005E23A6">
        <w:rPr>
          <w:bCs/>
          <w:i/>
          <w:iCs/>
        </w:rPr>
        <w:t>Comunica, 21</w:t>
      </w:r>
      <w:r w:rsidRPr="005E23A6">
        <w:rPr>
          <w:bCs/>
        </w:rPr>
        <w:t xml:space="preserve">(41), 195- 204. </w:t>
      </w:r>
      <w:hyperlink r:id="rId15" w:history="1">
        <w:r w:rsidRPr="005E23A6">
          <w:rPr>
            <w:rStyle w:val="Hipervnculo"/>
            <w:bCs/>
            <w:color w:val="auto"/>
            <w:u w:val="none"/>
          </w:rPr>
          <w:t>https://doi.org/10.3916/C41-2013-19</w:t>
        </w:r>
      </w:hyperlink>
    </w:p>
    <w:p w:rsidR="00111816" w:rsidRDefault="002F3ED9" w:rsidP="00111816">
      <w:pPr>
        <w:spacing w:line="360" w:lineRule="auto"/>
        <w:ind w:left="709" w:hanging="709"/>
        <w:rPr>
          <w:bCs/>
        </w:rPr>
      </w:pPr>
      <w:r w:rsidRPr="005E23A6">
        <w:rPr>
          <w:bCs/>
        </w:rPr>
        <w:t xml:space="preserve">Garrido, P. (2005). ¿Hacía donde va la publicidad en internet? </w:t>
      </w:r>
      <w:r w:rsidRPr="005E23A6">
        <w:rPr>
          <w:bCs/>
          <w:i/>
          <w:iCs/>
        </w:rPr>
        <w:t>Icono 14, 6</w:t>
      </w:r>
      <w:r w:rsidR="009B5CE2">
        <w:rPr>
          <w:bCs/>
        </w:rPr>
        <w:t xml:space="preserve">(12), </w:t>
      </w:r>
      <w:r w:rsidRPr="005E23A6">
        <w:rPr>
          <w:bCs/>
        </w:rPr>
        <w:t>1-13.</w:t>
      </w:r>
    </w:p>
    <w:p w:rsidR="00111816" w:rsidRDefault="00786318" w:rsidP="00111816">
      <w:pPr>
        <w:spacing w:line="360" w:lineRule="auto"/>
        <w:ind w:left="709" w:hanging="709"/>
      </w:pPr>
      <w:r w:rsidRPr="005E23A6">
        <w:t xml:space="preserve">Gómez, B. (2018). El influencer: clave en el contexto digital de la publicidad engañosa. </w:t>
      </w:r>
      <w:r w:rsidRPr="005E23A6">
        <w:rPr>
          <w:i/>
        </w:rPr>
        <w:t xml:space="preserve">Methaodos: Revista de Ciencias </w:t>
      </w:r>
      <w:r w:rsidR="00C41EA8" w:rsidRPr="005E23A6">
        <w:rPr>
          <w:i/>
        </w:rPr>
        <w:t>Sociales</w:t>
      </w:r>
      <w:r w:rsidRPr="005E23A6">
        <w:rPr>
          <w:i/>
        </w:rPr>
        <w:t>, 6</w:t>
      </w:r>
      <w:r w:rsidRPr="005E23A6">
        <w:t>(1), 149-156.</w:t>
      </w:r>
    </w:p>
    <w:p w:rsidR="00111816" w:rsidRDefault="002F3ED9" w:rsidP="00111816">
      <w:pPr>
        <w:spacing w:line="360" w:lineRule="auto"/>
        <w:ind w:left="709" w:hanging="709"/>
        <w:rPr>
          <w:bCs/>
        </w:rPr>
      </w:pPr>
      <w:r w:rsidRPr="005E23A6">
        <w:rPr>
          <w:bCs/>
        </w:rPr>
        <w:t>González, I.</w:t>
      </w:r>
      <w:r w:rsidR="006A4C3B">
        <w:rPr>
          <w:bCs/>
        </w:rPr>
        <w:t>, &amp;</w:t>
      </w:r>
      <w:r w:rsidRPr="005E23A6">
        <w:rPr>
          <w:bCs/>
        </w:rPr>
        <w:t xml:space="preserve"> Hernández, J. (2016)</w:t>
      </w:r>
      <w:r w:rsidRPr="005E23A6">
        <w:rPr>
          <w:bCs/>
          <w:i/>
          <w:iCs/>
        </w:rPr>
        <w:t xml:space="preserve"> Adherencia al tratamiento y reactancia psicológica: Influencia de factores socio- demográficos, Clínicos y Psicológicos </w:t>
      </w:r>
      <w:r w:rsidRPr="005E23A6">
        <w:rPr>
          <w:bCs/>
        </w:rPr>
        <w:t>(Trabajo de Fin de Grado). Universidad de La Laguna, Tenerife, España.</w:t>
      </w:r>
    </w:p>
    <w:p w:rsidR="00097FCD" w:rsidRDefault="00403787" w:rsidP="00097FCD">
      <w:pPr>
        <w:spacing w:line="360" w:lineRule="auto"/>
        <w:ind w:left="709" w:hanging="709"/>
      </w:pPr>
      <w:r w:rsidRPr="005E23A6">
        <w:t xml:space="preserve">Hernández, J. (2019). Internet y postmodernidad: un soporte tan necesario como irreverente en la actualidad. Necesidades pedagógicas. </w:t>
      </w:r>
      <w:r w:rsidRPr="005E23A6">
        <w:rPr>
          <w:i/>
        </w:rPr>
        <w:t>Vivat Academia, 146</w:t>
      </w:r>
      <w:r w:rsidRPr="005E23A6">
        <w:t>, 21-41.</w:t>
      </w:r>
    </w:p>
    <w:p w:rsidR="007274A7" w:rsidRDefault="00097FCD" w:rsidP="00111816">
      <w:pPr>
        <w:spacing w:line="360" w:lineRule="auto"/>
        <w:ind w:left="709" w:hanging="709"/>
      </w:pPr>
      <w:r>
        <w:t>Lekarroz</w:t>
      </w:r>
      <w:r w:rsidR="00106CEA" w:rsidRPr="00097FCD">
        <w:t>,  M.</w:t>
      </w:r>
      <w:r w:rsidRPr="00097FCD">
        <w:t xml:space="preserve"> (</w:t>
      </w:r>
      <w:r w:rsidR="00106CEA" w:rsidRPr="00097FCD">
        <w:t>2005</w:t>
      </w:r>
      <w:r w:rsidRPr="00097FCD">
        <w:t xml:space="preserve">). </w:t>
      </w:r>
      <w:r w:rsidR="00106CEA" w:rsidRPr="00097FCD">
        <w:t xml:space="preserve">Contenidos  en  Internet,  Globalización  y  rentabilidad.  </w:t>
      </w:r>
      <w:r w:rsidR="00106CEA" w:rsidRPr="00097FCD">
        <w:rPr>
          <w:i/>
        </w:rPr>
        <w:t>En  Mundo  Internet 2005, Ponencias del X Congreso Internet, Telecomunicaciones y Sociedad de la Información</w:t>
      </w:r>
      <w:r w:rsidRPr="00097FCD">
        <w:rPr>
          <w:i/>
        </w:rPr>
        <w:t>.</w:t>
      </w:r>
      <w:r w:rsidR="00106CEA" w:rsidRPr="00097FCD">
        <w:t xml:space="preserve"> Madrid</w:t>
      </w:r>
      <w:r w:rsidRPr="00097FCD">
        <w:t xml:space="preserve">: AUI. </w:t>
      </w:r>
    </w:p>
    <w:p w:rsidR="00111816" w:rsidRDefault="002F3ED9" w:rsidP="00111816">
      <w:pPr>
        <w:spacing w:line="360" w:lineRule="auto"/>
        <w:ind w:left="709" w:hanging="709"/>
        <w:rPr>
          <w:bCs/>
        </w:rPr>
      </w:pPr>
      <w:r w:rsidRPr="005E23A6">
        <w:rPr>
          <w:bCs/>
        </w:rPr>
        <w:t>León, M.</w:t>
      </w:r>
      <w:r w:rsidR="006A4C3B">
        <w:rPr>
          <w:bCs/>
        </w:rPr>
        <w:t>, &amp;</w:t>
      </w:r>
      <w:r w:rsidRPr="005E23A6">
        <w:rPr>
          <w:bCs/>
        </w:rPr>
        <w:t xml:space="preserve"> Vargas, F. (2009</w:t>
      </w:r>
      <w:r w:rsidR="00347AC1">
        <w:rPr>
          <w:bCs/>
        </w:rPr>
        <w:t>a</w:t>
      </w:r>
      <w:r w:rsidRPr="005E23A6">
        <w:rPr>
          <w:bCs/>
        </w:rPr>
        <w:t xml:space="preserve">). Validación de la escala de asertividad de Rathus (R.A.S.) en una muestra de adultos costarricenses. </w:t>
      </w:r>
      <w:r w:rsidRPr="005E23A6">
        <w:rPr>
          <w:bCs/>
          <w:i/>
          <w:iCs/>
        </w:rPr>
        <w:t>Revista Costarricense de Psicología, 28</w:t>
      </w:r>
      <w:r w:rsidRPr="005E23A6">
        <w:rPr>
          <w:bCs/>
        </w:rPr>
        <w:t>(41), 187- 205.</w:t>
      </w:r>
    </w:p>
    <w:p w:rsidR="00347AC1" w:rsidRDefault="00347AC1" w:rsidP="00347AC1">
      <w:pPr>
        <w:spacing w:line="360" w:lineRule="auto"/>
        <w:ind w:left="709" w:hanging="709"/>
        <w:rPr>
          <w:bCs/>
        </w:rPr>
      </w:pPr>
      <w:r w:rsidRPr="005E23A6">
        <w:rPr>
          <w:bCs/>
        </w:rPr>
        <w:t>León, M.</w:t>
      </w:r>
      <w:r w:rsidR="006A4C3B">
        <w:rPr>
          <w:bCs/>
        </w:rPr>
        <w:t>, &amp;</w:t>
      </w:r>
      <w:r w:rsidRPr="005E23A6">
        <w:rPr>
          <w:bCs/>
        </w:rPr>
        <w:t xml:space="preserve"> Vargas, F. (2009</w:t>
      </w:r>
      <w:r>
        <w:rPr>
          <w:bCs/>
        </w:rPr>
        <w:t>b</w:t>
      </w:r>
      <w:r w:rsidRPr="005E23A6">
        <w:rPr>
          <w:bCs/>
        </w:rPr>
        <w:t>). Revisión de la escala de asertividad de Rathus adaptada por León y Vargas.</w:t>
      </w:r>
      <w:r w:rsidRPr="005E23A6">
        <w:rPr>
          <w:bCs/>
          <w:i/>
          <w:iCs/>
        </w:rPr>
        <w:t xml:space="preserve"> Reflexiones, 93</w:t>
      </w:r>
      <w:r w:rsidRPr="005E23A6">
        <w:rPr>
          <w:bCs/>
        </w:rPr>
        <w:t xml:space="preserve">(1), 157-171. </w:t>
      </w:r>
    </w:p>
    <w:p w:rsidR="00111816" w:rsidRDefault="002F3ED9" w:rsidP="00111816">
      <w:pPr>
        <w:spacing w:line="360" w:lineRule="auto"/>
        <w:ind w:left="709" w:hanging="709"/>
        <w:rPr>
          <w:bCs/>
        </w:rPr>
      </w:pPr>
      <w:r w:rsidRPr="005E23A6">
        <w:rPr>
          <w:bCs/>
        </w:rPr>
        <w:t>Lopezosa, C., Codina, L.</w:t>
      </w:r>
      <w:r w:rsidR="006A4C3B">
        <w:rPr>
          <w:bCs/>
        </w:rPr>
        <w:t>, &amp;</w:t>
      </w:r>
      <w:r w:rsidRPr="005E23A6">
        <w:rPr>
          <w:bCs/>
        </w:rPr>
        <w:t xml:space="preserve"> Gonzalo-Penela, C. (2018). </w:t>
      </w:r>
      <w:r w:rsidRPr="005E23A6">
        <w:rPr>
          <w:bCs/>
          <w:lang w:val="en-US"/>
        </w:rPr>
        <w:t xml:space="preserve">Off- page SEO and link building: General strategies and authority transfer in digital news media. </w:t>
      </w:r>
      <w:r w:rsidRPr="005E23A6">
        <w:rPr>
          <w:bCs/>
          <w:i/>
          <w:iCs/>
        </w:rPr>
        <w:t>El profesional de la información, 28</w:t>
      </w:r>
      <w:r w:rsidRPr="005E23A6">
        <w:rPr>
          <w:bCs/>
        </w:rPr>
        <w:t xml:space="preserve">(1), 1- 13. </w:t>
      </w:r>
      <w:hyperlink r:id="rId16" w:history="1">
        <w:r w:rsidRPr="005E23A6">
          <w:rPr>
            <w:rStyle w:val="Hipervnculo"/>
            <w:bCs/>
            <w:color w:val="auto"/>
            <w:u w:val="none"/>
          </w:rPr>
          <w:t>https://doi.org//10.3145/epi.2019.ene.07</w:t>
        </w:r>
      </w:hyperlink>
      <w:r w:rsidRPr="005E23A6">
        <w:rPr>
          <w:bCs/>
        </w:rPr>
        <w:t xml:space="preserve"> </w:t>
      </w:r>
    </w:p>
    <w:p w:rsidR="00111816" w:rsidRDefault="002F3ED9" w:rsidP="00111816">
      <w:pPr>
        <w:spacing w:line="360" w:lineRule="auto"/>
        <w:ind w:left="709" w:hanging="709"/>
      </w:pPr>
      <w:r w:rsidRPr="005E23A6">
        <w:rPr>
          <w:bCs/>
        </w:rPr>
        <w:t>Marcos, M. C.</w:t>
      </w:r>
      <w:r w:rsidR="006A4C3B">
        <w:rPr>
          <w:bCs/>
        </w:rPr>
        <w:t>, &amp;</w:t>
      </w:r>
      <w:r w:rsidRPr="005E23A6">
        <w:rPr>
          <w:bCs/>
        </w:rPr>
        <w:t xml:space="preserve"> González-Caro, C. (2010). Comportamiento de los usuarios en la página de resultados de los buscadores. Un estudio basado en eye tracking. </w:t>
      </w:r>
      <w:r w:rsidRPr="005E23A6">
        <w:rPr>
          <w:bCs/>
          <w:i/>
          <w:iCs/>
        </w:rPr>
        <w:t>El profesional de la información, 19</w:t>
      </w:r>
      <w:r w:rsidRPr="005E23A6">
        <w:rPr>
          <w:bCs/>
        </w:rPr>
        <w:t xml:space="preserve">(4), 348- 358. </w:t>
      </w:r>
      <w:hyperlink r:id="rId17" w:history="1">
        <w:r w:rsidRPr="005E23A6">
          <w:rPr>
            <w:rStyle w:val="Hipervnculo"/>
            <w:bCs/>
            <w:color w:val="auto"/>
            <w:u w:val="none"/>
          </w:rPr>
          <w:t>http://doi.org/10.3145/epi.2010.jul.03</w:t>
        </w:r>
      </w:hyperlink>
    </w:p>
    <w:p w:rsidR="00111816" w:rsidRDefault="002F3ED9" w:rsidP="00111816">
      <w:pPr>
        <w:spacing w:line="360" w:lineRule="auto"/>
        <w:ind w:left="709" w:hanging="709"/>
      </w:pPr>
      <w:r w:rsidRPr="005E23A6">
        <w:rPr>
          <w:bCs/>
        </w:rPr>
        <w:t>Peris, M., Maganto, C.</w:t>
      </w:r>
      <w:r w:rsidR="006A4C3B">
        <w:rPr>
          <w:bCs/>
        </w:rPr>
        <w:t>, &amp;</w:t>
      </w:r>
      <w:r w:rsidRPr="005E23A6">
        <w:rPr>
          <w:bCs/>
        </w:rPr>
        <w:t xml:space="preserve"> Garaigordobil, M. (2018). Escala de riesgo de adicción- adolescente a las redes sociales e internet: fiabilidad y validez (ERA- RSI). </w:t>
      </w:r>
      <w:r w:rsidRPr="005E23A6">
        <w:rPr>
          <w:bCs/>
          <w:i/>
          <w:iCs/>
        </w:rPr>
        <w:t>Revista de Psicología con Niños y Adolescentes, 5</w:t>
      </w:r>
      <w:r w:rsidRPr="005E23A6">
        <w:rPr>
          <w:bCs/>
        </w:rPr>
        <w:t xml:space="preserve">(2), 30- 36. </w:t>
      </w:r>
      <w:hyperlink r:id="rId18" w:history="1">
        <w:r w:rsidRPr="005E23A6">
          <w:rPr>
            <w:rStyle w:val="Hipervnculo"/>
            <w:bCs/>
            <w:color w:val="auto"/>
            <w:u w:val="none"/>
          </w:rPr>
          <w:t>http://doi.org/10.21134/rpcna.2018.05.2.4</w:t>
        </w:r>
      </w:hyperlink>
    </w:p>
    <w:p w:rsidR="00BA62F6" w:rsidRDefault="00403787" w:rsidP="00BA62F6">
      <w:pPr>
        <w:spacing w:line="360" w:lineRule="auto"/>
        <w:ind w:left="709" w:hanging="709"/>
      </w:pPr>
      <w:r w:rsidRPr="005E23A6">
        <w:t>Perlado, M., Papí-Gálvez, N.</w:t>
      </w:r>
      <w:r w:rsidR="006A4C3B">
        <w:t>, &amp;</w:t>
      </w:r>
      <w:r w:rsidRPr="005E23A6">
        <w:t xml:space="preserve"> Bergaz, M. (2019). Del planificador de medio al experto en medios: el efecto digital en la publicidad. </w:t>
      </w:r>
      <w:r w:rsidRPr="005E23A6">
        <w:rPr>
          <w:i/>
        </w:rPr>
        <w:t>Comunicar: Revista Científica Iberoamericana de Comunicación y Educación, 59</w:t>
      </w:r>
      <w:r w:rsidRPr="005E23A6">
        <w:t>, 105-114.</w:t>
      </w:r>
    </w:p>
    <w:p w:rsidR="00BA62F6" w:rsidRPr="001708CB" w:rsidRDefault="00BA62F6" w:rsidP="00BA62F6">
      <w:pPr>
        <w:spacing w:line="360" w:lineRule="auto"/>
        <w:ind w:left="709" w:hanging="709"/>
      </w:pPr>
      <w:r w:rsidRPr="00BA62F6">
        <w:t xml:space="preserve">Petty, R.E., &amp; Cacioppo, J. T. (1979). Effects of Forwarning of Persuasive Intent and Involvement on Cognitive Responses and Persuasion. </w:t>
      </w:r>
      <w:r w:rsidRPr="00BA62F6">
        <w:rPr>
          <w:i/>
        </w:rPr>
        <w:t xml:space="preserve">Personality and Social </w:t>
      </w:r>
      <w:r w:rsidRPr="007274A7">
        <w:rPr>
          <w:i/>
        </w:rPr>
        <w:t xml:space="preserve">Psychology Bulletin, </w:t>
      </w:r>
      <w:r w:rsidR="007274A7" w:rsidRPr="007274A7">
        <w:rPr>
          <w:i/>
        </w:rPr>
        <w:t>5</w:t>
      </w:r>
      <w:r w:rsidR="007274A7" w:rsidRPr="007274A7">
        <w:t>(2), 173-176.</w:t>
      </w:r>
      <w:r w:rsidR="007274A7">
        <w:rPr>
          <w:i/>
        </w:rPr>
        <w:t xml:space="preserve"> </w:t>
      </w:r>
      <w:r w:rsidRPr="00BA62F6">
        <w:rPr>
          <w:i/>
        </w:rPr>
        <w:t xml:space="preserve">    </w:t>
      </w:r>
      <w:r>
        <w:rPr>
          <w:i/>
        </w:rPr>
        <w:t xml:space="preserve">         </w:t>
      </w:r>
      <w:hyperlink r:id="rId19" w:history="1">
        <w:r w:rsidRPr="001708CB">
          <w:rPr>
            <w:rStyle w:val="Hipervnculo"/>
            <w:color w:val="auto"/>
            <w:u w:val="none"/>
          </w:rPr>
          <w:t>https://doi.org/10.1177/014616727900500209</w:t>
        </w:r>
      </w:hyperlink>
    </w:p>
    <w:p w:rsidR="00024C57" w:rsidRPr="00024C57" w:rsidRDefault="00024C57" w:rsidP="00024C57">
      <w:pPr>
        <w:spacing w:line="360" w:lineRule="auto"/>
        <w:ind w:left="709" w:hanging="709"/>
      </w:pPr>
      <w:r w:rsidRPr="00024C57">
        <w:rPr>
          <w:shd w:val="clear" w:color="auto" w:fill="FFFFFF"/>
        </w:rPr>
        <w:t xml:space="preserve">Pini, M. (2018). Alfabetización en medios, alfabetización crítica </w:t>
      </w:r>
      <w:r w:rsidR="00906C20">
        <w:rPr>
          <w:shd w:val="clear" w:color="auto" w:fill="FFFFFF"/>
        </w:rPr>
        <w:t>E</w:t>
      </w:r>
      <w:r w:rsidRPr="00024C57">
        <w:rPr>
          <w:shd w:val="clear" w:color="auto" w:fill="FFFFFF"/>
        </w:rPr>
        <w:t>mancipadora. </w:t>
      </w:r>
      <w:r w:rsidR="00906C20">
        <w:rPr>
          <w:shd w:val="clear" w:color="auto" w:fill="FFFFFF"/>
        </w:rPr>
        <w:t xml:space="preserve"> </w:t>
      </w:r>
      <w:r w:rsidRPr="00024C57">
        <w:rPr>
          <w:i/>
          <w:iCs/>
          <w:shd w:val="clear" w:color="auto" w:fill="FFFFFF"/>
        </w:rPr>
        <w:t>RevCom</w:t>
      </w:r>
      <w:r w:rsidRPr="00024C57">
        <w:rPr>
          <w:shd w:val="clear" w:color="auto" w:fill="FFFFFF"/>
        </w:rPr>
        <w:t xml:space="preserve">, </w:t>
      </w:r>
      <w:r w:rsidR="004D57ED" w:rsidRPr="004D57ED">
        <w:rPr>
          <w:i/>
          <w:shd w:val="clear" w:color="auto" w:fill="FFFFFF"/>
        </w:rPr>
        <w:t>7</w:t>
      </w:r>
      <w:r w:rsidR="004D57ED">
        <w:rPr>
          <w:shd w:val="clear" w:color="auto" w:fill="FFFFFF"/>
        </w:rPr>
        <w:t>,</w:t>
      </w:r>
      <w:r w:rsidRPr="00024C57">
        <w:rPr>
          <w:shd w:val="clear" w:color="auto" w:fill="FFFFFF"/>
        </w:rPr>
        <w:t xml:space="preserve"> 18-29. Recuperado a partir de https://www.perio.unlp.edu.ar/ojs/index.php/revcom/article/view/5049</w:t>
      </w:r>
      <w:r w:rsidRPr="00024C57">
        <w:t xml:space="preserve">. </w:t>
      </w:r>
    </w:p>
    <w:p w:rsidR="00111816" w:rsidRDefault="00EA685A" w:rsidP="00111816">
      <w:pPr>
        <w:spacing w:line="360" w:lineRule="auto"/>
        <w:ind w:left="709" w:hanging="709"/>
        <w:rPr>
          <w:rStyle w:val="Hipervnculo"/>
          <w:bCs/>
          <w:color w:val="auto"/>
          <w:u w:val="none"/>
        </w:rPr>
      </w:pPr>
      <w:r w:rsidRPr="005E23A6">
        <w:rPr>
          <w:rStyle w:val="Hipervnculo"/>
          <w:bCs/>
          <w:color w:val="auto"/>
          <w:u w:val="none"/>
        </w:rPr>
        <w:t>Quintas- Froure, N.</w:t>
      </w:r>
      <w:r w:rsidR="006A4C3B">
        <w:rPr>
          <w:rStyle w:val="Hipervnculo"/>
          <w:bCs/>
          <w:color w:val="auto"/>
          <w:u w:val="none"/>
        </w:rPr>
        <w:t>, &amp;</w:t>
      </w:r>
      <w:r w:rsidRPr="005E23A6">
        <w:rPr>
          <w:rStyle w:val="Hipervnculo"/>
          <w:bCs/>
          <w:color w:val="auto"/>
          <w:u w:val="none"/>
        </w:rPr>
        <w:t xml:space="preserve"> G</w:t>
      </w:r>
      <w:r w:rsidR="00C60976">
        <w:rPr>
          <w:rStyle w:val="Hipervnculo"/>
          <w:bCs/>
          <w:color w:val="auto"/>
          <w:u w:val="none"/>
        </w:rPr>
        <w:t>o</w:t>
      </w:r>
      <w:r w:rsidRPr="005E23A6">
        <w:rPr>
          <w:rStyle w:val="Hipervnculo"/>
          <w:bCs/>
          <w:color w:val="auto"/>
          <w:u w:val="none"/>
        </w:rPr>
        <w:t>nz</w:t>
      </w:r>
      <w:r w:rsidR="00C60976">
        <w:rPr>
          <w:rStyle w:val="Hipervnculo"/>
          <w:bCs/>
          <w:color w:val="auto"/>
          <w:u w:val="none"/>
        </w:rPr>
        <w:t>á</w:t>
      </w:r>
      <w:r w:rsidRPr="005E23A6">
        <w:rPr>
          <w:rStyle w:val="Hipervnculo"/>
          <w:bCs/>
          <w:color w:val="auto"/>
          <w:u w:val="none"/>
        </w:rPr>
        <w:t xml:space="preserve">lez- Neira, A. (2016). Consumo televisivo y su medición en España: camino hacia las audiencias híbridas. </w:t>
      </w:r>
      <w:r w:rsidRPr="005E23A6">
        <w:rPr>
          <w:rStyle w:val="Hipervnculo"/>
          <w:bCs/>
          <w:i/>
          <w:iCs/>
          <w:color w:val="auto"/>
          <w:u w:val="none"/>
        </w:rPr>
        <w:t>El profesional de la información, 25</w:t>
      </w:r>
      <w:r w:rsidRPr="005E23A6">
        <w:rPr>
          <w:rStyle w:val="Hipervnculo"/>
          <w:bCs/>
          <w:color w:val="auto"/>
          <w:u w:val="none"/>
        </w:rPr>
        <w:t xml:space="preserve">(3), 376- 383. </w:t>
      </w:r>
      <w:hyperlink r:id="rId20" w:history="1">
        <w:r w:rsidRPr="005E23A6">
          <w:rPr>
            <w:rStyle w:val="Hipervnculo"/>
            <w:bCs/>
            <w:color w:val="auto"/>
            <w:u w:val="none"/>
          </w:rPr>
          <w:t>http://doi.org/10.3145/epi.2016.may.07</w:t>
        </w:r>
      </w:hyperlink>
      <w:r w:rsidRPr="005E23A6">
        <w:rPr>
          <w:rStyle w:val="Hipervnculo"/>
          <w:bCs/>
          <w:color w:val="auto"/>
          <w:u w:val="none"/>
        </w:rPr>
        <w:t xml:space="preserve">. </w:t>
      </w:r>
    </w:p>
    <w:p w:rsidR="001337D8" w:rsidRPr="001337D8" w:rsidRDefault="001337D8" w:rsidP="00111816">
      <w:pPr>
        <w:spacing w:line="360" w:lineRule="auto"/>
        <w:ind w:left="709" w:hanging="709"/>
        <w:rPr>
          <w:rStyle w:val="Hipervnculo"/>
          <w:bCs/>
          <w:color w:val="auto"/>
          <w:u w:val="none"/>
        </w:rPr>
      </w:pPr>
      <w:r w:rsidRPr="001337D8">
        <w:rPr>
          <w:rStyle w:val="nfasis"/>
          <w:bCs/>
          <w:i w:val="0"/>
          <w:iCs w:val="0"/>
          <w:shd w:val="clear" w:color="auto" w:fill="FFFFFF"/>
        </w:rPr>
        <w:t>Rathus</w:t>
      </w:r>
      <w:r w:rsidRPr="001337D8">
        <w:rPr>
          <w:shd w:val="clear" w:color="auto" w:fill="FFFFFF"/>
        </w:rPr>
        <w:t>, S. A. (</w:t>
      </w:r>
      <w:r w:rsidRPr="001337D8">
        <w:rPr>
          <w:rStyle w:val="nfasis"/>
          <w:bCs/>
          <w:i w:val="0"/>
          <w:iCs w:val="0"/>
          <w:shd w:val="clear" w:color="auto" w:fill="FFFFFF"/>
        </w:rPr>
        <w:t>1973</w:t>
      </w:r>
      <w:r w:rsidRPr="001337D8">
        <w:rPr>
          <w:shd w:val="clear" w:color="auto" w:fill="FFFFFF"/>
        </w:rPr>
        <w:t xml:space="preserve">). A 30-item schedule for assessing assertive behavior. </w:t>
      </w:r>
      <w:r w:rsidRPr="001337D8">
        <w:rPr>
          <w:i/>
          <w:shd w:val="clear" w:color="auto" w:fill="FFFFFF"/>
        </w:rPr>
        <w:t>Behavior Therapy, 4</w:t>
      </w:r>
      <w:r w:rsidRPr="001337D8">
        <w:rPr>
          <w:shd w:val="clear" w:color="auto" w:fill="FFFFFF"/>
        </w:rPr>
        <w:t>(3), 398-406. http://dx.doi.org/10.1016/S0005-7894(73)80120-0</w:t>
      </w:r>
    </w:p>
    <w:p w:rsidR="00111816" w:rsidRDefault="002F3ED9" w:rsidP="00111816">
      <w:pPr>
        <w:spacing w:line="360" w:lineRule="auto"/>
        <w:ind w:left="709" w:hanging="709"/>
        <w:rPr>
          <w:bCs/>
        </w:rPr>
      </w:pPr>
      <w:r w:rsidRPr="005E23A6">
        <w:rPr>
          <w:bCs/>
        </w:rPr>
        <w:t>Rial, A., Gómez, P., Braña, T.</w:t>
      </w:r>
      <w:r w:rsidR="006A4C3B">
        <w:rPr>
          <w:bCs/>
        </w:rPr>
        <w:t>, &amp;</w:t>
      </w:r>
      <w:r w:rsidRPr="005E23A6">
        <w:rPr>
          <w:bCs/>
        </w:rPr>
        <w:t xml:space="preserve"> Varela, J. (2014). Actitudes, percepciones y uso de Internet y las redes sociales entre los adolescentes de la comunidad gallega (España). </w:t>
      </w:r>
      <w:r w:rsidRPr="005E23A6">
        <w:rPr>
          <w:bCs/>
          <w:i/>
          <w:iCs/>
        </w:rPr>
        <w:t>Anales de Psicología, 30</w:t>
      </w:r>
      <w:r w:rsidRPr="005E23A6">
        <w:rPr>
          <w:bCs/>
        </w:rPr>
        <w:t>(2), 642-655.</w:t>
      </w:r>
    </w:p>
    <w:p w:rsidR="00111816" w:rsidRDefault="00111816" w:rsidP="00111816">
      <w:pPr>
        <w:spacing w:line="360" w:lineRule="auto"/>
        <w:ind w:left="709" w:hanging="709"/>
      </w:pPr>
      <w:r>
        <w:t>Sánchez-Muñoz, I., Calcerrada, M. L., González, J.L.</w:t>
      </w:r>
      <w:r w:rsidR="006A4C3B">
        <w:t>,</w:t>
      </w:r>
      <w:r>
        <w:t xml:space="preserve"> &amp; de Juan, M. (2018). Persuasión y personalidad. El receptor en la comunicación persuasiva. </w:t>
      </w:r>
      <w:r w:rsidRPr="00111816">
        <w:rPr>
          <w:i/>
        </w:rPr>
        <w:t>Behavior &amp; Law Journal, 4</w:t>
      </w:r>
      <w:r>
        <w:t>(1), 9-20.</w:t>
      </w:r>
    </w:p>
    <w:p w:rsidR="00111816" w:rsidRDefault="002F3ED9" w:rsidP="00111816">
      <w:pPr>
        <w:spacing w:line="360" w:lineRule="auto"/>
        <w:ind w:left="709" w:hanging="709"/>
        <w:rPr>
          <w:bCs/>
          <w:lang w:val="en-US"/>
        </w:rPr>
      </w:pPr>
      <w:r w:rsidRPr="005E23A6">
        <w:rPr>
          <w:bCs/>
          <w:lang w:val="en-US"/>
        </w:rPr>
        <w:t xml:space="preserve">Shukla, K., &amp; Dwivedi, P. K. (2019). A study on Impact and Effectiveness of Online Advertising in the Modern Market. </w:t>
      </w:r>
      <w:r w:rsidRPr="005E23A6">
        <w:rPr>
          <w:bCs/>
          <w:i/>
          <w:iCs/>
          <w:lang w:val="en-US"/>
        </w:rPr>
        <w:t>International Journal of Research in Engineering, Science and Management, 2</w:t>
      </w:r>
      <w:r w:rsidRPr="005E23A6">
        <w:rPr>
          <w:bCs/>
          <w:lang w:val="en-US"/>
        </w:rPr>
        <w:t>(3), 81- 84.</w:t>
      </w:r>
    </w:p>
    <w:p w:rsidR="00111816" w:rsidRDefault="002F3ED9" w:rsidP="00111816">
      <w:pPr>
        <w:spacing w:line="360" w:lineRule="auto"/>
        <w:ind w:left="709" w:hanging="709"/>
        <w:rPr>
          <w:bCs/>
        </w:rPr>
      </w:pPr>
      <w:r w:rsidRPr="005E23A6">
        <w:rPr>
          <w:bCs/>
          <w:lang w:val="en-US"/>
        </w:rPr>
        <w:t xml:space="preserve">Solana, D. (2010). </w:t>
      </w:r>
      <w:r w:rsidRPr="005E23A6">
        <w:rPr>
          <w:bCs/>
          <w:i/>
          <w:iCs/>
        </w:rPr>
        <w:t>Postpublicidad. Reflexiones sobre una nueva cultura publicitaria</w:t>
      </w:r>
      <w:r w:rsidR="00024C57">
        <w:rPr>
          <w:bCs/>
          <w:i/>
          <w:iCs/>
        </w:rPr>
        <w:t>.</w:t>
      </w:r>
      <w:r w:rsidRPr="005E23A6">
        <w:rPr>
          <w:bCs/>
        </w:rPr>
        <w:t xml:space="preserve"> Barcelona, España: Doubleyou.</w:t>
      </w:r>
    </w:p>
    <w:p w:rsidR="00111816" w:rsidRDefault="002F3ED9" w:rsidP="00111816">
      <w:pPr>
        <w:spacing w:line="360" w:lineRule="auto"/>
        <w:ind w:left="709" w:hanging="709"/>
        <w:rPr>
          <w:bCs/>
        </w:rPr>
      </w:pPr>
      <w:r w:rsidRPr="005E23A6">
        <w:rPr>
          <w:bCs/>
        </w:rPr>
        <w:t>Velásquez, C., Montgomery, W., Montero, V., Pomalaya, V., Dioses, A., Velásquez, N., Araki, R.</w:t>
      </w:r>
      <w:r w:rsidR="006A4C3B">
        <w:rPr>
          <w:bCs/>
        </w:rPr>
        <w:t>, &amp;</w:t>
      </w:r>
      <w:r w:rsidR="00C60976">
        <w:rPr>
          <w:bCs/>
        </w:rPr>
        <w:t xml:space="preserve"> </w:t>
      </w:r>
      <w:r w:rsidRPr="005E23A6">
        <w:rPr>
          <w:bCs/>
        </w:rPr>
        <w:t xml:space="preserve">Reynoso, D. (2008). Bienestar psicológico, asertividad y rendimiento académico en estudiantes universitarios sanmarquinos. </w:t>
      </w:r>
      <w:r w:rsidRPr="005E23A6">
        <w:rPr>
          <w:bCs/>
          <w:i/>
          <w:iCs/>
        </w:rPr>
        <w:t>IPPSI, 11</w:t>
      </w:r>
      <w:r w:rsidRPr="005E23A6">
        <w:rPr>
          <w:bCs/>
        </w:rPr>
        <w:t>(2), 139- 152.</w:t>
      </w:r>
    </w:p>
    <w:p w:rsidR="002F3ED9" w:rsidRPr="005E23A6" w:rsidRDefault="002F3ED9" w:rsidP="00111816">
      <w:pPr>
        <w:spacing w:line="360" w:lineRule="auto"/>
        <w:ind w:left="709" w:hanging="709"/>
        <w:rPr>
          <w:bCs/>
        </w:rPr>
      </w:pPr>
      <w:r w:rsidRPr="005E23A6">
        <w:rPr>
          <w:bCs/>
        </w:rPr>
        <w:t>Vico-Bosch, A.</w:t>
      </w:r>
      <w:r w:rsidR="006A4C3B">
        <w:rPr>
          <w:bCs/>
        </w:rPr>
        <w:t>, &amp;</w:t>
      </w:r>
      <w:r w:rsidRPr="005E23A6">
        <w:rPr>
          <w:bCs/>
        </w:rPr>
        <w:t xml:space="preserve"> Rebollo-Catalán, Á. (2019). El aprendizaje de las mujeres sobre internet y redes sociales: validación y resultados generales de una escala. </w:t>
      </w:r>
      <w:r w:rsidRPr="005E23A6">
        <w:rPr>
          <w:bCs/>
          <w:i/>
          <w:iCs/>
        </w:rPr>
        <w:t>Escala XXI, 22</w:t>
      </w:r>
      <w:r w:rsidRPr="005E23A6">
        <w:rPr>
          <w:bCs/>
        </w:rPr>
        <w:t xml:space="preserve">(1), 375- 400. </w:t>
      </w:r>
      <w:hyperlink r:id="rId21" w:history="1">
        <w:r w:rsidRPr="005E23A6">
          <w:rPr>
            <w:rStyle w:val="Hipervnculo"/>
            <w:bCs/>
            <w:color w:val="auto"/>
            <w:u w:val="none"/>
          </w:rPr>
          <w:t>https://doi.org/10.5944/educxx1.21469</w:t>
        </w:r>
      </w:hyperlink>
    </w:p>
    <w:p w:rsidR="002F3ED9" w:rsidRPr="005E23A6" w:rsidRDefault="002F3ED9" w:rsidP="00B113CB">
      <w:pPr>
        <w:ind w:left="720"/>
        <w:jc w:val="both"/>
      </w:pPr>
    </w:p>
    <w:p w:rsidR="002F3ED9" w:rsidRPr="005E23A6" w:rsidRDefault="002F3ED9" w:rsidP="00B113CB"/>
    <w:p w:rsidR="002F3ED9" w:rsidRPr="005E23A6" w:rsidRDefault="002F3ED9" w:rsidP="00B113CB">
      <w:pPr>
        <w:ind w:firstLine="567"/>
      </w:pPr>
    </w:p>
    <w:sectPr w:rsidR="002F3ED9" w:rsidRPr="005E23A6" w:rsidSect="007173A2">
      <w:footerReference w:type="even" r:id="rId22"/>
      <w:footerReference w:type="default" r:id="rId23"/>
      <w:pgSz w:w="11900" w:h="16840"/>
      <w:pgMar w:top="1701" w:right="1701" w:bottom="170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D79" w:rsidRDefault="00D14D79" w:rsidP="007173A2">
      <w:r>
        <w:separator/>
      </w:r>
    </w:p>
  </w:endnote>
  <w:endnote w:type="continuationSeparator" w:id="0">
    <w:p w:rsidR="00D14D79" w:rsidRDefault="00D14D79" w:rsidP="00717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827503368"/>
      <w:docPartObj>
        <w:docPartGallery w:val="Page Numbers (Bottom of Page)"/>
        <w:docPartUnique/>
      </w:docPartObj>
    </w:sdtPr>
    <w:sdtContent>
      <w:p w:rsidR="001165A8" w:rsidRDefault="00267638" w:rsidP="007B22F9">
        <w:pPr>
          <w:pStyle w:val="Piedepgina"/>
          <w:framePr w:wrap="none" w:vAnchor="text" w:hAnchor="margin" w:xAlign="right" w:y="1"/>
          <w:rPr>
            <w:rStyle w:val="Nmerodepgina"/>
          </w:rPr>
        </w:pPr>
        <w:r>
          <w:rPr>
            <w:rStyle w:val="Nmerodepgina"/>
          </w:rPr>
          <w:fldChar w:fldCharType="begin"/>
        </w:r>
        <w:r w:rsidR="001165A8">
          <w:rPr>
            <w:rStyle w:val="Nmerodepgina"/>
          </w:rPr>
          <w:instrText xml:space="preserve"> PAGE </w:instrText>
        </w:r>
        <w:r>
          <w:rPr>
            <w:rStyle w:val="Nmerodepgina"/>
          </w:rPr>
          <w:fldChar w:fldCharType="end"/>
        </w:r>
      </w:p>
    </w:sdtContent>
  </w:sdt>
  <w:p w:rsidR="001165A8" w:rsidRDefault="001165A8" w:rsidP="007173A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276482944"/>
      <w:docPartObj>
        <w:docPartGallery w:val="Page Numbers (Bottom of Page)"/>
        <w:docPartUnique/>
      </w:docPartObj>
    </w:sdtPr>
    <w:sdtContent>
      <w:p w:rsidR="001165A8" w:rsidRDefault="00267638" w:rsidP="007B22F9">
        <w:pPr>
          <w:pStyle w:val="Piedepgina"/>
          <w:framePr w:wrap="none" w:vAnchor="text" w:hAnchor="margin" w:xAlign="right" w:y="1"/>
          <w:rPr>
            <w:rStyle w:val="Nmerodepgina"/>
          </w:rPr>
        </w:pPr>
        <w:r>
          <w:rPr>
            <w:rStyle w:val="Nmerodepgina"/>
          </w:rPr>
          <w:fldChar w:fldCharType="begin"/>
        </w:r>
        <w:r w:rsidR="001165A8">
          <w:rPr>
            <w:rStyle w:val="Nmerodepgina"/>
          </w:rPr>
          <w:instrText xml:space="preserve"> PAGE </w:instrText>
        </w:r>
        <w:r>
          <w:rPr>
            <w:rStyle w:val="Nmerodepgina"/>
          </w:rPr>
          <w:fldChar w:fldCharType="separate"/>
        </w:r>
        <w:r w:rsidR="00646B9E">
          <w:rPr>
            <w:rStyle w:val="Nmerodepgina"/>
            <w:noProof/>
          </w:rPr>
          <w:t>15</w:t>
        </w:r>
        <w:r>
          <w:rPr>
            <w:rStyle w:val="Nmerodepgina"/>
          </w:rPr>
          <w:fldChar w:fldCharType="end"/>
        </w:r>
      </w:p>
    </w:sdtContent>
  </w:sdt>
  <w:p w:rsidR="001165A8" w:rsidRDefault="001165A8" w:rsidP="007173A2">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D79" w:rsidRDefault="00D14D79" w:rsidP="007173A2">
      <w:r>
        <w:separator/>
      </w:r>
    </w:p>
  </w:footnote>
  <w:footnote w:type="continuationSeparator" w:id="0">
    <w:p w:rsidR="00D14D79" w:rsidRDefault="00D14D79" w:rsidP="007173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52701"/>
    <w:multiLevelType w:val="hybridMultilevel"/>
    <w:tmpl w:val="16C61B4E"/>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1">
    <w:nsid w:val="15D11D10"/>
    <w:multiLevelType w:val="hybridMultilevel"/>
    <w:tmpl w:val="F4F27618"/>
    <w:lvl w:ilvl="0" w:tplc="50A8A8D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6D10381"/>
    <w:multiLevelType w:val="hybridMultilevel"/>
    <w:tmpl w:val="7C30D876"/>
    <w:lvl w:ilvl="0" w:tplc="BA640F84">
      <w:start w:val="1"/>
      <w:numFmt w:val="decimal"/>
      <w:lvlText w:val="%1."/>
      <w:lvlJc w:val="left"/>
      <w:pPr>
        <w:ind w:left="1440" w:hanging="360"/>
      </w:pPr>
      <w:rPr>
        <w:rFonts w:ascii="Times New Roman" w:eastAsiaTheme="minorHAnsi" w:hAnsi="Times New Roman" w:cs="Times New Roman"/>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nsid w:val="26501793"/>
    <w:multiLevelType w:val="hybridMultilevel"/>
    <w:tmpl w:val="24287920"/>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nsid w:val="2B5752DE"/>
    <w:multiLevelType w:val="hybridMultilevel"/>
    <w:tmpl w:val="A280B616"/>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nsid w:val="3C1829D5"/>
    <w:multiLevelType w:val="hybridMultilevel"/>
    <w:tmpl w:val="25323A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630F58"/>
    <w:multiLevelType w:val="multilevel"/>
    <w:tmpl w:val="916C8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D93D61"/>
    <w:multiLevelType w:val="hybridMultilevel"/>
    <w:tmpl w:val="C6A2ADAC"/>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
    <w:nsid w:val="5AF66198"/>
    <w:multiLevelType w:val="hybridMultilevel"/>
    <w:tmpl w:val="2D546E5E"/>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9">
    <w:nsid w:val="62CD1A88"/>
    <w:multiLevelType w:val="hybridMultilevel"/>
    <w:tmpl w:val="158CDF86"/>
    <w:lvl w:ilvl="0" w:tplc="55D67C9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68277F3A"/>
    <w:multiLevelType w:val="hybridMultilevel"/>
    <w:tmpl w:val="6AD4D32C"/>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
    <w:nsid w:val="6B445885"/>
    <w:multiLevelType w:val="hybridMultilevel"/>
    <w:tmpl w:val="C0D2BE24"/>
    <w:lvl w:ilvl="0" w:tplc="61B82696">
      <w:start w:val="1"/>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C3E4D82"/>
    <w:multiLevelType w:val="hybridMultilevel"/>
    <w:tmpl w:val="A9BABC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68A5A75"/>
    <w:multiLevelType w:val="hybridMultilevel"/>
    <w:tmpl w:val="ECB47948"/>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abstractNumId w:val="11"/>
  </w:num>
  <w:num w:numId="2">
    <w:abstractNumId w:val="2"/>
  </w:num>
  <w:num w:numId="3">
    <w:abstractNumId w:val="13"/>
  </w:num>
  <w:num w:numId="4">
    <w:abstractNumId w:val="4"/>
  </w:num>
  <w:num w:numId="5">
    <w:abstractNumId w:val="3"/>
  </w:num>
  <w:num w:numId="6">
    <w:abstractNumId w:val="8"/>
  </w:num>
  <w:num w:numId="7">
    <w:abstractNumId w:val="10"/>
  </w:num>
  <w:num w:numId="8">
    <w:abstractNumId w:val="7"/>
  </w:num>
  <w:num w:numId="9">
    <w:abstractNumId w:val="0"/>
  </w:num>
  <w:num w:numId="10">
    <w:abstractNumId w:val="9"/>
  </w:num>
  <w:num w:numId="11">
    <w:abstractNumId w:val="1"/>
  </w:num>
  <w:num w:numId="12">
    <w:abstractNumId w:val="6"/>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91CC6"/>
    <w:rsid w:val="00024C57"/>
    <w:rsid w:val="00034DB2"/>
    <w:rsid w:val="00036EF3"/>
    <w:rsid w:val="00050472"/>
    <w:rsid w:val="00055C25"/>
    <w:rsid w:val="00067BD2"/>
    <w:rsid w:val="00097FCD"/>
    <w:rsid w:val="000B2E60"/>
    <w:rsid w:val="00106CEA"/>
    <w:rsid w:val="00111816"/>
    <w:rsid w:val="001165A8"/>
    <w:rsid w:val="001337D8"/>
    <w:rsid w:val="00154F79"/>
    <w:rsid w:val="001566DB"/>
    <w:rsid w:val="001708CB"/>
    <w:rsid w:val="00175B41"/>
    <w:rsid w:val="00186D95"/>
    <w:rsid w:val="001A4E1B"/>
    <w:rsid w:val="001A6649"/>
    <w:rsid w:val="001B1C1B"/>
    <w:rsid w:val="001B69B9"/>
    <w:rsid w:val="001C6364"/>
    <w:rsid w:val="001D2E80"/>
    <w:rsid w:val="001E7362"/>
    <w:rsid w:val="0021126D"/>
    <w:rsid w:val="00212371"/>
    <w:rsid w:val="00236E46"/>
    <w:rsid w:val="00267638"/>
    <w:rsid w:val="002923A7"/>
    <w:rsid w:val="002A6C43"/>
    <w:rsid w:val="002B3586"/>
    <w:rsid w:val="002D1E86"/>
    <w:rsid w:val="002D3594"/>
    <w:rsid w:val="002E6B8F"/>
    <w:rsid w:val="002F3ED9"/>
    <w:rsid w:val="00310094"/>
    <w:rsid w:val="00317109"/>
    <w:rsid w:val="00347AC1"/>
    <w:rsid w:val="003500A0"/>
    <w:rsid w:val="00364084"/>
    <w:rsid w:val="00381A84"/>
    <w:rsid w:val="0039580E"/>
    <w:rsid w:val="003A4216"/>
    <w:rsid w:val="003B184B"/>
    <w:rsid w:val="003B75EC"/>
    <w:rsid w:val="003D0615"/>
    <w:rsid w:val="003E5900"/>
    <w:rsid w:val="00403787"/>
    <w:rsid w:val="0041386E"/>
    <w:rsid w:val="00420246"/>
    <w:rsid w:val="004653EF"/>
    <w:rsid w:val="00471FB2"/>
    <w:rsid w:val="004A083B"/>
    <w:rsid w:val="004A1138"/>
    <w:rsid w:val="004A37E5"/>
    <w:rsid w:val="004A3FCF"/>
    <w:rsid w:val="004D1DB5"/>
    <w:rsid w:val="004D57ED"/>
    <w:rsid w:val="004E1613"/>
    <w:rsid w:val="005050CF"/>
    <w:rsid w:val="00507C9A"/>
    <w:rsid w:val="0051415E"/>
    <w:rsid w:val="0052073F"/>
    <w:rsid w:val="005319DF"/>
    <w:rsid w:val="00533490"/>
    <w:rsid w:val="00537CAC"/>
    <w:rsid w:val="00553074"/>
    <w:rsid w:val="00567222"/>
    <w:rsid w:val="005E23A6"/>
    <w:rsid w:val="00604C76"/>
    <w:rsid w:val="00617919"/>
    <w:rsid w:val="006413F2"/>
    <w:rsid w:val="0064143C"/>
    <w:rsid w:val="00646B9E"/>
    <w:rsid w:val="006518DF"/>
    <w:rsid w:val="00663D1D"/>
    <w:rsid w:val="006724EB"/>
    <w:rsid w:val="006902FE"/>
    <w:rsid w:val="006A4C3B"/>
    <w:rsid w:val="006F6B42"/>
    <w:rsid w:val="007127A1"/>
    <w:rsid w:val="007173A2"/>
    <w:rsid w:val="0072699D"/>
    <w:rsid w:val="007274A7"/>
    <w:rsid w:val="00786318"/>
    <w:rsid w:val="007A2E9D"/>
    <w:rsid w:val="007B22F9"/>
    <w:rsid w:val="007E582A"/>
    <w:rsid w:val="00880AC7"/>
    <w:rsid w:val="008B57F5"/>
    <w:rsid w:val="008E5B7F"/>
    <w:rsid w:val="008F583B"/>
    <w:rsid w:val="00905BB2"/>
    <w:rsid w:val="00906C20"/>
    <w:rsid w:val="00924B0D"/>
    <w:rsid w:val="00927F47"/>
    <w:rsid w:val="009316B3"/>
    <w:rsid w:val="0094461C"/>
    <w:rsid w:val="00945F0B"/>
    <w:rsid w:val="00963905"/>
    <w:rsid w:val="00963944"/>
    <w:rsid w:val="009808D0"/>
    <w:rsid w:val="00993233"/>
    <w:rsid w:val="009A6E6D"/>
    <w:rsid w:val="009B5CE2"/>
    <w:rsid w:val="009C50D3"/>
    <w:rsid w:val="00A02F6D"/>
    <w:rsid w:val="00A0408E"/>
    <w:rsid w:val="00A109C5"/>
    <w:rsid w:val="00A32ED1"/>
    <w:rsid w:val="00A37776"/>
    <w:rsid w:val="00A44C17"/>
    <w:rsid w:val="00A5155C"/>
    <w:rsid w:val="00A56381"/>
    <w:rsid w:val="00A56D80"/>
    <w:rsid w:val="00A93CBF"/>
    <w:rsid w:val="00AB5354"/>
    <w:rsid w:val="00AC2851"/>
    <w:rsid w:val="00AE0F58"/>
    <w:rsid w:val="00AE7D88"/>
    <w:rsid w:val="00B05B1D"/>
    <w:rsid w:val="00B113CB"/>
    <w:rsid w:val="00B353ED"/>
    <w:rsid w:val="00B4189C"/>
    <w:rsid w:val="00B42132"/>
    <w:rsid w:val="00B432E9"/>
    <w:rsid w:val="00B45C19"/>
    <w:rsid w:val="00B7039A"/>
    <w:rsid w:val="00B7193C"/>
    <w:rsid w:val="00B74906"/>
    <w:rsid w:val="00B824DB"/>
    <w:rsid w:val="00B836F9"/>
    <w:rsid w:val="00BA62F6"/>
    <w:rsid w:val="00BB0857"/>
    <w:rsid w:val="00BB4CA3"/>
    <w:rsid w:val="00BC228C"/>
    <w:rsid w:val="00BC36FE"/>
    <w:rsid w:val="00BD2BB8"/>
    <w:rsid w:val="00BD3642"/>
    <w:rsid w:val="00C23B32"/>
    <w:rsid w:val="00C30699"/>
    <w:rsid w:val="00C41EA8"/>
    <w:rsid w:val="00C43753"/>
    <w:rsid w:val="00C46392"/>
    <w:rsid w:val="00C60976"/>
    <w:rsid w:val="00CA1C2E"/>
    <w:rsid w:val="00CB497B"/>
    <w:rsid w:val="00CD5A1C"/>
    <w:rsid w:val="00D04254"/>
    <w:rsid w:val="00D14D79"/>
    <w:rsid w:val="00D1653B"/>
    <w:rsid w:val="00D16992"/>
    <w:rsid w:val="00D3584E"/>
    <w:rsid w:val="00D54ADF"/>
    <w:rsid w:val="00D71A15"/>
    <w:rsid w:val="00DC406D"/>
    <w:rsid w:val="00DD13F8"/>
    <w:rsid w:val="00DD3884"/>
    <w:rsid w:val="00DF43B6"/>
    <w:rsid w:val="00DF6136"/>
    <w:rsid w:val="00E23F7D"/>
    <w:rsid w:val="00E72096"/>
    <w:rsid w:val="00E91CC6"/>
    <w:rsid w:val="00EA685A"/>
    <w:rsid w:val="00EB020B"/>
    <w:rsid w:val="00EB09F5"/>
    <w:rsid w:val="00EB3E1C"/>
    <w:rsid w:val="00EB482B"/>
    <w:rsid w:val="00ED4507"/>
    <w:rsid w:val="00EF208A"/>
    <w:rsid w:val="00EF6B07"/>
    <w:rsid w:val="00F23453"/>
    <w:rsid w:val="00F420C2"/>
    <w:rsid w:val="00F61789"/>
    <w:rsid w:val="00F62B1A"/>
    <w:rsid w:val="00FC524C"/>
    <w:rsid w:val="00FF18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43"/>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154F7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4">
    <w:name w:val="heading 4"/>
    <w:basedOn w:val="Normal"/>
    <w:link w:val="Ttulo4Car"/>
    <w:uiPriority w:val="9"/>
    <w:qFormat/>
    <w:rsid w:val="002F3ED9"/>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2F3ED9"/>
    <w:rPr>
      <w:rFonts w:ascii="Times New Roman" w:eastAsia="Times New Roman" w:hAnsi="Times New Roman" w:cs="Times New Roman"/>
      <w:b/>
      <w:bCs/>
      <w:lang w:eastAsia="es-ES_tradnl"/>
    </w:rPr>
  </w:style>
  <w:style w:type="character" w:styleId="Hipervnculo">
    <w:name w:val="Hyperlink"/>
    <w:basedOn w:val="Fuentedeprrafopredeter"/>
    <w:uiPriority w:val="99"/>
    <w:unhideWhenUsed/>
    <w:rsid w:val="003500A0"/>
    <w:rPr>
      <w:color w:val="0000FF"/>
      <w:u w:val="single"/>
    </w:rPr>
  </w:style>
  <w:style w:type="character" w:customStyle="1" w:styleId="apple-converted-space">
    <w:name w:val="apple-converted-space"/>
    <w:basedOn w:val="Fuentedeprrafopredeter"/>
    <w:rsid w:val="003500A0"/>
  </w:style>
  <w:style w:type="table" w:customStyle="1" w:styleId="PlainTable2">
    <w:name w:val="Plain Table 2"/>
    <w:basedOn w:val="Tablanormal"/>
    <w:uiPriority w:val="42"/>
    <w:rsid w:val="002F3ED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2F3ED9"/>
    <w:pPr>
      <w:ind w:left="720"/>
      <w:contextualSpacing/>
    </w:pPr>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924B0D"/>
    <w:rPr>
      <w:color w:val="954F72" w:themeColor="followedHyperlink"/>
      <w:u w:val="single"/>
    </w:rPr>
  </w:style>
  <w:style w:type="character" w:customStyle="1" w:styleId="UnresolvedMention">
    <w:name w:val="Unresolved Mention"/>
    <w:basedOn w:val="Fuentedeprrafopredeter"/>
    <w:uiPriority w:val="99"/>
    <w:semiHidden/>
    <w:unhideWhenUsed/>
    <w:rsid w:val="00EA685A"/>
    <w:rPr>
      <w:color w:val="605E5C"/>
      <w:shd w:val="clear" w:color="auto" w:fill="E1DFDD"/>
    </w:rPr>
  </w:style>
  <w:style w:type="paragraph" w:styleId="NormalWeb">
    <w:name w:val="Normal (Web)"/>
    <w:basedOn w:val="Normal"/>
    <w:uiPriority w:val="99"/>
    <w:unhideWhenUsed/>
    <w:rsid w:val="001C6364"/>
    <w:pPr>
      <w:spacing w:before="100" w:beforeAutospacing="1" w:after="100" w:afterAutospacing="1"/>
    </w:pPr>
  </w:style>
  <w:style w:type="character" w:styleId="Textodelmarcadordeposicin">
    <w:name w:val="Placeholder Text"/>
    <w:basedOn w:val="Fuentedeprrafopredeter"/>
    <w:uiPriority w:val="99"/>
    <w:semiHidden/>
    <w:rsid w:val="00BD3642"/>
    <w:rPr>
      <w:color w:val="808080"/>
    </w:rPr>
  </w:style>
  <w:style w:type="paragraph" w:styleId="Piedepgina">
    <w:name w:val="footer"/>
    <w:basedOn w:val="Normal"/>
    <w:link w:val="PiedepginaCar"/>
    <w:uiPriority w:val="99"/>
    <w:unhideWhenUsed/>
    <w:rsid w:val="007173A2"/>
    <w:pPr>
      <w:tabs>
        <w:tab w:val="center" w:pos="4419"/>
        <w:tab w:val="right" w:pos="8838"/>
      </w:tabs>
    </w:pPr>
  </w:style>
  <w:style w:type="character" w:customStyle="1" w:styleId="PiedepginaCar">
    <w:name w:val="Pie de página Car"/>
    <w:basedOn w:val="Fuentedeprrafopredeter"/>
    <w:link w:val="Piedepgina"/>
    <w:uiPriority w:val="99"/>
    <w:rsid w:val="007173A2"/>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7173A2"/>
  </w:style>
  <w:style w:type="paragraph" w:styleId="Textodeglobo">
    <w:name w:val="Balloon Text"/>
    <w:basedOn w:val="Normal"/>
    <w:link w:val="TextodegloboCar"/>
    <w:uiPriority w:val="99"/>
    <w:semiHidden/>
    <w:unhideWhenUsed/>
    <w:rsid w:val="009A6E6D"/>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E6D"/>
    <w:rPr>
      <w:rFonts w:ascii="Tahoma" w:eastAsia="Times New Roman" w:hAnsi="Tahoma" w:cs="Tahoma"/>
      <w:sz w:val="16"/>
      <w:szCs w:val="16"/>
      <w:lang w:eastAsia="es-ES_tradnl"/>
    </w:rPr>
  </w:style>
  <w:style w:type="paragraph" w:customStyle="1" w:styleId="titulo">
    <w:name w:val="titulo"/>
    <w:basedOn w:val="Normal"/>
    <w:rsid w:val="00533490"/>
    <w:pPr>
      <w:spacing w:before="100" w:beforeAutospacing="1" w:after="100" w:afterAutospacing="1"/>
    </w:pPr>
    <w:rPr>
      <w:lang w:eastAsia="es-ES"/>
    </w:rPr>
  </w:style>
  <w:style w:type="character" w:customStyle="1" w:styleId="titulo1">
    <w:name w:val="titulo1"/>
    <w:basedOn w:val="Fuentedeprrafopredeter"/>
    <w:rsid w:val="00533490"/>
  </w:style>
  <w:style w:type="paragraph" w:customStyle="1" w:styleId="autores">
    <w:name w:val="autores"/>
    <w:basedOn w:val="Normal"/>
    <w:rsid w:val="00533490"/>
    <w:pPr>
      <w:spacing w:before="100" w:beforeAutospacing="1" w:after="100" w:afterAutospacing="1"/>
    </w:pPr>
    <w:rPr>
      <w:lang w:eastAsia="es-ES"/>
    </w:rPr>
  </w:style>
  <w:style w:type="paragraph" w:customStyle="1" w:styleId="localizacion">
    <w:name w:val="localizacion"/>
    <w:basedOn w:val="Normal"/>
    <w:rsid w:val="00533490"/>
    <w:pPr>
      <w:spacing w:before="100" w:beforeAutospacing="1" w:after="100" w:afterAutospacing="1"/>
    </w:pPr>
    <w:rPr>
      <w:lang w:eastAsia="es-ES"/>
    </w:rPr>
  </w:style>
  <w:style w:type="character" w:styleId="AcrnimoHTML">
    <w:name w:val="HTML Acronym"/>
    <w:basedOn w:val="Fuentedeprrafopredeter"/>
    <w:uiPriority w:val="99"/>
    <w:semiHidden/>
    <w:unhideWhenUsed/>
    <w:rsid w:val="00533490"/>
  </w:style>
  <w:style w:type="character" w:customStyle="1" w:styleId="separador">
    <w:name w:val="separador"/>
    <w:basedOn w:val="Fuentedeprrafopredeter"/>
    <w:rsid w:val="00533490"/>
  </w:style>
  <w:style w:type="character" w:customStyle="1" w:styleId="subtitulo">
    <w:name w:val="subtitulo"/>
    <w:basedOn w:val="Fuentedeprrafopredeter"/>
    <w:rsid w:val="00533490"/>
  </w:style>
  <w:style w:type="character" w:styleId="Textoennegrita">
    <w:name w:val="Strong"/>
    <w:basedOn w:val="Fuentedeprrafopredeter"/>
    <w:uiPriority w:val="22"/>
    <w:qFormat/>
    <w:rsid w:val="00786318"/>
    <w:rPr>
      <w:b/>
      <w:bCs/>
    </w:rPr>
  </w:style>
  <w:style w:type="paragraph" w:styleId="HTMLconformatoprevio">
    <w:name w:val="HTML Preformatted"/>
    <w:basedOn w:val="Normal"/>
    <w:link w:val="HTMLconformatoprevioCar"/>
    <w:uiPriority w:val="99"/>
    <w:semiHidden/>
    <w:unhideWhenUsed/>
    <w:rsid w:val="00BD2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D2BB8"/>
    <w:rPr>
      <w:rFonts w:ascii="Courier New" w:eastAsia="Times New Roman" w:hAnsi="Courier New" w:cs="Courier New"/>
      <w:sz w:val="20"/>
      <w:szCs w:val="20"/>
      <w:lang w:eastAsia="es-ES"/>
    </w:rPr>
  </w:style>
  <w:style w:type="paragraph" w:styleId="Encabezado">
    <w:name w:val="header"/>
    <w:basedOn w:val="Normal"/>
    <w:link w:val="EncabezadoCar"/>
    <w:uiPriority w:val="99"/>
    <w:semiHidden/>
    <w:unhideWhenUsed/>
    <w:rsid w:val="00A56D80"/>
    <w:pPr>
      <w:tabs>
        <w:tab w:val="center" w:pos="4252"/>
        <w:tab w:val="right" w:pos="8504"/>
      </w:tabs>
    </w:pPr>
  </w:style>
  <w:style w:type="character" w:customStyle="1" w:styleId="EncabezadoCar">
    <w:name w:val="Encabezado Car"/>
    <w:basedOn w:val="Fuentedeprrafopredeter"/>
    <w:link w:val="Encabezado"/>
    <w:uiPriority w:val="99"/>
    <w:semiHidden/>
    <w:rsid w:val="00A56D80"/>
    <w:rPr>
      <w:rFonts w:ascii="Times New Roman" w:eastAsia="Times New Roman" w:hAnsi="Times New Roman" w:cs="Times New Roman"/>
      <w:lang w:eastAsia="es-ES_tradnl"/>
    </w:rPr>
  </w:style>
  <w:style w:type="character" w:customStyle="1" w:styleId="Ttulo1Car">
    <w:name w:val="Título 1 Car"/>
    <w:basedOn w:val="Fuentedeprrafopredeter"/>
    <w:link w:val="Ttulo1"/>
    <w:uiPriority w:val="9"/>
    <w:rsid w:val="00154F79"/>
    <w:rPr>
      <w:rFonts w:asciiTheme="majorHAnsi" w:eastAsiaTheme="majorEastAsia" w:hAnsiTheme="majorHAnsi" w:cstheme="majorBidi"/>
      <w:b/>
      <w:bCs/>
      <w:color w:val="2F5496" w:themeColor="accent1" w:themeShade="BF"/>
      <w:sz w:val="28"/>
      <w:szCs w:val="28"/>
      <w:lang w:eastAsia="es-ES_tradnl"/>
    </w:rPr>
  </w:style>
  <w:style w:type="character" w:customStyle="1" w:styleId="publicationcontentepubdate">
    <w:name w:val="publicationcontentepubdate"/>
    <w:basedOn w:val="Fuentedeprrafopredeter"/>
    <w:rsid w:val="00BA62F6"/>
  </w:style>
  <w:style w:type="character" w:customStyle="1" w:styleId="articletype">
    <w:name w:val="articletype"/>
    <w:basedOn w:val="Fuentedeprrafopredeter"/>
    <w:rsid w:val="00BA62F6"/>
  </w:style>
  <w:style w:type="character" w:styleId="nfasis">
    <w:name w:val="Emphasis"/>
    <w:basedOn w:val="Fuentedeprrafopredeter"/>
    <w:uiPriority w:val="20"/>
    <w:qFormat/>
    <w:rsid w:val="001337D8"/>
    <w:rPr>
      <w:i/>
      <w:iCs/>
    </w:rPr>
  </w:style>
</w:styles>
</file>

<file path=word/webSettings.xml><?xml version="1.0" encoding="utf-8"?>
<w:webSettings xmlns:r="http://schemas.openxmlformats.org/officeDocument/2006/relationships" xmlns:w="http://schemas.openxmlformats.org/wordprocessingml/2006/main">
  <w:divs>
    <w:div w:id="84813504">
      <w:bodyDiv w:val="1"/>
      <w:marLeft w:val="0"/>
      <w:marRight w:val="0"/>
      <w:marTop w:val="0"/>
      <w:marBottom w:val="0"/>
      <w:divBdr>
        <w:top w:val="none" w:sz="0" w:space="0" w:color="auto"/>
        <w:left w:val="none" w:sz="0" w:space="0" w:color="auto"/>
        <w:bottom w:val="none" w:sz="0" w:space="0" w:color="auto"/>
        <w:right w:val="none" w:sz="0" w:space="0" w:color="auto"/>
      </w:divBdr>
    </w:div>
    <w:div w:id="134833223">
      <w:bodyDiv w:val="1"/>
      <w:marLeft w:val="0"/>
      <w:marRight w:val="0"/>
      <w:marTop w:val="0"/>
      <w:marBottom w:val="0"/>
      <w:divBdr>
        <w:top w:val="none" w:sz="0" w:space="0" w:color="auto"/>
        <w:left w:val="none" w:sz="0" w:space="0" w:color="auto"/>
        <w:bottom w:val="none" w:sz="0" w:space="0" w:color="auto"/>
        <w:right w:val="none" w:sz="0" w:space="0" w:color="auto"/>
      </w:divBdr>
    </w:div>
    <w:div w:id="183441045">
      <w:bodyDiv w:val="1"/>
      <w:marLeft w:val="0"/>
      <w:marRight w:val="0"/>
      <w:marTop w:val="0"/>
      <w:marBottom w:val="0"/>
      <w:divBdr>
        <w:top w:val="none" w:sz="0" w:space="0" w:color="auto"/>
        <w:left w:val="none" w:sz="0" w:space="0" w:color="auto"/>
        <w:bottom w:val="none" w:sz="0" w:space="0" w:color="auto"/>
        <w:right w:val="none" w:sz="0" w:space="0" w:color="auto"/>
      </w:divBdr>
    </w:div>
    <w:div w:id="225186938">
      <w:bodyDiv w:val="1"/>
      <w:marLeft w:val="0"/>
      <w:marRight w:val="0"/>
      <w:marTop w:val="0"/>
      <w:marBottom w:val="0"/>
      <w:divBdr>
        <w:top w:val="none" w:sz="0" w:space="0" w:color="auto"/>
        <w:left w:val="none" w:sz="0" w:space="0" w:color="auto"/>
        <w:bottom w:val="none" w:sz="0" w:space="0" w:color="auto"/>
        <w:right w:val="none" w:sz="0" w:space="0" w:color="auto"/>
      </w:divBdr>
    </w:div>
    <w:div w:id="244733423">
      <w:bodyDiv w:val="1"/>
      <w:marLeft w:val="0"/>
      <w:marRight w:val="0"/>
      <w:marTop w:val="0"/>
      <w:marBottom w:val="0"/>
      <w:divBdr>
        <w:top w:val="none" w:sz="0" w:space="0" w:color="auto"/>
        <w:left w:val="none" w:sz="0" w:space="0" w:color="auto"/>
        <w:bottom w:val="none" w:sz="0" w:space="0" w:color="auto"/>
        <w:right w:val="none" w:sz="0" w:space="0" w:color="auto"/>
      </w:divBdr>
      <w:divsChild>
        <w:div w:id="935867692">
          <w:marLeft w:val="0"/>
          <w:marRight w:val="0"/>
          <w:marTop w:val="0"/>
          <w:marBottom w:val="0"/>
          <w:divBdr>
            <w:top w:val="none" w:sz="0" w:space="0" w:color="auto"/>
            <w:left w:val="none" w:sz="0" w:space="0" w:color="auto"/>
            <w:bottom w:val="none" w:sz="0" w:space="0" w:color="auto"/>
            <w:right w:val="none" w:sz="0" w:space="0" w:color="auto"/>
          </w:divBdr>
        </w:div>
        <w:div w:id="1904484098">
          <w:marLeft w:val="0"/>
          <w:marRight w:val="0"/>
          <w:marTop w:val="0"/>
          <w:marBottom w:val="0"/>
          <w:divBdr>
            <w:top w:val="none" w:sz="0" w:space="0" w:color="auto"/>
            <w:left w:val="none" w:sz="0" w:space="0" w:color="auto"/>
            <w:bottom w:val="none" w:sz="0" w:space="0" w:color="auto"/>
            <w:right w:val="none" w:sz="0" w:space="0" w:color="auto"/>
          </w:divBdr>
        </w:div>
      </w:divsChild>
    </w:div>
    <w:div w:id="408308301">
      <w:bodyDiv w:val="1"/>
      <w:marLeft w:val="0"/>
      <w:marRight w:val="0"/>
      <w:marTop w:val="0"/>
      <w:marBottom w:val="0"/>
      <w:divBdr>
        <w:top w:val="none" w:sz="0" w:space="0" w:color="auto"/>
        <w:left w:val="none" w:sz="0" w:space="0" w:color="auto"/>
        <w:bottom w:val="none" w:sz="0" w:space="0" w:color="auto"/>
        <w:right w:val="none" w:sz="0" w:space="0" w:color="auto"/>
      </w:divBdr>
    </w:div>
    <w:div w:id="486671449">
      <w:bodyDiv w:val="1"/>
      <w:marLeft w:val="0"/>
      <w:marRight w:val="0"/>
      <w:marTop w:val="0"/>
      <w:marBottom w:val="0"/>
      <w:divBdr>
        <w:top w:val="none" w:sz="0" w:space="0" w:color="auto"/>
        <w:left w:val="none" w:sz="0" w:space="0" w:color="auto"/>
        <w:bottom w:val="none" w:sz="0" w:space="0" w:color="auto"/>
        <w:right w:val="none" w:sz="0" w:space="0" w:color="auto"/>
      </w:divBdr>
      <w:divsChild>
        <w:div w:id="487746618">
          <w:marLeft w:val="0"/>
          <w:marRight w:val="0"/>
          <w:marTop w:val="33"/>
          <w:marBottom w:val="115"/>
          <w:divBdr>
            <w:top w:val="none" w:sz="0" w:space="0" w:color="auto"/>
            <w:left w:val="none" w:sz="0" w:space="0" w:color="auto"/>
            <w:bottom w:val="none" w:sz="0" w:space="0" w:color="auto"/>
            <w:right w:val="none" w:sz="0" w:space="0" w:color="auto"/>
          </w:divBdr>
          <w:divsChild>
            <w:div w:id="1218056751">
              <w:marLeft w:val="0"/>
              <w:marRight w:val="0"/>
              <w:marTop w:val="0"/>
              <w:marBottom w:val="0"/>
              <w:divBdr>
                <w:top w:val="none" w:sz="0" w:space="0" w:color="auto"/>
                <w:left w:val="none" w:sz="0" w:space="0" w:color="auto"/>
                <w:bottom w:val="none" w:sz="0" w:space="0" w:color="auto"/>
                <w:right w:val="none" w:sz="0" w:space="0" w:color="auto"/>
              </w:divBdr>
              <w:divsChild>
                <w:div w:id="206571626">
                  <w:marLeft w:val="0"/>
                  <w:marRight w:val="0"/>
                  <w:marTop w:val="0"/>
                  <w:marBottom w:val="0"/>
                  <w:divBdr>
                    <w:top w:val="none" w:sz="0" w:space="0" w:color="auto"/>
                    <w:left w:val="none" w:sz="0" w:space="0" w:color="auto"/>
                    <w:bottom w:val="none" w:sz="0" w:space="0" w:color="auto"/>
                    <w:right w:val="none" w:sz="0" w:space="0" w:color="auto"/>
                  </w:divBdr>
                  <w:divsChild>
                    <w:div w:id="1820610723">
                      <w:marLeft w:val="0"/>
                      <w:marRight w:val="0"/>
                      <w:marTop w:val="0"/>
                      <w:marBottom w:val="0"/>
                      <w:divBdr>
                        <w:top w:val="none" w:sz="0" w:space="0" w:color="auto"/>
                        <w:left w:val="none" w:sz="0" w:space="0" w:color="auto"/>
                        <w:bottom w:val="none" w:sz="0" w:space="0" w:color="auto"/>
                        <w:right w:val="none" w:sz="0" w:space="0" w:color="auto"/>
                      </w:divBdr>
                      <w:divsChild>
                        <w:div w:id="2004506413">
                          <w:marLeft w:val="0"/>
                          <w:marRight w:val="0"/>
                          <w:marTop w:val="3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246703">
      <w:bodyDiv w:val="1"/>
      <w:marLeft w:val="0"/>
      <w:marRight w:val="0"/>
      <w:marTop w:val="0"/>
      <w:marBottom w:val="0"/>
      <w:divBdr>
        <w:top w:val="none" w:sz="0" w:space="0" w:color="auto"/>
        <w:left w:val="none" w:sz="0" w:space="0" w:color="auto"/>
        <w:bottom w:val="none" w:sz="0" w:space="0" w:color="auto"/>
        <w:right w:val="none" w:sz="0" w:space="0" w:color="auto"/>
      </w:divBdr>
      <w:divsChild>
        <w:div w:id="1025982872">
          <w:marLeft w:val="0"/>
          <w:marRight w:val="0"/>
          <w:marTop w:val="0"/>
          <w:marBottom w:val="0"/>
          <w:divBdr>
            <w:top w:val="none" w:sz="0" w:space="0" w:color="auto"/>
            <w:left w:val="none" w:sz="0" w:space="0" w:color="auto"/>
            <w:bottom w:val="none" w:sz="0" w:space="0" w:color="auto"/>
            <w:right w:val="none" w:sz="0" w:space="0" w:color="auto"/>
          </w:divBdr>
        </w:div>
        <w:div w:id="1948417874">
          <w:marLeft w:val="0"/>
          <w:marRight w:val="0"/>
          <w:marTop w:val="0"/>
          <w:marBottom w:val="0"/>
          <w:divBdr>
            <w:top w:val="none" w:sz="0" w:space="0" w:color="auto"/>
            <w:left w:val="none" w:sz="0" w:space="0" w:color="auto"/>
            <w:bottom w:val="none" w:sz="0" w:space="0" w:color="auto"/>
            <w:right w:val="none" w:sz="0" w:space="0" w:color="auto"/>
          </w:divBdr>
        </w:div>
        <w:div w:id="456220774">
          <w:marLeft w:val="0"/>
          <w:marRight w:val="0"/>
          <w:marTop w:val="0"/>
          <w:marBottom w:val="0"/>
          <w:divBdr>
            <w:top w:val="none" w:sz="0" w:space="0" w:color="auto"/>
            <w:left w:val="none" w:sz="0" w:space="0" w:color="auto"/>
            <w:bottom w:val="none" w:sz="0" w:space="0" w:color="auto"/>
            <w:right w:val="none" w:sz="0" w:space="0" w:color="auto"/>
          </w:divBdr>
        </w:div>
        <w:div w:id="1244295385">
          <w:marLeft w:val="0"/>
          <w:marRight w:val="0"/>
          <w:marTop w:val="0"/>
          <w:marBottom w:val="0"/>
          <w:divBdr>
            <w:top w:val="none" w:sz="0" w:space="0" w:color="auto"/>
            <w:left w:val="none" w:sz="0" w:space="0" w:color="auto"/>
            <w:bottom w:val="none" w:sz="0" w:space="0" w:color="auto"/>
            <w:right w:val="none" w:sz="0" w:space="0" w:color="auto"/>
          </w:divBdr>
        </w:div>
        <w:div w:id="1594511260">
          <w:marLeft w:val="0"/>
          <w:marRight w:val="0"/>
          <w:marTop w:val="0"/>
          <w:marBottom w:val="0"/>
          <w:divBdr>
            <w:top w:val="none" w:sz="0" w:space="0" w:color="auto"/>
            <w:left w:val="none" w:sz="0" w:space="0" w:color="auto"/>
            <w:bottom w:val="none" w:sz="0" w:space="0" w:color="auto"/>
            <w:right w:val="none" w:sz="0" w:space="0" w:color="auto"/>
          </w:divBdr>
        </w:div>
        <w:div w:id="706561008">
          <w:marLeft w:val="0"/>
          <w:marRight w:val="0"/>
          <w:marTop w:val="0"/>
          <w:marBottom w:val="0"/>
          <w:divBdr>
            <w:top w:val="none" w:sz="0" w:space="0" w:color="auto"/>
            <w:left w:val="none" w:sz="0" w:space="0" w:color="auto"/>
            <w:bottom w:val="none" w:sz="0" w:space="0" w:color="auto"/>
            <w:right w:val="none" w:sz="0" w:space="0" w:color="auto"/>
          </w:divBdr>
        </w:div>
        <w:div w:id="1615401050">
          <w:marLeft w:val="0"/>
          <w:marRight w:val="0"/>
          <w:marTop w:val="0"/>
          <w:marBottom w:val="0"/>
          <w:divBdr>
            <w:top w:val="none" w:sz="0" w:space="0" w:color="auto"/>
            <w:left w:val="none" w:sz="0" w:space="0" w:color="auto"/>
            <w:bottom w:val="none" w:sz="0" w:space="0" w:color="auto"/>
            <w:right w:val="none" w:sz="0" w:space="0" w:color="auto"/>
          </w:divBdr>
        </w:div>
        <w:div w:id="1621062577">
          <w:marLeft w:val="0"/>
          <w:marRight w:val="0"/>
          <w:marTop w:val="0"/>
          <w:marBottom w:val="0"/>
          <w:divBdr>
            <w:top w:val="none" w:sz="0" w:space="0" w:color="auto"/>
            <w:left w:val="none" w:sz="0" w:space="0" w:color="auto"/>
            <w:bottom w:val="none" w:sz="0" w:space="0" w:color="auto"/>
            <w:right w:val="none" w:sz="0" w:space="0" w:color="auto"/>
          </w:divBdr>
        </w:div>
        <w:div w:id="114257831">
          <w:marLeft w:val="0"/>
          <w:marRight w:val="0"/>
          <w:marTop w:val="0"/>
          <w:marBottom w:val="0"/>
          <w:divBdr>
            <w:top w:val="none" w:sz="0" w:space="0" w:color="auto"/>
            <w:left w:val="none" w:sz="0" w:space="0" w:color="auto"/>
            <w:bottom w:val="none" w:sz="0" w:space="0" w:color="auto"/>
            <w:right w:val="none" w:sz="0" w:space="0" w:color="auto"/>
          </w:divBdr>
        </w:div>
        <w:div w:id="1893538615">
          <w:marLeft w:val="0"/>
          <w:marRight w:val="0"/>
          <w:marTop w:val="0"/>
          <w:marBottom w:val="0"/>
          <w:divBdr>
            <w:top w:val="none" w:sz="0" w:space="0" w:color="auto"/>
            <w:left w:val="none" w:sz="0" w:space="0" w:color="auto"/>
            <w:bottom w:val="none" w:sz="0" w:space="0" w:color="auto"/>
            <w:right w:val="none" w:sz="0" w:space="0" w:color="auto"/>
          </w:divBdr>
        </w:div>
        <w:div w:id="704840094">
          <w:marLeft w:val="0"/>
          <w:marRight w:val="0"/>
          <w:marTop w:val="0"/>
          <w:marBottom w:val="0"/>
          <w:divBdr>
            <w:top w:val="none" w:sz="0" w:space="0" w:color="auto"/>
            <w:left w:val="none" w:sz="0" w:space="0" w:color="auto"/>
            <w:bottom w:val="none" w:sz="0" w:space="0" w:color="auto"/>
            <w:right w:val="none" w:sz="0" w:space="0" w:color="auto"/>
          </w:divBdr>
        </w:div>
      </w:divsChild>
    </w:div>
    <w:div w:id="597762371">
      <w:bodyDiv w:val="1"/>
      <w:marLeft w:val="0"/>
      <w:marRight w:val="0"/>
      <w:marTop w:val="0"/>
      <w:marBottom w:val="0"/>
      <w:divBdr>
        <w:top w:val="none" w:sz="0" w:space="0" w:color="auto"/>
        <w:left w:val="none" w:sz="0" w:space="0" w:color="auto"/>
        <w:bottom w:val="none" w:sz="0" w:space="0" w:color="auto"/>
        <w:right w:val="none" w:sz="0" w:space="0" w:color="auto"/>
      </w:divBdr>
    </w:div>
    <w:div w:id="748582298">
      <w:bodyDiv w:val="1"/>
      <w:marLeft w:val="0"/>
      <w:marRight w:val="0"/>
      <w:marTop w:val="0"/>
      <w:marBottom w:val="0"/>
      <w:divBdr>
        <w:top w:val="none" w:sz="0" w:space="0" w:color="auto"/>
        <w:left w:val="none" w:sz="0" w:space="0" w:color="auto"/>
        <w:bottom w:val="none" w:sz="0" w:space="0" w:color="auto"/>
        <w:right w:val="none" w:sz="0" w:space="0" w:color="auto"/>
      </w:divBdr>
    </w:div>
    <w:div w:id="897860819">
      <w:bodyDiv w:val="1"/>
      <w:marLeft w:val="0"/>
      <w:marRight w:val="0"/>
      <w:marTop w:val="0"/>
      <w:marBottom w:val="0"/>
      <w:divBdr>
        <w:top w:val="none" w:sz="0" w:space="0" w:color="auto"/>
        <w:left w:val="none" w:sz="0" w:space="0" w:color="auto"/>
        <w:bottom w:val="none" w:sz="0" w:space="0" w:color="auto"/>
        <w:right w:val="none" w:sz="0" w:space="0" w:color="auto"/>
      </w:divBdr>
    </w:div>
    <w:div w:id="946228495">
      <w:bodyDiv w:val="1"/>
      <w:marLeft w:val="0"/>
      <w:marRight w:val="0"/>
      <w:marTop w:val="0"/>
      <w:marBottom w:val="0"/>
      <w:divBdr>
        <w:top w:val="none" w:sz="0" w:space="0" w:color="auto"/>
        <w:left w:val="none" w:sz="0" w:space="0" w:color="auto"/>
        <w:bottom w:val="none" w:sz="0" w:space="0" w:color="auto"/>
        <w:right w:val="none" w:sz="0" w:space="0" w:color="auto"/>
      </w:divBdr>
      <w:divsChild>
        <w:div w:id="1671837212">
          <w:marLeft w:val="0"/>
          <w:marRight w:val="0"/>
          <w:marTop w:val="0"/>
          <w:marBottom w:val="0"/>
          <w:divBdr>
            <w:top w:val="none" w:sz="0" w:space="0" w:color="auto"/>
            <w:left w:val="none" w:sz="0" w:space="0" w:color="auto"/>
            <w:bottom w:val="none" w:sz="0" w:space="0" w:color="auto"/>
            <w:right w:val="none" w:sz="0" w:space="0" w:color="auto"/>
          </w:divBdr>
        </w:div>
        <w:div w:id="1570265541">
          <w:marLeft w:val="0"/>
          <w:marRight w:val="0"/>
          <w:marTop w:val="0"/>
          <w:marBottom w:val="0"/>
          <w:divBdr>
            <w:top w:val="none" w:sz="0" w:space="0" w:color="auto"/>
            <w:left w:val="none" w:sz="0" w:space="0" w:color="auto"/>
            <w:bottom w:val="none" w:sz="0" w:space="0" w:color="auto"/>
            <w:right w:val="none" w:sz="0" w:space="0" w:color="auto"/>
          </w:divBdr>
        </w:div>
        <w:div w:id="1985116867">
          <w:marLeft w:val="0"/>
          <w:marRight w:val="0"/>
          <w:marTop w:val="0"/>
          <w:marBottom w:val="0"/>
          <w:divBdr>
            <w:top w:val="none" w:sz="0" w:space="0" w:color="auto"/>
            <w:left w:val="none" w:sz="0" w:space="0" w:color="auto"/>
            <w:bottom w:val="none" w:sz="0" w:space="0" w:color="auto"/>
            <w:right w:val="none" w:sz="0" w:space="0" w:color="auto"/>
          </w:divBdr>
        </w:div>
        <w:div w:id="1065374310">
          <w:marLeft w:val="0"/>
          <w:marRight w:val="0"/>
          <w:marTop w:val="0"/>
          <w:marBottom w:val="0"/>
          <w:divBdr>
            <w:top w:val="none" w:sz="0" w:space="0" w:color="auto"/>
            <w:left w:val="none" w:sz="0" w:space="0" w:color="auto"/>
            <w:bottom w:val="none" w:sz="0" w:space="0" w:color="auto"/>
            <w:right w:val="none" w:sz="0" w:space="0" w:color="auto"/>
          </w:divBdr>
        </w:div>
        <w:div w:id="956981513">
          <w:marLeft w:val="0"/>
          <w:marRight w:val="0"/>
          <w:marTop w:val="0"/>
          <w:marBottom w:val="0"/>
          <w:divBdr>
            <w:top w:val="none" w:sz="0" w:space="0" w:color="auto"/>
            <w:left w:val="none" w:sz="0" w:space="0" w:color="auto"/>
            <w:bottom w:val="none" w:sz="0" w:space="0" w:color="auto"/>
            <w:right w:val="none" w:sz="0" w:space="0" w:color="auto"/>
          </w:divBdr>
        </w:div>
        <w:div w:id="760687248">
          <w:marLeft w:val="0"/>
          <w:marRight w:val="0"/>
          <w:marTop w:val="0"/>
          <w:marBottom w:val="0"/>
          <w:divBdr>
            <w:top w:val="none" w:sz="0" w:space="0" w:color="auto"/>
            <w:left w:val="none" w:sz="0" w:space="0" w:color="auto"/>
            <w:bottom w:val="none" w:sz="0" w:space="0" w:color="auto"/>
            <w:right w:val="none" w:sz="0" w:space="0" w:color="auto"/>
          </w:divBdr>
        </w:div>
        <w:div w:id="2067097232">
          <w:marLeft w:val="0"/>
          <w:marRight w:val="0"/>
          <w:marTop w:val="0"/>
          <w:marBottom w:val="0"/>
          <w:divBdr>
            <w:top w:val="none" w:sz="0" w:space="0" w:color="auto"/>
            <w:left w:val="none" w:sz="0" w:space="0" w:color="auto"/>
            <w:bottom w:val="none" w:sz="0" w:space="0" w:color="auto"/>
            <w:right w:val="none" w:sz="0" w:space="0" w:color="auto"/>
          </w:divBdr>
        </w:div>
        <w:div w:id="1533614480">
          <w:marLeft w:val="0"/>
          <w:marRight w:val="0"/>
          <w:marTop w:val="0"/>
          <w:marBottom w:val="0"/>
          <w:divBdr>
            <w:top w:val="none" w:sz="0" w:space="0" w:color="auto"/>
            <w:left w:val="none" w:sz="0" w:space="0" w:color="auto"/>
            <w:bottom w:val="none" w:sz="0" w:space="0" w:color="auto"/>
            <w:right w:val="none" w:sz="0" w:space="0" w:color="auto"/>
          </w:divBdr>
        </w:div>
        <w:div w:id="1272936288">
          <w:marLeft w:val="0"/>
          <w:marRight w:val="0"/>
          <w:marTop w:val="0"/>
          <w:marBottom w:val="0"/>
          <w:divBdr>
            <w:top w:val="none" w:sz="0" w:space="0" w:color="auto"/>
            <w:left w:val="none" w:sz="0" w:space="0" w:color="auto"/>
            <w:bottom w:val="none" w:sz="0" w:space="0" w:color="auto"/>
            <w:right w:val="none" w:sz="0" w:space="0" w:color="auto"/>
          </w:divBdr>
        </w:div>
      </w:divsChild>
    </w:div>
    <w:div w:id="1342708137">
      <w:bodyDiv w:val="1"/>
      <w:marLeft w:val="0"/>
      <w:marRight w:val="0"/>
      <w:marTop w:val="0"/>
      <w:marBottom w:val="0"/>
      <w:divBdr>
        <w:top w:val="none" w:sz="0" w:space="0" w:color="auto"/>
        <w:left w:val="none" w:sz="0" w:space="0" w:color="auto"/>
        <w:bottom w:val="none" w:sz="0" w:space="0" w:color="auto"/>
        <w:right w:val="none" w:sz="0" w:space="0" w:color="auto"/>
      </w:divBdr>
    </w:div>
    <w:div w:id="1398672933">
      <w:bodyDiv w:val="1"/>
      <w:marLeft w:val="0"/>
      <w:marRight w:val="0"/>
      <w:marTop w:val="0"/>
      <w:marBottom w:val="0"/>
      <w:divBdr>
        <w:top w:val="none" w:sz="0" w:space="0" w:color="auto"/>
        <w:left w:val="none" w:sz="0" w:space="0" w:color="auto"/>
        <w:bottom w:val="none" w:sz="0" w:space="0" w:color="auto"/>
        <w:right w:val="none" w:sz="0" w:space="0" w:color="auto"/>
      </w:divBdr>
    </w:div>
    <w:div w:id="1410611632">
      <w:bodyDiv w:val="1"/>
      <w:marLeft w:val="0"/>
      <w:marRight w:val="0"/>
      <w:marTop w:val="0"/>
      <w:marBottom w:val="0"/>
      <w:divBdr>
        <w:top w:val="none" w:sz="0" w:space="0" w:color="auto"/>
        <w:left w:val="none" w:sz="0" w:space="0" w:color="auto"/>
        <w:bottom w:val="none" w:sz="0" w:space="0" w:color="auto"/>
        <w:right w:val="none" w:sz="0" w:space="0" w:color="auto"/>
      </w:divBdr>
    </w:div>
    <w:div w:id="1539246576">
      <w:bodyDiv w:val="1"/>
      <w:marLeft w:val="0"/>
      <w:marRight w:val="0"/>
      <w:marTop w:val="0"/>
      <w:marBottom w:val="0"/>
      <w:divBdr>
        <w:top w:val="none" w:sz="0" w:space="0" w:color="auto"/>
        <w:left w:val="none" w:sz="0" w:space="0" w:color="auto"/>
        <w:bottom w:val="none" w:sz="0" w:space="0" w:color="auto"/>
        <w:right w:val="none" w:sz="0" w:space="0" w:color="auto"/>
      </w:divBdr>
    </w:div>
    <w:div w:id="1744915483">
      <w:bodyDiv w:val="1"/>
      <w:marLeft w:val="0"/>
      <w:marRight w:val="0"/>
      <w:marTop w:val="0"/>
      <w:marBottom w:val="0"/>
      <w:divBdr>
        <w:top w:val="none" w:sz="0" w:space="0" w:color="auto"/>
        <w:left w:val="none" w:sz="0" w:space="0" w:color="auto"/>
        <w:bottom w:val="none" w:sz="0" w:space="0" w:color="auto"/>
        <w:right w:val="none" w:sz="0" w:space="0" w:color="auto"/>
      </w:divBdr>
      <w:divsChild>
        <w:div w:id="387342642">
          <w:marLeft w:val="0"/>
          <w:marRight w:val="0"/>
          <w:marTop w:val="0"/>
          <w:marBottom w:val="0"/>
          <w:divBdr>
            <w:top w:val="none" w:sz="0" w:space="0" w:color="auto"/>
            <w:left w:val="none" w:sz="0" w:space="0" w:color="auto"/>
            <w:bottom w:val="none" w:sz="0" w:space="0" w:color="auto"/>
            <w:right w:val="none" w:sz="0" w:space="0" w:color="auto"/>
          </w:divBdr>
        </w:div>
        <w:div w:id="1901286612">
          <w:marLeft w:val="0"/>
          <w:marRight w:val="0"/>
          <w:marTop w:val="0"/>
          <w:marBottom w:val="0"/>
          <w:divBdr>
            <w:top w:val="none" w:sz="0" w:space="0" w:color="auto"/>
            <w:left w:val="none" w:sz="0" w:space="0" w:color="auto"/>
            <w:bottom w:val="none" w:sz="0" w:space="0" w:color="auto"/>
            <w:right w:val="none" w:sz="0" w:space="0" w:color="auto"/>
          </w:divBdr>
        </w:div>
      </w:divsChild>
    </w:div>
    <w:div w:id="1748458217">
      <w:bodyDiv w:val="1"/>
      <w:marLeft w:val="0"/>
      <w:marRight w:val="0"/>
      <w:marTop w:val="0"/>
      <w:marBottom w:val="0"/>
      <w:divBdr>
        <w:top w:val="none" w:sz="0" w:space="0" w:color="auto"/>
        <w:left w:val="none" w:sz="0" w:space="0" w:color="auto"/>
        <w:bottom w:val="none" w:sz="0" w:space="0" w:color="auto"/>
        <w:right w:val="none" w:sz="0" w:space="0" w:color="auto"/>
      </w:divBdr>
    </w:div>
    <w:div w:id="2064329899">
      <w:bodyDiv w:val="1"/>
      <w:marLeft w:val="0"/>
      <w:marRight w:val="0"/>
      <w:marTop w:val="0"/>
      <w:marBottom w:val="0"/>
      <w:divBdr>
        <w:top w:val="none" w:sz="0" w:space="0" w:color="auto"/>
        <w:left w:val="none" w:sz="0" w:space="0" w:color="auto"/>
        <w:bottom w:val="none" w:sz="0" w:space="0" w:color="auto"/>
        <w:right w:val="none" w:sz="0" w:space="0" w:color="auto"/>
      </w:divBdr>
    </w:div>
    <w:div w:id="209724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36/20.3008.01.88" TargetMode="External"/><Relationship Id="rId13" Type="http://schemas.openxmlformats.org/officeDocument/2006/relationships/hyperlink" Target="https://doi.org/10.2501/S0265048710201233" TargetMode="External"/><Relationship Id="rId18" Type="http://schemas.openxmlformats.org/officeDocument/2006/relationships/hyperlink" Target="http://doi.org/10.21134/rpcna.2018.05.2.4" TargetMode="External"/><Relationship Id="rId3" Type="http://schemas.openxmlformats.org/officeDocument/2006/relationships/styles" Target="styles.xml"/><Relationship Id="rId21" Type="http://schemas.openxmlformats.org/officeDocument/2006/relationships/hyperlink" Target="https://doi.org/10.5944/educxx1.21469" TargetMode="External"/><Relationship Id="rId7" Type="http://schemas.openxmlformats.org/officeDocument/2006/relationships/endnotes" Target="endnotes.xml"/><Relationship Id="rId12" Type="http://schemas.openxmlformats.org/officeDocument/2006/relationships/hyperlink" Target="https://doi.org/10.7334/psicothema2015.56" TargetMode="External"/><Relationship Id="rId17" Type="http://schemas.openxmlformats.org/officeDocument/2006/relationships/hyperlink" Target="http://doi.org/10.3145/epi.2010.jul.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145/epi.2019.ene.07" TargetMode="External"/><Relationship Id="rId20" Type="http://schemas.openxmlformats.org/officeDocument/2006/relationships/hyperlink" Target="http://doi.org/10.3145/epi.2016.may.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8911762.2017.137636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916/C41-2013-19" TargetMode="External"/><Relationship Id="rId23" Type="http://schemas.openxmlformats.org/officeDocument/2006/relationships/footer" Target="footer2.xml"/><Relationship Id="rId10" Type="http://schemas.openxmlformats.org/officeDocument/2006/relationships/hyperlink" Target="https://dx.doi.org/10.6018/analesps.31.1.158241" TargetMode="External"/><Relationship Id="rId19" Type="http://schemas.openxmlformats.org/officeDocument/2006/relationships/hyperlink" Target="https://doi.org/10.1177%2F014616727900500209" TargetMode="External"/><Relationship Id="rId4" Type="http://schemas.openxmlformats.org/officeDocument/2006/relationships/settings" Target="settings.xml"/><Relationship Id="rId9" Type="http://schemas.openxmlformats.org/officeDocument/2006/relationships/hyperlink" Target="https://doi.org/10.7195/ri14.v11i1.528" TargetMode="External"/><Relationship Id="rId14" Type="http://schemas.openxmlformats.org/officeDocument/2006/relationships/hyperlink" Target="https://doi.org/10.1080/00913367.2002.10673665"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04F78-67E7-4D04-A90C-75EEC724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6242</Words>
  <Characters>34335</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2019-10-02T21:04:00Z</dcterms:created>
  <dcterms:modified xsi:type="dcterms:W3CDTF">2019-10-03T19:21:00Z</dcterms:modified>
</cp:coreProperties>
</file>