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F9" w:rsidRPr="00CD7B7C" w:rsidRDefault="00B80987" w:rsidP="00CD7B7C">
      <w:pPr>
        <w:jc w:val="center"/>
        <w:rPr>
          <w:rFonts w:ascii="Arial" w:eastAsia="Calibri" w:hAnsi="Arial" w:cs="Arial"/>
          <w:b/>
          <w:bCs/>
          <w:sz w:val="24"/>
          <w:szCs w:val="24"/>
          <w:lang w:val="es-ES_tradnl"/>
        </w:rPr>
      </w:pPr>
      <w:r w:rsidRPr="00B80987">
        <w:rPr>
          <w:rFonts w:ascii="Arial" w:eastAsia="Calibri" w:hAnsi="Arial" w:cs="Arial"/>
          <w:b/>
          <w:bCs/>
          <w:sz w:val="24"/>
          <w:szCs w:val="24"/>
          <w:lang w:val="es-ES_tradnl"/>
        </w:rPr>
        <w:t>“TRANSICIONES IDENTITARIAS EN MUJERES DENUNCIANTES</w:t>
      </w:r>
      <w:r w:rsidR="001720F9">
        <w:rPr>
          <w:rFonts w:ascii="Arial" w:eastAsia="Calibri" w:hAnsi="Arial" w:cs="Arial"/>
          <w:b/>
          <w:bCs/>
          <w:sz w:val="24"/>
          <w:szCs w:val="24"/>
          <w:lang w:val="es-ES_tradnl"/>
        </w:rPr>
        <w:t xml:space="preserve"> DE VIOLENCIA DE PAREJA: TEXCOCO,</w:t>
      </w:r>
      <w:r w:rsidRPr="00B80987">
        <w:rPr>
          <w:rFonts w:ascii="Arial" w:eastAsia="Calibri" w:hAnsi="Arial" w:cs="Arial"/>
          <w:b/>
          <w:bCs/>
          <w:sz w:val="24"/>
          <w:szCs w:val="24"/>
          <w:lang w:val="es-ES_tradnl"/>
        </w:rPr>
        <w:t xml:space="preserve"> </w:t>
      </w:r>
      <w:r w:rsidR="001720F9">
        <w:rPr>
          <w:rFonts w:ascii="Arial" w:eastAsia="Calibri" w:hAnsi="Arial" w:cs="Arial"/>
          <w:b/>
          <w:bCs/>
          <w:sz w:val="24"/>
          <w:szCs w:val="24"/>
          <w:lang w:val="es-ES_tradnl"/>
        </w:rPr>
        <w:t xml:space="preserve">ESTADO DE </w:t>
      </w:r>
      <w:r w:rsidR="00CD7B7C">
        <w:rPr>
          <w:rFonts w:ascii="Arial" w:eastAsia="Calibri" w:hAnsi="Arial" w:cs="Arial"/>
          <w:b/>
          <w:bCs/>
          <w:sz w:val="24"/>
          <w:szCs w:val="24"/>
          <w:lang w:val="es-ES_tradnl"/>
        </w:rPr>
        <w:t>MÉXICO"</w:t>
      </w:r>
    </w:p>
    <w:p w:rsidR="00B80987" w:rsidRPr="00B80987" w:rsidRDefault="00B80987" w:rsidP="00B80987">
      <w:pPr>
        <w:spacing w:line="240" w:lineRule="auto"/>
        <w:rPr>
          <w:rFonts w:ascii="Arial" w:eastAsia="Calibri" w:hAnsi="Arial" w:cs="Arial"/>
          <w:b/>
          <w:sz w:val="24"/>
          <w:szCs w:val="24"/>
          <w:lang w:val="es-ES_tradnl"/>
        </w:rPr>
      </w:pPr>
      <w:r w:rsidRPr="00B80987">
        <w:rPr>
          <w:rFonts w:ascii="Arial" w:eastAsia="Calibri" w:hAnsi="Arial" w:cs="Arial"/>
          <w:b/>
          <w:sz w:val="24"/>
          <w:szCs w:val="24"/>
          <w:lang w:val="es-ES_tradnl"/>
        </w:rPr>
        <w:t>Resumen</w:t>
      </w:r>
    </w:p>
    <w:p w:rsidR="00B80987" w:rsidRPr="00B80987" w:rsidRDefault="00B80987" w:rsidP="00B80987">
      <w:pPr>
        <w:spacing w:line="240" w:lineRule="auto"/>
        <w:jc w:val="both"/>
        <w:rPr>
          <w:rFonts w:ascii="Arial" w:eastAsia="Calibri" w:hAnsi="Arial" w:cs="Arial"/>
          <w:b/>
          <w:lang w:val="es-ES_tradnl"/>
        </w:rPr>
      </w:pPr>
      <w:r w:rsidRPr="00B80987">
        <w:rPr>
          <w:rFonts w:ascii="Arial" w:eastAsia="Calibri" w:hAnsi="Arial" w:cs="Arial"/>
          <w:lang w:val="es-ES_tradnl"/>
        </w:rPr>
        <w:t>Mediante el método cualitativo </w:t>
      </w:r>
      <w:r w:rsidRPr="00B80987">
        <w:rPr>
          <w:rFonts w:ascii="Arial" w:eastAsia="Calibri" w:hAnsi="Arial" w:cs="Arial"/>
        </w:rPr>
        <w:t>fenomenológico, </w:t>
      </w:r>
      <w:r w:rsidRPr="00B80987">
        <w:rPr>
          <w:rFonts w:ascii="Arial" w:eastAsia="Calibri" w:hAnsi="Arial" w:cs="Arial"/>
          <w:lang w:val="es-ES_tradnl"/>
        </w:rPr>
        <w:t xml:space="preserve">se analizaron los relatos de 22 mujeres que </w:t>
      </w:r>
      <w:r w:rsidR="00FC2153">
        <w:rPr>
          <w:rFonts w:ascii="Arial" w:eastAsia="Calibri" w:hAnsi="Arial" w:cs="Arial"/>
          <w:lang w:val="es-ES_tradnl"/>
        </w:rPr>
        <w:t>denunciaron violencia de pareja en Texcoco, Estado de México, para</w:t>
      </w:r>
      <w:r w:rsidRPr="00B80987">
        <w:rPr>
          <w:rFonts w:ascii="Arial" w:eastAsia="Calibri" w:hAnsi="Arial" w:cs="Arial"/>
          <w:lang w:val="es-ES_tradnl"/>
        </w:rPr>
        <w:t> </w:t>
      </w:r>
      <w:r w:rsidRPr="00B80987">
        <w:rPr>
          <w:rFonts w:ascii="Arial" w:eastAsia="Calibri" w:hAnsi="Arial" w:cs="Arial"/>
        </w:rPr>
        <w:t>conocer los diferentes tipos de violencia de pareja experimentados</w:t>
      </w:r>
      <w:r w:rsidR="00FC2153">
        <w:rPr>
          <w:rFonts w:ascii="Arial" w:eastAsia="Calibri" w:hAnsi="Arial" w:cs="Arial"/>
        </w:rPr>
        <w:t>,</w:t>
      </w:r>
      <w:r w:rsidRPr="00B80987">
        <w:rPr>
          <w:rFonts w:ascii="Arial" w:eastAsia="Calibri" w:hAnsi="Arial" w:cs="Arial"/>
        </w:rPr>
        <w:t xml:space="preserve"> sus características, motivaciones para la denuncia y</w:t>
      </w:r>
      <w:r w:rsidR="00FC2153">
        <w:rPr>
          <w:rFonts w:ascii="Arial" w:eastAsia="Calibri" w:hAnsi="Arial" w:cs="Arial"/>
        </w:rPr>
        <w:t xml:space="preserve"> su seguimiento;</w:t>
      </w:r>
      <w:r w:rsidRPr="00B80987">
        <w:rPr>
          <w:rFonts w:ascii="Arial" w:eastAsia="Calibri" w:hAnsi="Arial" w:cs="Arial"/>
        </w:rPr>
        <w:t xml:space="preserve"> e indagar sobre las transiciones identitarias observadas en aspectos cognitivos, conductuales y afectivos; así como en sus expectativas a futuro. </w:t>
      </w:r>
      <w:r w:rsidR="00FC2153">
        <w:rPr>
          <w:rFonts w:ascii="Arial" w:eastAsia="Calibri" w:hAnsi="Arial" w:cs="Arial"/>
        </w:rPr>
        <w:t>Se concluyó que e</w:t>
      </w:r>
      <w:r w:rsidRPr="00B80987">
        <w:rPr>
          <w:rFonts w:ascii="Arial" w:eastAsia="Calibri" w:hAnsi="Arial" w:cs="Arial"/>
        </w:rPr>
        <w:t>l apoyo familiar incondicionado motivó la denuncia, el seguimiento del proceso judicial y promovió transiciones identitarias más favorables; en algunos casos, el apoyo familiar estuvo condicionado por expectativas familistas patriarcales</w:t>
      </w:r>
      <w:r w:rsidR="00FC2153">
        <w:rPr>
          <w:rFonts w:ascii="Arial" w:eastAsia="Calibri" w:hAnsi="Arial" w:cs="Arial"/>
        </w:rPr>
        <w:t>, mostrando</w:t>
      </w:r>
      <w:r w:rsidRPr="00B80987">
        <w:rPr>
          <w:rFonts w:ascii="Arial" w:eastAsia="Calibri" w:hAnsi="Arial" w:cs="Arial"/>
        </w:rPr>
        <w:t xml:space="preserve"> transiciones identitarias</w:t>
      </w:r>
      <w:r w:rsidR="00FC2153">
        <w:rPr>
          <w:rFonts w:ascii="Arial" w:eastAsia="Calibri" w:hAnsi="Arial" w:cs="Arial"/>
        </w:rPr>
        <w:t xml:space="preserve"> desfavorables</w:t>
      </w:r>
      <w:r w:rsidRPr="00B80987">
        <w:rPr>
          <w:rFonts w:ascii="Arial" w:eastAsia="Calibri" w:hAnsi="Arial" w:cs="Arial"/>
        </w:rPr>
        <w:t xml:space="preserve">. En otros casos, </w:t>
      </w:r>
      <w:r w:rsidR="00FC2153">
        <w:rPr>
          <w:rFonts w:ascii="Arial" w:eastAsia="Calibri" w:hAnsi="Arial" w:cs="Arial"/>
        </w:rPr>
        <w:t>ante la</w:t>
      </w:r>
      <w:r w:rsidRPr="00B80987">
        <w:rPr>
          <w:rFonts w:ascii="Arial" w:eastAsia="Calibri" w:hAnsi="Arial" w:cs="Arial"/>
        </w:rPr>
        <w:t xml:space="preserve"> falta de apoyo familiar, las transiciones identitarias de las mujeres fueron </w:t>
      </w:r>
      <w:r w:rsidR="00FC2153">
        <w:rPr>
          <w:rFonts w:ascii="Arial" w:eastAsia="Calibri" w:hAnsi="Arial" w:cs="Arial"/>
        </w:rPr>
        <w:t>igualmente des</w:t>
      </w:r>
      <w:r w:rsidRPr="00B80987">
        <w:rPr>
          <w:rFonts w:ascii="Arial" w:eastAsia="Calibri" w:hAnsi="Arial" w:cs="Arial"/>
        </w:rPr>
        <w:t xml:space="preserve">favorables. </w:t>
      </w:r>
    </w:p>
    <w:p w:rsidR="00B80987" w:rsidRPr="00B80987" w:rsidRDefault="00B80987" w:rsidP="00B80987">
      <w:pPr>
        <w:spacing w:line="240" w:lineRule="auto"/>
        <w:jc w:val="both"/>
        <w:rPr>
          <w:rFonts w:ascii="Arial" w:eastAsia="Calibri" w:hAnsi="Arial" w:cs="Arial"/>
          <w:b/>
          <w:lang w:val="es-ES_tradnl"/>
        </w:rPr>
      </w:pPr>
      <w:r w:rsidRPr="00B80987">
        <w:rPr>
          <w:rFonts w:ascii="Arial" w:eastAsia="Calibri" w:hAnsi="Arial" w:cs="Arial"/>
          <w:bCs/>
        </w:rPr>
        <w:t>Palabras clave: Transiciones identitarias, denuncia, violencia de pareja, familismo.</w:t>
      </w:r>
    </w:p>
    <w:p w:rsidR="00B80987" w:rsidRPr="00B80987" w:rsidRDefault="00B80987" w:rsidP="00B80987">
      <w:pPr>
        <w:spacing w:line="240" w:lineRule="auto"/>
        <w:jc w:val="both"/>
        <w:rPr>
          <w:rFonts w:ascii="Arial" w:eastAsia="Calibri" w:hAnsi="Arial" w:cs="Arial"/>
          <w:b/>
          <w:sz w:val="24"/>
          <w:szCs w:val="24"/>
          <w:lang w:val="en-US"/>
        </w:rPr>
      </w:pPr>
      <w:r w:rsidRPr="00B80987">
        <w:rPr>
          <w:rFonts w:ascii="Arial" w:eastAsia="Calibri" w:hAnsi="Arial" w:cs="Arial"/>
          <w:b/>
          <w:sz w:val="24"/>
          <w:szCs w:val="24"/>
          <w:lang w:val="en-US"/>
        </w:rPr>
        <w:t>Abstract</w:t>
      </w:r>
    </w:p>
    <w:p w:rsidR="00B80987" w:rsidRPr="00B80987" w:rsidRDefault="007843FA" w:rsidP="00B80987">
      <w:pPr>
        <w:spacing w:line="240" w:lineRule="auto"/>
        <w:jc w:val="both"/>
        <w:rPr>
          <w:rFonts w:ascii="Arial" w:eastAsia="Calibri" w:hAnsi="Arial" w:cs="Arial"/>
          <w:lang w:val="en-US"/>
        </w:rPr>
      </w:pPr>
      <w:r>
        <w:rPr>
          <w:rFonts w:ascii="Arial" w:eastAsia="Calibri" w:hAnsi="Arial" w:cs="Arial"/>
          <w:lang w:val="en"/>
        </w:rPr>
        <w:t>T</w:t>
      </w:r>
      <w:r w:rsidR="00B80987" w:rsidRPr="00B80987">
        <w:rPr>
          <w:rFonts w:ascii="Arial" w:eastAsia="Calibri" w:hAnsi="Arial" w:cs="Arial"/>
          <w:lang w:val="en"/>
        </w:rPr>
        <w:t>he study was carried out in</w:t>
      </w:r>
      <w:r>
        <w:rPr>
          <w:rFonts w:ascii="Arial" w:eastAsia="Calibri" w:hAnsi="Arial" w:cs="Arial"/>
          <w:lang w:val="en"/>
        </w:rPr>
        <w:t xml:space="preserve"> Texcoco, Estado de Mexico, through </w:t>
      </w:r>
      <w:r w:rsidR="00B80987" w:rsidRPr="00B80987">
        <w:rPr>
          <w:rFonts w:ascii="Arial" w:eastAsia="Calibri" w:hAnsi="Arial" w:cs="Arial"/>
          <w:lang w:val="en"/>
        </w:rPr>
        <w:t>the phenomenological qualitative method</w:t>
      </w:r>
      <w:r>
        <w:rPr>
          <w:rFonts w:ascii="Arial" w:eastAsia="Calibri" w:hAnsi="Arial" w:cs="Arial"/>
          <w:lang w:val="en"/>
        </w:rPr>
        <w:t xml:space="preserve">. The </w:t>
      </w:r>
      <w:r w:rsidR="00B80987" w:rsidRPr="00B80987">
        <w:rPr>
          <w:rFonts w:ascii="Arial" w:eastAsia="Calibri" w:hAnsi="Arial" w:cs="Arial"/>
          <w:lang w:val="en"/>
        </w:rPr>
        <w:t xml:space="preserve">stories of 22 women who reported </w:t>
      </w:r>
      <w:r>
        <w:rPr>
          <w:rFonts w:ascii="Arial" w:eastAsia="Calibri" w:hAnsi="Arial" w:cs="Arial"/>
          <w:lang w:val="en"/>
        </w:rPr>
        <w:t xml:space="preserve">partner violence were analyzed, </w:t>
      </w:r>
      <w:r w:rsidR="00B80987" w:rsidRPr="00B80987">
        <w:rPr>
          <w:rFonts w:ascii="Arial" w:eastAsia="Calibri" w:hAnsi="Arial" w:cs="Arial"/>
          <w:lang w:val="en"/>
        </w:rPr>
        <w:t xml:space="preserve">to know the different types of partner violence experienced by women, </w:t>
      </w:r>
      <w:r>
        <w:rPr>
          <w:rFonts w:ascii="Arial" w:eastAsia="Calibri" w:hAnsi="Arial" w:cs="Arial"/>
          <w:lang w:val="en"/>
        </w:rPr>
        <w:t>their</w:t>
      </w:r>
      <w:r w:rsidR="00B80987" w:rsidRPr="00B80987">
        <w:rPr>
          <w:rFonts w:ascii="Arial" w:eastAsia="Calibri" w:hAnsi="Arial" w:cs="Arial"/>
          <w:lang w:val="en"/>
        </w:rPr>
        <w:t xml:space="preserve"> characteristics, the different </w:t>
      </w:r>
      <w:r>
        <w:rPr>
          <w:rFonts w:ascii="Arial" w:eastAsia="Calibri" w:hAnsi="Arial" w:cs="Arial"/>
          <w:lang w:val="en"/>
        </w:rPr>
        <w:t xml:space="preserve">complaint </w:t>
      </w:r>
      <w:r w:rsidR="00B80987" w:rsidRPr="00B80987">
        <w:rPr>
          <w:rFonts w:ascii="Arial" w:eastAsia="Calibri" w:hAnsi="Arial" w:cs="Arial"/>
          <w:lang w:val="en"/>
        </w:rPr>
        <w:t>motivations</w:t>
      </w:r>
      <w:r>
        <w:rPr>
          <w:rFonts w:ascii="Arial" w:eastAsia="Calibri" w:hAnsi="Arial" w:cs="Arial"/>
          <w:lang w:val="en"/>
        </w:rPr>
        <w:t xml:space="preserve">; </w:t>
      </w:r>
      <w:r w:rsidR="00B80987" w:rsidRPr="00B80987">
        <w:rPr>
          <w:rFonts w:ascii="Arial" w:eastAsia="Calibri" w:hAnsi="Arial" w:cs="Arial"/>
          <w:lang w:val="en"/>
        </w:rPr>
        <w:t xml:space="preserve">and the identity transitions observed in cognitive, behavioral and affective aspects; as well as their future expectations. It was concluded that the unconditional family support motivated the realization of the complaint, the monitoring of the legal process and promoted more favorable identity transitions; </w:t>
      </w:r>
      <w:r>
        <w:rPr>
          <w:rFonts w:ascii="Arial" w:eastAsia="Calibri" w:hAnsi="Arial" w:cs="Arial"/>
          <w:lang w:val="en"/>
        </w:rPr>
        <w:t>In</w:t>
      </w:r>
      <w:r w:rsidR="00B80987" w:rsidRPr="00B80987">
        <w:rPr>
          <w:rFonts w:ascii="Arial" w:eastAsia="Calibri" w:hAnsi="Arial" w:cs="Arial"/>
          <w:lang w:val="en"/>
        </w:rPr>
        <w:t xml:space="preserve"> some cases, family support was conditioned by </w:t>
      </w:r>
      <w:r>
        <w:rPr>
          <w:rFonts w:ascii="Arial" w:eastAsia="Calibri" w:hAnsi="Arial" w:cs="Arial"/>
          <w:lang w:val="en"/>
        </w:rPr>
        <w:t xml:space="preserve">patriarchal familist </w:t>
      </w:r>
      <w:r w:rsidR="00B80987" w:rsidRPr="00B80987">
        <w:rPr>
          <w:rFonts w:ascii="Arial" w:eastAsia="Calibri" w:hAnsi="Arial" w:cs="Arial"/>
          <w:lang w:val="en"/>
        </w:rPr>
        <w:t>expectations, not allowing favorable conditions to identity transitions. In other cases</w:t>
      </w:r>
      <w:r>
        <w:rPr>
          <w:rFonts w:ascii="Arial" w:eastAsia="Calibri" w:hAnsi="Arial" w:cs="Arial"/>
          <w:lang w:val="en"/>
        </w:rPr>
        <w:t>,</w:t>
      </w:r>
      <w:r w:rsidR="00B80987" w:rsidRPr="00B80987">
        <w:rPr>
          <w:rFonts w:ascii="Arial" w:eastAsia="Calibri" w:hAnsi="Arial" w:cs="Arial"/>
          <w:lang w:val="en"/>
        </w:rPr>
        <w:t xml:space="preserve"> when there was a lack of family support, the identity transitions of the women were not favorable.</w:t>
      </w:r>
    </w:p>
    <w:p w:rsidR="00B80987" w:rsidRPr="00B80987" w:rsidRDefault="00B80987" w:rsidP="00B80987">
      <w:pPr>
        <w:spacing w:line="240" w:lineRule="auto"/>
        <w:jc w:val="both"/>
        <w:rPr>
          <w:rFonts w:ascii="Arial" w:eastAsia="Calibri" w:hAnsi="Arial" w:cs="Arial"/>
          <w:lang w:val="en-US"/>
        </w:rPr>
      </w:pPr>
      <w:r w:rsidRPr="00B80987">
        <w:rPr>
          <w:rFonts w:ascii="Arial" w:eastAsia="Calibri" w:hAnsi="Arial" w:cs="Arial"/>
          <w:lang w:val="en-US"/>
        </w:rPr>
        <w:t>Keywords</w:t>
      </w:r>
      <w:r w:rsidRPr="00B80987">
        <w:rPr>
          <w:rFonts w:ascii="Arial" w:eastAsia="Calibri" w:hAnsi="Arial" w:cs="Arial"/>
          <w:bCs/>
          <w:lang w:val="en-US"/>
        </w:rPr>
        <w:t>: Identity transitions, report, partner violence, familism.</w:t>
      </w:r>
    </w:p>
    <w:p w:rsidR="00B80987" w:rsidRPr="00B80987" w:rsidRDefault="00B80987" w:rsidP="00B80987">
      <w:pPr>
        <w:spacing w:line="240" w:lineRule="auto"/>
        <w:jc w:val="center"/>
        <w:rPr>
          <w:rFonts w:ascii="Arial" w:eastAsia="Calibri" w:hAnsi="Arial" w:cs="Arial"/>
          <w:b/>
          <w:sz w:val="24"/>
          <w:szCs w:val="24"/>
          <w:lang w:val="en-US"/>
        </w:rPr>
      </w:pPr>
    </w:p>
    <w:p w:rsidR="00B80987" w:rsidRPr="00B80987" w:rsidRDefault="00B80987" w:rsidP="00B80987">
      <w:pPr>
        <w:spacing w:line="240" w:lineRule="auto"/>
        <w:jc w:val="center"/>
        <w:rPr>
          <w:rFonts w:ascii="Arial" w:eastAsia="Calibri" w:hAnsi="Arial" w:cs="Arial"/>
          <w:b/>
          <w:sz w:val="24"/>
          <w:szCs w:val="24"/>
          <w:lang w:val="es-ES_tradnl"/>
        </w:rPr>
      </w:pPr>
      <w:r w:rsidRPr="00B80987">
        <w:rPr>
          <w:rFonts w:ascii="Arial" w:eastAsia="Calibri" w:hAnsi="Arial" w:cs="Arial"/>
          <w:b/>
          <w:sz w:val="24"/>
          <w:szCs w:val="24"/>
          <w:lang w:val="es-ES_tradnl"/>
        </w:rPr>
        <w:t>Introducción</w:t>
      </w:r>
    </w:p>
    <w:p w:rsidR="00B80987" w:rsidRPr="00B80987" w:rsidRDefault="00B80987" w:rsidP="00B80987">
      <w:pPr>
        <w:spacing w:line="240" w:lineRule="auto"/>
        <w:jc w:val="both"/>
        <w:rPr>
          <w:rFonts w:ascii="Arial" w:eastAsia="Calibri" w:hAnsi="Arial" w:cs="Arial"/>
          <w:sz w:val="24"/>
          <w:szCs w:val="24"/>
          <w:lang w:val="es-ES_tradnl"/>
        </w:rPr>
      </w:pPr>
      <w:r w:rsidRPr="00B80987">
        <w:rPr>
          <w:rFonts w:ascii="Arial" w:eastAsia="Calibri" w:hAnsi="Arial" w:cs="Arial"/>
          <w:sz w:val="24"/>
          <w:szCs w:val="24"/>
          <w:lang w:val="es-ES_tradnl"/>
        </w:rPr>
        <w:t xml:space="preserve">La violencia de pareja, en particular la que experimentan las mujeres por parte de sus parejas o ex parejas, es un problema de salud pública que afecta a más de un tercio de la población mundial (World Health Organization, 2013). Ante esta problemática, actualmente existen convenciones y tratados internacionales cuyo objetivo es promover la igualdad sustantiva y la reducción de las brechas de desigualdad entre mujeres y hombres, así como la violencia contra las mujeres, como: la Convención para la Eliminación de Todas las Formas de Discriminación contra la Mujer (CEDAW, 1979), la Convención Interamericana para Prevenir, Sancionar y Erradicar la Violencia contra la Mujer, Belém Do Pará (Naciones Unidas, 2018); de igual manera  en la legislación mexicana: Constitución Política de los Estados Unidos Mexicanos (Cámara de Diputados del H. Congreso de la Unión, 2017), la Ley General para la Igualdad entre Mujeres y Hombres (Cámara de Diputados del H. Congreso de la Unión, 2018),  la Ley General de Acceso a las Mujeres a una Vida Libre de Violencia (Cámara de Diputados del H. Congreso de la Unión, 2018), y  PROIGUALDAD 2013-2018 (Presidencia de la República, 2013); </w:t>
      </w:r>
      <w:r w:rsidRPr="00B80987">
        <w:rPr>
          <w:rFonts w:ascii="Arial" w:eastAsia="Calibri" w:hAnsi="Arial" w:cs="Arial"/>
          <w:sz w:val="24"/>
          <w:szCs w:val="24"/>
          <w:lang w:val="es-ES_tradnl"/>
        </w:rPr>
        <w:lastRenderedPageBreak/>
        <w:t xml:space="preserve">que deben dar seguimiento y cumplimiento al objetivo a nivel federal, estatal y municipal. Con base en dichos tratados y legislaciones, existe la denuncia del delito de Violencia Familiar (es decir, la violencia que las mujeres reciben por parte de su pareja o ex pareja), materia de este estudio, que se definirá posteriormente. </w:t>
      </w:r>
    </w:p>
    <w:p w:rsidR="00B80987" w:rsidRPr="00B80987" w:rsidRDefault="00B80987" w:rsidP="00B80987">
      <w:pPr>
        <w:spacing w:line="240" w:lineRule="auto"/>
        <w:jc w:val="both"/>
        <w:rPr>
          <w:rFonts w:ascii="Arial" w:eastAsia="Calibri" w:hAnsi="Arial" w:cs="Arial"/>
          <w:sz w:val="24"/>
          <w:szCs w:val="24"/>
          <w:lang w:val="es-ES_tradnl"/>
        </w:rPr>
      </w:pPr>
      <w:r w:rsidRPr="00B80987">
        <w:rPr>
          <w:rFonts w:ascii="Arial" w:eastAsia="Calibri" w:hAnsi="Arial" w:cs="Arial"/>
          <w:sz w:val="24"/>
          <w:szCs w:val="24"/>
          <w:lang w:val="es-ES_tradnl"/>
        </w:rPr>
        <w:t xml:space="preserve">A nivel nacional, la violencia por parte de la pareja es más frecuente en las mujeres que se casaron o unieron antes de los 18 años que entre las mujeres que se casaron por primera vez cuando tenían 25 años o más. El 48% de las mujeres se casaron antes de llegar a la mayoría de edad han experimentado violencia por parte de su pareja, mientras que quienes lo hicieron en una edad más tardía, la tasa fue de 37.7%. Las mujeres mexicanas que se han unido dos o más veces han experimentado violencia por parte de su pareja en un 52.1%, siendo que las mujeres que han tenido solamente una unión o matrimonio representan el 42.9% (INEGI, 2016). El Estado de México es una de las entidades con una alta tasa de víctimas de Violencia de Género en el país (INEGI, 2016), por lo tanto, el estudio se llevó a cabo en la región mexiquense de Texcoco. </w:t>
      </w:r>
    </w:p>
    <w:p w:rsidR="00B80987" w:rsidRPr="00B80987" w:rsidRDefault="00B80987" w:rsidP="00B80987">
      <w:pPr>
        <w:spacing w:line="240" w:lineRule="auto"/>
        <w:jc w:val="both"/>
        <w:rPr>
          <w:rFonts w:ascii="Arial" w:eastAsia="Calibri" w:hAnsi="Arial" w:cs="Arial"/>
          <w:b/>
          <w:lang w:val="es-ES_tradnl"/>
        </w:rPr>
      </w:pPr>
      <w:r w:rsidRPr="00B80987">
        <w:rPr>
          <w:rFonts w:ascii="Arial" w:eastAsia="Calibri" w:hAnsi="Arial" w:cs="Arial"/>
          <w:b/>
          <w:lang w:val="es-ES_tradnl"/>
        </w:rPr>
        <w:t>Denuncia de violencia de pareja</w:t>
      </w:r>
    </w:p>
    <w:p w:rsidR="00B80987" w:rsidRPr="00B80987" w:rsidRDefault="00EC47CF" w:rsidP="00B80987">
      <w:pPr>
        <w:spacing w:line="240" w:lineRule="auto"/>
        <w:jc w:val="both"/>
        <w:rPr>
          <w:rFonts w:ascii="Arial" w:eastAsia="Calibri" w:hAnsi="Arial" w:cs="Arial"/>
          <w:sz w:val="24"/>
          <w:szCs w:val="24"/>
        </w:rPr>
      </w:pPr>
      <w:r>
        <w:rPr>
          <w:rFonts w:ascii="Arial" w:eastAsia="Calibri" w:hAnsi="Arial" w:cs="Arial"/>
          <w:sz w:val="24"/>
          <w:szCs w:val="24"/>
          <w:lang w:val="es-ES_tradnl"/>
        </w:rPr>
        <w:t xml:space="preserve">En </w:t>
      </w:r>
      <w:r w:rsidR="00B80987" w:rsidRPr="00B80987">
        <w:rPr>
          <w:rFonts w:ascii="Arial" w:eastAsia="Calibri" w:hAnsi="Arial" w:cs="Arial"/>
          <w:sz w:val="24"/>
          <w:szCs w:val="24"/>
        </w:rPr>
        <w:t>un estudio de meta análisis que comparó la violencia entre hombres y mujeres separados(as) y viviendo en pareja, realizado en 19 países de los 5 continentes (Bernards &amp; Graham, 2013), reportó que las personas separadas han denunciado con mayor frecuencia la violencia de pareja, en comparación con las personas que aún continúan casadas o viviendo en pareja. En un estudio llevado a cabo con 19 mujeres estadounidenses separadas (blancas, afroamericanas y latinas de entre 23 y 52 años de edad) que denunciaron violencia de pareja</w:t>
      </w:r>
      <w:r w:rsidR="00B80987" w:rsidRPr="00B80987">
        <w:rPr>
          <w:rFonts w:ascii="Arial" w:eastAsia="Calibri" w:hAnsi="Arial" w:cs="Arial"/>
        </w:rPr>
        <w:t xml:space="preserve"> (</w:t>
      </w:r>
      <w:r w:rsidR="00B80987" w:rsidRPr="00B80987">
        <w:rPr>
          <w:rFonts w:ascii="Arial" w:eastAsia="Calibri" w:hAnsi="Arial" w:cs="Arial"/>
          <w:sz w:val="24"/>
          <w:szCs w:val="24"/>
        </w:rPr>
        <w:t xml:space="preserve">Zeoli et al., 2013), se encontró que el hecho de haber denunciado el delito, incrementó el riesgo de seguir siendo violentadas en diversas formas por parte de su ex pareja, por lo tanto, continuar con el proceso judicial las pone en situaciones de mayor riesgo, llevándolas a desconfiar de la eficiencia del sistema para detener la violencia en contra de ellas; es así que suelen abandonar sus respectivos procesos judiciales para ya no seguir siendo expuestas ante la violencia física y psicológica de sus ex parejas. Por otro lado, un estudio observó </w:t>
      </w:r>
      <w:r>
        <w:rPr>
          <w:rFonts w:ascii="Arial" w:eastAsia="Calibri" w:hAnsi="Arial" w:cs="Arial"/>
          <w:sz w:val="24"/>
          <w:szCs w:val="24"/>
        </w:rPr>
        <w:t>en población canadiense mostró que las denunciantes de</w:t>
      </w:r>
      <w:r w:rsidR="00B80987" w:rsidRPr="00B80987">
        <w:rPr>
          <w:rFonts w:ascii="Arial" w:eastAsia="Calibri" w:hAnsi="Arial" w:cs="Arial"/>
          <w:sz w:val="24"/>
          <w:szCs w:val="24"/>
        </w:rPr>
        <w:t xml:space="preserve"> violencia de pareja, no </w:t>
      </w:r>
      <w:r>
        <w:rPr>
          <w:rFonts w:ascii="Arial" w:eastAsia="Calibri" w:hAnsi="Arial" w:cs="Arial"/>
          <w:sz w:val="24"/>
          <w:szCs w:val="24"/>
        </w:rPr>
        <w:t>encontraron satisfactorios los servicios del estado para denunciar</w:t>
      </w:r>
      <w:r w:rsidR="00B80987" w:rsidRPr="00B80987">
        <w:rPr>
          <w:rFonts w:ascii="Arial" w:eastAsia="Calibri" w:hAnsi="Arial" w:cs="Arial"/>
          <w:sz w:val="24"/>
          <w:szCs w:val="24"/>
        </w:rPr>
        <w:t>, por lo tanto, tienden a abandonar los procesos judiciales (Ford-Gilboe et al., 2015). Dicho estudio sólo se enfoca en las mujeres que están separadas, pero no aborda la experiencia de las mujeres que siguen viviendo con la pareja violenta</w:t>
      </w:r>
      <w:r w:rsidR="00B80987" w:rsidRPr="00B80987">
        <w:rPr>
          <w:rFonts w:ascii="Arial" w:eastAsia="Calibri" w:hAnsi="Arial" w:cs="Arial"/>
          <w:color w:val="131413"/>
          <w:sz w:val="24"/>
          <w:szCs w:val="24"/>
        </w:rPr>
        <w:t xml:space="preserve">, por lo tanto, los autores recomiendan hacer un estudio comparando ambas situaciones conyugales. </w:t>
      </w:r>
    </w:p>
    <w:p w:rsidR="00B80987" w:rsidRPr="00B80987" w:rsidRDefault="00B80987" w:rsidP="00B80987">
      <w:pPr>
        <w:spacing w:line="240" w:lineRule="auto"/>
        <w:jc w:val="both"/>
        <w:rPr>
          <w:rFonts w:ascii="Arial" w:eastAsia="Calibri" w:hAnsi="Arial" w:cs="Arial"/>
          <w:color w:val="131413"/>
          <w:sz w:val="24"/>
          <w:szCs w:val="24"/>
        </w:rPr>
      </w:pPr>
      <w:r w:rsidRPr="00B80987">
        <w:rPr>
          <w:rFonts w:ascii="Arial" w:eastAsia="Calibri" w:hAnsi="Arial" w:cs="Arial"/>
          <w:color w:val="131413"/>
          <w:sz w:val="24"/>
          <w:szCs w:val="24"/>
        </w:rPr>
        <w:t>Acerca de la experiencia de las mujeres después de haber denunciado violencia de pareja, existe poca investigación; a pesar de que hallazgos en otras investigaciones han demostrado que las mujeres que han denunciado la violencia de pareja deberían ser tratadas institucionalmente para impulsar su empoderamiento, atender la problemática de su victimización, para ayudarles a desarrollar planeaciones para vivir en seguridad, y el manejo de la ira (Rizo, Reynolds, Macy, &amp; Ermentrout, 2016).</w:t>
      </w:r>
      <w:r w:rsidRPr="00B80987">
        <w:rPr>
          <w:rFonts w:ascii="Arial" w:eastAsia="Calibri" w:hAnsi="Arial" w:cs="Arial"/>
          <w:sz w:val="24"/>
          <w:szCs w:val="24"/>
        </w:rPr>
        <w:t xml:space="preserve"> </w:t>
      </w:r>
      <w:r w:rsidRPr="00B80987">
        <w:rPr>
          <w:rFonts w:ascii="Arial" w:eastAsia="Calibri" w:hAnsi="Arial" w:cs="Arial"/>
          <w:color w:val="131413"/>
          <w:sz w:val="24"/>
          <w:szCs w:val="24"/>
        </w:rPr>
        <w:t xml:space="preserve">El hecho de que las mujeres hayan denunciado la violencia de pareja o delito de violencia familiar, no significa que la experiencia a partir de ese momento pueda </w:t>
      </w:r>
      <w:r w:rsidRPr="00B80987">
        <w:rPr>
          <w:rFonts w:ascii="Arial" w:eastAsia="Calibri" w:hAnsi="Arial" w:cs="Arial"/>
          <w:color w:val="131413"/>
          <w:sz w:val="24"/>
          <w:szCs w:val="24"/>
        </w:rPr>
        <w:lastRenderedPageBreak/>
        <w:t>mejorar para ellas, pues una de las consecuencias globales es la sensación de vivir atrapadas, desesperanzadas, impotentes acerca de sus situaciones, al grado de incluso pensar en suicidarse o llegar a hacerlo (Sabri, Sanchez, &amp; Campbell, 2015). Se ha encontrado también, que las mujeres tienden a justificar la violencia de sus parejas o ex parejas, y que cuando son atendidas en programas de intervención psicológica después de haber denunciado la violencia, y al compartir sus experiencias con otras mujeres, logran entender la dinámica de la violencia de pareja, lo cual participa en que ellas dejen de justificar la violencia; sin embargo, esto no ha demostrado que la violencia haya dejado de ocurrir, a pesar de la denuncia y de los programas de intervención (Kaplan, &amp; Komurcu, 2017). La literatura relaciona los síntomas depresivos con la experiencia de haber vivido violencia de pareja, ya que las mujeres suelen presentar síntomas como un estado anímico de tristeza, cambios en apetito y peso , trastornos del sueño, dificultad para pensar o concentrarse, disminución en el interés para desarrollar actividades de la vida diaria, emociones relacionadas con la desesperanza y auto devaluación, así como pensamientos frecuentes relacionados con la muerte o el suicidio (Terrazas-Carrillo, McWhirter, &amp; Martel, 2016). Si la violencia persiste aun después de la denuncia, es probable que esta sintomatología persista en las mujeres que experimentan este proceso. La denuncia en sí misma podría significar un proceso liberador de la situación de la violencia y sus consecuencias psicológicas, pero también podrían ser otras las direcciones que tomaran las consecuencias; para ello es importante considerar que se da el comienzo de una nueva realidad de estas mujeres a partir de que toman la decisión de denunciar la violencia familiar.</w:t>
      </w:r>
    </w:p>
    <w:p w:rsidR="00B80987" w:rsidRPr="00B80987" w:rsidRDefault="00B80987" w:rsidP="00B80987">
      <w:pPr>
        <w:spacing w:line="240" w:lineRule="auto"/>
        <w:jc w:val="both"/>
        <w:rPr>
          <w:rFonts w:ascii="Arial" w:eastAsia="Calibri" w:hAnsi="Arial" w:cs="Arial"/>
          <w:b/>
          <w:color w:val="131413"/>
        </w:rPr>
      </w:pPr>
    </w:p>
    <w:p w:rsidR="00B80987" w:rsidRPr="00B80987" w:rsidRDefault="00B80987" w:rsidP="00B80987">
      <w:pPr>
        <w:spacing w:line="240" w:lineRule="auto"/>
        <w:jc w:val="both"/>
        <w:rPr>
          <w:rFonts w:ascii="Arial" w:eastAsia="Calibri" w:hAnsi="Arial" w:cs="Arial"/>
          <w:b/>
        </w:rPr>
      </w:pPr>
      <w:r w:rsidRPr="00B80987">
        <w:rPr>
          <w:rFonts w:ascii="Arial" w:eastAsia="Calibri" w:hAnsi="Arial" w:cs="Arial"/>
          <w:b/>
          <w:color w:val="131413"/>
        </w:rPr>
        <w:t>Cambio en la identidad</w:t>
      </w:r>
    </w:p>
    <w:p w:rsidR="00B80987" w:rsidRPr="00B80987" w:rsidRDefault="00B80987" w:rsidP="00B80987">
      <w:pPr>
        <w:spacing w:line="240" w:lineRule="auto"/>
        <w:jc w:val="both"/>
        <w:rPr>
          <w:rFonts w:ascii="Arial" w:eastAsia="Calibri" w:hAnsi="Arial" w:cs="Arial"/>
          <w:sz w:val="24"/>
          <w:szCs w:val="24"/>
          <w:lang w:val="es-ES_tradnl"/>
        </w:rPr>
      </w:pPr>
      <w:r w:rsidRPr="00B80987">
        <w:rPr>
          <w:rFonts w:ascii="Arial" w:eastAsia="Calibri" w:hAnsi="Arial" w:cs="Arial"/>
          <w:sz w:val="24"/>
          <w:szCs w:val="24"/>
          <w:lang w:val="es-ES_tradnl"/>
        </w:rPr>
        <w:t xml:space="preserve">La calidad legal de las mujeres que han vivido violencia familiar y presentan una denuncia penal ante las autoridades competentes, es la de víctima. La comunidad en la que se desarrollan las mujeres, atribuye significado a las características y al comportamiento de la víctima y del victimario y trata a los y las protagonistas del suceso en función de estas percepciones (Doménech e Íñiguez, 2002). La dimensión social interactúa con la individual, dado que la respuesta del entorno condiciona el modo en que las mujeres violentadas en este caso, atribuyen sentido a sus experiencias de victimización, responden a las mismas y toman conciencia de sus necesidades. Ser una mujer víctima de violencia familiar puede provocar diferentes reacciones en el entorno social, que podrían ser de apoyo, de culpabilización o de rechazo; además del conjunto de consecuencias de carácter psicológico, social, jurídico y económico (Botero, Coronel y Perez, 2009). Estas reacciones también están relacionadas con el familismo existente en la cultura mexicana, que se define como aquellos valores basados en las necesidades familiares y que se anteponen a las necesidades individuales </w:t>
      </w:r>
      <w:r w:rsidRPr="00B80987">
        <w:rPr>
          <w:rFonts w:ascii="Arial" w:eastAsia="Calibri" w:hAnsi="Arial" w:cs="Arial"/>
          <w:sz w:val="24"/>
          <w:szCs w:val="24"/>
        </w:rPr>
        <w:t>(Terrazas-Carrillo, McWhirter, &amp; Martel, 2016)</w:t>
      </w:r>
      <w:r w:rsidRPr="00B80987">
        <w:rPr>
          <w:rFonts w:ascii="Arial" w:eastAsia="Calibri" w:hAnsi="Arial" w:cs="Arial"/>
          <w:sz w:val="24"/>
          <w:szCs w:val="24"/>
          <w:lang w:val="es-ES_tradnl"/>
        </w:rPr>
        <w:t xml:space="preserve">; en este caso las de las mujeres que viven la violencia de pareja. En su familia inmediata y en la familia extensa son muy importantes la lealtad, la solidaridad, la cooperación y el mantenimiento del bienestar, que supone el familismo. Cuando en estas relaciones familiares predomina el patriarcado, que son las creencias basadas en un apoyo jerárquico de dominación masculina para </w:t>
      </w:r>
      <w:r w:rsidRPr="00B80987">
        <w:rPr>
          <w:rFonts w:ascii="Arial" w:eastAsia="Calibri" w:hAnsi="Arial" w:cs="Arial"/>
          <w:sz w:val="24"/>
          <w:szCs w:val="24"/>
          <w:lang w:val="es-ES_tradnl"/>
        </w:rPr>
        <w:lastRenderedPageBreak/>
        <w:t>garantizar un orden social natural, tiende a haber fricciones cuando las mujeres quieren hacer cambios en este sistema de relaciones familiares y /o sociales (</w:t>
      </w:r>
      <w:r w:rsidRPr="00B80987">
        <w:rPr>
          <w:rFonts w:ascii="Arial" w:eastAsia="Calibri" w:hAnsi="Arial" w:cs="Arial"/>
          <w:sz w:val="24"/>
          <w:szCs w:val="24"/>
        </w:rPr>
        <w:t>Asay, DeFrain, Metzger, &amp; Moyer, 2016). El realizar una denuncia por violencia familiar, supone una confrontación a dichos valores familistas y patriarcales que se encuentran en sí mismas y en el entorno, ante lo cual se presumen transformaciones en la identidad de dichas mujeres.</w:t>
      </w:r>
    </w:p>
    <w:p w:rsidR="00B80987" w:rsidRPr="00B80987" w:rsidRDefault="00B80987" w:rsidP="00B80987">
      <w:pPr>
        <w:spacing w:line="240" w:lineRule="auto"/>
        <w:jc w:val="both"/>
        <w:rPr>
          <w:rFonts w:ascii="Arial" w:eastAsia="Calibri" w:hAnsi="Arial" w:cs="Arial"/>
          <w:sz w:val="24"/>
          <w:szCs w:val="24"/>
          <w:lang w:val="es-ES_tradnl"/>
        </w:rPr>
      </w:pPr>
      <w:r w:rsidRPr="00B80987">
        <w:rPr>
          <w:rFonts w:ascii="Arial" w:eastAsia="Calibri" w:hAnsi="Arial" w:cs="Arial"/>
          <w:sz w:val="24"/>
          <w:szCs w:val="24"/>
          <w:lang w:val="es-ES_tradnl"/>
        </w:rPr>
        <w:t xml:space="preserve">El proceso de cambio en la autopercepción de las mujeres violentadas por su pareja que legalmente se han constituido como víctimas al realizar la respectiva denuncia, a través de la respuesta social mencionada, es a lo que llamaremos en este estudio las transiciones identitarias. </w:t>
      </w:r>
      <w:r w:rsidR="00CD7B7C">
        <w:rPr>
          <w:rFonts w:ascii="Arial" w:eastAsia="Calibri" w:hAnsi="Arial" w:cs="Arial"/>
          <w:sz w:val="24"/>
          <w:szCs w:val="24"/>
          <w:lang w:val="es-ES_tradnl"/>
        </w:rPr>
        <w:t>La identidad e</w:t>
      </w:r>
      <w:r w:rsidRPr="00B80987">
        <w:rPr>
          <w:rFonts w:ascii="Arial" w:eastAsia="Calibri" w:hAnsi="Arial" w:cs="Arial"/>
          <w:sz w:val="24"/>
          <w:szCs w:val="24"/>
          <w:lang w:val="es-ES_tradnl"/>
        </w:rPr>
        <w:t xml:space="preserve">s la construcción personal a partir de la unicidad, aunque también es una construcción social (Rocha, 2009). La construcción de la identidad es relacional, porque la persona fue, es y será a partir de las relaciones con los demás; depende del contexto en el que se ésta se encuentre, define un rol y las actuaciones ante los demás, y por último, es fluida y cambiante (Combs &amp; Freedman, 2016).  </w:t>
      </w:r>
    </w:p>
    <w:p w:rsidR="00B80987" w:rsidRPr="00B80987" w:rsidRDefault="00B80987" w:rsidP="00B80987">
      <w:pPr>
        <w:spacing w:line="240" w:lineRule="auto"/>
        <w:jc w:val="both"/>
        <w:rPr>
          <w:rFonts w:ascii="Arial" w:eastAsia="Calibri" w:hAnsi="Arial" w:cs="Arial"/>
          <w:sz w:val="24"/>
          <w:szCs w:val="24"/>
          <w:lang w:val="es-ES_tradnl"/>
        </w:rPr>
      </w:pPr>
      <w:r w:rsidRPr="00B80987">
        <w:rPr>
          <w:rFonts w:ascii="Arial" w:eastAsia="Calibri" w:hAnsi="Arial" w:cs="Arial"/>
          <w:sz w:val="24"/>
          <w:szCs w:val="24"/>
          <w:lang w:val="es-ES_tradnl"/>
        </w:rPr>
        <w:t>En este estudio se analizaron las construcciones personales y sociales que las llevaron a identificarse en el grupo de las mujeres que denuncian la violencia, es decir, que trasladaron su experiencia del ámbito privado al ámbito público; y asimismo se diferenciaron del resto de las mujeres que han vivido violencia por parte de su pareja o ex pareja, pero que no la han denunciado. Las transiciones identitarias se desplegaron analizando las dimensiones afectiva, cognitiva, conductual y en la perspectiva hacia el futuro.</w:t>
      </w:r>
    </w:p>
    <w:p w:rsidR="00B80987" w:rsidRPr="00B80987" w:rsidRDefault="00B80987" w:rsidP="00B80987">
      <w:pPr>
        <w:spacing w:line="240" w:lineRule="auto"/>
        <w:jc w:val="both"/>
        <w:rPr>
          <w:rFonts w:ascii="Arial" w:eastAsia="Calibri" w:hAnsi="Arial" w:cs="Arial"/>
          <w:bCs/>
          <w:sz w:val="24"/>
          <w:szCs w:val="24"/>
          <w:lang w:val="es-ES_tradnl"/>
        </w:rPr>
      </w:pPr>
      <w:r w:rsidRPr="00B80987">
        <w:rPr>
          <w:rFonts w:ascii="Arial" w:eastAsia="Calibri" w:hAnsi="Arial" w:cs="Arial"/>
          <w:sz w:val="24"/>
          <w:szCs w:val="24"/>
          <w:lang w:val="es-ES_tradnl"/>
        </w:rPr>
        <w:t xml:space="preserve"> Por lo tanto, el objetivo general del estudio fue analizar las </w:t>
      </w:r>
      <w:r w:rsidRPr="00B80987">
        <w:rPr>
          <w:rFonts w:ascii="Arial" w:eastAsia="Calibri" w:hAnsi="Arial" w:cs="Arial"/>
          <w:bCs/>
          <w:sz w:val="24"/>
          <w:szCs w:val="24"/>
          <w:lang w:val="es-ES_tradnl"/>
        </w:rPr>
        <w:t xml:space="preserve">transiciones identitarias de las mujeres que denunciaron violencia de pareja. Los objetivos específicos fueron: </w:t>
      </w:r>
    </w:p>
    <w:p w:rsidR="00B80987" w:rsidRPr="00B80987" w:rsidRDefault="00B80987" w:rsidP="00B80987">
      <w:pPr>
        <w:spacing w:line="240" w:lineRule="auto"/>
        <w:jc w:val="both"/>
        <w:rPr>
          <w:rFonts w:ascii="Arial" w:eastAsia="Calibri" w:hAnsi="Arial" w:cs="Arial"/>
          <w:bCs/>
          <w:sz w:val="24"/>
          <w:szCs w:val="24"/>
        </w:rPr>
      </w:pPr>
      <w:r w:rsidRPr="00B80987">
        <w:rPr>
          <w:rFonts w:ascii="Arial" w:eastAsia="Calibri" w:hAnsi="Arial" w:cs="Arial"/>
          <w:bCs/>
          <w:sz w:val="24"/>
          <w:szCs w:val="24"/>
          <w:lang w:val="es-ES_tradnl"/>
        </w:rPr>
        <w:t>1.</w:t>
      </w:r>
      <w:r w:rsidRPr="00B80987">
        <w:rPr>
          <w:rFonts w:ascii="Arial" w:eastAsia="Calibri" w:hAnsi="Arial" w:cs="Arial"/>
          <w:bCs/>
          <w:sz w:val="24"/>
          <w:szCs w:val="24"/>
        </w:rPr>
        <w:t xml:space="preserve"> Conocer los diferentes tipos de violencia de pareja experimentados por las mujeres que presentaron la denuncia, así como sus características particulares.       </w:t>
      </w:r>
      <w:r w:rsidRPr="00B80987">
        <w:rPr>
          <w:rFonts w:ascii="Arial" w:eastAsia="Calibri" w:hAnsi="Arial" w:cs="Arial"/>
          <w:sz w:val="12"/>
          <w:szCs w:val="12"/>
        </w:rPr>
        <w:t xml:space="preserve"> </w:t>
      </w:r>
      <w:r w:rsidRPr="00B80987">
        <w:rPr>
          <w:rFonts w:ascii="Arial" w:eastAsia="Calibri" w:hAnsi="Arial" w:cs="Arial"/>
          <w:bCs/>
          <w:sz w:val="24"/>
          <w:szCs w:val="24"/>
        </w:rPr>
        <w:t>2. Identificar las diferentes motivaciones en las cuales se basaron las mujeres para realizar la denuncia y para darle o no el respectivo seguimiento al proceso judicial. 3. Indagar sobre las transiciones identitarias observadas en aspectos cognitivos, conductuales y afectivos; así como en sus expectativas a futuro en cuanto al desarrollo individual, social, económico, familiar, de salud y en pareja, de las mujeres que denunciaron violencia de pareja.</w:t>
      </w:r>
    </w:p>
    <w:p w:rsidR="00B80987" w:rsidRPr="00B80987" w:rsidRDefault="00B80987" w:rsidP="00B80987">
      <w:pPr>
        <w:spacing w:line="240" w:lineRule="auto"/>
        <w:jc w:val="center"/>
        <w:rPr>
          <w:rFonts w:ascii="Arial" w:eastAsia="Calibri" w:hAnsi="Arial" w:cs="Arial"/>
          <w:b/>
          <w:sz w:val="24"/>
          <w:szCs w:val="24"/>
        </w:rPr>
      </w:pPr>
    </w:p>
    <w:p w:rsidR="00B80987" w:rsidRPr="00B80987" w:rsidRDefault="00B80987" w:rsidP="00B80987">
      <w:pPr>
        <w:spacing w:line="240" w:lineRule="auto"/>
        <w:jc w:val="center"/>
        <w:rPr>
          <w:rFonts w:ascii="Arial" w:eastAsia="Calibri" w:hAnsi="Arial" w:cs="Arial"/>
          <w:b/>
          <w:sz w:val="24"/>
          <w:szCs w:val="24"/>
        </w:rPr>
      </w:pPr>
      <w:r w:rsidRPr="00B80987">
        <w:rPr>
          <w:rFonts w:ascii="Arial" w:eastAsia="Calibri" w:hAnsi="Arial" w:cs="Arial"/>
          <w:b/>
          <w:sz w:val="24"/>
          <w:szCs w:val="24"/>
        </w:rPr>
        <w:t>Método</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Para conocer las </w:t>
      </w:r>
      <w:r w:rsidRPr="00B80987">
        <w:rPr>
          <w:rFonts w:ascii="Arial" w:eastAsia="Calibri" w:hAnsi="Arial" w:cs="Arial"/>
          <w:bCs/>
          <w:sz w:val="24"/>
          <w:szCs w:val="24"/>
        </w:rPr>
        <w:t>transiciones identitarias en mujeres que denunciaron violencia de pareja en Texcoco, Estado de México, se definieron</w:t>
      </w:r>
      <w:r w:rsidRPr="00B80987">
        <w:rPr>
          <w:rFonts w:ascii="Arial" w:eastAsia="Calibri" w:hAnsi="Arial" w:cs="Arial"/>
          <w:sz w:val="24"/>
          <w:szCs w:val="24"/>
        </w:rPr>
        <w:t xml:space="preserve"> los términos o dimensiones de la investigación.</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1: Violencia familiar: “Es el acto abusivo de poder u omisión intencional, dirigido a dominar, someter, controlar o agredir de manera física, verbal, psicológica, patrimonial, económica y sexual a las mujeres, dentro o fuera del domicilio familiar, cuyo agresor tenga o haya tenido relación de parentesco por consanguinidad o </w:t>
      </w:r>
      <w:r w:rsidRPr="00B80987">
        <w:rPr>
          <w:rFonts w:ascii="Arial" w:eastAsia="Calibri" w:hAnsi="Arial" w:cs="Arial"/>
          <w:sz w:val="24"/>
          <w:szCs w:val="24"/>
        </w:rPr>
        <w:lastRenderedPageBreak/>
        <w:t xml:space="preserve">afinidad de matrimonio, concubinato o mantengan o hayan mantenido una relación de hecho” </w:t>
      </w:r>
      <w:r w:rsidRPr="00B80987">
        <w:rPr>
          <w:rFonts w:ascii="Arial" w:eastAsia="Calibri" w:hAnsi="Arial" w:cs="Arial"/>
          <w:sz w:val="24"/>
          <w:szCs w:val="24"/>
          <w:lang w:val="es-ES_tradnl"/>
        </w:rPr>
        <w:t>(Cámara de Diputados del H. Congreso de la Unión, 2018, p. 3).</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2. Denuncia: “</w:t>
      </w:r>
      <w:r w:rsidRPr="00B80987">
        <w:rPr>
          <w:rFonts w:ascii="Arial" w:eastAsia="Calibri" w:hAnsi="Arial" w:cs="Arial"/>
        </w:rPr>
        <w:t>D</w:t>
      </w:r>
      <w:r w:rsidRPr="00B80987">
        <w:rPr>
          <w:rFonts w:ascii="Arial" w:eastAsia="Calibri" w:hAnsi="Arial" w:cs="Arial"/>
          <w:sz w:val="24"/>
          <w:szCs w:val="24"/>
        </w:rPr>
        <w:t>eclaración que ponga en conocimiento a la autoridad sobre algún hecho que pueda ser considerado como ilícito. Esta se puede presentar de forma </w:t>
      </w:r>
      <w:r w:rsidRPr="00B80987">
        <w:rPr>
          <w:rFonts w:ascii="Arial" w:eastAsia="Calibri" w:hAnsi="Arial" w:cs="Arial"/>
          <w:bCs/>
          <w:sz w:val="24"/>
          <w:szCs w:val="24"/>
        </w:rPr>
        <w:t>escrita o verbal</w:t>
      </w:r>
      <w:r w:rsidRPr="00B80987">
        <w:rPr>
          <w:rFonts w:ascii="Arial" w:eastAsia="Calibri" w:hAnsi="Arial" w:cs="Arial"/>
          <w:sz w:val="24"/>
          <w:szCs w:val="24"/>
        </w:rPr>
        <w:t>. En materia penal, todos los </w:t>
      </w:r>
      <w:r w:rsidRPr="00B80987">
        <w:rPr>
          <w:rFonts w:ascii="Arial" w:eastAsia="Calibri" w:hAnsi="Arial" w:cs="Arial"/>
          <w:bCs/>
          <w:sz w:val="24"/>
          <w:szCs w:val="24"/>
        </w:rPr>
        <w:t>delitos que se persiguen de oficio</w:t>
      </w:r>
      <w:r w:rsidRPr="00B80987">
        <w:rPr>
          <w:rFonts w:ascii="Arial" w:eastAsia="Calibri" w:hAnsi="Arial" w:cs="Arial"/>
          <w:sz w:val="24"/>
          <w:szCs w:val="24"/>
        </w:rPr>
        <w:t> la denuncia resulta de suma importancia, ya que al conocer los hechos delictivos el </w:t>
      </w:r>
      <w:r w:rsidRPr="00B80987">
        <w:rPr>
          <w:rFonts w:ascii="Arial" w:eastAsia="Calibri" w:hAnsi="Arial" w:cs="Arial"/>
          <w:bCs/>
          <w:sz w:val="24"/>
          <w:szCs w:val="24"/>
        </w:rPr>
        <w:t>ministerio público</w:t>
      </w:r>
      <w:r w:rsidRPr="00B80987">
        <w:rPr>
          <w:rFonts w:ascii="Arial" w:eastAsia="Calibri" w:hAnsi="Arial" w:cs="Arial"/>
          <w:sz w:val="24"/>
          <w:szCs w:val="24"/>
        </w:rPr>
        <w:t> emprende la respectiva </w:t>
      </w:r>
      <w:r w:rsidRPr="00B80987">
        <w:rPr>
          <w:rFonts w:ascii="Arial" w:eastAsia="Calibri" w:hAnsi="Arial" w:cs="Arial"/>
          <w:bCs/>
          <w:sz w:val="24"/>
          <w:szCs w:val="24"/>
        </w:rPr>
        <w:t>averiguación</w:t>
      </w:r>
      <w:r w:rsidRPr="00B80987">
        <w:rPr>
          <w:rFonts w:ascii="Arial" w:eastAsia="Calibri" w:hAnsi="Arial" w:cs="Arial"/>
          <w:sz w:val="24"/>
          <w:szCs w:val="24"/>
        </w:rPr>
        <w:t> para subsecuentemente, si es procedente, ejercer la </w:t>
      </w:r>
      <w:r w:rsidRPr="00B80987">
        <w:rPr>
          <w:rFonts w:ascii="Arial" w:eastAsia="Calibri" w:hAnsi="Arial" w:cs="Arial"/>
          <w:bCs/>
          <w:sz w:val="24"/>
          <w:szCs w:val="24"/>
        </w:rPr>
        <w:t>acción penal” (Derecho Mexicano, 2017, párr. 1)</w:t>
      </w:r>
      <w:r w:rsidRPr="00B80987">
        <w:rPr>
          <w:rFonts w:ascii="Arial" w:eastAsia="Calibri" w:hAnsi="Arial" w:cs="Arial"/>
          <w:sz w:val="24"/>
          <w:szCs w:val="24"/>
        </w:rPr>
        <w:t>.</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3. Identidad</w:t>
      </w:r>
      <w:r w:rsidRPr="00B80987">
        <w:rPr>
          <w:rFonts w:ascii="Calibri" w:eastAsia="Calibri" w:hAnsi="Calibri" w:cs="Times New Roman"/>
          <w:sz w:val="24"/>
          <w:szCs w:val="24"/>
        </w:rPr>
        <w:t xml:space="preserve">: </w:t>
      </w:r>
      <w:r w:rsidRPr="00B80987">
        <w:rPr>
          <w:rFonts w:ascii="Arial" w:eastAsia="Calibri" w:hAnsi="Arial" w:cs="Arial"/>
          <w:sz w:val="24"/>
          <w:szCs w:val="24"/>
        </w:rPr>
        <w:t>“Aspectos o características que permiten diferenciarse de otras personas y a la vez ubicarse como parte de un grupo ante el reconocimiento de rasgos o comportamientos que sirven de referencia.” (Rocha, 2009, p. 251).</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Para dar respuesta a estas preguntas se utilizó el método cualitativo fenomenológico</w:t>
      </w:r>
      <w:r w:rsidR="00CD7B7C">
        <w:rPr>
          <w:rFonts w:ascii="Arial" w:eastAsia="Calibri" w:hAnsi="Arial" w:cs="Arial"/>
          <w:sz w:val="24"/>
          <w:szCs w:val="24"/>
        </w:rPr>
        <w:t xml:space="preserve">. </w:t>
      </w:r>
      <w:r w:rsidRPr="00B80987">
        <w:rPr>
          <w:rFonts w:ascii="Arial" w:eastAsia="Calibri" w:hAnsi="Arial" w:cs="Arial"/>
          <w:sz w:val="24"/>
          <w:szCs w:val="24"/>
        </w:rPr>
        <w:t>Se llevaron a cabo entrevistas a profundidad, con 22 mujeres víctimas de violencia familiar, usuarias de la Agencia del Ministerio Público Especializada en Violencia Familiar y de Género de Texcoco, Estado de México. Simultáneamente, se elaboraron notas de campo, se registraron las conversaciones mediante grabaciones y diarios de campo.</w:t>
      </w:r>
    </w:p>
    <w:p w:rsidR="00B80987" w:rsidRPr="00B80987" w:rsidRDefault="00B80987" w:rsidP="00B80987">
      <w:pPr>
        <w:spacing w:line="240" w:lineRule="auto"/>
        <w:jc w:val="both"/>
        <w:rPr>
          <w:rFonts w:ascii="Arial" w:eastAsia="Calibri" w:hAnsi="Arial" w:cs="Arial"/>
          <w:b/>
        </w:rPr>
      </w:pPr>
      <w:r w:rsidRPr="00B80987">
        <w:rPr>
          <w:rFonts w:ascii="Arial" w:eastAsia="Calibri" w:hAnsi="Arial" w:cs="Arial"/>
          <w:b/>
        </w:rPr>
        <w:t>Muestra</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Dentro de los criterios de inclusión, las participantes debieron ser mexicanas, residentes del municipio de Texcoco, Estado de México, y alrededores, que realizaron la respectiva denuncia a sus cónyuges o ex cónyuges por el delito de violencia familiar entre julio de 2015 a la fecha de las entrevistas. En cuanto a los criterios de exclusión, no debían hacer uso de drogas ni de medicamentos para controlar el estado de ánimo. Todas las mujeres se encontraban bajo un proceso de atención psicológica y legal como usuarias de la institución. El muestreo fue intencional pues se eligieron las personas específicas dentro de la población a utilizar para esta investigación, cuyas características particulares fueron más capaces de contribuir a contestar la pregunta de investigación.</w:t>
      </w:r>
    </w:p>
    <w:p w:rsidR="00B80987" w:rsidRPr="00B80987" w:rsidRDefault="00B80987" w:rsidP="00B80987">
      <w:pPr>
        <w:spacing w:line="240" w:lineRule="auto"/>
        <w:jc w:val="both"/>
        <w:rPr>
          <w:rFonts w:ascii="Arial" w:eastAsia="Calibri" w:hAnsi="Arial" w:cs="Arial"/>
          <w:b/>
        </w:rPr>
      </w:pPr>
    </w:p>
    <w:p w:rsidR="00B80987" w:rsidRPr="00B80987" w:rsidRDefault="00B80987" w:rsidP="00B80987">
      <w:pPr>
        <w:spacing w:line="240" w:lineRule="auto"/>
        <w:jc w:val="both"/>
        <w:rPr>
          <w:rFonts w:ascii="Arial" w:eastAsia="Calibri" w:hAnsi="Arial" w:cs="Arial"/>
          <w:b/>
        </w:rPr>
      </w:pPr>
      <w:r w:rsidRPr="00B80987">
        <w:rPr>
          <w:rFonts w:ascii="Arial" w:eastAsia="Calibri" w:hAnsi="Arial" w:cs="Arial"/>
          <w:b/>
        </w:rPr>
        <w:t>Recolección de los datos</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Este estudio fue realizado en tres etapas. En las dos primeras etapas llevadas a cabo durante el año 2017, en Agencias del Ministerio Público Especializadas en Violencia Familiar y de Género del Estado de México, utilizando diferentes muestras de mujeres (primer muestra con 7 participantes, segunda muestra con 30 participantes) con los mismos criterios de inclusión y exclusión ya mencionados, se desarrollaron y aplicaron entrevistas en profundidad utilizando guías de tópicos que comprendían una temática general acerca de las transiciones identitarias de las mujeres que denunciaron violencia de pareja. De esta manera, se seleccionaron palabras o frases en las entrevistas, que describieron las particularidades de la experiencia estudiada, para agrupar las que tienen relación entre sí y formar grupos que revelaran la subjetividad de las personas investigadas (Álvarez-Gayou, 2009), </w:t>
      </w:r>
      <w:r w:rsidRPr="00B80987">
        <w:rPr>
          <w:rFonts w:ascii="Arial" w:eastAsia="Calibri" w:hAnsi="Arial" w:cs="Arial"/>
          <w:sz w:val="24"/>
          <w:szCs w:val="24"/>
        </w:rPr>
        <w:lastRenderedPageBreak/>
        <w:t>según las bases de un estudio fenomenológico. Para la realización de este proceso, se siguieron los pasos basados en el modelo de Giorgi (1997): obtención de datos verbales, lectura de los datos previa transcripción, agrupación de los mismos, organización y expresión desde diversas perspectivas teóricas y legales, síntesis de datos.</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Dicha labor condujo al desarrollo de una guía de tópicos final, para llevar a cabo la tercera etapa, que es la que se describe a continuación. Se solicitó nuevamente autorización a una Agencia del Ministerio Público Especializada en Violencia Familiar y de Género de Texcoco, Estado de México. Aceptaron participar 22 mujeres según los criterios de inclusión y exclusión establecidos con anterioridad.</w:t>
      </w:r>
    </w:p>
    <w:p w:rsid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Los aspectos éticos de esta investigación se atendieron a través de El Comité de Ética del Departamento de Psicología de la Universidad Iberoamericana, institución que apoya este estudio; además se encuentra con apego a la NOM-012-SSA Investigación para la Salud en Seres Humanos, y por medio de la firma del consentimiento informado</w:t>
      </w:r>
      <w:r w:rsidR="00CD7B7C">
        <w:rPr>
          <w:rFonts w:ascii="Arial" w:eastAsia="Calibri" w:hAnsi="Arial" w:cs="Arial"/>
          <w:sz w:val="24"/>
          <w:szCs w:val="24"/>
        </w:rPr>
        <w:t xml:space="preserve">. </w:t>
      </w:r>
      <w:r w:rsidRPr="00B80987">
        <w:rPr>
          <w:rFonts w:ascii="Arial" w:eastAsia="Calibri" w:hAnsi="Arial" w:cs="Arial"/>
          <w:sz w:val="24"/>
          <w:szCs w:val="24"/>
        </w:rPr>
        <w:t>Se establecieron citas específicas con las informantes para llevar a cabo las entrevistas, en las instalaciones de la dependencia pública. Las entrevistas a profundidad se llevaron a cabo mediante la utilización de la guía de tópicos (ver cuadro 1).  Se dio inicio a la entrevista con preguntas para establecer un clima de confianza, para posteriormente llevar a cabo la entrevista en profundidad.</w:t>
      </w:r>
    </w:p>
    <w:p w:rsidR="00CD7B7C" w:rsidRPr="00B80987" w:rsidRDefault="00CD7B7C" w:rsidP="00B80987">
      <w:pPr>
        <w:spacing w:line="240" w:lineRule="auto"/>
        <w:jc w:val="both"/>
        <w:rPr>
          <w:rFonts w:ascii="Arial" w:eastAsia="Calibri" w:hAnsi="Arial" w:cs="Arial"/>
          <w:sz w:val="24"/>
          <w:szCs w:val="24"/>
        </w:rPr>
      </w:pPr>
    </w:p>
    <w:p w:rsidR="00B80987" w:rsidRPr="00B80987" w:rsidRDefault="00B80987" w:rsidP="00B80987">
      <w:pPr>
        <w:spacing w:line="240" w:lineRule="auto"/>
        <w:jc w:val="both"/>
        <w:rPr>
          <w:rFonts w:ascii="Arial" w:eastAsia="Calibri" w:hAnsi="Arial" w:cs="Arial"/>
        </w:rPr>
      </w:pPr>
      <w:r w:rsidRPr="00B80987">
        <w:rPr>
          <w:rFonts w:ascii="Arial" w:eastAsia="Calibri" w:hAnsi="Arial" w:cs="Arial"/>
        </w:rPr>
        <w:t>Cuadro 1. Guía de tópicos de la entrevista a profundidad por categorías de análisis.</w:t>
      </w:r>
    </w:p>
    <w:tbl>
      <w:tblPr>
        <w:tblStyle w:val="Tablanormal11"/>
        <w:tblW w:w="9924" w:type="dxa"/>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6569"/>
      </w:tblGrid>
      <w:tr w:rsidR="00B80987" w:rsidRPr="00B80987" w:rsidTr="00FC2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shd w:val="clear" w:color="auto" w:fill="FFFFFF"/>
          </w:tcPr>
          <w:p w:rsidR="00B80987" w:rsidRPr="00B80987" w:rsidRDefault="00B80987" w:rsidP="00B80987">
            <w:pPr>
              <w:jc w:val="center"/>
              <w:rPr>
                <w:rFonts w:ascii="Arial" w:eastAsia="Calibri" w:hAnsi="Arial" w:cs="Arial"/>
                <w:sz w:val="12"/>
                <w:szCs w:val="12"/>
                <w:u w:val="single"/>
              </w:rPr>
            </w:pPr>
            <w:r w:rsidRPr="00B80987">
              <w:rPr>
                <w:rFonts w:ascii="Arial" w:eastAsia="Calibri" w:hAnsi="Arial" w:cs="Arial"/>
                <w:sz w:val="12"/>
                <w:szCs w:val="12"/>
                <w:u w:val="single"/>
              </w:rPr>
              <w:t>CATEGORÍAS  DE ANÁLISIS</w:t>
            </w:r>
          </w:p>
        </w:tc>
        <w:tc>
          <w:tcPr>
            <w:tcW w:w="6569" w:type="dxa"/>
            <w:shd w:val="clear" w:color="auto" w:fill="FFFFFF"/>
          </w:tcPr>
          <w:p w:rsidR="00B80987" w:rsidRPr="00B80987" w:rsidRDefault="00B80987" w:rsidP="00B8098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u w:val="single"/>
              </w:rPr>
            </w:pPr>
            <w:r w:rsidRPr="00B80987">
              <w:rPr>
                <w:rFonts w:ascii="Arial" w:eastAsia="Calibri" w:hAnsi="Arial" w:cs="Arial"/>
                <w:sz w:val="12"/>
                <w:szCs w:val="12"/>
                <w:u w:val="single"/>
              </w:rPr>
              <w:t xml:space="preserve">PREGUNTAS DE LA ENTREVISTA A PROFUNDIDAD PARA MUJERES QUE DENUNCIARON </w:t>
            </w:r>
          </w:p>
        </w:tc>
      </w:tr>
      <w:tr w:rsidR="00B80987" w:rsidRPr="00B80987" w:rsidTr="00FC2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shd w:val="clear" w:color="auto" w:fill="FFFFFF"/>
          </w:tcPr>
          <w:p w:rsidR="00B80987" w:rsidRPr="00B80987" w:rsidRDefault="00B80987" w:rsidP="00B80987">
            <w:pPr>
              <w:rPr>
                <w:rFonts w:ascii="Arial" w:eastAsia="Calibri" w:hAnsi="Arial" w:cs="Arial"/>
                <w:sz w:val="12"/>
                <w:szCs w:val="12"/>
              </w:rPr>
            </w:pPr>
            <w:r w:rsidRPr="00B80987">
              <w:rPr>
                <w:rFonts w:ascii="Arial" w:eastAsia="Calibri" w:hAnsi="Arial" w:cs="Arial"/>
                <w:sz w:val="12"/>
                <w:szCs w:val="12"/>
              </w:rPr>
              <w:t>A. IDENTIFICACIÓN DE  DIFERENTES TIPOS DE VIOLENCIA DE PAREJA</w:t>
            </w: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r w:rsidRPr="00B80987">
              <w:rPr>
                <w:rFonts w:ascii="Arial" w:eastAsia="Calibri" w:hAnsi="Arial" w:cs="Arial"/>
                <w:sz w:val="12"/>
                <w:szCs w:val="12"/>
              </w:rPr>
              <w:t>B. MOTIVACIÓN HACIA LA DENUNCIA, EXPERIENCIAS ALREDEDOR DE ELLA, SEGUIMIENTO O DESISTIMIENTO DEL PROCESO JUDICIAL</w:t>
            </w: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ind w:left="720"/>
              <w:rPr>
                <w:rFonts w:ascii="Arial" w:eastAsia="Calibri" w:hAnsi="Arial" w:cs="Arial"/>
                <w:sz w:val="12"/>
                <w:szCs w:val="12"/>
              </w:rPr>
            </w:pPr>
          </w:p>
          <w:p w:rsidR="00B80987" w:rsidRPr="00B80987" w:rsidRDefault="00B80987" w:rsidP="00B80987">
            <w:pPr>
              <w:rPr>
                <w:rFonts w:ascii="Arial" w:eastAsia="Calibri" w:hAnsi="Arial" w:cs="Arial"/>
                <w:sz w:val="12"/>
                <w:szCs w:val="12"/>
              </w:rPr>
            </w:pPr>
            <w:r w:rsidRPr="00B80987">
              <w:rPr>
                <w:rFonts w:ascii="Arial" w:eastAsia="Calibri" w:hAnsi="Arial" w:cs="Arial"/>
                <w:sz w:val="12"/>
                <w:szCs w:val="12"/>
              </w:rPr>
              <w:t>C.  ASPECTOS</w:t>
            </w:r>
            <w:r w:rsidRPr="00B80987">
              <w:rPr>
                <w:rFonts w:ascii="Arial" w:eastAsia="Calibri" w:hAnsi="Arial" w:cs="Arial"/>
                <w:color w:val="FF0000"/>
                <w:sz w:val="12"/>
                <w:szCs w:val="12"/>
              </w:rPr>
              <w:t xml:space="preserve"> </w:t>
            </w:r>
            <w:r w:rsidRPr="00B80987">
              <w:rPr>
                <w:rFonts w:ascii="Arial" w:eastAsia="Calibri" w:hAnsi="Arial" w:cs="Arial"/>
                <w:sz w:val="12"/>
                <w:szCs w:val="12"/>
              </w:rPr>
              <w:t>COGNITIVOS, CONDUCTUALES, AFECTIVOS Y EXPECTATIVAS A FUTURO DE LAS MUJERES QUE REALIZARON LA DENUNCIA A SU PAREJA</w:t>
            </w:r>
          </w:p>
          <w:p w:rsidR="00B80987" w:rsidRPr="00B80987" w:rsidRDefault="00B80987" w:rsidP="00B80987">
            <w:pPr>
              <w:rPr>
                <w:rFonts w:ascii="Arial" w:eastAsia="Calibri" w:hAnsi="Arial" w:cs="Arial"/>
                <w:sz w:val="12"/>
                <w:szCs w:val="12"/>
              </w:rPr>
            </w:pPr>
          </w:p>
          <w:p w:rsidR="00B80987" w:rsidRPr="00B80987" w:rsidRDefault="00B80987" w:rsidP="00B80987">
            <w:pPr>
              <w:rPr>
                <w:rFonts w:ascii="Arial" w:eastAsia="Calibri" w:hAnsi="Arial" w:cs="Arial"/>
                <w:sz w:val="12"/>
                <w:szCs w:val="12"/>
              </w:rPr>
            </w:pPr>
          </w:p>
          <w:p w:rsidR="00B80987" w:rsidRPr="00B80987" w:rsidRDefault="00B80987" w:rsidP="00B80987">
            <w:pPr>
              <w:ind w:left="720"/>
              <w:rPr>
                <w:rFonts w:ascii="Arial" w:eastAsia="Calibri" w:hAnsi="Arial" w:cs="Arial"/>
                <w:sz w:val="12"/>
                <w:szCs w:val="12"/>
              </w:rPr>
            </w:pPr>
          </w:p>
        </w:tc>
        <w:tc>
          <w:tcPr>
            <w:tcW w:w="6569" w:type="dxa"/>
            <w:shd w:val="clear" w:color="auto" w:fill="FFFFFF"/>
          </w:tcPr>
          <w:p w:rsidR="00B80987" w:rsidRPr="00B80987" w:rsidRDefault="00B80987" w:rsidP="00B8098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¿Recuerda el primer episodio de violencia de su esposo hacia usted?</w:t>
            </w:r>
          </w:p>
          <w:p w:rsidR="00B80987" w:rsidRPr="00B80987" w:rsidRDefault="00B80987" w:rsidP="00B8098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¿Cuándo sucedió?</w:t>
            </w:r>
          </w:p>
          <w:p w:rsidR="00B80987" w:rsidRPr="00B80987" w:rsidRDefault="00B80987" w:rsidP="00B8098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¿Ha recibido otro u otros tipos de violencia por parte de su esposo?</w:t>
            </w:r>
          </w:p>
          <w:p w:rsidR="00B80987" w:rsidRPr="00B80987" w:rsidRDefault="00B80987" w:rsidP="00B8098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¿Cómo sucedieron?</w:t>
            </w:r>
          </w:p>
          <w:p w:rsidR="00B80987" w:rsidRPr="00B80987" w:rsidRDefault="00B80987" w:rsidP="00B8098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¿Con qué frecuencia ocurría o sigue ocurriendo?</w:t>
            </w:r>
          </w:p>
          <w:p w:rsidR="00B80987" w:rsidRPr="00B80987" w:rsidRDefault="00B80987" w:rsidP="00B8098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¿Cómo ha sido para usted vivir violencia por parte de su pareja?</w:t>
            </w:r>
          </w:p>
          <w:p w:rsidR="00B80987" w:rsidRPr="00B80987" w:rsidRDefault="00B80987" w:rsidP="00B8098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¿Su pareja o expareja la sigue molestando de alguna forma después de haber presentado la denuncia?</w:t>
            </w:r>
          </w:p>
          <w:p w:rsidR="00B80987" w:rsidRPr="00B80987" w:rsidRDefault="00B80987" w:rsidP="00B80987">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p w:rsidR="00B80987" w:rsidRPr="00B80987" w:rsidRDefault="00B80987" w:rsidP="00B80987">
            <w:pPr>
              <w:numPr>
                <w:ilvl w:val="0"/>
                <w:numId w:val="1"/>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¿Qué la motivó a denunciar?</w:t>
            </w:r>
          </w:p>
          <w:p w:rsidR="00B80987" w:rsidRPr="00B80987" w:rsidRDefault="00B80987" w:rsidP="00B80987">
            <w:pPr>
              <w:numPr>
                <w:ilvl w:val="0"/>
                <w:numId w:val="1"/>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¿A dónde acudió a realizar la denuncia y cómo le fue?</w:t>
            </w:r>
          </w:p>
          <w:p w:rsidR="00B80987" w:rsidRPr="00B80987" w:rsidRDefault="00B80987" w:rsidP="00B80987">
            <w:pPr>
              <w:numPr>
                <w:ilvl w:val="0"/>
                <w:numId w:val="1"/>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¿En qué era su vida diferente antes de que decidiera denunciar a su pareja?</w:t>
            </w:r>
          </w:p>
          <w:p w:rsidR="00B80987" w:rsidRPr="00B80987" w:rsidRDefault="00B80987" w:rsidP="00B80987">
            <w:pPr>
              <w:numPr>
                <w:ilvl w:val="0"/>
                <w:numId w:val="1"/>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¿Qué cambios notó en su vida en general cuando denunció a su pareja?</w:t>
            </w:r>
          </w:p>
          <w:p w:rsidR="00B80987" w:rsidRPr="00B80987" w:rsidRDefault="00B80987" w:rsidP="00B80987">
            <w:pPr>
              <w:numPr>
                <w:ilvl w:val="0"/>
                <w:numId w:val="1"/>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¿En qué ha cambiado su vida después que denunció, hasta la fecha?</w:t>
            </w:r>
          </w:p>
          <w:p w:rsidR="00B80987" w:rsidRPr="00B80987" w:rsidRDefault="00B80987" w:rsidP="00B80987">
            <w:pPr>
              <w:numPr>
                <w:ilvl w:val="0"/>
                <w:numId w:val="1"/>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bCs/>
                <w:sz w:val="12"/>
                <w:szCs w:val="12"/>
              </w:rPr>
              <w:t>¿Cómo ha experimentado el seguimiento del proceso después de haber denunciado?</w:t>
            </w:r>
          </w:p>
          <w:p w:rsidR="00B80987" w:rsidRPr="00B80987" w:rsidRDefault="00B80987" w:rsidP="00B80987">
            <w:pPr>
              <w:numPr>
                <w:ilvl w:val="0"/>
                <w:numId w:val="1"/>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bCs/>
                <w:sz w:val="12"/>
                <w:szCs w:val="12"/>
              </w:rPr>
              <w:t>¿En qué etapa se encuentra del proceso judicial?</w:t>
            </w:r>
          </w:p>
          <w:p w:rsidR="00B80987" w:rsidRPr="00B80987" w:rsidRDefault="00B80987" w:rsidP="00B80987">
            <w:pPr>
              <w:numPr>
                <w:ilvl w:val="0"/>
                <w:numId w:val="1"/>
              </w:num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2"/>
                <w:szCs w:val="12"/>
              </w:rPr>
            </w:pPr>
            <w:r w:rsidRPr="00B80987">
              <w:rPr>
                <w:rFonts w:ascii="Arial" w:eastAsia="Calibri" w:hAnsi="Arial" w:cs="Arial"/>
                <w:bCs/>
                <w:sz w:val="12"/>
                <w:szCs w:val="12"/>
              </w:rPr>
              <w:t>¿Piensa llegar hasta el final del proceso? ¿Por qué?</w:t>
            </w:r>
          </w:p>
          <w:p w:rsidR="00B80987" w:rsidRPr="00B80987" w:rsidRDefault="00B80987" w:rsidP="00B80987">
            <w:pPr>
              <w:ind w:left="720"/>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2"/>
                <w:szCs w:val="12"/>
              </w:rPr>
            </w:pPr>
          </w:p>
          <w:p w:rsidR="00B80987" w:rsidRPr="00B80987" w:rsidRDefault="00B80987" w:rsidP="00B80987">
            <w:pPr>
              <w:numPr>
                <w:ilvl w:val="0"/>
                <w:numId w:val="6"/>
              </w:num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2"/>
                <w:szCs w:val="12"/>
                <w:u w:val="single"/>
              </w:rPr>
            </w:pPr>
            <w:r w:rsidRPr="00B80987">
              <w:rPr>
                <w:rFonts w:ascii="Arial" w:eastAsia="Calibri" w:hAnsi="Arial" w:cs="Arial"/>
                <w:b/>
                <w:sz w:val="12"/>
                <w:szCs w:val="12"/>
                <w:u w:val="single"/>
              </w:rPr>
              <w:t>COGNITIVAS:</w:t>
            </w:r>
          </w:p>
          <w:p w:rsidR="00B80987" w:rsidRPr="00B80987" w:rsidRDefault="00B80987" w:rsidP="00B80987">
            <w:pPr>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2"/>
                <w:szCs w:val="12"/>
              </w:rPr>
            </w:pPr>
            <w:r w:rsidRPr="00B80987">
              <w:rPr>
                <w:rFonts w:ascii="Arial" w:eastAsia="Calibri" w:hAnsi="Arial" w:cs="Arial"/>
                <w:sz w:val="12"/>
                <w:szCs w:val="12"/>
              </w:rPr>
              <w:t>¿Cómo se ve a sí misma?</w:t>
            </w:r>
          </w:p>
          <w:p w:rsidR="00B80987" w:rsidRPr="00B80987" w:rsidRDefault="00B80987" w:rsidP="00B80987">
            <w:pPr>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¿Cómo se ve a sí misma como pareja?</w:t>
            </w:r>
          </w:p>
          <w:p w:rsidR="00B80987" w:rsidRPr="00B80987" w:rsidRDefault="00B80987" w:rsidP="00B80987">
            <w:pPr>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¿Cómo se ve a sí misma como hija?</w:t>
            </w:r>
          </w:p>
          <w:p w:rsidR="00B80987" w:rsidRPr="00B80987" w:rsidRDefault="00B80987" w:rsidP="00B80987">
            <w:pPr>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¿Cómo se ve a sí misma como madre?</w:t>
            </w:r>
          </w:p>
          <w:p w:rsidR="00B80987" w:rsidRPr="00B80987" w:rsidRDefault="00B80987" w:rsidP="00B80987">
            <w:pPr>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¿Cómo se percibe con respecto a otras mujeres que pudieran estar viviendo una situación similar a la suya?</w:t>
            </w:r>
          </w:p>
          <w:p w:rsidR="00B80987" w:rsidRPr="00B80987" w:rsidRDefault="00B80987" w:rsidP="00B80987">
            <w:pPr>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Después de haber denunciado, ¿Ha notado cambios en su forma de ser y de actuar?</w:t>
            </w:r>
          </w:p>
          <w:p w:rsidR="00B80987" w:rsidRPr="00B80987" w:rsidRDefault="00B80987" w:rsidP="00B80987">
            <w:pPr>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u w:val="single"/>
              </w:rPr>
            </w:pPr>
            <w:r w:rsidRPr="00B80987">
              <w:rPr>
                <w:rFonts w:ascii="Arial" w:eastAsia="Calibri" w:hAnsi="Arial" w:cs="Arial"/>
                <w:sz w:val="12"/>
                <w:szCs w:val="12"/>
              </w:rPr>
              <w:t xml:space="preserve">¿Cómo percibe hoy su calidad de vida? </w:t>
            </w:r>
          </w:p>
          <w:p w:rsidR="00B80987" w:rsidRPr="00B80987" w:rsidRDefault="00B80987" w:rsidP="00B80987">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p w:rsidR="00B80987" w:rsidRPr="00B80987" w:rsidRDefault="00B80987" w:rsidP="00B80987">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u w:val="single"/>
              </w:rPr>
            </w:pPr>
          </w:p>
          <w:p w:rsidR="00B80987" w:rsidRPr="00B80987" w:rsidRDefault="00B80987" w:rsidP="00B80987">
            <w:pPr>
              <w:numPr>
                <w:ilvl w:val="0"/>
                <w:numId w:val="6"/>
              </w:num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2"/>
                <w:szCs w:val="12"/>
                <w:u w:val="single"/>
              </w:rPr>
            </w:pPr>
            <w:r w:rsidRPr="00B80987">
              <w:rPr>
                <w:rFonts w:ascii="Arial" w:eastAsia="Calibri" w:hAnsi="Arial" w:cs="Arial"/>
                <w:b/>
                <w:sz w:val="12"/>
                <w:szCs w:val="12"/>
                <w:u w:val="single"/>
              </w:rPr>
              <w:t>CONDUCTUALES:</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 xml:space="preserve">¿Considera que ha habido cambios en su vida y relaciones a partir de la denuncia de violencia de pareja? </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Si es así, ¿Cuáles han sido para usted los principales cambios?</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¿Ha notado cambios en el cuidado de su salud y arreglo personal?</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¿Ha notado cambios en su vida laboral?</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¿Ha notado cambios en su vida escolar?</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¿Identifica cambios en su trato hacia su pareja o ex pareja?</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¿Identifica cambios en su trato hacia sus padres?</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¿Identifica cambios en su trato hacia sus hermanos?</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¿Identifica cambios en su trato hacia sus hijos?</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¿identifica cambios en su trato hacia sus amistades?</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¿Ha cambiado de hábitos o intereses de la vida cotidiana?</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Derivado de lo anterior, ¿Ha tomado decisiones después de haber denunciado?</w:t>
            </w:r>
          </w:p>
          <w:p w:rsidR="00B80987" w:rsidRPr="00B80987" w:rsidRDefault="00B80987" w:rsidP="00B8098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Si es así, ¿Qué ha decidido?</w:t>
            </w:r>
          </w:p>
          <w:p w:rsidR="00B80987" w:rsidRPr="00B80987" w:rsidRDefault="00B80987" w:rsidP="00B80987">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p w:rsidR="00B80987" w:rsidRPr="00B80987" w:rsidRDefault="00B80987" w:rsidP="00B80987">
            <w:pPr>
              <w:numPr>
                <w:ilvl w:val="0"/>
                <w:numId w:val="6"/>
              </w:num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2"/>
                <w:szCs w:val="12"/>
                <w:u w:val="single"/>
              </w:rPr>
            </w:pPr>
            <w:r w:rsidRPr="00B80987">
              <w:rPr>
                <w:rFonts w:ascii="Arial" w:eastAsia="Calibri" w:hAnsi="Arial" w:cs="Arial"/>
                <w:b/>
                <w:sz w:val="12"/>
                <w:szCs w:val="12"/>
                <w:u w:val="single"/>
              </w:rPr>
              <w:t>AFECTIVAS:</w:t>
            </w:r>
          </w:p>
          <w:p w:rsidR="00B80987" w:rsidRPr="00B80987" w:rsidRDefault="00B80987" w:rsidP="00B80987">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¿Cómo se ha sentido desde la denuncia?</w:t>
            </w:r>
          </w:p>
          <w:p w:rsidR="00B80987" w:rsidRPr="00B80987" w:rsidRDefault="00B80987" w:rsidP="00B80987">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¿Cómo se ha sentido ante las reacciones o actitudes de sus familiares por haber denunciado?</w:t>
            </w:r>
          </w:p>
          <w:p w:rsidR="00B80987" w:rsidRPr="00B80987" w:rsidRDefault="00B80987" w:rsidP="00B80987">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¿Qué actitudes o reacciones de sus familiares le son más difíciles de afrontar?</w:t>
            </w:r>
          </w:p>
          <w:p w:rsidR="00B80987" w:rsidRPr="00B80987" w:rsidRDefault="00B80987" w:rsidP="00B80987">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¿Cómo se hace cargo de las emociones o sentimientos que experimenta desde la denuncia?</w:t>
            </w:r>
          </w:p>
          <w:p w:rsidR="00B80987" w:rsidRPr="00B80987" w:rsidRDefault="00B80987" w:rsidP="00B80987">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p w:rsidR="00B80987" w:rsidRPr="00B80987" w:rsidRDefault="00B80987" w:rsidP="00B80987">
            <w:p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2"/>
                <w:szCs w:val="12"/>
              </w:rPr>
            </w:pPr>
            <w:r w:rsidRPr="00B80987">
              <w:rPr>
                <w:rFonts w:ascii="Arial" w:eastAsia="Calibri" w:hAnsi="Arial" w:cs="Arial"/>
                <w:b/>
                <w:sz w:val="12"/>
                <w:szCs w:val="12"/>
              </w:rPr>
              <w:t xml:space="preserve">         IV.         </w:t>
            </w:r>
            <w:r w:rsidRPr="00B80987">
              <w:rPr>
                <w:rFonts w:ascii="Arial" w:eastAsia="Calibri" w:hAnsi="Arial" w:cs="Arial"/>
                <w:b/>
                <w:sz w:val="12"/>
                <w:szCs w:val="12"/>
                <w:u w:val="single"/>
              </w:rPr>
              <w:t>EXPECTATIVAS A FUTURO:</w:t>
            </w:r>
          </w:p>
          <w:p w:rsidR="00B80987" w:rsidRPr="00B80987" w:rsidRDefault="00B80987" w:rsidP="00B80987">
            <w:pPr>
              <w:numPr>
                <w:ilvl w:val="0"/>
                <w:numId w:val="5"/>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Si se pudiera pedir un milagro con respecto a la situación en la cual se encuentra después de haber presentado la denuncia, ¿Qué pediría?</w:t>
            </w:r>
          </w:p>
          <w:p w:rsidR="00B80987" w:rsidRPr="00B80987" w:rsidRDefault="00B80987" w:rsidP="00B80987">
            <w:pPr>
              <w:numPr>
                <w:ilvl w:val="0"/>
                <w:numId w:val="5"/>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¿Cómo se imagina a sí misma dentro de tres años?</w:t>
            </w:r>
          </w:p>
          <w:p w:rsidR="00B80987" w:rsidRPr="00B80987" w:rsidRDefault="00B80987" w:rsidP="00B80987">
            <w:pPr>
              <w:numPr>
                <w:ilvl w:val="0"/>
                <w:numId w:val="5"/>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B80987">
              <w:rPr>
                <w:rFonts w:ascii="Arial" w:eastAsia="Calibri" w:hAnsi="Arial" w:cs="Arial"/>
                <w:sz w:val="12"/>
                <w:szCs w:val="12"/>
              </w:rPr>
              <w:t>¿Cómo se imagina a sí misma dentro de diez años?</w:t>
            </w:r>
          </w:p>
        </w:tc>
      </w:tr>
    </w:tbl>
    <w:p w:rsidR="00B80987" w:rsidRPr="00B80987" w:rsidRDefault="00B80987" w:rsidP="00B80987">
      <w:pPr>
        <w:spacing w:line="240" w:lineRule="auto"/>
        <w:jc w:val="both"/>
        <w:rPr>
          <w:rFonts w:ascii="Arial" w:eastAsia="Calibri" w:hAnsi="Arial" w:cs="Arial"/>
          <w:b/>
          <w:sz w:val="24"/>
          <w:szCs w:val="24"/>
        </w:rPr>
      </w:pPr>
      <w:r w:rsidRPr="00B80987">
        <w:rPr>
          <w:rFonts w:ascii="Arial" w:eastAsia="Calibri" w:hAnsi="Arial" w:cs="Arial"/>
          <w:noProof/>
          <w:lang w:eastAsia="es-MX"/>
        </w:rPr>
        <w:lastRenderedPageBreak/>
        <mc:AlternateContent>
          <mc:Choice Requires="wps">
            <w:drawing>
              <wp:anchor distT="45720" distB="45720" distL="114300" distR="114300" simplePos="0" relativeHeight="251659264" behindDoc="0" locked="0" layoutInCell="1" allowOverlap="1" wp14:anchorId="2976A98F" wp14:editId="4853ADE9">
                <wp:simplePos x="0" y="0"/>
                <wp:positionH relativeFrom="margin">
                  <wp:align>center</wp:align>
                </wp:positionH>
                <wp:positionV relativeFrom="paragraph">
                  <wp:posOffset>102405</wp:posOffset>
                </wp:positionV>
                <wp:extent cx="6383020" cy="328930"/>
                <wp:effectExtent l="0" t="0" r="17780" b="139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328930"/>
                        </a:xfrm>
                        <a:prstGeom prst="rect">
                          <a:avLst/>
                        </a:prstGeom>
                        <a:solidFill>
                          <a:srgbClr val="FFFFFF"/>
                        </a:solidFill>
                        <a:ln w="9525">
                          <a:solidFill>
                            <a:sysClr val="window" lastClr="FFFFFF"/>
                          </a:solidFill>
                          <a:miter lim="800000"/>
                          <a:headEnd/>
                          <a:tailEnd/>
                        </a:ln>
                      </wps:spPr>
                      <wps:txbx>
                        <w:txbxContent>
                          <w:p w:rsidR="00FC2153" w:rsidRDefault="00FC2153" w:rsidP="00B80987">
                            <w:pPr>
                              <w:rPr>
                                <w:rFonts w:ascii="Calibri" w:eastAsia="Calibri" w:hAnsi="Calibri" w:cs="Times New Roman"/>
                              </w:rPr>
                            </w:pPr>
                            <w:r>
                              <w:rPr>
                                <w:rFonts w:ascii="Arial" w:eastAsia="Calibri" w:hAnsi="Arial" w:cs="Arial"/>
                                <w:sz w:val="16"/>
                                <w:szCs w:val="16"/>
                              </w:rPr>
                              <w:t>Nota: L</w:t>
                            </w:r>
                            <w:r w:rsidRPr="00C8061B">
                              <w:rPr>
                                <w:rFonts w:ascii="Arial" w:eastAsia="Calibri" w:hAnsi="Arial" w:cs="Arial"/>
                                <w:sz w:val="16"/>
                                <w:szCs w:val="16"/>
                              </w:rPr>
                              <w:t>as entrevistas</w:t>
                            </w:r>
                            <w:r>
                              <w:rPr>
                                <w:rFonts w:ascii="Arial" w:eastAsia="Calibri" w:hAnsi="Arial" w:cs="Arial"/>
                                <w:sz w:val="16"/>
                                <w:szCs w:val="16"/>
                              </w:rPr>
                              <w:t xml:space="preserve"> se complementaron</w:t>
                            </w:r>
                            <w:r w:rsidRPr="00C8061B">
                              <w:rPr>
                                <w:rFonts w:ascii="Arial" w:eastAsia="Calibri" w:hAnsi="Arial" w:cs="Arial"/>
                                <w:sz w:val="16"/>
                                <w:szCs w:val="16"/>
                              </w:rPr>
                              <w:t xml:space="preserve"> con un diario de campo. La entrevistadora cuenta con entrenamiento previo en el manejo de familias y violencia familiar y/o de pareja y es residente de </w:t>
                            </w:r>
                            <w:r>
                              <w:rPr>
                                <w:rFonts w:ascii="Arial" w:eastAsia="Calibri" w:hAnsi="Arial" w:cs="Arial"/>
                                <w:sz w:val="16"/>
                                <w:szCs w:val="16"/>
                              </w:rPr>
                              <w:t>la zona de estudio.</w:t>
                            </w:r>
                          </w:p>
                          <w:p w:rsidR="00FC2153" w:rsidRDefault="00FC2153" w:rsidP="00B809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6A98F" id="_x0000_t202" coordsize="21600,21600" o:spt="202" path="m,l,21600r21600,l21600,xe">
                <v:stroke joinstyle="miter"/>
                <v:path gradientshapeok="t" o:connecttype="rect"/>
              </v:shapetype>
              <v:shape id="Cuadro de texto 2" o:spid="_x0000_s1026" type="#_x0000_t202" style="position:absolute;left:0;text-align:left;margin-left:0;margin-top:8.05pt;width:502.6pt;height:25.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" strokecolor="window">
                <v:textbox>
                  <w:txbxContent>
                    <w:p w:rsidR="00FC2153" w:rsidRDefault="00FC2153" w:rsidP="00B80987">
                      <w:pPr>
                        <w:rPr>
                          <w:rFonts w:ascii="Calibri" w:eastAsia="Calibri" w:hAnsi="Calibri" w:cs="Times New Roman"/>
                        </w:rPr>
                      </w:pPr>
                      <w:r>
                        <w:rPr>
                          <w:rFonts w:ascii="Arial" w:eastAsia="Calibri" w:hAnsi="Arial" w:cs="Arial"/>
                          <w:sz w:val="16"/>
                          <w:szCs w:val="16"/>
                        </w:rPr>
                        <w:t>Nota: L</w:t>
                      </w:r>
                      <w:r w:rsidRPr="00C8061B">
                        <w:rPr>
                          <w:rFonts w:ascii="Arial" w:eastAsia="Calibri" w:hAnsi="Arial" w:cs="Arial"/>
                          <w:sz w:val="16"/>
                          <w:szCs w:val="16"/>
                        </w:rPr>
                        <w:t>as entrevistas</w:t>
                      </w:r>
                      <w:r>
                        <w:rPr>
                          <w:rFonts w:ascii="Arial" w:eastAsia="Calibri" w:hAnsi="Arial" w:cs="Arial"/>
                          <w:sz w:val="16"/>
                          <w:szCs w:val="16"/>
                        </w:rPr>
                        <w:t xml:space="preserve"> se complementaron</w:t>
                      </w:r>
                      <w:r w:rsidRPr="00C8061B">
                        <w:rPr>
                          <w:rFonts w:ascii="Arial" w:eastAsia="Calibri" w:hAnsi="Arial" w:cs="Arial"/>
                          <w:sz w:val="16"/>
                          <w:szCs w:val="16"/>
                        </w:rPr>
                        <w:t xml:space="preserve"> con un diario de campo. La entrevistadora cuenta con entrenamiento previo en el manejo de familias y violencia familiar y/o de pareja y es residente de </w:t>
                      </w:r>
                      <w:r>
                        <w:rPr>
                          <w:rFonts w:ascii="Arial" w:eastAsia="Calibri" w:hAnsi="Arial" w:cs="Arial"/>
                          <w:sz w:val="16"/>
                          <w:szCs w:val="16"/>
                        </w:rPr>
                        <w:t>la zona de estudio.</w:t>
                      </w:r>
                    </w:p>
                    <w:p w:rsidR="00FC2153" w:rsidRDefault="00FC2153" w:rsidP="00B80987"/>
                  </w:txbxContent>
                </v:textbox>
                <w10:wrap type="square" anchorx="margin"/>
              </v:shape>
            </w:pict>
          </mc:Fallback>
        </mc:AlternateContent>
      </w:r>
    </w:p>
    <w:p w:rsidR="00B80987" w:rsidRPr="00B80987" w:rsidRDefault="00B80987" w:rsidP="00B80987">
      <w:pPr>
        <w:spacing w:line="240" w:lineRule="auto"/>
        <w:jc w:val="both"/>
        <w:rPr>
          <w:rFonts w:ascii="Arial" w:eastAsia="Calibri" w:hAnsi="Arial" w:cs="Arial"/>
          <w:b/>
        </w:rPr>
      </w:pPr>
      <w:r w:rsidRPr="00B80987">
        <w:rPr>
          <w:rFonts w:ascii="Arial" w:eastAsia="Calibri" w:hAnsi="Arial" w:cs="Arial"/>
          <w:b/>
        </w:rPr>
        <w:t>Análisis de datos</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El proceso de análisis de datos comenzó con la lectura cada entrevista varias veces cuidadosamente, por parte de la investigadora. Destacando las declaraciones relevantes para el propósito de la investigación a partir de la percepción de las</w:t>
      </w:r>
      <w:r w:rsidR="00CD7B7C">
        <w:rPr>
          <w:rFonts w:ascii="Arial" w:eastAsia="Calibri" w:hAnsi="Arial" w:cs="Arial"/>
          <w:sz w:val="24"/>
          <w:szCs w:val="24"/>
        </w:rPr>
        <w:t xml:space="preserve"> participantes, codificando en </w:t>
      </w:r>
      <w:r w:rsidRPr="00B80987">
        <w:rPr>
          <w:rFonts w:ascii="Arial" w:eastAsia="Calibri" w:hAnsi="Arial" w:cs="Arial"/>
          <w:sz w:val="24"/>
          <w:szCs w:val="24"/>
        </w:rPr>
        <w:t xml:space="preserve">temas y subcategorías. Las codificaciones dependieron de las mismas palabras utilizadas por las informantes y de conceptos creados para explicar las experiencias, desplegando la temática; complementando con notas de campo. Se elaboraron diagramas para ayudar a organizar temática y categorías. </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Para garantizar mayor objetividad en la investigación, la guía de entrevista fue revisada por dos especialistas en temas de violencia de género, así como las narraciones, codificaciones y categorizaciones. Cabe aclarar, que en las narraciones los nombres de todas las mujeres fueron cambiados para preservar su identidad.</w:t>
      </w:r>
    </w:p>
    <w:p w:rsidR="00B80987" w:rsidRPr="00B80987" w:rsidRDefault="00B80987" w:rsidP="00B80987">
      <w:pPr>
        <w:spacing w:line="240" w:lineRule="auto"/>
        <w:jc w:val="center"/>
        <w:rPr>
          <w:rFonts w:ascii="Arial" w:eastAsia="Calibri" w:hAnsi="Arial" w:cs="Arial"/>
          <w:b/>
          <w:sz w:val="24"/>
          <w:szCs w:val="24"/>
        </w:rPr>
      </w:pPr>
      <w:r w:rsidRPr="00B80987">
        <w:rPr>
          <w:rFonts w:ascii="Arial" w:eastAsia="Calibri" w:hAnsi="Arial" w:cs="Arial"/>
          <w:b/>
          <w:sz w:val="24"/>
          <w:szCs w:val="24"/>
        </w:rPr>
        <w:t>Resultados</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A continuación, se muestran los datos sociodemográficos de las mujeres que presentaron denuncia de violencia de pareja (ver tabla 1).</w:t>
      </w:r>
    </w:p>
    <w:p w:rsidR="00B80987" w:rsidRPr="00B80987" w:rsidRDefault="00B80987" w:rsidP="00B80987">
      <w:pPr>
        <w:spacing w:line="240" w:lineRule="auto"/>
        <w:jc w:val="both"/>
        <w:rPr>
          <w:rFonts w:ascii="Arial" w:eastAsia="Calibri" w:hAnsi="Arial" w:cs="Arial"/>
          <w:sz w:val="18"/>
          <w:szCs w:val="18"/>
        </w:rPr>
      </w:pPr>
      <w:r w:rsidRPr="00B80987">
        <w:rPr>
          <w:rFonts w:ascii="Arial" w:eastAsia="Calibri" w:hAnsi="Arial" w:cs="Arial"/>
          <w:sz w:val="18"/>
          <w:szCs w:val="18"/>
        </w:rPr>
        <w:t>Tabla 1. Datos sociodemográficos de las participantes.</w:t>
      </w:r>
    </w:p>
    <w:tbl>
      <w:tblPr>
        <w:tblStyle w:val="Tablaconcuadrcula"/>
        <w:tblW w:w="0" w:type="auto"/>
        <w:tblInd w:w="-142" w:type="dxa"/>
        <w:tblLook w:val="04A0" w:firstRow="1" w:lastRow="0" w:firstColumn="1" w:lastColumn="0" w:noHBand="0" w:noVBand="1"/>
      </w:tblPr>
      <w:tblGrid>
        <w:gridCol w:w="1031"/>
        <w:gridCol w:w="497"/>
        <w:gridCol w:w="643"/>
        <w:gridCol w:w="616"/>
        <w:gridCol w:w="810"/>
        <w:gridCol w:w="974"/>
        <w:gridCol w:w="844"/>
        <w:gridCol w:w="710"/>
        <w:gridCol w:w="703"/>
        <w:gridCol w:w="1450"/>
        <w:gridCol w:w="697"/>
      </w:tblGrid>
      <w:tr w:rsidR="00B80987" w:rsidRPr="00B80987" w:rsidTr="00FC2153">
        <w:tc>
          <w:tcPr>
            <w:tcW w:w="1031" w:type="dxa"/>
            <w:tcBorders>
              <w:top w:val="single" w:sz="4" w:space="0" w:color="auto"/>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Pseudónimo</w:t>
            </w:r>
          </w:p>
        </w:tc>
        <w:tc>
          <w:tcPr>
            <w:tcW w:w="497" w:type="dxa"/>
            <w:tcBorders>
              <w:top w:val="single" w:sz="4" w:space="0" w:color="auto"/>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Edad</w:t>
            </w:r>
          </w:p>
        </w:tc>
        <w:tc>
          <w:tcPr>
            <w:tcW w:w="643" w:type="dxa"/>
            <w:tcBorders>
              <w:top w:val="single" w:sz="4" w:space="0" w:color="auto"/>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Número</w:t>
            </w:r>
          </w:p>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de Hijos (as)</w:t>
            </w:r>
          </w:p>
        </w:tc>
        <w:tc>
          <w:tcPr>
            <w:tcW w:w="616" w:type="dxa"/>
            <w:tcBorders>
              <w:top w:val="single" w:sz="4" w:space="0" w:color="auto"/>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Edad de Hijos (as)</w:t>
            </w:r>
          </w:p>
        </w:tc>
        <w:tc>
          <w:tcPr>
            <w:tcW w:w="810" w:type="dxa"/>
            <w:tcBorders>
              <w:top w:val="single" w:sz="4" w:space="0" w:color="auto"/>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Lugar de Residencia</w:t>
            </w:r>
          </w:p>
        </w:tc>
        <w:tc>
          <w:tcPr>
            <w:tcW w:w="974" w:type="dxa"/>
            <w:tcBorders>
              <w:top w:val="single" w:sz="4" w:space="0" w:color="auto"/>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Ocupación</w:t>
            </w:r>
          </w:p>
        </w:tc>
        <w:tc>
          <w:tcPr>
            <w:tcW w:w="844" w:type="dxa"/>
            <w:tcBorders>
              <w:top w:val="single" w:sz="4" w:space="0" w:color="auto"/>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Escolaridad</w:t>
            </w:r>
          </w:p>
        </w:tc>
        <w:tc>
          <w:tcPr>
            <w:tcW w:w="710" w:type="dxa"/>
            <w:tcBorders>
              <w:top w:val="single" w:sz="4" w:space="0" w:color="auto"/>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Situación Marital</w:t>
            </w:r>
          </w:p>
        </w:tc>
        <w:tc>
          <w:tcPr>
            <w:tcW w:w="703" w:type="dxa"/>
            <w:tcBorders>
              <w:top w:val="single" w:sz="4" w:space="0" w:color="auto"/>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Tiempo Viviendo Violencia de Pareja</w:t>
            </w:r>
          </w:p>
        </w:tc>
        <w:tc>
          <w:tcPr>
            <w:tcW w:w="1450" w:type="dxa"/>
            <w:tcBorders>
              <w:top w:val="single" w:sz="4" w:space="0" w:color="auto"/>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Tipo(s) de Violencia</w:t>
            </w:r>
          </w:p>
        </w:tc>
        <w:tc>
          <w:tcPr>
            <w:tcW w:w="697" w:type="dxa"/>
            <w:tcBorders>
              <w:top w:val="single" w:sz="4" w:space="0" w:color="auto"/>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Continuó  Proceso Judicial</w:t>
            </w:r>
          </w:p>
        </w:tc>
      </w:tr>
      <w:tr w:rsidR="00B80987" w:rsidRPr="00B80987" w:rsidTr="00FC2153">
        <w:tc>
          <w:tcPr>
            <w:tcW w:w="1031" w:type="dxa"/>
            <w:tcBorders>
              <w:top w:val="single" w:sz="4" w:space="0" w:color="auto"/>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 LUPITA</w:t>
            </w:r>
          </w:p>
        </w:tc>
        <w:tc>
          <w:tcPr>
            <w:tcW w:w="497" w:type="dxa"/>
            <w:tcBorders>
              <w:top w:val="single" w:sz="4" w:space="0" w:color="auto"/>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28</w:t>
            </w:r>
          </w:p>
        </w:tc>
        <w:tc>
          <w:tcPr>
            <w:tcW w:w="643" w:type="dxa"/>
            <w:tcBorders>
              <w:top w:val="single" w:sz="4" w:space="0" w:color="auto"/>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w:t>
            </w:r>
          </w:p>
        </w:tc>
        <w:tc>
          <w:tcPr>
            <w:tcW w:w="616" w:type="dxa"/>
            <w:tcBorders>
              <w:top w:val="single" w:sz="4" w:space="0" w:color="auto"/>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8 y 6</w:t>
            </w:r>
          </w:p>
        </w:tc>
        <w:tc>
          <w:tcPr>
            <w:tcW w:w="810" w:type="dxa"/>
            <w:tcBorders>
              <w:top w:val="single" w:sz="4" w:space="0" w:color="auto"/>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Texcoco</w:t>
            </w:r>
          </w:p>
        </w:tc>
        <w:tc>
          <w:tcPr>
            <w:tcW w:w="974" w:type="dxa"/>
            <w:tcBorders>
              <w:top w:val="single" w:sz="4" w:space="0" w:color="auto"/>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exclusivamente hogar</w:t>
            </w:r>
          </w:p>
        </w:tc>
        <w:tc>
          <w:tcPr>
            <w:tcW w:w="844" w:type="dxa"/>
            <w:tcBorders>
              <w:top w:val="single" w:sz="4" w:space="0" w:color="auto"/>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secundaria</w:t>
            </w:r>
          </w:p>
        </w:tc>
        <w:tc>
          <w:tcPr>
            <w:tcW w:w="710" w:type="dxa"/>
            <w:tcBorders>
              <w:top w:val="single" w:sz="4" w:space="0" w:color="auto"/>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single" w:sz="4" w:space="0" w:color="auto"/>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6</w:t>
            </w:r>
          </w:p>
        </w:tc>
        <w:tc>
          <w:tcPr>
            <w:tcW w:w="1450" w:type="dxa"/>
            <w:tcBorders>
              <w:top w:val="single" w:sz="4" w:space="0" w:color="auto"/>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y económica</w:t>
            </w:r>
          </w:p>
        </w:tc>
        <w:tc>
          <w:tcPr>
            <w:tcW w:w="697" w:type="dxa"/>
            <w:tcBorders>
              <w:top w:val="single" w:sz="4" w:space="0" w:color="auto"/>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 IRMA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48</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3</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24, 22 y18</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 xml:space="preserve">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comerciante</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primaria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10</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y económica</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3. ALEJANDRA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30</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12 y 9</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Municipio aledaño a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exclusivamente hogar</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secundaria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5</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y económica</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4. MARTHA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52</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24 y 23</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Municipio aledaño a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comerciante</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secundaria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25</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y económica</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5. ESTELA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28</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3 y 1</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Municipio aledaño a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comerciante</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primaria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en pareja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4</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y económica</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6. JUANITA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50</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24 y 22</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Municipio aledaño a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empleada</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preparatoria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25</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económica y sexual</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7. CECILIA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52</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13</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Municipio aledaño a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exclusivamente hogar</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preparatoria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en pareja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22</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económica, patrimonial y sexual</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No</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8. SANJUANA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27</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0</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b/>
                <w:sz w:val="12"/>
                <w:szCs w:val="12"/>
              </w:rPr>
            </w:pP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Municipio aledaño a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estudiante</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preparatoria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y económica</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No</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9. BEATRIZ</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26</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4</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comerciante</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secundaria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5</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económica y sexual</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No</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lastRenderedPageBreak/>
              <w:t>10. SILVIA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24</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4 y 2</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Municipio aledaño a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exclusivamente hogar</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secundaria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en pareja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5</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y económica</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11. AMÉRICA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26</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0</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empleada</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secundaria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3</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económica, patrimonial y sexual</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12. KAREN</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29</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6 y 4</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Municipio aledaño a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empleada</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secundaria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6</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económica, patrimonial y sexual</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13. KENIA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22</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1</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empleada</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preparatoria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y económica</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No</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14. CAMELIA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30</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13 y 1</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Municipio aledaño a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exclusivamente hogar</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preparatoria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económica y patrimonial</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No</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15. YOLANDA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38</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3</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19, 15 y 12</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empleada</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secundaria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11</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económica y patrimonial</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16. LOURDES</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32</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6</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empleada</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licenciatura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5</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y económica</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No</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17. MARCELA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54</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4</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27, 25 y 19</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Municipio aledaño a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profesionista</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licenciatura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27</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y económica</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18. CITLALY</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21</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4</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Municipio aledaño a 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comerciante</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preparatoria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en pareja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y psicológica</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No</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19. MARÍA ELENA</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30</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4</w:t>
            </w: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comerciante</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secundaria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5</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y psicológica</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20. ITZEL</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26</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0</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profesionista</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licenciatura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económica y sexual</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21. MARLENE</w:t>
            </w:r>
          </w:p>
        </w:tc>
        <w:tc>
          <w:tcPr>
            <w:tcW w:w="4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19</w:t>
            </w:r>
          </w:p>
        </w:tc>
        <w:tc>
          <w:tcPr>
            <w:tcW w:w="64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0</w:t>
            </w:r>
          </w:p>
        </w:tc>
        <w:tc>
          <w:tcPr>
            <w:tcW w:w="616"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p>
        </w:tc>
        <w:tc>
          <w:tcPr>
            <w:tcW w:w="8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Texcoco</w:t>
            </w:r>
          </w:p>
        </w:tc>
        <w:tc>
          <w:tcPr>
            <w:tcW w:w="97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comerciante</w:t>
            </w:r>
          </w:p>
        </w:tc>
        <w:tc>
          <w:tcPr>
            <w:tcW w:w="844"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primaria</w:t>
            </w:r>
          </w:p>
        </w:tc>
        <w:tc>
          <w:tcPr>
            <w:tcW w:w="710"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separada</w:t>
            </w:r>
          </w:p>
        </w:tc>
        <w:tc>
          <w:tcPr>
            <w:tcW w:w="703"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4</w:t>
            </w:r>
          </w:p>
        </w:tc>
        <w:tc>
          <w:tcPr>
            <w:tcW w:w="1450" w:type="dxa"/>
            <w:tcBorders>
              <w:top w:val="nil"/>
              <w:left w:val="nil"/>
              <w:bottom w:val="nil"/>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económica, patrimonial y sexual</w:t>
            </w:r>
          </w:p>
        </w:tc>
        <w:tc>
          <w:tcPr>
            <w:tcW w:w="697" w:type="dxa"/>
            <w:tcBorders>
              <w:top w:val="nil"/>
              <w:left w:val="nil"/>
              <w:bottom w:val="nil"/>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Sí</w:t>
            </w:r>
          </w:p>
        </w:tc>
      </w:tr>
      <w:tr w:rsidR="00B80987" w:rsidRPr="00B80987" w:rsidTr="00FC2153">
        <w:tc>
          <w:tcPr>
            <w:tcW w:w="1031" w:type="dxa"/>
            <w:tcBorders>
              <w:top w:val="nil"/>
              <w:left w:val="nil"/>
              <w:bottom w:val="single" w:sz="4" w:space="0" w:color="auto"/>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22. AMELIA</w:t>
            </w:r>
          </w:p>
        </w:tc>
        <w:tc>
          <w:tcPr>
            <w:tcW w:w="497" w:type="dxa"/>
            <w:tcBorders>
              <w:top w:val="nil"/>
              <w:left w:val="nil"/>
              <w:bottom w:val="single" w:sz="4" w:space="0" w:color="auto"/>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43</w:t>
            </w:r>
          </w:p>
        </w:tc>
        <w:tc>
          <w:tcPr>
            <w:tcW w:w="643" w:type="dxa"/>
            <w:tcBorders>
              <w:top w:val="nil"/>
              <w:left w:val="nil"/>
              <w:bottom w:val="single" w:sz="4" w:space="0" w:color="auto"/>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2</w:t>
            </w:r>
          </w:p>
        </w:tc>
        <w:tc>
          <w:tcPr>
            <w:tcW w:w="616" w:type="dxa"/>
            <w:tcBorders>
              <w:top w:val="nil"/>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15 y 2</w:t>
            </w:r>
          </w:p>
        </w:tc>
        <w:tc>
          <w:tcPr>
            <w:tcW w:w="810" w:type="dxa"/>
            <w:tcBorders>
              <w:top w:val="nil"/>
              <w:left w:val="nil"/>
              <w:bottom w:val="single" w:sz="4" w:space="0" w:color="auto"/>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Texcoco</w:t>
            </w:r>
          </w:p>
        </w:tc>
        <w:tc>
          <w:tcPr>
            <w:tcW w:w="974" w:type="dxa"/>
            <w:tcBorders>
              <w:top w:val="nil"/>
              <w:left w:val="nil"/>
              <w:bottom w:val="single" w:sz="4" w:space="0" w:color="auto"/>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exclusivamente hogar</w:t>
            </w:r>
          </w:p>
        </w:tc>
        <w:tc>
          <w:tcPr>
            <w:tcW w:w="844" w:type="dxa"/>
            <w:tcBorders>
              <w:top w:val="nil"/>
              <w:left w:val="nil"/>
              <w:bottom w:val="single" w:sz="4" w:space="0" w:color="auto"/>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primaria</w:t>
            </w:r>
          </w:p>
        </w:tc>
        <w:tc>
          <w:tcPr>
            <w:tcW w:w="710" w:type="dxa"/>
            <w:tcBorders>
              <w:top w:val="nil"/>
              <w:left w:val="nil"/>
              <w:bottom w:val="single" w:sz="4" w:space="0" w:color="auto"/>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en pareja</w:t>
            </w:r>
          </w:p>
        </w:tc>
        <w:tc>
          <w:tcPr>
            <w:tcW w:w="703" w:type="dxa"/>
            <w:tcBorders>
              <w:top w:val="nil"/>
              <w:left w:val="nil"/>
              <w:bottom w:val="single" w:sz="4" w:space="0" w:color="auto"/>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15</w:t>
            </w:r>
          </w:p>
        </w:tc>
        <w:tc>
          <w:tcPr>
            <w:tcW w:w="1450" w:type="dxa"/>
            <w:tcBorders>
              <w:top w:val="nil"/>
              <w:left w:val="nil"/>
              <w:bottom w:val="single" w:sz="4" w:space="0" w:color="auto"/>
              <w:right w:val="nil"/>
            </w:tcBorders>
          </w:tcPr>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Física,  psicológica, económica, patrimonial y sexual</w:t>
            </w:r>
          </w:p>
        </w:tc>
        <w:tc>
          <w:tcPr>
            <w:tcW w:w="697" w:type="dxa"/>
            <w:tcBorders>
              <w:top w:val="nil"/>
              <w:left w:val="nil"/>
              <w:bottom w:val="single" w:sz="4" w:space="0" w:color="auto"/>
              <w:right w:val="nil"/>
            </w:tcBorders>
          </w:tcPr>
          <w:p w:rsidR="00B80987" w:rsidRPr="00B80987" w:rsidRDefault="00B80987" w:rsidP="00B80987">
            <w:pPr>
              <w:rPr>
                <w:rFonts w:ascii="Calibri" w:eastAsia="Calibri" w:hAnsi="Calibri" w:cs="Times New Roman"/>
                <w:sz w:val="12"/>
                <w:szCs w:val="12"/>
              </w:rPr>
            </w:pPr>
            <w:r w:rsidRPr="00B80987">
              <w:rPr>
                <w:rFonts w:ascii="Calibri" w:eastAsia="Calibri" w:hAnsi="Calibri" w:cs="Times New Roman"/>
                <w:sz w:val="12"/>
                <w:szCs w:val="12"/>
              </w:rPr>
              <w:t>No</w:t>
            </w:r>
          </w:p>
        </w:tc>
      </w:tr>
    </w:tbl>
    <w:p w:rsidR="00B80987" w:rsidRPr="00B80987" w:rsidRDefault="00B80987" w:rsidP="00B80987">
      <w:pPr>
        <w:spacing w:line="240" w:lineRule="auto"/>
        <w:jc w:val="both"/>
        <w:rPr>
          <w:rFonts w:ascii="Arial" w:eastAsia="Calibri" w:hAnsi="Arial" w:cs="Arial"/>
          <w:sz w:val="12"/>
          <w:szCs w:val="12"/>
        </w:rPr>
      </w:pPr>
      <w:r w:rsidRPr="00B80987">
        <w:rPr>
          <w:rFonts w:ascii="Arial" w:eastAsia="Calibri" w:hAnsi="Arial" w:cs="Arial"/>
          <w:sz w:val="12"/>
          <w:szCs w:val="12"/>
        </w:rPr>
        <w:t>Nota. Las 22 mujeres vivieron entre 3 y 5 tipos de violencia de pareja (o familiar, por su acepción legal).</w:t>
      </w:r>
    </w:p>
    <w:p w:rsidR="00B80987" w:rsidRPr="00B80987" w:rsidRDefault="00B80987" w:rsidP="00B80987">
      <w:pPr>
        <w:spacing w:line="240" w:lineRule="auto"/>
        <w:jc w:val="center"/>
        <w:rPr>
          <w:rFonts w:ascii="Arial" w:eastAsia="Calibri" w:hAnsi="Arial" w:cs="Arial"/>
          <w:b/>
          <w:sz w:val="24"/>
          <w:szCs w:val="24"/>
        </w:rPr>
      </w:pP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Los resultados fueron codificados en 3 categorías principales, para llevar a cabo el análisis de las transiciones identitarias de las mujeres que denunciaron violencia de pareja en la región Texcoco, Estado de México. Las categorías son las siguientes: </w:t>
      </w:r>
    </w:p>
    <w:p w:rsidR="00B80987" w:rsidRPr="00B80987" w:rsidRDefault="00B80987" w:rsidP="00B80987">
      <w:pPr>
        <w:numPr>
          <w:ilvl w:val="0"/>
          <w:numId w:val="8"/>
        </w:numPr>
        <w:spacing w:line="240" w:lineRule="auto"/>
        <w:contextualSpacing/>
        <w:jc w:val="both"/>
        <w:rPr>
          <w:rFonts w:ascii="Arial" w:eastAsia="Calibri" w:hAnsi="Arial" w:cs="Arial"/>
          <w:sz w:val="24"/>
          <w:szCs w:val="24"/>
        </w:rPr>
      </w:pPr>
      <w:r w:rsidRPr="00B80987">
        <w:rPr>
          <w:rFonts w:ascii="Arial" w:eastAsia="Calibri" w:hAnsi="Arial" w:cs="Arial"/>
          <w:sz w:val="24"/>
          <w:szCs w:val="24"/>
        </w:rPr>
        <w:t>Violencia</w:t>
      </w:r>
    </w:p>
    <w:p w:rsidR="00B80987" w:rsidRPr="00B80987" w:rsidRDefault="00B80987" w:rsidP="00B80987">
      <w:pPr>
        <w:numPr>
          <w:ilvl w:val="0"/>
          <w:numId w:val="8"/>
        </w:numPr>
        <w:spacing w:line="240" w:lineRule="auto"/>
        <w:contextualSpacing/>
        <w:jc w:val="both"/>
        <w:rPr>
          <w:rFonts w:ascii="Arial" w:eastAsia="Calibri" w:hAnsi="Arial" w:cs="Arial"/>
          <w:sz w:val="24"/>
          <w:szCs w:val="24"/>
        </w:rPr>
      </w:pPr>
      <w:r w:rsidRPr="00B80987">
        <w:rPr>
          <w:rFonts w:ascii="Arial" w:eastAsia="Calibri" w:hAnsi="Arial" w:cs="Arial"/>
          <w:sz w:val="24"/>
          <w:szCs w:val="24"/>
        </w:rPr>
        <w:t>Denuncia</w:t>
      </w:r>
    </w:p>
    <w:p w:rsidR="00B80987" w:rsidRPr="00B80987" w:rsidRDefault="00B80987" w:rsidP="00B80987">
      <w:pPr>
        <w:numPr>
          <w:ilvl w:val="0"/>
          <w:numId w:val="8"/>
        </w:numPr>
        <w:spacing w:line="240" w:lineRule="auto"/>
        <w:contextualSpacing/>
        <w:jc w:val="both"/>
        <w:rPr>
          <w:rFonts w:ascii="Arial" w:eastAsia="Calibri" w:hAnsi="Arial" w:cs="Arial"/>
          <w:sz w:val="24"/>
          <w:szCs w:val="24"/>
        </w:rPr>
      </w:pPr>
      <w:r w:rsidRPr="00B80987">
        <w:rPr>
          <w:rFonts w:ascii="Arial" w:eastAsia="Calibri" w:hAnsi="Arial" w:cs="Arial"/>
          <w:sz w:val="24"/>
          <w:szCs w:val="24"/>
        </w:rPr>
        <w:t>Identidad.</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De estas derivaron sus respectivas temáticas como lo describe la Figura 1.</w:t>
      </w:r>
    </w:p>
    <w:p w:rsidR="00B80987" w:rsidRPr="00B80987" w:rsidRDefault="00B80987" w:rsidP="00B80987">
      <w:pPr>
        <w:spacing w:line="240" w:lineRule="auto"/>
        <w:jc w:val="center"/>
        <w:rPr>
          <w:rFonts w:ascii="Arial" w:eastAsia="Calibri" w:hAnsi="Arial" w:cs="Arial"/>
          <w:b/>
          <w:sz w:val="24"/>
          <w:szCs w:val="24"/>
        </w:rPr>
      </w:pPr>
      <w:r w:rsidRPr="00B80987">
        <w:rPr>
          <w:rFonts w:ascii="Arial" w:eastAsia="Calibri" w:hAnsi="Arial" w:cs="Arial"/>
          <w:i/>
          <w:noProof/>
          <w:sz w:val="24"/>
          <w:szCs w:val="24"/>
          <w:lang w:eastAsia="es-MX"/>
        </w:rPr>
        <mc:AlternateContent>
          <mc:Choice Requires="wps">
            <w:drawing>
              <wp:anchor distT="0" distB="0" distL="114300" distR="114300" simplePos="0" relativeHeight="251661312" behindDoc="0" locked="0" layoutInCell="1" allowOverlap="1" wp14:anchorId="4D43B11D" wp14:editId="38EE8DD6">
                <wp:simplePos x="0" y="0"/>
                <wp:positionH relativeFrom="column">
                  <wp:posOffset>2747588</wp:posOffset>
                </wp:positionH>
                <wp:positionV relativeFrom="paragraph">
                  <wp:posOffset>1159065</wp:posOffset>
                </wp:positionV>
                <wp:extent cx="0" cy="211540"/>
                <wp:effectExtent l="76200" t="0" r="57150" b="55245"/>
                <wp:wrapNone/>
                <wp:docPr id="17" name="Conector recto de flecha 17"/>
                <wp:cNvGraphicFramePr/>
                <a:graphic xmlns:a="http://schemas.openxmlformats.org/drawingml/2006/main">
                  <a:graphicData uri="http://schemas.microsoft.com/office/word/2010/wordprocessingShape">
                    <wps:wsp>
                      <wps:cNvCnPr/>
                      <wps:spPr>
                        <a:xfrm>
                          <a:off x="0" y="0"/>
                          <a:ext cx="0" cy="21154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5BC18C76" id="_x0000_t32" coordsize="21600,21600" o:spt="32" o:oned="t" path="m,l21600,21600e" filled="f">
                <v:path arrowok="t" fillok="f" o:connecttype="none"/>
                <o:lock v:ext="edit" shapetype="t"/>
              </v:shapetype>
              <v:shape id="Conector recto de flecha 17" o:spid="_x0000_s1026" type="#_x0000_t32" style="position:absolute;margin-left:216.35pt;margin-top:91.25pt;width:0;height:16.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" strokecolor="#5b9bd5" strokeweight=".5pt">
                <v:stroke endarrow="block" joinstyle="miter"/>
              </v:shape>
            </w:pict>
          </mc:Fallback>
        </mc:AlternateContent>
      </w:r>
      <w:r w:rsidRPr="00B80987">
        <w:rPr>
          <w:rFonts w:ascii="Arial" w:eastAsia="Calibri" w:hAnsi="Arial" w:cs="Arial"/>
          <w:i/>
          <w:noProof/>
          <w:sz w:val="24"/>
          <w:szCs w:val="24"/>
          <w:lang w:eastAsia="es-MX"/>
        </w:rPr>
        <mc:AlternateContent>
          <mc:Choice Requires="wps">
            <w:drawing>
              <wp:anchor distT="0" distB="0" distL="114300" distR="114300" simplePos="0" relativeHeight="251660288" behindDoc="0" locked="0" layoutInCell="1" allowOverlap="1" wp14:anchorId="32C41E97" wp14:editId="28D64426">
                <wp:simplePos x="0" y="0"/>
                <wp:positionH relativeFrom="column">
                  <wp:posOffset>2741238</wp:posOffset>
                </wp:positionH>
                <wp:positionV relativeFrom="paragraph">
                  <wp:posOffset>503972</wp:posOffset>
                </wp:positionV>
                <wp:extent cx="6824" cy="177421"/>
                <wp:effectExtent l="76200" t="0" r="69850" b="51435"/>
                <wp:wrapNone/>
                <wp:docPr id="18" name="Conector recto de flecha 18"/>
                <wp:cNvGraphicFramePr/>
                <a:graphic xmlns:a="http://schemas.openxmlformats.org/drawingml/2006/main">
                  <a:graphicData uri="http://schemas.microsoft.com/office/word/2010/wordprocessingShape">
                    <wps:wsp>
                      <wps:cNvCnPr/>
                      <wps:spPr>
                        <a:xfrm flipH="1">
                          <a:off x="0" y="0"/>
                          <a:ext cx="6824" cy="177421"/>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D2F8ED1" id="Conector recto de flecha 18" o:spid="_x0000_s1026" type="#_x0000_t32" style="position:absolute;margin-left:215.85pt;margin-top:39.7pt;width:.55pt;height:13.9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" strokecolor="#5b9bd5" strokeweight=".5pt">
                <v:stroke endarrow="block" joinstyle="miter"/>
              </v:shape>
            </w:pict>
          </mc:Fallback>
        </mc:AlternateContent>
      </w:r>
      <w:r w:rsidRPr="00B80987">
        <w:rPr>
          <w:rFonts w:ascii="Arial" w:eastAsia="Calibri" w:hAnsi="Arial" w:cs="Arial"/>
          <w:i/>
          <w:noProof/>
          <w:sz w:val="24"/>
          <w:szCs w:val="24"/>
          <w:lang w:eastAsia="es-MX"/>
        </w:rPr>
        <w:drawing>
          <wp:inline distT="0" distB="0" distL="0" distR="0" wp14:anchorId="3F012F9C" wp14:editId="2B8C4A4A">
            <wp:extent cx="4585647" cy="2565400"/>
            <wp:effectExtent l="0" t="0" r="5715" b="635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6"/>
                    <a:stretch>
                      <a:fillRect/>
                    </a:stretch>
                  </pic:blipFill>
                  <pic:spPr>
                    <a:xfrm>
                      <a:off x="0" y="0"/>
                      <a:ext cx="4645014" cy="2598612"/>
                    </a:xfrm>
                    <a:prstGeom prst="rect">
                      <a:avLst/>
                    </a:prstGeom>
                  </pic:spPr>
                </pic:pic>
              </a:graphicData>
            </a:graphic>
          </wp:inline>
        </w:drawing>
      </w:r>
    </w:p>
    <w:p w:rsidR="00CD7B7C" w:rsidRDefault="00CD7B7C" w:rsidP="00B80987">
      <w:pPr>
        <w:spacing w:line="240" w:lineRule="auto"/>
        <w:jc w:val="both"/>
        <w:rPr>
          <w:rFonts w:ascii="Arial" w:eastAsia="Calibri" w:hAnsi="Arial" w:cs="Arial"/>
          <w:i/>
          <w:sz w:val="24"/>
          <w:szCs w:val="24"/>
        </w:rPr>
      </w:pPr>
    </w:p>
    <w:p w:rsidR="00B80987" w:rsidRPr="00B80987" w:rsidRDefault="00B80987" w:rsidP="00B80987">
      <w:pPr>
        <w:spacing w:line="240" w:lineRule="auto"/>
        <w:jc w:val="both"/>
        <w:rPr>
          <w:rFonts w:ascii="Arial" w:eastAsia="Calibri" w:hAnsi="Arial" w:cs="Arial"/>
          <w:i/>
          <w:sz w:val="24"/>
          <w:szCs w:val="24"/>
        </w:rPr>
      </w:pPr>
      <w:r w:rsidRPr="00B80987">
        <w:rPr>
          <w:rFonts w:ascii="Arial" w:eastAsia="Calibri" w:hAnsi="Arial" w:cs="Arial"/>
          <w:i/>
          <w:sz w:val="24"/>
          <w:szCs w:val="24"/>
        </w:rPr>
        <w:t>Categoría 1: Violencia</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lastRenderedPageBreak/>
        <w:t>En esta categoría se observó a través de los relatos, la relación de pareja desde el comienzo de esta, los episodios y tipos de violencia que condujeron a las mujeres a denunciar a su pareja. El hecho de que todas las informantes hayan presentado denuncia no significa que todas se encuentren separadas o divorciadas de sus agresores, y algunas de ellas siguen experimentando violencia de pareja. Las mujeres identificaron haber vivido violencia de pareja, confirmando su experiencia mediante la presentación de la respectiva denuncia. La identificación de diferentes tipos de violencia de pareja</w:t>
      </w:r>
      <w:r w:rsidRPr="00B80987">
        <w:rPr>
          <w:rFonts w:ascii="Arial" w:eastAsia="Calibri" w:hAnsi="Arial" w:cs="Arial"/>
          <w:b/>
          <w:sz w:val="24"/>
          <w:szCs w:val="24"/>
        </w:rPr>
        <w:t xml:space="preserve"> </w:t>
      </w:r>
      <w:r w:rsidRPr="00B80987">
        <w:rPr>
          <w:rFonts w:ascii="Arial" w:eastAsia="Calibri" w:hAnsi="Arial" w:cs="Arial"/>
          <w:sz w:val="24"/>
          <w:szCs w:val="24"/>
        </w:rPr>
        <w:t>se vio reflejada en los 22 casos, como se puede observar en los relatos de cada una; en donde se hicieron presentes las formas de violencia física, psicológica, económica, patrimonial y sexual, algunos casos reportaron haber vivido hasta las cinco formas de violencia cada una (Tabla 1).</w:t>
      </w:r>
    </w:p>
    <w:p w:rsidR="00B80987" w:rsidRPr="00B80987" w:rsidRDefault="00B80987" w:rsidP="00B80987">
      <w:pPr>
        <w:spacing w:line="240" w:lineRule="auto"/>
        <w:jc w:val="both"/>
        <w:rPr>
          <w:rFonts w:ascii="Arial" w:eastAsia="Calibri" w:hAnsi="Arial" w:cs="Arial"/>
          <w:i/>
          <w:sz w:val="24"/>
          <w:szCs w:val="24"/>
        </w:rPr>
      </w:pPr>
      <w:r w:rsidRPr="00B80987">
        <w:rPr>
          <w:rFonts w:ascii="Arial" w:eastAsia="Calibri" w:hAnsi="Arial" w:cs="Arial"/>
          <w:i/>
          <w:sz w:val="24"/>
          <w:szCs w:val="24"/>
        </w:rPr>
        <w:t>Categoría 2. Denuncia</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Las experiencias de las mujeres que presentaron la denuncia por violencia familiar, en general han sido reportadas como difíciles, desgastantes, molestas, lo cual ha influido en su decisión de continuar o no con el proceso judicial. En pocos casos la experiencia se reportó como positiva o alentadora, e incluso se reportó como la forma en la cual encontraron una garantía para no seguir siendo violentadas por parte de sus parejas o ex parejas. </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Se observó que algunos casos de desistimiento tuvieron como causa el desgaste físico, emocional, económico y laboral durante el trámite y seguimiento de la denuncia; así como la reconciliación o establecimientos de acuerdos con sus respectivas parejas o ex parejas. Sin embargo, también se observó que el seguimiento del proceso judicial se debió entre otras circunstancias, a la curiosidad de saber hasta dónde puede llegar el proceso, a la esperanza de que esto funcione como una forma de evitar seguir siendo violentadas, así como a principios éticos relacionados con la no violencia contra las mujeres (Tabla 2</w:t>
      </w:r>
      <w:r>
        <w:rPr>
          <w:rFonts w:ascii="Arial" w:eastAsia="Calibri" w:hAnsi="Arial" w:cs="Arial"/>
          <w:sz w:val="24"/>
          <w:szCs w:val="24"/>
        </w:rPr>
        <w:t>).</w:t>
      </w:r>
    </w:p>
    <w:p w:rsidR="00B80987" w:rsidRPr="00B80987" w:rsidRDefault="00B80987" w:rsidP="00B80987">
      <w:pPr>
        <w:spacing w:line="240" w:lineRule="auto"/>
        <w:jc w:val="both"/>
        <w:rPr>
          <w:rFonts w:ascii="Arial" w:eastAsia="Calibri" w:hAnsi="Arial" w:cs="Arial"/>
          <w:sz w:val="16"/>
          <w:szCs w:val="16"/>
        </w:rPr>
      </w:pPr>
      <w:r w:rsidRPr="00B80987">
        <w:rPr>
          <w:rFonts w:ascii="Arial" w:eastAsia="Calibri" w:hAnsi="Arial" w:cs="Arial"/>
          <w:sz w:val="16"/>
          <w:szCs w:val="16"/>
        </w:rPr>
        <w:t>Tabla 2. Narraciones sobre las temáticas de violencia y denuncia.</w:t>
      </w:r>
    </w:p>
    <w:tbl>
      <w:tblPr>
        <w:tblW w:w="9115" w:type="dxa"/>
        <w:tblCellMar>
          <w:left w:w="0" w:type="dxa"/>
          <w:right w:w="0" w:type="dxa"/>
        </w:tblCellMar>
        <w:tblLook w:val="04A0" w:firstRow="1" w:lastRow="0" w:firstColumn="1" w:lastColumn="0" w:noHBand="0" w:noVBand="1"/>
      </w:tblPr>
      <w:tblGrid>
        <w:gridCol w:w="1012"/>
        <w:gridCol w:w="833"/>
        <w:gridCol w:w="4251"/>
        <w:gridCol w:w="3019"/>
      </w:tblGrid>
      <w:tr w:rsidR="00B80987" w:rsidRPr="00B80987" w:rsidTr="00FC2153">
        <w:trPr>
          <w:trHeight w:val="136"/>
        </w:trPr>
        <w:tc>
          <w:tcPr>
            <w:tcW w:w="1012" w:type="dxa"/>
            <w:tcBorders>
              <w:top w:val="single" w:sz="8" w:space="0" w:color="000000"/>
              <w:left w:val="nil"/>
              <w:bottom w:val="single" w:sz="8" w:space="0" w:color="000000"/>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center"/>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TEMA</w:t>
            </w:r>
          </w:p>
        </w:tc>
        <w:tc>
          <w:tcPr>
            <w:tcW w:w="833" w:type="dxa"/>
            <w:tcBorders>
              <w:top w:val="single" w:sz="8" w:space="0" w:color="000000"/>
              <w:left w:val="nil"/>
              <w:bottom w:val="single" w:sz="8" w:space="0" w:color="000000"/>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center"/>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SUBTEMAS</w:t>
            </w:r>
          </w:p>
        </w:tc>
        <w:tc>
          <w:tcPr>
            <w:tcW w:w="4251" w:type="dxa"/>
            <w:tcBorders>
              <w:top w:val="single" w:sz="8" w:space="0" w:color="000000"/>
              <w:left w:val="nil"/>
              <w:bottom w:val="single" w:sz="8" w:space="0" w:color="000000"/>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center"/>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DESCRIPCIÓN</w:t>
            </w:r>
          </w:p>
        </w:tc>
        <w:tc>
          <w:tcPr>
            <w:tcW w:w="3019" w:type="dxa"/>
            <w:tcBorders>
              <w:top w:val="single" w:sz="8" w:space="0" w:color="000000"/>
              <w:left w:val="nil"/>
              <w:bottom w:val="single" w:sz="8" w:space="0" w:color="000000"/>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center"/>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JUSTIFICACIÓN</w:t>
            </w:r>
          </w:p>
        </w:tc>
      </w:tr>
      <w:tr w:rsidR="00B80987" w:rsidRPr="00B80987" w:rsidTr="00FC2153">
        <w:trPr>
          <w:trHeight w:val="1793"/>
        </w:trPr>
        <w:tc>
          <w:tcPr>
            <w:tcW w:w="1012" w:type="dxa"/>
            <w:tcBorders>
              <w:top w:val="single" w:sz="8" w:space="0" w:color="000000"/>
              <w:left w:val="nil"/>
              <w:bottom w:val="nil"/>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Violencia</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tc>
        <w:tc>
          <w:tcPr>
            <w:tcW w:w="833" w:type="dxa"/>
            <w:tcBorders>
              <w:top w:val="single" w:sz="8" w:space="0" w:color="000000"/>
              <w:left w:val="nil"/>
              <w:bottom w:val="nil"/>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Violencias:</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física</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-psicológica</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-económica</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-patrimonial</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-sexual</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tc>
        <w:tc>
          <w:tcPr>
            <w:tcW w:w="4251" w:type="dxa"/>
            <w:tcBorders>
              <w:top w:val="single" w:sz="8" w:space="0" w:color="000000"/>
              <w:left w:val="nil"/>
              <w:bottom w:val="nil"/>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-“Fue desde los primeros quince días que me fui a vivir con él, me dio una cachetada y me dijo que tragara rápido, pues me jaló del pelo y me dio una cachetada…A veces estaba yo muy adolorida y no quería que me tocara y entonces me agarraba por la fuerza y me violaba… eran golpes, insultos, me jaloneaba y me forzaba a que tuviéramos sexo. No me daba ni un centavo y cuando yo le pedía que me diera para un pan, me decía que no, y si yo le insistía me golpeaba, “para que se me quitaran las ganas”, me dijo”.</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Times New Roman" w:hAnsi="Arial" w:cs="Arial"/>
                <w:i/>
                <w:sz w:val="12"/>
                <w:szCs w:val="12"/>
                <w:lang w:eastAsia="es-MX"/>
              </w:rPr>
            </w:pPr>
            <w:r w:rsidRPr="00B80987">
              <w:rPr>
                <w:rFonts w:ascii="Arial" w:eastAsia="Times New Roman" w:hAnsi="Arial" w:cs="Arial"/>
                <w:i/>
                <w:sz w:val="12"/>
                <w:szCs w:val="12"/>
                <w:lang w:eastAsia="es-MX"/>
              </w:rPr>
              <w:t>-“Nos juntamos…yo desde ese momento lo identifico como violencia económica”.</w:t>
            </w:r>
          </w:p>
          <w:p w:rsidR="00B80987" w:rsidRPr="00B80987" w:rsidRDefault="00B80987" w:rsidP="00B80987">
            <w:pPr>
              <w:spacing w:after="0" w:line="240" w:lineRule="auto"/>
              <w:jc w:val="both"/>
              <w:rPr>
                <w:rFonts w:ascii="Arial" w:eastAsia="Times New Roman" w:hAnsi="Arial" w:cs="Arial"/>
                <w:i/>
                <w:sz w:val="12"/>
                <w:szCs w:val="12"/>
                <w:lang w:eastAsia="es-MX"/>
              </w:rPr>
            </w:pPr>
          </w:p>
          <w:p w:rsidR="00B80987" w:rsidRPr="00B80987" w:rsidRDefault="00B80987" w:rsidP="00B80987">
            <w:pPr>
              <w:spacing w:after="0" w:line="240" w:lineRule="auto"/>
              <w:jc w:val="both"/>
              <w:rPr>
                <w:rFonts w:ascii="Arial" w:eastAsia="Times New Roman" w:hAnsi="Arial" w:cs="Arial"/>
                <w:i/>
                <w:sz w:val="12"/>
                <w:szCs w:val="12"/>
                <w:lang w:eastAsia="es-MX"/>
              </w:rPr>
            </w:pPr>
            <w:r w:rsidRPr="00B80987">
              <w:rPr>
                <w:rFonts w:ascii="Arial" w:eastAsia="Times New Roman" w:hAnsi="Arial" w:cs="Arial"/>
                <w:i/>
                <w:sz w:val="12"/>
                <w:szCs w:val="12"/>
                <w:lang w:eastAsia="es-MX"/>
              </w:rPr>
              <w:t xml:space="preserve"> -“Que te llamen fea, gorda, puerca…que te ignoren excepto cuando te usan en la cama…que te quiten el poco dinero que ganas, eso es algo que no pienso soportar más”. </w:t>
            </w:r>
          </w:p>
          <w:p w:rsidR="00B80987" w:rsidRPr="00B80987" w:rsidRDefault="00B80987" w:rsidP="00B80987">
            <w:pPr>
              <w:spacing w:after="0" w:line="240" w:lineRule="auto"/>
              <w:jc w:val="both"/>
              <w:rPr>
                <w:rFonts w:ascii="Arial" w:eastAsia="Times New Roman" w:hAnsi="Arial" w:cs="Arial"/>
                <w:sz w:val="12"/>
                <w:szCs w:val="12"/>
                <w:lang w:eastAsia="es-MX"/>
              </w:rPr>
            </w:pPr>
          </w:p>
        </w:tc>
        <w:tc>
          <w:tcPr>
            <w:tcW w:w="3019" w:type="dxa"/>
            <w:tcBorders>
              <w:top w:val="single" w:sz="8" w:space="0" w:color="000000"/>
              <w:left w:val="nil"/>
              <w:bottom w:val="nil"/>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-“Cuando lo conocí, él pues me llevó con engaños…me prometió una vida mejor… después de los golpes venía el perdón…Yo me aguantaba”.</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-“No fue tanto violencia física, fue sólo económica y emocional”.</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-“Ya no seré la sirvienta gratis de nadie”.</w:t>
            </w:r>
          </w:p>
        </w:tc>
      </w:tr>
      <w:tr w:rsidR="00B80987" w:rsidRPr="00B80987" w:rsidTr="00FC2153">
        <w:trPr>
          <w:trHeight w:val="278"/>
        </w:trPr>
        <w:tc>
          <w:tcPr>
            <w:tcW w:w="1012" w:type="dxa"/>
            <w:tcBorders>
              <w:top w:val="nil"/>
              <w:left w:val="nil"/>
              <w:bottom w:val="single" w:sz="8" w:space="0" w:color="000000"/>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Denuncia</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 </w:t>
            </w:r>
          </w:p>
        </w:tc>
        <w:tc>
          <w:tcPr>
            <w:tcW w:w="833" w:type="dxa"/>
            <w:tcBorders>
              <w:top w:val="nil"/>
              <w:left w:val="nil"/>
              <w:bottom w:val="single" w:sz="8" w:space="0" w:color="000000"/>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-Motivación hacia la denuncia</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Experiencias alrededor de la denuncia</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Seguimiento o desistimiento de la denuncia</w:t>
            </w:r>
          </w:p>
        </w:tc>
        <w:tc>
          <w:tcPr>
            <w:tcW w:w="4251" w:type="dxa"/>
            <w:tcBorders>
              <w:top w:val="nil"/>
              <w:left w:val="nil"/>
              <w:bottom w:val="single" w:sz="8" w:space="0" w:color="000000"/>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lastRenderedPageBreak/>
              <w:t> </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-“Tomé la decisión de denunciar porque aparte de que me pegó me gritó muchas cosas, me dijo que me iba a matar…”</w:t>
            </w: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Calibri" w:hAnsi="Arial" w:cs="Arial"/>
                <w:i/>
                <w:color w:val="000000"/>
                <w:kern w:val="24"/>
                <w:sz w:val="12"/>
                <w:szCs w:val="12"/>
                <w:lang w:eastAsia="es-MX"/>
              </w:rPr>
            </w:pPr>
            <w:r w:rsidRPr="00B80987">
              <w:rPr>
                <w:rFonts w:ascii="Arial" w:eastAsia="Calibri" w:hAnsi="Arial" w:cs="Arial"/>
                <w:color w:val="000000"/>
                <w:kern w:val="24"/>
                <w:sz w:val="12"/>
                <w:szCs w:val="12"/>
                <w:lang w:eastAsia="es-MX"/>
              </w:rPr>
              <w:t> -</w:t>
            </w:r>
            <w:r w:rsidRPr="00B80987">
              <w:rPr>
                <w:rFonts w:ascii="Arial" w:eastAsia="Calibri" w:hAnsi="Arial" w:cs="Arial"/>
                <w:i/>
                <w:color w:val="000000"/>
                <w:kern w:val="24"/>
                <w:sz w:val="12"/>
                <w:szCs w:val="12"/>
                <w:lang w:eastAsia="es-MX"/>
              </w:rPr>
              <w:t xml:space="preserve">“Estaba tan enojada, que lo acusé…” </w:t>
            </w:r>
          </w:p>
          <w:p w:rsidR="00B80987" w:rsidRPr="00B80987" w:rsidRDefault="00B80987" w:rsidP="00B80987">
            <w:pPr>
              <w:spacing w:after="0" w:line="240" w:lineRule="auto"/>
              <w:jc w:val="both"/>
              <w:rPr>
                <w:rFonts w:ascii="Arial" w:eastAsia="Calibri" w:hAnsi="Arial" w:cs="Arial"/>
                <w:i/>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color w:val="000000"/>
                <w:kern w:val="24"/>
                <w:sz w:val="12"/>
                <w:szCs w:val="12"/>
                <w:lang w:eastAsia="es-MX"/>
              </w:rPr>
            </w:pPr>
            <w:r w:rsidRPr="00B80987">
              <w:rPr>
                <w:rFonts w:ascii="Arial" w:eastAsia="Calibri" w:hAnsi="Arial" w:cs="Arial"/>
                <w:i/>
                <w:color w:val="000000"/>
                <w:kern w:val="24"/>
                <w:sz w:val="12"/>
                <w:szCs w:val="12"/>
                <w:lang w:eastAsia="es-MX"/>
              </w:rPr>
              <w:t xml:space="preserve">-“Tomé la decisión de denunciar porque aparte de que me pegó me gritó muchas cosas, me dijo que me iba a matar, entonces yo busque una forma de protección…”. “Mi papá me acompañó, entonces ya mi mamá fue la que más me dio fuerzas (llorando). </w:t>
            </w:r>
          </w:p>
          <w:p w:rsidR="00B80987" w:rsidRPr="00B80987" w:rsidRDefault="00B80987" w:rsidP="00B80987">
            <w:pPr>
              <w:spacing w:after="0" w:line="240" w:lineRule="auto"/>
              <w:jc w:val="both"/>
              <w:rPr>
                <w:rFonts w:ascii="Arial" w:eastAsia="Calibri" w:hAnsi="Arial" w:cs="Arial"/>
                <w:i/>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color w:val="000000"/>
                <w:kern w:val="24"/>
                <w:sz w:val="12"/>
                <w:szCs w:val="12"/>
                <w:lang w:eastAsia="es-MX"/>
              </w:rPr>
            </w:pPr>
            <w:r w:rsidRPr="00B80987">
              <w:rPr>
                <w:rFonts w:ascii="Arial" w:eastAsia="Calibri" w:hAnsi="Arial" w:cs="Arial"/>
                <w:i/>
                <w:color w:val="000000"/>
                <w:kern w:val="24"/>
                <w:sz w:val="12"/>
                <w:szCs w:val="12"/>
                <w:lang w:eastAsia="es-MX"/>
              </w:rPr>
              <w:t>-“Pues yo no quería denunciarlo… mi hermana me llevó a denunciar”.</w:t>
            </w:r>
          </w:p>
          <w:p w:rsidR="00B80987" w:rsidRPr="00B80987" w:rsidRDefault="00B80987" w:rsidP="00B80987">
            <w:pPr>
              <w:spacing w:after="0" w:line="240" w:lineRule="auto"/>
              <w:jc w:val="both"/>
              <w:rPr>
                <w:rFonts w:ascii="Arial" w:eastAsia="Calibri" w:hAnsi="Arial" w:cs="Arial"/>
                <w:i/>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color w:val="000000"/>
                <w:kern w:val="24"/>
                <w:sz w:val="12"/>
                <w:szCs w:val="12"/>
                <w:lang w:eastAsia="es-MX"/>
              </w:rPr>
            </w:pPr>
          </w:p>
          <w:p w:rsidR="00B80987" w:rsidRPr="00B80987" w:rsidRDefault="00B80987" w:rsidP="00B80987">
            <w:pPr>
              <w:spacing w:after="0" w:line="240" w:lineRule="auto"/>
              <w:jc w:val="both"/>
              <w:rPr>
                <w:rFonts w:ascii="Arial" w:eastAsia="Times New Roman" w:hAnsi="Arial" w:cs="Arial"/>
                <w:i/>
                <w:sz w:val="12"/>
                <w:szCs w:val="12"/>
                <w:lang w:eastAsia="es-MX"/>
              </w:rPr>
            </w:pPr>
            <w:r w:rsidRPr="00B80987">
              <w:rPr>
                <w:rFonts w:ascii="Arial" w:eastAsia="Times New Roman" w:hAnsi="Arial" w:cs="Arial"/>
                <w:i/>
                <w:sz w:val="12"/>
                <w:szCs w:val="12"/>
                <w:lang w:eastAsia="es-MX"/>
              </w:rPr>
              <w:lastRenderedPageBreak/>
              <w:t xml:space="preserve">-“Había una fiscalía especializada en la defensa contra la mujer y ahí fue donde me hicieron caso, con la denuncia…”. </w:t>
            </w:r>
          </w:p>
          <w:p w:rsidR="00B80987" w:rsidRPr="00B80987" w:rsidRDefault="00B80987" w:rsidP="00B80987">
            <w:pPr>
              <w:spacing w:after="0" w:line="240" w:lineRule="auto"/>
              <w:jc w:val="both"/>
              <w:rPr>
                <w:rFonts w:ascii="Arial" w:eastAsia="Times New Roman" w:hAnsi="Arial" w:cs="Arial"/>
                <w:i/>
                <w:sz w:val="12"/>
                <w:szCs w:val="12"/>
                <w:lang w:eastAsia="es-MX"/>
              </w:rPr>
            </w:pPr>
          </w:p>
          <w:p w:rsidR="00B80987" w:rsidRPr="00B80987" w:rsidRDefault="00B80987" w:rsidP="00B80987">
            <w:pPr>
              <w:spacing w:after="0" w:line="240" w:lineRule="auto"/>
              <w:jc w:val="both"/>
              <w:rPr>
                <w:rFonts w:ascii="Arial" w:eastAsia="Times New Roman" w:hAnsi="Arial" w:cs="Arial"/>
                <w:i/>
                <w:sz w:val="12"/>
                <w:szCs w:val="12"/>
                <w:lang w:eastAsia="es-MX"/>
              </w:rPr>
            </w:pPr>
            <w:r w:rsidRPr="00B80987">
              <w:rPr>
                <w:rFonts w:ascii="Arial" w:eastAsia="Times New Roman" w:hAnsi="Arial" w:cs="Arial"/>
                <w:i/>
                <w:sz w:val="12"/>
                <w:szCs w:val="12"/>
                <w:lang w:eastAsia="es-MX"/>
              </w:rPr>
              <w:t>-”Ya lo denuncié por fin”.</w:t>
            </w:r>
          </w:p>
          <w:p w:rsidR="00B80987" w:rsidRPr="00B80987" w:rsidRDefault="00B80987" w:rsidP="00B80987">
            <w:pPr>
              <w:spacing w:after="0" w:line="240" w:lineRule="auto"/>
              <w:jc w:val="both"/>
              <w:rPr>
                <w:rFonts w:ascii="Arial" w:eastAsia="Times New Roman" w:hAnsi="Arial" w:cs="Arial"/>
                <w:i/>
                <w:sz w:val="12"/>
                <w:szCs w:val="12"/>
                <w:lang w:eastAsia="es-MX"/>
              </w:rPr>
            </w:pPr>
          </w:p>
          <w:p w:rsidR="00B80987" w:rsidRPr="00B80987" w:rsidRDefault="00B80987" w:rsidP="00B80987">
            <w:pPr>
              <w:spacing w:after="0" w:line="240" w:lineRule="auto"/>
              <w:jc w:val="both"/>
              <w:rPr>
                <w:rFonts w:ascii="Arial" w:eastAsia="Times New Roman" w:hAnsi="Arial" w:cs="Arial"/>
                <w:i/>
                <w:sz w:val="12"/>
                <w:szCs w:val="12"/>
                <w:lang w:eastAsia="es-MX"/>
              </w:rPr>
            </w:pPr>
          </w:p>
          <w:p w:rsidR="00B80987" w:rsidRPr="00B80987" w:rsidRDefault="00B80987" w:rsidP="00B80987">
            <w:pPr>
              <w:spacing w:after="0" w:line="240" w:lineRule="auto"/>
              <w:jc w:val="both"/>
              <w:rPr>
                <w:rFonts w:ascii="Arial" w:eastAsia="Times New Roman" w:hAnsi="Arial" w:cs="Arial"/>
                <w:i/>
                <w:sz w:val="12"/>
                <w:szCs w:val="12"/>
                <w:lang w:eastAsia="es-MX"/>
              </w:rPr>
            </w:pPr>
          </w:p>
          <w:p w:rsidR="00B80987" w:rsidRPr="00B80987" w:rsidRDefault="00B80987" w:rsidP="00B80987">
            <w:pPr>
              <w:spacing w:after="0" w:line="240" w:lineRule="auto"/>
              <w:jc w:val="both"/>
              <w:rPr>
                <w:rFonts w:ascii="Arial" w:eastAsia="Times New Roman" w:hAnsi="Arial" w:cs="Arial"/>
                <w:i/>
                <w:sz w:val="12"/>
                <w:szCs w:val="12"/>
                <w:lang w:eastAsia="es-MX"/>
              </w:rPr>
            </w:pPr>
          </w:p>
          <w:p w:rsidR="00B80987" w:rsidRPr="00B80987" w:rsidRDefault="00B80987" w:rsidP="00B80987">
            <w:pPr>
              <w:spacing w:after="0" w:line="240" w:lineRule="auto"/>
              <w:jc w:val="both"/>
              <w:rPr>
                <w:rFonts w:ascii="Arial" w:eastAsia="Times New Roman" w:hAnsi="Arial" w:cs="Arial"/>
                <w:i/>
                <w:sz w:val="12"/>
                <w:szCs w:val="12"/>
                <w:lang w:eastAsia="es-MX"/>
              </w:rPr>
            </w:pPr>
            <w:r w:rsidRPr="00B80987">
              <w:rPr>
                <w:rFonts w:ascii="Arial" w:eastAsia="Times New Roman" w:hAnsi="Arial" w:cs="Arial"/>
                <w:i/>
                <w:sz w:val="12"/>
                <w:szCs w:val="12"/>
                <w:lang w:eastAsia="es-MX"/>
              </w:rPr>
              <w:t>-“Fui a la PGR a denunciar”.</w:t>
            </w:r>
          </w:p>
          <w:p w:rsidR="00B80987" w:rsidRPr="00B80987" w:rsidRDefault="00B80987" w:rsidP="00B80987">
            <w:pPr>
              <w:spacing w:after="0" w:line="240" w:lineRule="auto"/>
              <w:jc w:val="both"/>
              <w:rPr>
                <w:rFonts w:ascii="Arial" w:eastAsia="Times New Roman" w:hAnsi="Arial" w:cs="Arial"/>
                <w:i/>
                <w:sz w:val="12"/>
                <w:szCs w:val="12"/>
                <w:lang w:eastAsia="es-MX"/>
              </w:rPr>
            </w:pPr>
          </w:p>
          <w:p w:rsidR="00B80987" w:rsidRPr="00B80987" w:rsidRDefault="00B80987" w:rsidP="00B80987">
            <w:pPr>
              <w:spacing w:after="0" w:line="240" w:lineRule="auto"/>
              <w:jc w:val="both"/>
              <w:rPr>
                <w:rFonts w:ascii="Arial" w:eastAsia="Times New Roman" w:hAnsi="Arial" w:cs="Arial"/>
                <w:i/>
                <w:sz w:val="12"/>
                <w:szCs w:val="12"/>
                <w:lang w:eastAsia="es-MX"/>
              </w:rPr>
            </w:pPr>
          </w:p>
          <w:p w:rsidR="00B80987" w:rsidRPr="00B80987" w:rsidRDefault="00B80987" w:rsidP="00B80987">
            <w:pPr>
              <w:spacing w:after="0" w:line="240" w:lineRule="auto"/>
              <w:jc w:val="both"/>
              <w:rPr>
                <w:rFonts w:ascii="Arial" w:eastAsia="Times New Roman" w:hAnsi="Arial" w:cs="Arial"/>
                <w:i/>
                <w:sz w:val="12"/>
                <w:szCs w:val="12"/>
                <w:lang w:eastAsia="es-MX"/>
              </w:rPr>
            </w:pPr>
          </w:p>
          <w:p w:rsidR="00B80987" w:rsidRPr="00B80987" w:rsidRDefault="00B80987" w:rsidP="00B80987">
            <w:pPr>
              <w:spacing w:after="0" w:line="240" w:lineRule="auto"/>
              <w:jc w:val="both"/>
              <w:rPr>
                <w:rFonts w:ascii="Arial" w:eastAsia="Times New Roman" w:hAnsi="Arial" w:cs="Arial"/>
                <w:i/>
                <w:sz w:val="12"/>
                <w:szCs w:val="12"/>
                <w:lang w:eastAsia="es-MX"/>
              </w:rPr>
            </w:pPr>
            <w:r w:rsidRPr="00B80987">
              <w:rPr>
                <w:rFonts w:ascii="Arial" w:eastAsia="Times New Roman" w:hAnsi="Arial" w:cs="Arial"/>
                <w:i/>
                <w:sz w:val="12"/>
                <w:szCs w:val="12"/>
                <w:lang w:eastAsia="es-MX"/>
              </w:rPr>
              <w:t>-“Fui al DIF a preguntar y de ahí me mandaron para acá”.</w:t>
            </w: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-“Antes de la denuncia vivía yo con miedo, después de la denuncia, vivo  como cohibida, como que no soy yo”.</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 xml:space="preserve">-“Las autoridades nada más te juzgan y no te ayudan en nada… el malestar de estar tantas horas… llego con el médico legista y me hace unos comentarios que me hace sentir fuera de lugar…” </w:t>
            </w: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 “Me fue bien, por lo menos me atendieron y todo y me están haciendo ir varias veces y a él también”.</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-“Sí voy a seguir con la denuncia…”.</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color w:val="000000"/>
                <w:kern w:val="24"/>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Times New Roman" w:hAnsi="Arial" w:cs="Arial"/>
                <w:i/>
                <w:iCs/>
                <w:sz w:val="12"/>
                <w:szCs w:val="12"/>
                <w:lang w:eastAsia="es-MX"/>
              </w:rPr>
              <w:t xml:space="preserve">-“Nada más fue la denuncia, nada más cuando él me golpeó fue que puse la denuncia, y ya no seguí más”. </w:t>
            </w: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w:t>
            </w:r>
            <w:r w:rsidRPr="00B80987">
              <w:rPr>
                <w:rFonts w:ascii="Arial" w:eastAsia="Calibri" w:hAnsi="Arial" w:cs="Arial"/>
                <w:i/>
                <w:iCs/>
                <w:color w:val="000000"/>
                <w:kern w:val="24"/>
                <w:sz w:val="12"/>
                <w:szCs w:val="12"/>
                <w:lang w:eastAsia="es-MX"/>
              </w:rPr>
              <w:t xml:space="preserve"> “Decidí desistirme del proceso…”</w:t>
            </w:r>
          </w:p>
        </w:tc>
        <w:tc>
          <w:tcPr>
            <w:tcW w:w="3019" w:type="dxa"/>
            <w:tcBorders>
              <w:top w:val="nil"/>
              <w:left w:val="nil"/>
              <w:bottom w:val="single" w:sz="8" w:space="0" w:color="000000"/>
              <w:right w:val="nil"/>
            </w:tcBorders>
            <w:shd w:val="clear" w:color="auto" w:fill="auto"/>
            <w:tcMar>
              <w:top w:w="15" w:type="dxa"/>
              <w:left w:w="66" w:type="dxa"/>
              <w:bottom w:w="0" w:type="dxa"/>
              <w:right w:w="66" w:type="dxa"/>
            </w:tcMar>
            <w:hideMark/>
          </w:tcPr>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lastRenderedPageBreak/>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-“…Entonces yo busque una forma de protección…”</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-“…Y la verdad no me arrepiento”.</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-“Mi papá me dijo: “Por el niño hazlo, no puede seguir pasando esto, no puede volver a pasarte otra vez, hazlo, hija””.</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-“Mi hermana la mayor fue la que me dijo: “Es que si tú no lo haces te va a volver a pasar …te puede pasar algo más grave y ni siquiera vas a tener un antecedente””.</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-“Hace 9 meses que pedí ayuda en la Unidad de Atención a las Víctimas de Violencia Familiar, y aquí sigo”.</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 xml:space="preserve"> -“Anoté los datos del programa de televisión, ese en donde se puede acusar a quien te maltrata…”</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-“Me motivó a denunciar, el escuchar en otras personas que lo habían hecho y me acordé que me dijeron que se puede acudir al ministerio público de aquí de Texcoco a denunciar”.</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“En el MP a cada rato me dicen: “Es que no le puedo dar razón, tiene que irse a formar allá”, aquí perdí medio día y me tenía que ir de rápido por mi hijo que cerraban a la una la escuela… Él ya se fue, huyó…te hacen perder más tiempo de lo que al final te ayudan, no sirve para nada. Yo ahorita no he tenido trabajo porque tampoco tengo tiempo”.</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color w:val="000000"/>
                <w:kern w:val="24"/>
                <w:sz w:val="12"/>
                <w:szCs w:val="12"/>
                <w:lang w:eastAsia="es-MX"/>
              </w:rPr>
              <w:t> -“</w:t>
            </w:r>
            <w:r w:rsidRPr="00B80987">
              <w:rPr>
                <w:rFonts w:ascii="Arial" w:eastAsia="Calibri" w:hAnsi="Arial" w:cs="Arial"/>
                <w:i/>
                <w:color w:val="000000"/>
                <w:kern w:val="24"/>
                <w:sz w:val="12"/>
                <w:szCs w:val="12"/>
                <w:lang w:eastAsia="es-MX"/>
              </w:rPr>
              <w:t>No creo que denunciarlo</w:t>
            </w:r>
            <w:r w:rsidRPr="00B80987">
              <w:rPr>
                <w:rFonts w:ascii="Arial" w:eastAsia="Calibri" w:hAnsi="Arial" w:cs="Arial"/>
                <w:color w:val="000000"/>
                <w:kern w:val="24"/>
                <w:sz w:val="12"/>
                <w:szCs w:val="12"/>
                <w:lang w:eastAsia="es-MX"/>
              </w:rPr>
              <w:t xml:space="preserve"> </w:t>
            </w:r>
            <w:r w:rsidRPr="00B80987">
              <w:rPr>
                <w:rFonts w:ascii="Arial" w:eastAsia="Calibri" w:hAnsi="Arial" w:cs="Arial"/>
                <w:i/>
                <w:iCs/>
                <w:color w:val="000000"/>
                <w:kern w:val="24"/>
                <w:sz w:val="12"/>
                <w:szCs w:val="12"/>
                <w:lang w:eastAsia="es-MX"/>
              </w:rPr>
              <w:t>me pueda ayudar y que me pueda resolver toda mi vida, siento que no… hay cosas como el trabajo que no dejan que estés ahí todo el tiempo”.</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Times New Roman" w:hAnsi="Arial" w:cs="Arial"/>
                <w:i/>
                <w:iCs/>
                <w:sz w:val="12"/>
                <w:szCs w:val="12"/>
                <w:lang w:eastAsia="es-MX"/>
              </w:rPr>
              <w:t>-“Ya le advirtieron en esas visitas que no me puede volver a golpear, ya sabe que yo puedo llamar una patrulla y que lo van a consignar”.</w:t>
            </w: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w:t>
            </w:r>
            <w:r w:rsidRPr="00B80987">
              <w:rPr>
                <w:rFonts w:ascii="Arial" w:eastAsia="Calibri" w:hAnsi="Arial" w:cs="Arial"/>
                <w:i/>
                <w:iCs/>
                <w:color w:val="000000"/>
                <w:kern w:val="24"/>
                <w:sz w:val="12"/>
                <w:szCs w:val="12"/>
                <w:lang w:eastAsia="es-MX"/>
              </w:rPr>
              <w:t xml:space="preserve"> “Porque él se burla de mí, porque me dice: “Ay tú que crees en la justicia y todo lo quieres hacer bajo la ley, eso no sirve eso es pura pérdida de tiempo, si no tienes dinero para pagar eso…” Pero le voy a demostrar que sí puedo”.</w:t>
            </w: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 xml:space="preserve">-“Pues porque realmente él entendió mi punto, él entendió que yo ya no quería pelar”. </w:t>
            </w:r>
          </w:p>
          <w:p w:rsidR="00B80987" w:rsidRPr="00B80987" w:rsidRDefault="00B80987" w:rsidP="00B80987">
            <w:pPr>
              <w:spacing w:after="0" w:line="240" w:lineRule="auto"/>
              <w:jc w:val="both"/>
              <w:rPr>
                <w:rFonts w:ascii="Arial" w:eastAsia="Calibri" w:hAnsi="Arial" w:cs="Arial"/>
                <w:i/>
                <w:iCs/>
                <w:color w:val="000000"/>
                <w:kern w:val="24"/>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p>
          <w:p w:rsidR="00B80987" w:rsidRPr="00B80987" w:rsidRDefault="00B80987" w:rsidP="00B80987">
            <w:pPr>
              <w:spacing w:after="0" w:line="240"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-“No salió de lo de los tramites del ministerio público y ahí ya no quise seguir, porque la verdad puro desgaste para mí y no acabó en nada”.</w:t>
            </w:r>
          </w:p>
        </w:tc>
      </w:tr>
    </w:tbl>
    <w:p w:rsidR="00B80987" w:rsidRPr="00CD7B7C" w:rsidRDefault="00B80987" w:rsidP="00B80987">
      <w:pPr>
        <w:spacing w:line="240" w:lineRule="auto"/>
        <w:jc w:val="both"/>
        <w:rPr>
          <w:rFonts w:ascii="Arial" w:eastAsia="Calibri" w:hAnsi="Arial" w:cs="Arial"/>
          <w:sz w:val="16"/>
          <w:szCs w:val="16"/>
        </w:rPr>
      </w:pPr>
      <w:r w:rsidRPr="00B80987">
        <w:rPr>
          <w:rFonts w:ascii="Arial" w:eastAsia="Calibri" w:hAnsi="Arial" w:cs="Arial"/>
          <w:sz w:val="16"/>
          <w:szCs w:val="16"/>
        </w:rPr>
        <w:lastRenderedPageBreak/>
        <w:t>Nota. Las viñetas expresan las narraciones más ilustrativas de las 22 mujeres que denunciaron violencia de pareja, derivando en las categorías de violencia y denuncia, con sus respectivos subtemas.</w:t>
      </w:r>
    </w:p>
    <w:p w:rsidR="00B80987" w:rsidRPr="00B80987" w:rsidRDefault="00B80987" w:rsidP="00B80987">
      <w:pPr>
        <w:spacing w:line="240" w:lineRule="auto"/>
        <w:jc w:val="both"/>
        <w:rPr>
          <w:rFonts w:ascii="Arial" w:eastAsia="Calibri" w:hAnsi="Arial" w:cs="Arial"/>
          <w:i/>
          <w:sz w:val="24"/>
          <w:szCs w:val="24"/>
        </w:rPr>
      </w:pPr>
    </w:p>
    <w:p w:rsidR="00B80987" w:rsidRPr="00B80987" w:rsidRDefault="00B80987" w:rsidP="00B80987">
      <w:pPr>
        <w:spacing w:line="240" w:lineRule="auto"/>
        <w:jc w:val="both"/>
        <w:rPr>
          <w:rFonts w:ascii="Arial" w:eastAsia="Calibri" w:hAnsi="Arial" w:cs="Arial"/>
          <w:i/>
          <w:sz w:val="24"/>
          <w:szCs w:val="24"/>
        </w:rPr>
      </w:pPr>
      <w:r w:rsidRPr="00B80987">
        <w:rPr>
          <w:rFonts w:ascii="Arial" w:eastAsia="Calibri" w:hAnsi="Arial" w:cs="Arial"/>
          <w:i/>
          <w:sz w:val="24"/>
          <w:szCs w:val="24"/>
        </w:rPr>
        <w:t>Categoría 3. Identidad</w:t>
      </w:r>
    </w:p>
    <w:p w:rsidR="00B80987" w:rsidRPr="00B80987" w:rsidRDefault="00B80987" w:rsidP="00B80987">
      <w:pPr>
        <w:spacing w:line="240" w:lineRule="auto"/>
        <w:jc w:val="both"/>
        <w:rPr>
          <w:rFonts w:ascii="Arial" w:eastAsia="Calibri" w:hAnsi="Arial" w:cs="Arial"/>
          <w:i/>
          <w:sz w:val="24"/>
          <w:szCs w:val="24"/>
        </w:rPr>
      </w:pPr>
      <w:r w:rsidRPr="00B80987">
        <w:rPr>
          <w:rFonts w:ascii="Arial" w:eastAsia="Calibri" w:hAnsi="Arial" w:cs="Arial"/>
          <w:i/>
          <w:sz w:val="24"/>
          <w:szCs w:val="24"/>
        </w:rPr>
        <w:t>Aspectos cognitivos</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En esta área se presentaron ideas o pensamientos relacionados con el temor a estar sola, la vergüenza y/o sentimiento de culpa por afectar a la familia (Tabla 2), como algunas de las consecuencias de las experiencias de la falta de apoyo familiar o violencia psicológica por parte de la familia de origen de las informantes, después de haber solicitado apoyo institucional y/o denunciado.  </w:t>
      </w:r>
    </w:p>
    <w:p w:rsidR="00B80987" w:rsidRPr="00B80987" w:rsidRDefault="00B80987" w:rsidP="00B80987">
      <w:pPr>
        <w:spacing w:line="240" w:lineRule="auto"/>
        <w:jc w:val="both"/>
        <w:rPr>
          <w:rFonts w:ascii="Arial" w:eastAsia="Calibri" w:hAnsi="Arial" w:cs="Arial"/>
          <w:i/>
          <w:sz w:val="24"/>
          <w:szCs w:val="24"/>
        </w:rPr>
      </w:pPr>
      <w:r w:rsidRPr="00B80987">
        <w:rPr>
          <w:rFonts w:ascii="Arial" w:eastAsia="Calibri" w:hAnsi="Arial" w:cs="Arial"/>
          <w:i/>
          <w:sz w:val="24"/>
          <w:szCs w:val="24"/>
        </w:rPr>
        <w:t>Aspectos afectivos</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El enojo es una emoción que se encontró en algunos casos, como consecuencia de la falta de apoyo o violencia por parte de la familia de origen, con sus diversas formas de afrontamiento y manejo emocional, que van desde la evasión y la desesperanza hasta la motivación para retomar la funcionalidad en su vida (Tabla 2). Se observaron diversas formas de afrontamiento y manejo de las emociones que oscilaron entre la confusión, el sentimiento de incapacidad de salir adelante, las redes de apoyo y las vías terapéuticas. </w:t>
      </w:r>
    </w:p>
    <w:p w:rsidR="00B80987" w:rsidRPr="00B80987" w:rsidRDefault="00B80987" w:rsidP="00B80987">
      <w:pPr>
        <w:spacing w:line="240" w:lineRule="auto"/>
        <w:jc w:val="both"/>
        <w:rPr>
          <w:rFonts w:ascii="Arial" w:eastAsia="Calibri" w:hAnsi="Arial" w:cs="Arial"/>
          <w:i/>
          <w:sz w:val="24"/>
          <w:szCs w:val="24"/>
        </w:rPr>
      </w:pPr>
      <w:r w:rsidRPr="00B80987">
        <w:rPr>
          <w:rFonts w:ascii="Arial" w:eastAsia="Calibri" w:hAnsi="Arial" w:cs="Arial"/>
          <w:i/>
          <w:sz w:val="24"/>
          <w:szCs w:val="24"/>
        </w:rPr>
        <w:lastRenderedPageBreak/>
        <w:t>Aspectos conductuales</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La conducta manifestada por algunas mujeres se caracterizó por la falta de ánimo, de apetito, de arreglo personal y atención a la salud; aunque en algunos casos, la experiencia de violencia de pareja y su respectiva denuncia no causó efectos negativos en el cuidado y atención de su salud y arreglo personal, sino por el contrario, les llevó a ser más cuidadosas de estos aspectos (Tabla 2).</w:t>
      </w:r>
    </w:p>
    <w:p w:rsidR="00B80987" w:rsidRPr="00B80987" w:rsidRDefault="00B80987" w:rsidP="00B80987">
      <w:pPr>
        <w:spacing w:line="240" w:lineRule="auto"/>
        <w:jc w:val="both"/>
        <w:rPr>
          <w:rFonts w:ascii="Arial" w:eastAsia="Calibri" w:hAnsi="Arial" w:cs="Arial"/>
          <w:i/>
          <w:sz w:val="24"/>
          <w:szCs w:val="24"/>
        </w:rPr>
      </w:pPr>
      <w:r w:rsidRPr="00B80987">
        <w:rPr>
          <w:rFonts w:ascii="Arial" w:eastAsia="Calibri" w:hAnsi="Arial" w:cs="Arial"/>
          <w:i/>
          <w:sz w:val="24"/>
          <w:szCs w:val="24"/>
        </w:rPr>
        <w:t>Expectativas hacia el futuro</w:t>
      </w:r>
    </w:p>
    <w:p w:rsidR="00045967" w:rsidRDefault="00B80987" w:rsidP="00B80987">
      <w:pPr>
        <w:jc w:val="both"/>
        <w:rPr>
          <w:rFonts w:ascii="Arial" w:eastAsia="Calibri" w:hAnsi="Arial" w:cs="Arial"/>
          <w:sz w:val="24"/>
          <w:szCs w:val="24"/>
        </w:rPr>
      </w:pPr>
      <w:r w:rsidRPr="00B80987">
        <w:rPr>
          <w:rFonts w:ascii="Arial" w:eastAsia="Calibri" w:hAnsi="Arial" w:cs="Arial"/>
          <w:sz w:val="24"/>
          <w:szCs w:val="24"/>
        </w:rPr>
        <w:t>En cuanto a lo que las mujeres esperan respecto a su desarrollo individual, en la sociedad, a nivel económico, familiar, en la salud y en aspectos relacionados con la relación de pareja; posterior a la experiencia de la denuncia de violencia de pareja, en la mayor parte de los casos se presentaron expectativas sobre un futuro promisorio a mediano y largo plazo. Sin embargo, se observaron casos en los cuales la confusión y la desesperanza, derivados de una depresión reportada al haber experimentado violencia de pareja, evitaron que en algunos casos se pudieran generar expectativas positivas acerca de su vida en cualquiera de los aspectos mencionados con anterioridad, como se puede apreciar a continuación en la Tabla 3.</w:t>
      </w: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24"/>
          <w:szCs w:val="24"/>
        </w:rPr>
      </w:pPr>
    </w:p>
    <w:p w:rsidR="00CD7B7C" w:rsidRPr="00B80987" w:rsidRDefault="00CD7B7C" w:rsidP="00B80987">
      <w:pPr>
        <w:jc w:val="both"/>
        <w:rPr>
          <w:rFonts w:ascii="Arial" w:eastAsia="Calibri" w:hAnsi="Arial" w:cs="Arial"/>
          <w:sz w:val="24"/>
          <w:szCs w:val="24"/>
        </w:rPr>
      </w:pPr>
    </w:p>
    <w:p w:rsidR="00CD7B7C" w:rsidRDefault="00CD7B7C" w:rsidP="00B80987">
      <w:pPr>
        <w:jc w:val="both"/>
        <w:rPr>
          <w:rFonts w:ascii="Arial" w:eastAsia="Calibri" w:hAnsi="Arial" w:cs="Arial"/>
          <w:sz w:val="18"/>
          <w:szCs w:val="18"/>
        </w:rPr>
      </w:pPr>
    </w:p>
    <w:p w:rsidR="00B80987" w:rsidRPr="00B80987" w:rsidRDefault="00B80987" w:rsidP="00B80987">
      <w:pPr>
        <w:jc w:val="both"/>
        <w:rPr>
          <w:rFonts w:ascii="Arial" w:eastAsia="Calibri" w:hAnsi="Arial" w:cs="Arial"/>
          <w:i/>
          <w:sz w:val="18"/>
          <w:szCs w:val="18"/>
        </w:rPr>
      </w:pPr>
      <w:bookmarkStart w:id="0" w:name="_GoBack"/>
      <w:bookmarkEnd w:id="0"/>
      <w:r w:rsidRPr="00B80987">
        <w:rPr>
          <w:rFonts w:ascii="Arial" w:eastAsia="Calibri" w:hAnsi="Arial" w:cs="Arial"/>
          <w:sz w:val="18"/>
          <w:szCs w:val="18"/>
        </w:rPr>
        <w:lastRenderedPageBreak/>
        <w:t>Tabla 3. Narraciones sobre temáticas de identidad.</w:t>
      </w:r>
    </w:p>
    <w:tbl>
      <w:tblPr>
        <w:tblW w:w="9116" w:type="dxa"/>
        <w:tblCellMar>
          <w:left w:w="0" w:type="dxa"/>
          <w:right w:w="0" w:type="dxa"/>
        </w:tblCellMar>
        <w:tblLook w:val="04A0" w:firstRow="1" w:lastRow="0" w:firstColumn="1" w:lastColumn="0" w:noHBand="0" w:noVBand="1"/>
      </w:tblPr>
      <w:tblGrid>
        <w:gridCol w:w="723"/>
        <w:gridCol w:w="869"/>
        <w:gridCol w:w="4344"/>
        <w:gridCol w:w="3180"/>
      </w:tblGrid>
      <w:tr w:rsidR="00B80987" w:rsidRPr="00B80987" w:rsidTr="00045967">
        <w:trPr>
          <w:trHeight w:val="128"/>
        </w:trPr>
        <w:tc>
          <w:tcPr>
            <w:tcW w:w="723" w:type="dxa"/>
            <w:tcBorders>
              <w:top w:val="single" w:sz="8" w:space="0" w:color="000000"/>
              <w:left w:val="nil"/>
              <w:bottom w:val="single" w:sz="8" w:space="0" w:color="000000"/>
              <w:right w:val="nil"/>
            </w:tcBorders>
            <w:shd w:val="clear" w:color="auto" w:fill="auto"/>
            <w:tcMar>
              <w:top w:w="15" w:type="dxa"/>
              <w:left w:w="41" w:type="dxa"/>
              <w:bottom w:w="0" w:type="dxa"/>
              <w:right w:w="41" w:type="dxa"/>
            </w:tcMar>
            <w:hideMark/>
          </w:tcPr>
          <w:p w:rsidR="00B80987" w:rsidRPr="00B80987" w:rsidRDefault="00B80987" w:rsidP="00B80987">
            <w:pPr>
              <w:spacing w:after="0" w:line="256" w:lineRule="auto"/>
              <w:jc w:val="center"/>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TEMA</w:t>
            </w:r>
          </w:p>
        </w:tc>
        <w:tc>
          <w:tcPr>
            <w:tcW w:w="869" w:type="dxa"/>
            <w:tcBorders>
              <w:top w:val="single" w:sz="8" w:space="0" w:color="000000"/>
              <w:left w:val="nil"/>
              <w:bottom w:val="single" w:sz="8" w:space="0" w:color="000000"/>
              <w:right w:val="nil"/>
            </w:tcBorders>
            <w:shd w:val="clear" w:color="auto" w:fill="auto"/>
            <w:tcMar>
              <w:top w:w="15" w:type="dxa"/>
              <w:left w:w="41" w:type="dxa"/>
              <w:bottom w:w="0" w:type="dxa"/>
              <w:right w:w="41" w:type="dxa"/>
            </w:tcMar>
            <w:hideMark/>
          </w:tcPr>
          <w:p w:rsidR="00B80987" w:rsidRPr="00B80987" w:rsidRDefault="00B80987" w:rsidP="00B80987">
            <w:pPr>
              <w:spacing w:after="0" w:line="256" w:lineRule="auto"/>
              <w:jc w:val="center"/>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SUBTEMAS</w:t>
            </w:r>
          </w:p>
        </w:tc>
        <w:tc>
          <w:tcPr>
            <w:tcW w:w="4344" w:type="dxa"/>
            <w:tcBorders>
              <w:top w:val="single" w:sz="8" w:space="0" w:color="000000"/>
              <w:left w:val="nil"/>
              <w:bottom w:val="single" w:sz="8" w:space="0" w:color="000000"/>
              <w:right w:val="nil"/>
            </w:tcBorders>
            <w:shd w:val="clear" w:color="auto" w:fill="auto"/>
            <w:tcMar>
              <w:top w:w="15" w:type="dxa"/>
              <w:left w:w="41" w:type="dxa"/>
              <w:bottom w:w="0" w:type="dxa"/>
              <w:right w:w="41" w:type="dxa"/>
            </w:tcMar>
            <w:hideMark/>
          </w:tcPr>
          <w:p w:rsidR="00B80987" w:rsidRPr="00B80987" w:rsidRDefault="00B80987" w:rsidP="00B80987">
            <w:pPr>
              <w:spacing w:after="0" w:line="256" w:lineRule="auto"/>
              <w:jc w:val="center"/>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DESCRIPCIÓN</w:t>
            </w:r>
          </w:p>
        </w:tc>
        <w:tc>
          <w:tcPr>
            <w:tcW w:w="3180" w:type="dxa"/>
            <w:tcBorders>
              <w:top w:val="single" w:sz="8" w:space="0" w:color="000000"/>
              <w:left w:val="nil"/>
              <w:bottom w:val="single" w:sz="8" w:space="0" w:color="000000"/>
              <w:right w:val="nil"/>
            </w:tcBorders>
            <w:shd w:val="clear" w:color="auto" w:fill="auto"/>
            <w:tcMar>
              <w:top w:w="15" w:type="dxa"/>
              <w:left w:w="41" w:type="dxa"/>
              <w:bottom w:w="0" w:type="dxa"/>
              <w:right w:w="41" w:type="dxa"/>
            </w:tcMar>
            <w:hideMark/>
          </w:tcPr>
          <w:p w:rsidR="00B80987" w:rsidRPr="00B80987" w:rsidRDefault="00B80987" w:rsidP="00B80987">
            <w:pPr>
              <w:spacing w:after="0" w:line="256" w:lineRule="auto"/>
              <w:jc w:val="center"/>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JUSTIFICACIÓN</w:t>
            </w:r>
          </w:p>
        </w:tc>
      </w:tr>
      <w:tr w:rsidR="00B80987" w:rsidRPr="00B80987" w:rsidTr="00045967">
        <w:trPr>
          <w:trHeight w:val="7906"/>
        </w:trPr>
        <w:tc>
          <w:tcPr>
            <w:tcW w:w="723" w:type="dxa"/>
            <w:tcBorders>
              <w:top w:val="single" w:sz="8" w:space="0" w:color="000000"/>
              <w:left w:val="nil"/>
              <w:bottom w:val="single" w:sz="8" w:space="0" w:color="000000"/>
              <w:right w:val="nil"/>
            </w:tcBorders>
            <w:shd w:val="clear" w:color="auto" w:fill="auto"/>
            <w:tcMar>
              <w:top w:w="15" w:type="dxa"/>
              <w:left w:w="41" w:type="dxa"/>
              <w:bottom w:w="0" w:type="dxa"/>
              <w:right w:w="41" w:type="dxa"/>
            </w:tcMar>
            <w:hideMark/>
          </w:tcPr>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Identidad</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tc>
        <w:tc>
          <w:tcPr>
            <w:tcW w:w="869" w:type="dxa"/>
            <w:tcBorders>
              <w:top w:val="single" w:sz="8" w:space="0" w:color="000000"/>
              <w:left w:val="nil"/>
              <w:bottom w:val="single" w:sz="8" w:space="0" w:color="000000"/>
              <w:right w:val="nil"/>
            </w:tcBorders>
            <w:shd w:val="clear" w:color="auto" w:fill="auto"/>
            <w:tcMar>
              <w:top w:w="15" w:type="dxa"/>
              <w:left w:w="41" w:type="dxa"/>
              <w:bottom w:w="0" w:type="dxa"/>
              <w:right w:w="41" w:type="dxa"/>
            </w:tcMar>
            <w:hideMark/>
          </w:tcPr>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Aspectos cognitivos</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Aspectos afectivos</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center"/>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Aspectos conductuales</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Calibri" w:hAnsi="Arial" w:cs="Arial"/>
                <w:color w:val="000000"/>
                <w:kern w:val="24"/>
                <w:sz w:val="12"/>
                <w:szCs w:val="12"/>
                <w:lang w:eastAsia="es-MX"/>
              </w:rPr>
            </w:pPr>
            <w:r w:rsidRPr="00B80987">
              <w:rPr>
                <w:rFonts w:ascii="Arial" w:eastAsia="Calibri" w:hAnsi="Arial" w:cs="Arial"/>
                <w:color w:val="000000"/>
                <w:kern w:val="24"/>
                <w:sz w:val="12"/>
                <w:szCs w:val="12"/>
                <w:lang w:eastAsia="es-MX"/>
              </w:rPr>
              <w:t>Expectativas</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xml:space="preserve"> a futuro</w:t>
            </w:r>
          </w:p>
        </w:tc>
        <w:tc>
          <w:tcPr>
            <w:tcW w:w="4344" w:type="dxa"/>
            <w:tcBorders>
              <w:top w:val="single" w:sz="8" w:space="0" w:color="000000"/>
              <w:left w:val="nil"/>
              <w:bottom w:val="single" w:sz="8" w:space="0" w:color="000000"/>
              <w:right w:val="nil"/>
            </w:tcBorders>
            <w:shd w:val="clear" w:color="auto" w:fill="auto"/>
            <w:tcMar>
              <w:top w:w="15" w:type="dxa"/>
              <w:left w:w="41" w:type="dxa"/>
              <w:bottom w:w="0" w:type="dxa"/>
              <w:right w:w="41" w:type="dxa"/>
            </w:tcMar>
            <w:hideMark/>
          </w:tcPr>
          <w:p w:rsidR="00B80987" w:rsidRPr="00B80987" w:rsidRDefault="00B80987" w:rsidP="00B80987">
            <w:pPr>
              <w:spacing w:after="0" w:line="256" w:lineRule="auto"/>
              <w:jc w:val="both"/>
              <w:rPr>
                <w:rFonts w:ascii="Arial" w:eastAsia="Times New Roman" w:hAnsi="Arial" w:cs="Arial"/>
                <w:sz w:val="12"/>
                <w:szCs w:val="12"/>
                <w:lang w:eastAsia="es-MX"/>
              </w:rPr>
            </w:pP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xml:space="preserve">-“No quería romper el vínculo matrimonial…Tengo miedo…No quiero perder esa comodidad de estar en la casa, no me tengo que preocupar para pagar renta…Y está el niño y no quiero alejarme para no hacerle daño…En la familia no están bien vistas las divorciadas, y me enseñaron a tener miedo de ser una divorciada…Me tengo que salir de ahí, pero no sé a dónde ir… Estoy muy triste, muy derrotada, me pregunto qué es lo que me falta para poder dar el paso”.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w:t>
            </w:r>
            <w:r w:rsidRPr="00B80987">
              <w:rPr>
                <w:rFonts w:ascii="Arial" w:eastAsia="Calibri" w:hAnsi="Arial" w:cs="Arial"/>
                <w:i/>
                <w:iCs/>
                <w:color w:val="000000"/>
                <w:kern w:val="24"/>
                <w:sz w:val="12"/>
                <w:szCs w:val="12"/>
                <w:lang w:eastAsia="es-MX"/>
              </w:rPr>
              <w:t>“Me da miedo o no sé qué cosa estar sola, y no tengo quién me apoye de mi familia. Me siento traicionada, a veces siento que los odio, no puedo creer que no apoyen. Estoy enojada y triste, no se me pasa… Regreso a la casa y me siento igual de sola… Me siento muy cansada y desesperada a veces, y a veces no tengo ganas de nada. ¿Cuándo se acabará esto?”</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center"/>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Afrontamiento y manejo emocional:</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w:t>
            </w:r>
            <w:r w:rsidRPr="00B80987">
              <w:rPr>
                <w:rFonts w:ascii="Arial" w:eastAsia="Calibri" w:hAnsi="Arial" w:cs="Arial"/>
                <w:i/>
                <w:iCs/>
                <w:color w:val="000000"/>
                <w:kern w:val="24"/>
                <w:sz w:val="12"/>
                <w:szCs w:val="12"/>
                <w:lang w:eastAsia="es-MX"/>
              </w:rPr>
              <w:t>“Yo no sé con qué ayudarme, la verdad, ya es muy desesperante. A veces hablar con otras mujeres me ha ayudado y me motiva, pero tampoco es algo que ocurra con el tronido de los dedos. Tal vez un día todo esto se vaya componiendo, los milagros también ocurren, pero no sé”.</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w:t>
            </w:r>
            <w:r w:rsidRPr="00B80987">
              <w:rPr>
                <w:rFonts w:ascii="Arial" w:eastAsia="Calibri" w:hAnsi="Arial" w:cs="Arial"/>
                <w:i/>
                <w:iCs/>
                <w:color w:val="000000"/>
                <w:kern w:val="24"/>
                <w:sz w:val="12"/>
                <w:szCs w:val="12"/>
                <w:lang w:eastAsia="es-MX"/>
              </w:rPr>
              <w:t>“Trato de arreglarme, tu prioridad es tu físico, tu persona o sea tú, lo que reflejas ante la sociedad …Te descuidas y te descuidas y te descuidas, pero ahora me doy mi tiempo de andar siempre guapa…Ya le he dado un poquito más de interés y dedico mi tiempo a mí, a mi hija y a mi trabajo”.</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xml:space="preserve">“Pues yo me veo definitivamente mejor en tres años en todo, sí me veo con una, sí creo que en lo social estaría mejor, sé que voy a estar mucho mejor económicamente, sé que me voy a dedicar a estudiar después…que voy a estar cuidando de mi salud porque en mi desarrollo como mujer, como persona, estoy segura que voy a estar al cien por ciento y seguramente en los temas económicos también, y sé que voy a una buena persona porque soy optimista de eso”.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w:t>
            </w:r>
            <w:r w:rsidRPr="00B80987">
              <w:rPr>
                <w:rFonts w:ascii="Arial" w:eastAsia="Calibri" w:hAnsi="Arial" w:cs="Arial"/>
                <w:i/>
                <w:iCs/>
                <w:color w:val="000000"/>
                <w:kern w:val="24"/>
                <w:sz w:val="12"/>
                <w:szCs w:val="12"/>
                <w:lang w:eastAsia="es-MX"/>
              </w:rPr>
              <w:t>“No sé, no tengo ahorita una visión para mí, yo creo que estaría olvidada, como  la mujer que fui, pues ya no lo soy; me imagino a futuro siendo una mujer sola, yo creo que estaría peor que ahora. Estoy muy deprimida”.</w:t>
            </w:r>
          </w:p>
        </w:tc>
        <w:tc>
          <w:tcPr>
            <w:tcW w:w="3180" w:type="dxa"/>
            <w:tcBorders>
              <w:top w:val="single" w:sz="8" w:space="0" w:color="000000"/>
              <w:left w:val="nil"/>
              <w:bottom w:val="single" w:sz="8" w:space="0" w:color="000000"/>
              <w:right w:val="nil"/>
            </w:tcBorders>
            <w:shd w:val="clear" w:color="auto" w:fill="auto"/>
            <w:tcMar>
              <w:top w:w="15" w:type="dxa"/>
              <w:left w:w="41" w:type="dxa"/>
              <w:bottom w:w="0" w:type="dxa"/>
              <w:right w:w="41" w:type="dxa"/>
            </w:tcMar>
            <w:hideMark/>
          </w:tcPr>
          <w:p w:rsidR="00B80987" w:rsidRPr="00B80987" w:rsidRDefault="00B80987" w:rsidP="00B80987">
            <w:pPr>
              <w:spacing w:after="0" w:line="256" w:lineRule="auto"/>
              <w:jc w:val="both"/>
              <w:rPr>
                <w:rFonts w:ascii="Arial" w:eastAsia="Times New Roman" w:hAnsi="Arial" w:cs="Arial"/>
                <w:sz w:val="12"/>
                <w:szCs w:val="12"/>
                <w:lang w:eastAsia="es-MX"/>
              </w:rPr>
            </w:pP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“En mi familia nadie se divorcia, por eso ahí sigo…Si se presentaba alguna situación negativa con respecto a él, yo pensaba: “Es que yo hice esto, yo tengo la culpa”, por darle gusto. Por eso mis justificaciones… Eso es lo que me frustra mucho porque no es justo… Me siento como en un círculo, porque quiero hacer esto y no lo he logrado, y no sé cómo romperlo…”.</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“A lo mejor es que creo que no valgo si no estoy con un hombre… Es que luego una no sabe por dónde resolver, por más que le pienso (llora)… ya no se me ocurre cómo hacerle. No sé si estoy mal, y debería de aguantarme, como dice mi mamá. A lo mejor ya debería de acostumbrarme, aunque me confundo…”.</w:t>
            </w:r>
          </w:p>
          <w:p w:rsidR="00B80987" w:rsidRPr="00B80987" w:rsidRDefault="00B80987" w:rsidP="00B80987">
            <w:pPr>
              <w:spacing w:after="0" w:line="256" w:lineRule="auto"/>
              <w:jc w:val="center"/>
              <w:rPr>
                <w:rFonts w:ascii="Arial" w:eastAsia="Times New Roman" w:hAnsi="Arial" w:cs="Arial"/>
                <w:sz w:val="12"/>
                <w:szCs w:val="12"/>
                <w:lang w:eastAsia="es-MX"/>
              </w:rPr>
            </w:pPr>
            <w:r w:rsidRPr="00B80987">
              <w:rPr>
                <w:rFonts w:ascii="Arial" w:eastAsia="Calibri" w:hAnsi="Arial" w:cs="Arial"/>
                <w:b/>
                <w:bCs/>
                <w:color w:val="000000"/>
                <w:kern w:val="24"/>
                <w:sz w:val="12"/>
                <w:szCs w:val="12"/>
                <w:lang w:eastAsia="es-MX"/>
              </w:rPr>
              <w:t> </w:t>
            </w:r>
          </w:p>
          <w:p w:rsidR="00B80987" w:rsidRPr="00B80987" w:rsidRDefault="00B80987" w:rsidP="00B80987">
            <w:pPr>
              <w:spacing w:after="0" w:line="256"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Cuando te sientes sin apoyo por parte de tu familia, no es fácil salir de las situaciones”.</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color w:val="000000"/>
                <w:kern w:val="24"/>
                <w:sz w:val="12"/>
                <w:szCs w:val="12"/>
                <w:lang w:eastAsia="es-MX"/>
              </w:rPr>
              <w:t>-“</w:t>
            </w:r>
            <w:r w:rsidRPr="00B80987">
              <w:rPr>
                <w:rFonts w:ascii="Arial" w:eastAsia="Calibri" w:hAnsi="Arial" w:cs="Arial"/>
                <w:i/>
                <w:iCs/>
                <w:color w:val="000000"/>
                <w:kern w:val="24"/>
                <w:sz w:val="12"/>
                <w:szCs w:val="12"/>
                <w:lang w:eastAsia="es-MX"/>
              </w:rPr>
              <w:t>Me he metido a muchos cursos de superación personal y leer algo que me anime y tratar de juntarme con gente que ayuda a la gente”.</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“He aprendido que cada vez que me sienta mal, tengo que ir a buscar ayuda al médico; atenderme, no descuidarme; verme siempre bonita, cuidada, arreglada, dentro de tres años voy a estar mucho mejor y seguramente con una pareja. Me imagino que dentro de diez años</w:t>
            </w:r>
            <w:r w:rsidRPr="00B80987">
              <w:rPr>
                <w:rFonts w:ascii="Arial" w:eastAsia="Calibri" w:hAnsi="Arial" w:cs="Arial"/>
                <w:b/>
                <w:bCs/>
                <w:i/>
                <w:iCs/>
                <w:color w:val="000000"/>
                <w:kern w:val="24"/>
                <w:sz w:val="12"/>
                <w:szCs w:val="12"/>
                <w:lang w:eastAsia="es-MX"/>
              </w:rPr>
              <w:t xml:space="preserve"> </w:t>
            </w:r>
            <w:r w:rsidRPr="00B80987">
              <w:rPr>
                <w:rFonts w:ascii="Arial" w:eastAsia="Calibri" w:hAnsi="Arial" w:cs="Arial"/>
                <w:i/>
                <w:iCs/>
                <w:color w:val="000000"/>
                <w:kern w:val="24"/>
                <w:sz w:val="12"/>
                <w:szCs w:val="12"/>
                <w:lang w:eastAsia="es-MX"/>
              </w:rPr>
              <w:t>voy a estar todavía mucho mejor en todos los temas, no me imagino estar peor o igual, para estar plenamente feliz y tranquila”.</w:t>
            </w:r>
          </w:p>
          <w:p w:rsidR="00B80987" w:rsidRPr="00B80987" w:rsidRDefault="00B80987" w:rsidP="00B80987">
            <w:pPr>
              <w:spacing w:after="0" w:line="256" w:lineRule="auto"/>
              <w:jc w:val="both"/>
              <w:rPr>
                <w:rFonts w:ascii="Arial" w:eastAsia="Calibri" w:hAnsi="Arial" w:cs="Arial"/>
                <w:i/>
                <w:iCs/>
                <w:color w:val="000000"/>
                <w:kern w:val="24"/>
                <w:sz w:val="12"/>
                <w:szCs w:val="12"/>
                <w:lang w:eastAsia="es-MX"/>
              </w:rPr>
            </w:pPr>
            <w:r w:rsidRPr="00B80987">
              <w:rPr>
                <w:rFonts w:ascii="Arial" w:eastAsia="Calibri" w:hAnsi="Arial" w:cs="Arial"/>
                <w:i/>
                <w:iCs/>
                <w:color w:val="000000"/>
                <w:kern w:val="24"/>
                <w:sz w:val="12"/>
                <w:szCs w:val="12"/>
                <w:lang w:eastAsia="es-MX"/>
              </w:rPr>
              <w:t> </w:t>
            </w:r>
          </w:p>
          <w:p w:rsidR="00B80987" w:rsidRPr="00B80987" w:rsidRDefault="00B80987" w:rsidP="00B80987">
            <w:pPr>
              <w:spacing w:after="0" w:line="256" w:lineRule="auto"/>
              <w:jc w:val="both"/>
              <w:rPr>
                <w:rFonts w:ascii="Arial" w:eastAsia="Times New Roman" w:hAnsi="Arial" w:cs="Arial"/>
                <w:sz w:val="12"/>
                <w:szCs w:val="12"/>
                <w:lang w:eastAsia="es-MX"/>
              </w:rPr>
            </w:pPr>
            <w:r w:rsidRPr="00B80987">
              <w:rPr>
                <w:rFonts w:ascii="Arial" w:eastAsia="Calibri" w:hAnsi="Arial" w:cs="Arial"/>
                <w:i/>
                <w:iCs/>
                <w:color w:val="000000"/>
                <w:kern w:val="24"/>
                <w:sz w:val="12"/>
                <w:szCs w:val="12"/>
                <w:lang w:eastAsia="es-MX"/>
              </w:rPr>
              <w:t>- “No tengo idea de lo que me espera, ya no creo en cosas buenas, porque pueden salir peor de lo que planeaba para mi vida, mejor nada”.</w:t>
            </w:r>
          </w:p>
        </w:tc>
      </w:tr>
    </w:tbl>
    <w:p w:rsidR="00B80987" w:rsidRPr="00B80987" w:rsidRDefault="00B80987" w:rsidP="00B80987">
      <w:pPr>
        <w:jc w:val="both"/>
        <w:rPr>
          <w:rFonts w:ascii="Arial" w:eastAsia="Calibri" w:hAnsi="Arial" w:cs="Arial"/>
          <w:sz w:val="12"/>
          <w:szCs w:val="12"/>
        </w:rPr>
      </w:pPr>
      <w:r w:rsidRPr="00B80987">
        <w:rPr>
          <w:rFonts w:ascii="Arial" w:eastAsia="Calibri" w:hAnsi="Arial" w:cs="Arial"/>
          <w:sz w:val="12"/>
          <w:szCs w:val="12"/>
        </w:rPr>
        <w:t>Nota. Las viñetas expresan las narraciones más ilustrativas de las 22 mujeres que denunciaron violencia de pareja, derivando en la categoría de identidad, con sus respectivos subtemas: aspectos cognitivos, afectivos, conductuales y expectativas hacia el futuro.</w:t>
      </w:r>
    </w:p>
    <w:p w:rsidR="00B80987" w:rsidRPr="00B80987" w:rsidRDefault="00B80987" w:rsidP="00B80987">
      <w:pPr>
        <w:spacing w:line="240" w:lineRule="auto"/>
        <w:rPr>
          <w:rFonts w:ascii="Arial" w:eastAsia="Calibri" w:hAnsi="Arial" w:cs="Arial"/>
          <w:b/>
          <w:sz w:val="24"/>
          <w:szCs w:val="24"/>
          <w:lang w:val="uz-Cyrl-UZ"/>
        </w:rPr>
      </w:pPr>
    </w:p>
    <w:p w:rsidR="00B80987" w:rsidRPr="00B80987" w:rsidRDefault="00B80987" w:rsidP="00B80987">
      <w:pPr>
        <w:spacing w:line="240" w:lineRule="auto"/>
        <w:jc w:val="center"/>
        <w:rPr>
          <w:rFonts w:ascii="Arial" w:eastAsia="Calibri" w:hAnsi="Arial" w:cs="Arial"/>
          <w:b/>
          <w:sz w:val="24"/>
          <w:szCs w:val="24"/>
        </w:rPr>
      </w:pPr>
      <w:r w:rsidRPr="00B80987">
        <w:rPr>
          <w:rFonts w:ascii="Arial" w:eastAsia="Calibri" w:hAnsi="Arial" w:cs="Arial"/>
          <w:b/>
          <w:sz w:val="24"/>
          <w:szCs w:val="24"/>
        </w:rPr>
        <w:t>Discusión</w:t>
      </w:r>
    </w:p>
    <w:p w:rsidR="00B80987" w:rsidRPr="00B80987" w:rsidRDefault="00B80987" w:rsidP="00B80987">
      <w:pPr>
        <w:spacing w:line="240" w:lineRule="auto"/>
        <w:jc w:val="both"/>
        <w:rPr>
          <w:rFonts w:ascii="Arial" w:eastAsia="Calibri" w:hAnsi="Arial" w:cs="Arial"/>
          <w:b/>
          <w:sz w:val="24"/>
          <w:szCs w:val="24"/>
        </w:rPr>
      </w:pPr>
      <w:r w:rsidRPr="00B80987">
        <w:rPr>
          <w:rFonts w:ascii="Arial" w:eastAsia="Calibri" w:hAnsi="Arial" w:cs="Arial"/>
          <w:sz w:val="24"/>
          <w:szCs w:val="24"/>
          <w:lang w:val="uz-Cyrl-UZ"/>
        </w:rPr>
        <w:t>Las particularidades o subjetividades en la experiencia de las mujeres al haber sido violentadas por sus parejas o ex parejas de manera física, psicológica, económica, patrimonial y/o sexual y haber denunciado el delito de violencia familiar por dicha razón, derivó en diferentes manifestaciones sobre las transiciones identitarias de dichas mujeres; que se observaron en temas relacionados con aspectos afectivos, cognitivos, conductuales y perspectivas hacia el futuro.</w:t>
      </w:r>
    </w:p>
    <w:p w:rsidR="00CD7B7C" w:rsidRDefault="00CD7B7C" w:rsidP="00B80987">
      <w:pPr>
        <w:spacing w:line="240" w:lineRule="auto"/>
        <w:jc w:val="both"/>
        <w:rPr>
          <w:rFonts w:ascii="Arial" w:eastAsia="Calibri" w:hAnsi="Arial" w:cs="Arial"/>
          <w:b/>
        </w:rPr>
      </w:pPr>
    </w:p>
    <w:p w:rsidR="00CD7B7C" w:rsidRDefault="00CD7B7C" w:rsidP="00B80987">
      <w:pPr>
        <w:spacing w:line="240" w:lineRule="auto"/>
        <w:jc w:val="both"/>
        <w:rPr>
          <w:rFonts w:ascii="Arial" w:eastAsia="Calibri" w:hAnsi="Arial" w:cs="Arial"/>
          <w:b/>
        </w:rPr>
      </w:pPr>
    </w:p>
    <w:p w:rsidR="00B80987" w:rsidRPr="00B80987" w:rsidRDefault="00B80987" w:rsidP="00B80987">
      <w:pPr>
        <w:spacing w:line="240" w:lineRule="auto"/>
        <w:jc w:val="both"/>
        <w:rPr>
          <w:rFonts w:ascii="Arial" w:eastAsia="Calibri" w:hAnsi="Arial" w:cs="Arial"/>
          <w:b/>
          <w:lang w:val="uz-Cyrl-UZ"/>
        </w:rPr>
      </w:pPr>
      <w:r w:rsidRPr="00B80987">
        <w:rPr>
          <w:rFonts w:ascii="Arial" w:eastAsia="Calibri" w:hAnsi="Arial" w:cs="Arial"/>
          <w:b/>
          <w:lang w:val="uz-Cyrl-UZ"/>
        </w:rPr>
        <w:lastRenderedPageBreak/>
        <w:t>Violencia familiar y denuncia</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Las violencias psicológica, física, económica, patrimonial y sexual</w:t>
      </w:r>
      <w:r w:rsidRPr="00B80987">
        <w:rPr>
          <w:rFonts w:ascii="Arial" w:eastAsia="Calibri" w:hAnsi="Arial" w:cs="Arial"/>
          <w:sz w:val="24"/>
          <w:szCs w:val="24"/>
          <w:lang w:val="uz-Cyrl-UZ"/>
        </w:rPr>
        <w:t xml:space="preserve"> fueron expresadas en los relatos de las 22 mujeres, mostrando en algunos casos la experiencia de haber vivido desde una forma de violencia por parte de su pareja o ex pareja, hasta varias o todas las formas de violencia</w:t>
      </w:r>
      <w:r w:rsidRPr="00B80987">
        <w:rPr>
          <w:rFonts w:ascii="Arial" w:eastAsia="Calibri" w:hAnsi="Arial" w:cs="Arial"/>
          <w:sz w:val="24"/>
          <w:szCs w:val="24"/>
        </w:rPr>
        <w:t xml:space="preserve"> en otros casos. </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Dichas formas identificadas de violencia condujeron a su correspondiente denuncia, la cual fue motivada por diferentes razones, como: el enojo, la determinación a terminar con una relación de violencia, la necesidad de hacer público un problema que ocurría en el ámbito privado o doméstico, como una forma de protección ante el temor de morir a manos de su pareja, ante la motivación de las y los familiares, la motivación de haber escuchado de casos similares en grupos de autoayuda, así como para retomar el control de su vida. La mayoría de ellas lo hizo a pesar del miedo que expresaron tener al mismo tiempo de su motivación. Tal y como lo expresan Djikanović, Lo Fo Wong, Jansen, Koso, Simić, Otašević,  &amp; Lagro-Janssen,  (2011), en donde sólo el 12% de las mujeres que han experimentado violencia por parte de su pareja o ex pareja ha denunciado el delito y que la mayor motivación a denunciar en este grupo de mujeres, es porque la violencia ha tenido un impacto severo en ellas, o porque  notaron que sus hijos ya estaban sufriendo de dicha violencia en contra de ellas; otra de las motivaciones para denunciar es la decisión de terminar con la relación de pareja, así como la insistencia de las y los familiares en que lo hagan.  En los casos analizados en el presente estudio, las motivaciones que se presentaron para no continuar con el proceso penal, fueron: el desgaste físico, emocional, económico y laboral durante el trámite y seguimiento de la denuncia, así como la reconciliación o establecimientos de acuerdos con sus respectivas parejas o ex parejas. </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En otro estudio sobre el reconocimiento de la violencia familiar y la búsqueda de ayuda se menciona que es más probable que las mujeres denuncien violencia física y sexual que la violencia psicológica, pues esta última es la que más tardan en identificar (Kim,  &amp; Hogge, 2015). Sin embargo, como se mostró con anterioridad, en este estudio hubo casos en los cuales se identificó primero la violencia psicológica y económica, no así la física ni la sexual; lo cual permite hipotetizar acerca de la posibilidad de algunas mujeres de identificar más tipos de violencia, y no sólo los físicamente evidentes. Esto puede ser favorecido por la existencia de campañas </w:t>
      </w:r>
      <w:r w:rsidRPr="00B80987">
        <w:rPr>
          <w:rFonts w:ascii="Arial" w:eastAsia="Calibri" w:hAnsi="Arial" w:cs="Arial"/>
          <w:sz w:val="24"/>
          <w:szCs w:val="24"/>
          <w:lang w:val="uz-Cyrl-UZ"/>
        </w:rPr>
        <w:t>que se dedican a prevenir, sancionar y erradicar la violencia contra las mujeres; ya que varias mujeres mencionaron en sus narraciones que fue a partir de la difusión por medio de los medios masivos de información, así como de la asistencia a grupos gubernamentales especializados para asistir a las víctimas  de violencia familiar, que lograron identificar y denunciar los diferentes tipos de violencia en contra de ellas; como se expresa a continuación:</w:t>
      </w:r>
    </w:p>
    <w:p w:rsidR="00B80987" w:rsidRPr="00B80987" w:rsidRDefault="00B80987" w:rsidP="00B80987">
      <w:pPr>
        <w:spacing w:line="240" w:lineRule="auto"/>
        <w:jc w:val="both"/>
        <w:rPr>
          <w:rFonts w:ascii="Arial" w:eastAsia="Calibri" w:hAnsi="Arial" w:cs="Arial"/>
          <w:b/>
          <w:sz w:val="24"/>
          <w:szCs w:val="24"/>
        </w:rPr>
      </w:pPr>
      <w:r w:rsidRPr="00B80987">
        <w:rPr>
          <w:rFonts w:ascii="Arial" w:eastAsia="Calibri" w:hAnsi="Arial" w:cs="Arial"/>
          <w:b/>
          <w:sz w:val="24"/>
          <w:szCs w:val="24"/>
        </w:rPr>
        <w:t>Las transiciones identitarias</w:t>
      </w:r>
    </w:p>
    <w:p w:rsidR="00B80987" w:rsidRPr="00B80987" w:rsidRDefault="00B80987" w:rsidP="00B80987">
      <w:pPr>
        <w:spacing w:line="240" w:lineRule="auto"/>
        <w:jc w:val="both"/>
        <w:rPr>
          <w:rFonts w:ascii="Arial" w:eastAsia="Calibri" w:hAnsi="Arial" w:cs="Arial"/>
          <w:i/>
          <w:sz w:val="24"/>
          <w:szCs w:val="24"/>
        </w:rPr>
      </w:pPr>
      <w:r w:rsidRPr="00B80987">
        <w:rPr>
          <w:rFonts w:ascii="Arial" w:eastAsia="Calibri" w:hAnsi="Arial" w:cs="Arial"/>
          <w:sz w:val="24"/>
          <w:szCs w:val="24"/>
        </w:rPr>
        <w:t xml:space="preserve">El haber realizado una denuncia por violencia familiar, en algunos de los casos trajo como consecuencia la falta de apoyo familiar o violencia psicológica por parte de la familia de origen de las mujeres, provocando cambios identitarios en aspectos cognitivos, afectivos y conductuales; ya que las ideas o pensamientos relacionados </w:t>
      </w:r>
      <w:r w:rsidRPr="00B80987">
        <w:rPr>
          <w:rFonts w:ascii="Arial" w:eastAsia="Calibri" w:hAnsi="Arial" w:cs="Arial"/>
          <w:sz w:val="24"/>
          <w:szCs w:val="24"/>
        </w:rPr>
        <w:lastRenderedPageBreak/>
        <w:t>con el temor a estar sola, la vergüenza y/o sentimiento de culpa por afectar a la familia; el enojo como consecuencia de la falta de apoyo o violencia por parte de la familia de origen, y las diversas formas de afrontamiento y manejo de las emociones que oscilaron entre la confusión, el sentimiento de incapacidad de salir adelante, la búsqueda de redes de apoyo y de vías terapéuticas; así como</w:t>
      </w:r>
      <w:r w:rsidRPr="00B80987">
        <w:rPr>
          <w:rFonts w:ascii="Arial" w:eastAsia="Calibri" w:hAnsi="Arial" w:cs="Arial"/>
          <w:i/>
          <w:sz w:val="24"/>
          <w:szCs w:val="24"/>
        </w:rPr>
        <w:t xml:space="preserve"> </w:t>
      </w:r>
      <w:r w:rsidRPr="00B80987">
        <w:rPr>
          <w:rFonts w:ascii="Arial" w:eastAsia="Calibri" w:hAnsi="Arial" w:cs="Arial"/>
          <w:sz w:val="24"/>
          <w:szCs w:val="24"/>
        </w:rPr>
        <w:t>sus conductas caracterizadas por la falta de ánimo, de apetito, de arreglo personal y atención a la salud, siendo que en otros casos se prestó  mayor atención a cuidar de dichos aspectos, fueron algunas de las experiencias narradas por ellas.</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La mujeres cuya experiencia fue la de haber tenido una red de apoyo familiar satisfactoria para ellas, en donde se observó un acompañamiento durante los procesos legales y de asistencia psicológica, apoyo económico y/o patrimonial, y  se observaron las características descritas por Gracia et al. , (2002) y Matud et al. , (2003), mediante expresiones de cuidado y preocupación compartido con las familiares víctimas de violencia de pareja; mencionaron que se sintieron seguras y valoradas, con reconocimiento por parte de sus familiares; tal y como lo describen los autores. Los roles de género tradicionales que justifican y avalan la violencia contra las mujeres por parte de sus parejas no fueron manifestados por parte de los familiares en estos casos. Estas familias alentaron el divorcio como salida a la violencia que las mujeres estaban viviendo con sus respectivos esposos. Brindaron apoyo en el cuidado de los hijos, hospedaje y ayuda económica aparte del acompañamiento físico y emocional en los trámites de denuncia y asesoría psicológica. Se les alentó a no abandonar los trámites ni el tratamiento para mejorar su autoestima. La experiencia del apoyo incondicionado de la familia después de haber denunciado la violencia de género fortaleció su autoestima, como lo indica Herrero (2010). El apoyo social y/o familiar es un elemento indispensable para superar problemas no exclusivamente en materia de salud (Cheng &amp; Chan, 2006; Feldman et al., 2008; Herrero &amp; Gracia, 2005; Mohr, Classen &amp; Barrera, 2004; Nollen, Catley, Davies, Hall &amp; Ahluwalia, 2005; Okamoto &amp; Tanaka, 2004; Peek &amp; Lin, 1999), sino también para superar diversas situaciones en las que se ha experimentado violencia (Estrada, C.,  Herrero, J. &amp; Rodríguez, F., 2012; Coker, Watkis, Smith &amp; Brandt, 2003; Hage, 2006; Juárez, Valdez &amp; Hernández-Rosete, 2005; Matud, Aguilera, Morrero, Moraza &amp; Caballeira, 2003; Matud, Caballeira, López, Morrero &amp; Ibáñez, 2002). Estos hallazgos corroboran que ante</w:t>
      </w:r>
      <w:r w:rsidRPr="00B80987">
        <w:rPr>
          <w:rFonts w:ascii="Arial" w:eastAsia="Calibri" w:hAnsi="Arial" w:cs="Arial"/>
          <w:sz w:val="24"/>
          <w:szCs w:val="24"/>
          <w:lang w:val="es-ES_tradnl"/>
        </w:rPr>
        <w:t xml:space="preserve"> la falta de apoyo familiar y social hay menor tendencia a denunciar la violencia de pareja</w:t>
      </w:r>
      <w:r w:rsidRPr="00B80987">
        <w:rPr>
          <w:rFonts w:ascii="Arial" w:eastAsia="Calibri" w:hAnsi="Arial" w:cs="Arial"/>
          <w:sz w:val="24"/>
          <w:szCs w:val="24"/>
        </w:rPr>
        <w:t xml:space="preserve"> (Prosman, Lo Fo Wong, &amp; Lagro</w:t>
      </w:r>
      <w:r w:rsidRPr="00B80987">
        <w:rPr>
          <w:rFonts w:ascii="Cambria Math" w:eastAsia="Calibri" w:hAnsi="Cambria Math" w:cs="Cambria Math"/>
          <w:sz w:val="24"/>
          <w:szCs w:val="24"/>
        </w:rPr>
        <w:t>‐</w:t>
      </w:r>
      <w:r w:rsidRPr="00B80987">
        <w:rPr>
          <w:rFonts w:ascii="Arial" w:eastAsia="Calibri" w:hAnsi="Arial" w:cs="Arial"/>
          <w:sz w:val="24"/>
          <w:szCs w:val="24"/>
        </w:rPr>
        <w:t xml:space="preserve">Janssen, 2014). </w:t>
      </w:r>
    </w:p>
    <w:p w:rsidR="00B80987" w:rsidRPr="00B80987" w:rsidRDefault="00B80987" w:rsidP="00B80987">
      <w:pPr>
        <w:spacing w:line="240" w:lineRule="auto"/>
        <w:jc w:val="both"/>
        <w:rPr>
          <w:rFonts w:ascii="Arial" w:eastAsia="Calibri" w:hAnsi="Arial" w:cs="Arial"/>
          <w:sz w:val="24"/>
          <w:szCs w:val="24"/>
        </w:rPr>
      </w:pP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Por otro lado, las mujeres que expresaron no haber experimentado apoyo familiar, o que incluso recibieron violencia psicológica por parte de los miembros de su familia de origen, así como de la familia nuclear (hijos), pues el apoyo familiar fue negado a estas mujeres emocional, económica y patrimonialmente, así como en la ayuda para el cuidado de sus hijos menores de edad; se les ha excluido de la familia por haber tomado la decisión de divorciarse, separarse y/o de denunciar a la ex pareja. Aspectos relacionados con el familismo, siguiendo los roles de género establecidos social y familiarmente respecto a la conducta que se espera de una mujer casada, se han observado impactando negativamente en el desarrollo de </w:t>
      </w:r>
      <w:r w:rsidRPr="00B80987">
        <w:rPr>
          <w:rFonts w:ascii="Arial" w:eastAsia="Calibri" w:hAnsi="Arial" w:cs="Arial"/>
          <w:sz w:val="24"/>
          <w:szCs w:val="24"/>
        </w:rPr>
        <w:lastRenderedPageBreak/>
        <w:t xml:space="preserve">estas mujeres. Así lo describen Estrada, C., Herrero, J. &amp; Rodríguez, F., (2012), pues para las familias de origen de este grupo de mujeres el apoyo sólo alienta a conservar los vínculos familiares, pero no está presente en situaciones de violencia, posiblemente por considerarlas asuntos que pertenecen a la privacidad de la pareja. Frías y Agoff (2015) mencionan que su estructura tradicional de género no admite el hecho de que una mujer se separe de su esposo cuando ésta ha sido violentada, pues se pone en juego la honorabilidad de la mujer y de la familia nuclear; por lo tanto es preferible segregar a las mujeres del núcleo familiar de origen. Es así como la red de apoyo familiar se encuentra presente de forma condicionada, es decir, solamente si las mujeres no toman acciones que las lleven a terminar con la violencia. </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En cuanto a las expectativas a futuro, se analizó el   desarrollo individual, en la sociedad, a nivel económico, familiar, en la salud y aspectos relacionados con la relación de pareja; a partir de la experiencia de la denuncia de violencia de pareja. En la mayor parte de los casos se presentaron expectativas sobre un futuro promisorio a mediano y largo plazo. Este fenómeno puede ser descrito y explicado a partir del concepto de empoderamiento, que es “el proceso por el cual aquellos a quienes se les ha negado la posibilidad de tomar decisiones de vida estratégicas adquieren tal capacidad” (Kabeer, 1999), adquiriendo el control sobre sus propias vidas (Kishor, 2000). El empoderamiento es </w:t>
      </w:r>
      <w:r w:rsidRPr="00B80987">
        <w:rPr>
          <w:rFonts w:ascii="Arial" w:eastAsia="Calibri" w:hAnsi="Arial" w:cs="Arial"/>
          <w:sz w:val="24"/>
          <w:szCs w:val="24"/>
          <w:lang w:val="uz-Cyrl-UZ"/>
        </w:rPr>
        <w:t>un proceso deseable</w:t>
      </w:r>
      <w:r w:rsidRPr="00B80987">
        <w:rPr>
          <w:rFonts w:ascii="Arial" w:eastAsia="Calibri" w:hAnsi="Arial" w:cs="Arial"/>
          <w:sz w:val="24"/>
          <w:szCs w:val="24"/>
        </w:rPr>
        <w:t xml:space="preserve"> e indispensable para alcanzar e</w:t>
      </w:r>
      <w:r w:rsidRPr="00B80987">
        <w:rPr>
          <w:rFonts w:ascii="Arial" w:eastAsia="Calibri" w:hAnsi="Arial" w:cs="Arial"/>
          <w:sz w:val="24"/>
          <w:szCs w:val="24"/>
          <w:lang w:val="uz-Cyrl-UZ"/>
        </w:rPr>
        <w:t>l bienestar individual y familiar,</w:t>
      </w:r>
      <w:r w:rsidRPr="00B80987">
        <w:rPr>
          <w:rFonts w:ascii="Arial" w:eastAsia="Calibri" w:hAnsi="Arial" w:cs="Arial"/>
          <w:sz w:val="24"/>
          <w:szCs w:val="24"/>
        </w:rPr>
        <w:t xml:space="preserve"> </w:t>
      </w:r>
      <w:r w:rsidRPr="00B80987">
        <w:rPr>
          <w:rFonts w:ascii="Arial" w:eastAsia="Calibri" w:hAnsi="Arial" w:cs="Arial"/>
          <w:sz w:val="24"/>
          <w:szCs w:val="24"/>
          <w:lang w:val="uz-Cyrl-UZ"/>
        </w:rPr>
        <w:t xml:space="preserve">la salud y el desarrollo social (Sen &amp; Batliwala,1997). </w:t>
      </w:r>
      <w:r w:rsidRPr="00B80987">
        <w:rPr>
          <w:rFonts w:ascii="Arial" w:eastAsia="Calibri" w:hAnsi="Arial" w:cs="Arial"/>
          <w:sz w:val="24"/>
          <w:szCs w:val="24"/>
        </w:rPr>
        <w:t>El empoderamiento proyectado hacia el futuro fue un componente que se encontró en casi todos los casos, a pesar de que los relatos de sus experiencias en aspectos cognitivos, afectivos y conductuales actuales, no fueran del todo positivos o alentadores. Dentro de estos casos, existieron algunos en los cuales a pesar de no haber recibido apoyo familiar, las expectativas hacia el futuro en sus diferentes dimensiones, también tomaron la dirección hacia el empoderamiento. Contrario a lo que se expresó con anterioridad respecto al apoyo familiar y/o social, como elemento indispensable para la autoestima, para superar situaciones de  violencia y para la tendencia a la denuncia (Cheng &amp; Chan, 2006; Feldman et al., 2008; Herrero &amp; Gracia, 2005; Mohr, Classen &amp; Barrera, 2004; Nollen, Catley, Davies, Hall &amp; Ahluwalia, 2005; Okamoto &amp; Tanaka, 2004; Peek &amp; Lin, 1999; Estrada, Herrero,  &amp; Rodríguez, 2012; Coker, Watkis, Smith &amp; Brandt, 2003; Hage, 2006; Juárez, Valdez &amp; Hernández-Rosete, 2005; Matud, Aguilera, Morrero, Moraza &amp; Caballeira, 2003; Matud, Caballeira, López, Morrero &amp; Ibáñez, 2002; Prosman, Lo Fo Wong, &amp; Lagro</w:t>
      </w:r>
      <w:r w:rsidRPr="00B80987">
        <w:rPr>
          <w:rFonts w:ascii="Cambria Math" w:eastAsia="Calibri" w:hAnsi="Cambria Math" w:cs="Cambria Math"/>
          <w:sz w:val="24"/>
          <w:szCs w:val="24"/>
        </w:rPr>
        <w:t>‐</w:t>
      </w:r>
      <w:r w:rsidRPr="00B80987">
        <w:rPr>
          <w:rFonts w:ascii="Arial" w:eastAsia="Calibri" w:hAnsi="Arial" w:cs="Arial"/>
          <w:sz w:val="24"/>
          <w:szCs w:val="24"/>
        </w:rPr>
        <w:t xml:space="preserve">Janssen, 2014). </w:t>
      </w:r>
    </w:p>
    <w:p w:rsidR="00B80987" w:rsidRPr="00B80987" w:rsidRDefault="00B80987" w:rsidP="00B80987">
      <w:pPr>
        <w:spacing w:line="240" w:lineRule="auto"/>
        <w:jc w:val="both"/>
        <w:rPr>
          <w:rFonts w:ascii="Arial" w:eastAsia="Calibri" w:hAnsi="Arial" w:cs="Arial"/>
          <w:sz w:val="24"/>
          <w:szCs w:val="24"/>
        </w:rPr>
      </w:pP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Por otro lado, se observaron casos en los cuales la confusión y la desesperanza, derivados de una depresión reportada al haber denunciado violencia de pareja, evitaron que se pudieran generar expectativas positivas acerca de su vida en cualquiera de los aspectos mencionados con anterioridad. Esto se reflejó principalmente en las mujeres que expresaron no haber experimentado apoyo familiar, o que incluso recibieron violencia psicológica por parte de los miembros de su familia de origen, así como de la familia nuclear (hijos), no manifestaron características relacionadas con el empoderamiento, a pesar de haber buscado y </w:t>
      </w:r>
      <w:r w:rsidRPr="00B80987">
        <w:rPr>
          <w:rFonts w:ascii="Arial" w:eastAsia="Calibri" w:hAnsi="Arial" w:cs="Arial"/>
          <w:sz w:val="24"/>
          <w:szCs w:val="24"/>
        </w:rPr>
        <w:lastRenderedPageBreak/>
        <w:t>obtenido ayuda institucional, como asesoría legal para dar seguimiento a las respectivas denuncias y asesoría psicológica en todos los casos. Son mujeres que expresaron no tener una fuente de ingresos segura para depender de sí mismas, ya que su principal ingreso provenía o proviene de sus parejas y/o exparejas, y que dejó de ser provista parcial o totalmente debido a que fueron denunciados. El apoyo familiar fue negado a estas mujeres emocional, económica y patrimonialmente, así como en la ayuda para el cuidado de sus hijos menores de edad. En ellas coincide la incapacidad para salir a trabajar formalmente por quedarse al cuidado de sus hijos, ya que sus familiares no sólo se han negado a ayudarles, sino que en algunos casos se les ha excluido de la familia por haber tomado la decisión de divorciarse y/o de denunciar a la ex pareja, o cuando los familiares aparentemente han aceptado cuidar de sus hijos, los golpean y maltratan psicológicamente. Aspectos relacionados con el familismo siguiendo los roles de género establecidos social y familiarmente respecto a la conducta que se espera de una mujer casada, se han observado impactando negativamente en el desarrollo de estas mujeres, pues impiden su empoderamiento. El proceso de empoderamiento de las mujeres no tiene posibilidades de desarrollo en estas situaciones, pues se requiere de trabajo a nivel individual (autoestima), en las relaciones cercanas (familia y amistades), y en la dimensión colectiva (grupos de mujeres, instituciones), siguiendo el modelo de empoderamiento tridimensional de Martínez, Zapata &amp; Alberti (2010). En estas dimensiones, asimismo se desarrolla la identidad, ya que se genera un proceso dialéctico entre lo personal y lo colectivo, en donde  recupera lo psicológico y lo sociológico, generándose una  dinámica en las relaciones que construye la identidad de las mujeres (Mancillas, 2006). Es así como en estos casos, las transiciones identitarias condujeron a expectativas hacia el futuro negativas; relacionadas con su desarrollo individual, en la sociedad, a nivel económico, familiar, en la salud y en aspectos relacionados con la relación de pareja. Estas consecuencias provocaron temor a quedarse sola, afectar a su familia nuclear y de origen, enojo, auto devaluación, depresión, confusión y/o desesperanza, a pesar de que en todos los casos las mujeres se encontraban desde el momento de la identificación y/o denuncia de la violencia de pareja, bajo asesoría o acompañamiento psicológico y legal. Se hizo evidente la falta de confianza en sí mismas o inseguridad para afrontar la vida sin su pareja, el temor de  perjudicar a sus familiares si toman la decisión de separase y/o denunciar a la pareja, además del enojo y resentimiento al experimentar la violencia por parte de los familiares, derivados de las creencias basadas en las expectativas familiares fundamentadas en el género acerca del comportamiento adecuado de una mujer casada. El oponerse a la violencia de pareja con base en los derechos para las mujeres también provoca confusión, pues una vez que decidieron tomar acciones para salir de la relación violenta, las reacciones de los familiares fueron de desprecio a las mujeres; la negación del apoyo y violencia psicológica, las hicieron dudar si la decisión había sido la correcta. Les fomentó la auto devaluación, pues creen merecer la violencia de la que son objeto, los roles de género deseables para la familia no están siendo cumplidos por ellas, aun cuando simultáneamente identifican y se oponen a la violencia de pareja.</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Al encontrarse sin apoyo económico, patrimonial y emocional por parte de sus familiares, mencionaron no contar con posibilidades para salir de su situación, </w:t>
      </w:r>
      <w:r w:rsidRPr="00B80987">
        <w:rPr>
          <w:rFonts w:ascii="Arial" w:eastAsia="Calibri" w:hAnsi="Arial" w:cs="Arial"/>
          <w:sz w:val="24"/>
          <w:szCs w:val="24"/>
        </w:rPr>
        <w:lastRenderedPageBreak/>
        <w:t xml:space="preserve">aunque al haber solicitado ayuda institucional por recomendación de amistades o gente conocida de ellas en la actualidad les representa una posibilidad en un contexto en el que no la identificaban. Estos estados de ánimo negativos las llevaban a aceptar más violencia por parte de parejas, ex parejas y familiares, en detrimento de la motivación para tomar decisiones estratégicas de vida como lo describe Kabeer (1999), relacionadas con su desarrollo individual, en la sociedad, a nivel económico, familiar, en la salud y en aspectos relacionados con la relación de pareja; para tomar el control de sus propias vidas (Kishor, 2000). </w:t>
      </w:r>
    </w:p>
    <w:p w:rsidR="00B80987" w:rsidRPr="00B80987" w:rsidRDefault="00B80987" w:rsidP="00B80987">
      <w:pPr>
        <w:spacing w:line="240" w:lineRule="auto"/>
        <w:jc w:val="both"/>
        <w:rPr>
          <w:rFonts w:ascii="Arial" w:eastAsia="Calibri" w:hAnsi="Arial" w:cs="Arial"/>
          <w:b/>
        </w:rPr>
      </w:pPr>
      <w:r w:rsidRPr="00B80987">
        <w:rPr>
          <w:rFonts w:ascii="Arial" w:eastAsia="Calibri" w:hAnsi="Arial" w:cs="Arial"/>
          <w:b/>
        </w:rPr>
        <w:t>Limitaciones del estudio</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Una de las limitaciones observadas durante el proceso de investigación fue que en algunos casos, las mujeres pedían ser acompañadas por su representante legal durante las entrevistas. Esta situación pudo haber motivado a que las participantes restaran veracidad en sus respuestas. Sin embargo, dado que de otra forma las mujeres no hubieran aceptado participar en el estudio, la única manera para tener acceso a las mujeres fue mediante la aceptación por parte de la investigadora de dicha condición. Podría considerarse para un estudio posterior, la solicitud de aceptación en el consentimiento informado a acudir sin compañía a las entrevistas; con la finalidad de que los resultados sean más objetivos, a pesar del análisis de la subjetividad característica de un estudio cualitativo.</w:t>
      </w:r>
    </w:p>
    <w:p w:rsidR="00B80987" w:rsidRPr="00B80987" w:rsidRDefault="00B80987" w:rsidP="00B80987">
      <w:pPr>
        <w:spacing w:line="240" w:lineRule="auto"/>
        <w:jc w:val="both"/>
        <w:rPr>
          <w:rFonts w:ascii="Arial" w:eastAsia="Calibri" w:hAnsi="Arial" w:cs="Arial"/>
          <w:b/>
        </w:rPr>
      </w:pPr>
      <w:r w:rsidRPr="00B80987">
        <w:rPr>
          <w:rFonts w:ascii="Arial" w:eastAsia="Calibri" w:hAnsi="Arial" w:cs="Arial"/>
          <w:b/>
        </w:rPr>
        <w:t>Recomendaciones</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El propósito final de estudios como el presente es hacer escuchar y comprender las voces que narran las experiencias de las mujeres acerca de las consecuencias de denunciar a su agresor. Conociendo las consecuencias en voz de las mujeres es como se desarrollarán aproximaciones más eficientes para combatir la violencia en contra de ellas.</w:t>
      </w:r>
    </w:p>
    <w:p w:rsidR="00B80987" w:rsidRPr="00B80987" w:rsidRDefault="00B80987" w:rsidP="00B80987">
      <w:pPr>
        <w:spacing w:line="240" w:lineRule="auto"/>
        <w:jc w:val="both"/>
        <w:rPr>
          <w:rFonts w:ascii="Arial" w:eastAsia="Calibri" w:hAnsi="Arial" w:cs="Arial"/>
          <w:sz w:val="24"/>
          <w:szCs w:val="24"/>
        </w:rPr>
      </w:pPr>
      <w:r w:rsidRPr="00B80987">
        <w:rPr>
          <w:rFonts w:ascii="Arial" w:eastAsia="Calibri" w:hAnsi="Arial" w:cs="Arial"/>
          <w:sz w:val="24"/>
          <w:szCs w:val="24"/>
        </w:rPr>
        <w:t xml:space="preserve">Sería recomendable la aplicación de  programas de intervención que consideren  las voces de las experiencias de las mujeres que han denunciado la violencia de pareja, y que sean dirigidos a las mujeres y a sus familiares, para el fortalecimiento psicológico de ellas; ya que “Ni los actores del problema (mujer y agresor), ni los integrantes de la red social (familia, comunidad, instituciones de apoyo) deben ser excluidos de la responsabilidad de la construcción y mantenimiento de la situación imperante alrededor de la violencia” (Estrada, C., Herrero, J. &amp; Rodríguez, F., 2012, p. 532). </w:t>
      </w:r>
    </w:p>
    <w:p w:rsidR="00B80987" w:rsidRPr="00B80987" w:rsidRDefault="00B80987" w:rsidP="00B80987">
      <w:pPr>
        <w:spacing w:line="240" w:lineRule="auto"/>
        <w:jc w:val="both"/>
        <w:rPr>
          <w:rFonts w:ascii="Arial" w:eastAsia="Calibri" w:hAnsi="Arial" w:cs="Arial"/>
          <w:b/>
          <w:sz w:val="24"/>
          <w:szCs w:val="24"/>
        </w:rPr>
      </w:pPr>
    </w:p>
    <w:p w:rsidR="00B80987" w:rsidRPr="00B80987" w:rsidRDefault="00B80987" w:rsidP="00B80987">
      <w:pPr>
        <w:spacing w:line="240" w:lineRule="auto"/>
        <w:jc w:val="both"/>
        <w:rPr>
          <w:rFonts w:ascii="Arial" w:eastAsia="Calibri" w:hAnsi="Arial" w:cs="Arial"/>
          <w:b/>
          <w:sz w:val="24"/>
          <w:szCs w:val="24"/>
        </w:rPr>
      </w:pPr>
      <w:r w:rsidRPr="00B80987">
        <w:rPr>
          <w:rFonts w:ascii="Arial" w:eastAsia="Calibri" w:hAnsi="Arial" w:cs="Arial"/>
          <w:b/>
          <w:sz w:val="24"/>
          <w:szCs w:val="24"/>
        </w:rPr>
        <w:t>Referencias Bibliográficas</w:t>
      </w:r>
    </w:p>
    <w:p w:rsidR="00B80987" w:rsidRPr="00B80987" w:rsidRDefault="00B80987" w:rsidP="00B80987">
      <w:pPr>
        <w:widowControl w:val="0"/>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rPr>
        <w:t xml:space="preserve">Álvarez-Gayou, J. L. (2003). Cómo hacer investigación cualitativa. Fundamentos y metodología. </w:t>
      </w:r>
      <w:r w:rsidRPr="00B80987">
        <w:rPr>
          <w:rFonts w:ascii="Arial" w:eastAsia="Calibri" w:hAnsi="Arial" w:cs="Arial"/>
          <w:sz w:val="24"/>
          <w:szCs w:val="24"/>
          <w:lang w:val="en-US"/>
        </w:rPr>
        <w:t>México: Paidós Educador.</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Asay, S., DeFrain, J., Metzger, M., &amp; Moyer, B. (2016). Implementing a strengths-based approach to intimate partner violence worldwide. </w:t>
      </w:r>
      <w:r w:rsidRPr="00B80987">
        <w:rPr>
          <w:rFonts w:ascii="Arial" w:eastAsia="Calibri" w:hAnsi="Arial" w:cs="Arial"/>
          <w:i/>
          <w:iCs/>
          <w:sz w:val="24"/>
          <w:szCs w:val="24"/>
          <w:lang w:val="en-US"/>
        </w:rPr>
        <w:t>Journal of Family Violence</w:t>
      </w:r>
      <w:r w:rsidRPr="00B80987">
        <w:rPr>
          <w:rFonts w:ascii="Arial" w:eastAsia="Calibri" w:hAnsi="Arial" w:cs="Arial"/>
          <w:sz w:val="24"/>
          <w:szCs w:val="24"/>
          <w:lang w:val="en-US"/>
        </w:rPr>
        <w:t>, </w:t>
      </w:r>
      <w:r w:rsidRPr="00B80987">
        <w:rPr>
          <w:rFonts w:ascii="Arial" w:eastAsia="Calibri" w:hAnsi="Arial" w:cs="Arial"/>
          <w:i/>
          <w:iCs/>
          <w:sz w:val="24"/>
          <w:szCs w:val="24"/>
          <w:lang w:val="en-US"/>
        </w:rPr>
        <w:t>31</w:t>
      </w:r>
      <w:r w:rsidRPr="00B80987">
        <w:rPr>
          <w:rFonts w:ascii="Arial" w:eastAsia="Calibri" w:hAnsi="Arial" w:cs="Arial"/>
          <w:sz w:val="24"/>
          <w:szCs w:val="24"/>
          <w:lang w:val="en-US"/>
        </w:rPr>
        <w:t>(3), 349–360. https://doi.org/10.1007/s10896-015-9770-2</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lastRenderedPageBreak/>
        <w:t xml:space="preserve">Bernards, S. &amp; Graham, K. (2013). The cross-cultural association between marital status and physical aggression between intimate partners. </w:t>
      </w:r>
      <w:r w:rsidRPr="00B80987">
        <w:rPr>
          <w:rFonts w:ascii="Arial" w:eastAsia="Calibri" w:hAnsi="Arial" w:cs="Arial"/>
          <w:i/>
          <w:sz w:val="24"/>
          <w:szCs w:val="24"/>
          <w:lang w:val="en-US"/>
        </w:rPr>
        <w:t>Journal of Family Violence, 28</w:t>
      </w:r>
      <w:r w:rsidRPr="00B80987">
        <w:rPr>
          <w:rFonts w:ascii="Arial" w:eastAsia="Calibri" w:hAnsi="Arial" w:cs="Arial"/>
          <w:sz w:val="24"/>
          <w:szCs w:val="24"/>
          <w:lang w:val="en-US"/>
        </w:rPr>
        <w:t>(4), 403-418.</w:t>
      </w:r>
    </w:p>
    <w:p w:rsidR="00B80987" w:rsidRPr="00B80987" w:rsidRDefault="00B80987" w:rsidP="00B80987">
      <w:pPr>
        <w:spacing w:line="240" w:lineRule="auto"/>
        <w:ind w:left="709" w:hanging="709"/>
        <w:jc w:val="both"/>
        <w:rPr>
          <w:rFonts w:ascii="Arial" w:eastAsia="Calibri" w:hAnsi="Arial" w:cs="Arial"/>
          <w:sz w:val="24"/>
          <w:szCs w:val="24"/>
          <w:lang w:val="es-ES_tradnl"/>
        </w:rPr>
      </w:pPr>
      <w:r w:rsidRPr="00B80987">
        <w:rPr>
          <w:rFonts w:ascii="Arial" w:eastAsia="Calibri" w:hAnsi="Arial" w:cs="Arial"/>
          <w:sz w:val="24"/>
          <w:szCs w:val="24"/>
          <w:lang w:val="en-US"/>
        </w:rPr>
        <w:t xml:space="preserve">Botero, C., Coronel, E., &amp; Pérez, C. (2009). </w:t>
      </w:r>
      <w:r w:rsidRPr="00B80987">
        <w:rPr>
          <w:rFonts w:ascii="Arial" w:eastAsia="Calibri" w:hAnsi="Arial" w:cs="Arial"/>
          <w:sz w:val="24"/>
          <w:szCs w:val="24"/>
          <w:lang w:val="es-ES_tradnl"/>
        </w:rPr>
        <w:t xml:space="preserve">Revisión teórica del concepto de victimización secundaria. </w:t>
      </w:r>
      <w:r w:rsidRPr="00B80987">
        <w:rPr>
          <w:rFonts w:ascii="Arial" w:eastAsia="Calibri" w:hAnsi="Arial" w:cs="Arial"/>
          <w:i/>
          <w:iCs/>
          <w:sz w:val="24"/>
          <w:szCs w:val="24"/>
          <w:lang w:val="es-ES_tradnl"/>
        </w:rPr>
        <w:t>Liberabit</w:t>
      </w:r>
      <w:r w:rsidRPr="00B80987">
        <w:rPr>
          <w:rFonts w:ascii="Arial" w:eastAsia="Calibri" w:hAnsi="Arial" w:cs="Arial"/>
          <w:sz w:val="24"/>
          <w:szCs w:val="24"/>
          <w:lang w:val="es-ES_tradnl"/>
        </w:rPr>
        <w:t xml:space="preserve">, </w:t>
      </w:r>
      <w:r w:rsidRPr="00B80987">
        <w:rPr>
          <w:rFonts w:ascii="Arial" w:eastAsia="Calibri" w:hAnsi="Arial" w:cs="Arial"/>
          <w:i/>
          <w:iCs/>
          <w:sz w:val="24"/>
          <w:szCs w:val="24"/>
          <w:lang w:val="es-ES_tradnl"/>
        </w:rPr>
        <w:t>15</w:t>
      </w:r>
      <w:r w:rsidRPr="00B80987">
        <w:rPr>
          <w:rFonts w:ascii="Arial" w:eastAsia="Calibri" w:hAnsi="Arial" w:cs="Arial"/>
          <w:sz w:val="24"/>
          <w:szCs w:val="24"/>
          <w:lang w:val="es-ES_tradnl"/>
        </w:rPr>
        <w:t>(1), 49-58.</w:t>
      </w:r>
    </w:p>
    <w:p w:rsidR="00B80987" w:rsidRPr="00B80987" w:rsidRDefault="00B80987" w:rsidP="00B80987">
      <w:pPr>
        <w:spacing w:line="240" w:lineRule="auto"/>
        <w:ind w:left="709" w:hanging="709"/>
        <w:jc w:val="both"/>
        <w:rPr>
          <w:rFonts w:ascii="Arial" w:eastAsia="Calibri" w:hAnsi="Arial" w:cs="Arial"/>
          <w:sz w:val="24"/>
          <w:szCs w:val="24"/>
          <w:lang w:val="es-ES_tradnl"/>
        </w:rPr>
      </w:pPr>
      <w:r w:rsidRPr="00B80987">
        <w:rPr>
          <w:rFonts w:ascii="Arial" w:eastAsia="Calibri" w:hAnsi="Arial" w:cs="Arial"/>
          <w:sz w:val="24"/>
          <w:szCs w:val="24"/>
          <w:lang w:val="es-ES_tradnl"/>
        </w:rPr>
        <w:t xml:space="preserve">Cámara de Diputados del H. Congreso de la Unión (2017). Constitución Política de los Estados Unidos Mexicanos Disponible en: </w:t>
      </w:r>
      <w:hyperlink r:id="rId7" w:history="1">
        <w:r w:rsidRPr="00B80987">
          <w:rPr>
            <w:rFonts w:ascii="Arial" w:eastAsia="Calibri" w:hAnsi="Arial" w:cs="Arial"/>
            <w:sz w:val="24"/>
            <w:szCs w:val="24"/>
            <w:u w:val="single"/>
            <w:lang w:val="es-ES_tradnl"/>
          </w:rPr>
          <w:t>https://mexico.justia.com/federales/constitucion-politica-de-los-estados-unidos-mexicanos/gdoc/</w:t>
        </w:r>
      </w:hyperlink>
    </w:p>
    <w:p w:rsidR="00B80987" w:rsidRPr="00B80987" w:rsidRDefault="00B80987" w:rsidP="00B80987">
      <w:pPr>
        <w:spacing w:line="240" w:lineRule="auto"/>
        <w:ind w:left="709" w:hanging="709"/>
        <w:jc w:val="both"/>
        <w:rPr>
          <w:rFonts w:ascii="Arial" w:eastAsia="Calibri" w:hAnsi="Arial" w:cs="Arial"/>
          <w:sz w:val="24"/>
          <w:szCs w:val="24"/>
          <w:lang w:val="es-ES_tradnl"/>
        </w:rPr>
      </w:pPr>
      <w:r w:rsidRPr="00B80987">
        <w:rPr>
          <w:rFonts w:ascii="Arial" w:eastAsia="Calibri" w:hAnsi="Arial" w:cs="Arial"/>
          <w:sz w:val="24"/>
          <w:szCs w:val="24"/>
          <w:lang w:val="es-ES_tradnl"/>
        </w:rPr>
        <w:t xml:space="preserve">Cámara de Diputados del H. Congreso de la Unión (2018). Ley General de Igualdad entre Mujeres y Hombres Disponible en: </w:t>
      </w:r>
      <w:hyperlink r:id="rId8" w:history="1">
        <w:r w:rsidRPr="00B80987">
          <w:rPr>
            <w:rFonts w:ascii="Arial" w:eastAsia="Calibri" w:hAnsi="Arial" w:cs="Arial"/>
            <w:sz w:val="24"/>
            <w:szCs w:val="24"/>
            <w:u w:val="single"/>
            <w:lang w:val="es-ES_tradnl"/>
          </w:rPr>
          <w:t>https://www.gob.mx/cms/uploads/attachment/file/340430/Ley_Gral_Igualdad_entre_Mujeres_y_Hombres.pdf</w:t>
        </w:r>
      </w:hyperlink>
    </w:p>
    <w:p w:rsidR="00B80987" w:rsidRPr="00B80987" w:rsidRDefault="00B80987" w:rsidP="00B80987">
      <w:pPr>
        <w:spacing w:line="240" w:lineRule="auto"/>
        <w:ind w:left="709" w:hanging="709"/>
        <w:jc w:val="both"/>
        <w:rPr>
          <w:rFonts w:ascii="Arial" w:eastAsia="Calibri" w:hAnsi="Arial" w:cs="Arial"/>
          <w:sz w:val="24"/>
          <w:szCs w:val="24"/>
          <w:lang w:val="es-ES_tradnl"/>
        </w:rPr>
      </w:pPr>
      <w:r w:rsidRPr="00B80987">
        <w:rPr>
          <w:rFonts w:ascii="Arial" w:eastAsia="Calibri" w:hAnsi="Arial" w:cs="Arial"/>
          <w:sz w:val="24"/>
          <w:szCs w:val="24"/>
          <w:lang w:val="es-ES_tradnl"/>
        </w:rPr>
        <w:t xml:space="preserve">Cámara de Diputados del H. Congreso de la Unión (2018). Ley General de Acceso de las Mujeres a una Vida Libre de Violencia. Disponible en </w:t>
      </w:r>
      <w:hyperlink r:id="rId9" w:history="1">
        <w:r w:rsidRPr="00B80987">
          <w:rPr>
            <w:rFonts w:ascii="Arial" w:eastAsia="Calibri" w:hAnsi="Arial" w:cs="Arial"/>
            <w:sz w:val="24"/>
            <w:szCs w:val="24"/>
            <w:u w:val="single"/>
            <w:lang w:val="es-ES_tradnl"/>
          </w:rPr>
          <w:t>www.diputados.gob.mx/LeyesBiblio/ref/lgamvlv.htm</w:t>
        </w:r>
      </w:hyperlink>
      <w:r w:rsidRPr="00B80987">
        <w:rPr>
          <w:rFonts w:ascii="Arial" w:eastAsia="Calibri" w:hAnsi="Arial" w:cs="Arial"/>
          <w:sz w:val="24"/>
          <w:szCs w:val="24"/>
          <w:lang w:val="es-ES_tradnl"/>
        </w:rPr>
        <w:t xml:space="preserve">. </w:t>
      </w:r>
    </w:p>
    <w:p w:rsidR="00B80987" w:rsidRPr="00B80987" w:rsidRDefault="00B80987" w:rsidP="00B80987">
      <w:pPr>
        <w:spacing w:line="240" w:lineRule="auto"/>
        <w:ind w:left="709" w:hanging="709"/>
        <w:jc w:val="both"/>
        <w:rPr>
          <w:rFonts w:ascii="Arial" w:eastAsia="Calibri" w:hAnsi="Arial" w:cs="Arial"/>
          <w:sz w:val="24"/>
          <w:szCs w:val="24"/>
          <w:lang w:val="es-ES_tradnl"/>
        </w:rPr>
      </w:pPr>
      <w:r w:rsidRPr="00B80987">
        <w:rPr>
          <w:rFonts w:ascii="Arial" w:eastAsia="Calibri" w:hAnsi="Arial" w:cs="Arial"/>
          <w:sz w:val="24"/>
          <w:szCs w:val="24"/>
          <w:lang w:val="es-ES_tradnl"/>
        </w:rPr>
        <w:t xml:space="preserve">CEDAW (1979). Disponible en: </w:t>
      </w:r>
      <w:hyperlink r:id="rId10" w:history="1">
        <w:r w:rsidRPr="00B80987">
          <w:rPr>
            <w:rFonts w:ascii="Arial" w:eastAsia="Calibri" w:hAnsi="Arial" w:cs="Arial"/>
            <w:sz w:val="24"/>
            <w:szCs w:val="24"/>
            <w:u w:val="single"/>
            <w:lang w:val="es-ES_tradnl"/>
          </w:rPr>
          <w:t>http://www2.ohchr.org/spanish/law/cedaw.htm</w:t>
        </w:r>
      </w:hyperlink>
      <w:r w:rsidRPr="00B80987">
        <w:rPr>
          <w:rFonts w:ascii="Arial" w:eastAsia="Calibri" w:hAnsi="Arial" w:cs="Arial"/>
          <w:sz w:val="24"/>
          <w:szCs w:val="24"/>
          <w:lang w:val="es-ES_tradnl"/>
        </w:rPr>
        <w:t>.</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 xml:space="preserve">Cheng, Sh. &amp; Chan, A. (2006). Social support and self-rated health revisited: Is there a gender difference in later life? </w:t>
      </w:r>
      <w:r w:rsidRPr="00B80987">
        <w:rPr>
          <w:rFonts w:ascii="Arial" w:eastAsia="Calibri" w:hAnsi="Arial" w:cs="Arial"/>
          <w:i/>
          <w:iCs/>
          <w:sz w:val="24"/>
          <w:szCs w:val="24"/>
          <w:lang w:val="en-US"/>
        </w:rPr>
        <w:t>Social Science and Medicine,</w:t>
      </w:r>
      <w:r w:rsidRPr="00B80987">
        <w:rPr>
          <w:rFonts w:ascii="Arial" w:eastAsia="Calibri" w:hAnsi="Arial" w:cs="Arial"/>
          <w:sz w:val="24"/>
          <w:szCs w:val="24"/>
          <w:lang w:val="en-US"/>
        </w:rPr>
        <w:t xml:space="preserve"> </w:t>
      </w:r>
      <w:r w:rsidRPr="00B80987">
        <w:rPr>
          <w:rFonts w:ascii="Arial" w:eastAsia="Calibri" w:hAnsi="Arial" w:cs="Arial"/>
          <w:i/>
          <w:iCs/>
          <w:sz w:val="24"/>
          <w:szCs w:val="24"/>
          <w:lang w:val="en-US"/>
        </w:rPr>
        <w:t xml:space="preserve">63, </w:t>
      </w:r>
      <w:r w:rsidRPr="00B80987">
        <w:rPr>
          <w:rFonts w:ascii="Arial" w:eastAsia="Calibri" w:hAnsi="Arial" w:cs="Arial"/>
          <w:sz w:val="24"/>
          <w:szCs w:val="24"/>
          <w:lang w:val="en-US"/>
        </w:rPr>
        <w:t>118-122.</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 xml:space="preserve">Coker, A., Watkis, K., Smith, P. &amp; Brandt, H. (2003). Social support reduces the impact in partner violence on health: Applications of structural equation models. </w:t>
      </w:r>
      <w:r w:rsidRPr="00B80987">
        <w:rPr>
          <w:rFonts w:ascii="Arial" w:eastAsia="Calibri" w:hAnsi="Arial" w:cs="Arial"/>
          <w:i/>
          <w:iCs/>
          <w:sz w:val="24"/>
          <w:szCs w:val="24"/>
          <w:lang w:val="en-US"/>
        </w:rPr>
        <w:t>Preventive Medicine, 37</w:t>
      </w:r>
      <w:r w:rsidRPr="00B80987">
        <w:rPr>
          <w:rFonts w:ascii="Arial" w:eastAsia="Calibri" w:hAnsi="Arial" w:cs="Arial"/>
          <w:sz w:val="24"/>
          <w:szCs w:val="24"/>
          <w:lang w:val="en-US"/>
        </w:rPr>
        <w:t>(3), 259-267.</w:t>
      </w:r>
    </w:p>
    <w:p w:rsidR="00B80987" w:rsidRPr="00B80987" w:rsidRDefault="00B80987" w:rsidP="00B80987">
      <w:pPr>
        <w:spacing w:line="240" w:lineRule="auto"/>
        <w:ind w:left="709" w:hanging="709"/>
        <w:jc w:val="both"/>
        <w:rPr>
          <w:rFonts w:ascii="Arial" w:eastAsia="Calibri" w:hAnsi="Arial" w:cs="Arial"/>
          <w:sz w:val="24"/>
          <w:szCs w:val="24"/>
        </w:rPr>
      </w:pPr>
      <w:r w:rsidRPr="00B80987">
        <w:rPr>
          <w:rFonts w:ascii="Arial" w:eastAsia="Calibri" w:hAnsi="Arial" w:cs="Arial"/>
          <w:sz w:val="24"/>
          <w:szCs w:val="24"/>
          <w:lang w:val="en-US"/>
        </w:rPr>
        <w:t>Combs, G., &amp; Freedman, J. (2016). Narrative therapy's relational understanding of identity. </w:t>
      </w:r>
      <w:r w:rsidRPr="00B80987">
        <w:rPr>
          <w:rFonts w:ascii="Arial" w:eastAsia="Calibri" w:hAnsi="Arial" w:cs="Arial"/>
          <w:i/>
          <w:iCs/>
          <w:sz w:val="24"/>
          <w:szCs w:val="24"/>
        </w:rPr>
        <w:t>Family Process</w:t>
      </w:r>
      <w:r w:rsidRPr="00B80987">
        <w:rPr>
          <w:rFonts w:ascii="Arial" w:eastAsia="Calibri" w:hAnsi="Arial" w:cs="Arial"/>
          <w:sz w:val="24"/>
          <w:szCs w:val="24"/>
        </w:rPr>
        <w:t>, </w:t>
      </w:r>
      <w:r w:rsidRPr="00B80987">
        <w:rPr>
          <w:rFonts w:ascii="Arial" w:eastAsia="Calibri" w:hAnsi="Arial" w:cs="Arial"/>
          <w:i/>
          <w:iCs/>
          <w:sz w:val="24"/>
          <w:szCs w:val="24"/>
        </w:rPr>
        <w:t>55</w:t>
      </w:r>
      <w:r w:rsidRPr="00B80987">
        <w:rPr>
          <w:rFonts w:ascii="Arial" w:eastAsia="Calibri" w:hAnsi="Arial" w:cs="Arial"/>
          <w:sz w:val="24"/>
          <w:szCs w:val="24"/>
        </w:rPr>
        <w:t>(2), 211-224.</w:t>
      </w:r>
    </w:p>
    <w:p w:rsidR="00B80987" w:rsidRPr="00B80987" w:rsidRDefault="00B80987" w:rsidP="00B80987">
      <w:pPr>
        <w:spacing w:line="240" w:lineRule="auto"/>
        <w:ind w:left="709" w:hanging="709"/>
        <w:jc w:val="both"/>
        <w:rPr>
          <w:rFonts w:ascii="Arial" w:eastAsia="Calibri" w:hAnsi="Arial" w:cs="Arial"/>
          <w:sz w:val="24"/>
          <w:szCs w:val="24"/>
        </w:rPr>
      </w:pPr>
      <w:r w:rsidRPr="00B80987">
        <w:rPr>
          <w:rFonts w:ascii="Arial" w:eastAsia="Calibri" w:hAnsi="Arial" w:cs="Arial"/>
          <w:sz w:val="24"/>
          <w:szCs w:val="24"/>
        </w:rPr>
        <w:t>Derecho Mexicano (2017). Definición de denuncia. Recuperado de http://derechomexicano.com.mx/que-es-una-demanda-denuncia-y-querella/</w:t>
      </w:r>
    </w:p>
    <w:p w:rsidR="00B80987" w:rsidRPr="00B80987" w:rsidRDefault="00B80987" w:rsidP="00B80987">
      <w:pPr>
        <w:spacing w:line="240" w:lineRule="auto"/>
        <w:ind w:left="709" w:hanging="709"/>
        <w:jc w:val="both"/>
        <w:rPr>
          <w:rFonts w:ascii="Arial" w:eastAsia="Calibri" w:hAnsi="Arial" w:cs="Arial"/>
          <w:sz w:val="24"/>
          <w:szCs w:val="24"/>
        </w:rPr>
      </w:pPr>
      <w:r w:rsidRPr="00B80987">
        <w:rPr>
          <w:rFonts w:ascii="Arial" w:eastAsia="Calibri" w:hAnsi="Arial" w:cs="Arial"/>
          <w:sz w:val="24"/>
          <w:szCs w:val="24"/>
        </w:rPr>
        <w:t xml:space="preserve">Djikanović, B., Lo Fo Wong, S., Jansen, H. A., Koso, S., Simić, S., Otašević, S., &amp; Lagro-Janssen, A. (2011). </w:t>
      </w:r>
      <w:r w:rsidRPr="00B80987">
        <w:rPr>
          <w:rFonts w:ascii="Arial" w:eastAsia="Calibri" w:hAnsi="Arial" w:cs="Arial"/>
          <w:sz w:val="24"/>
          <w:szCs w:val="24"/>
          <w:lang w:val="en-US"/>
        </w:rPr>
        <w:t>Help-seeking behaviour of Serbian women who experienced intimate partner violence. </w:t>
      </w:r>
      <w:r w:rsidRPr="00B80987">
        <w:rPr>
          <w:rFonts w:ascii="Arial" w:eastAsia="Calibri" w:hAnsi="Arial" w:cs="Arial"/>
          <w:i/>
          <w:iCs/>
          <w:sz w:val="24"/>
          <w:szCs w:val="24"/>
        </w:rPr>
        <w:t>Family practice</w:t>
      </w:r>
      <w:r w:rsidRPr="00B80987">
        <w:rPr>
          <w:rFonts w:ascii="Arial" w:eastAsia="Calibri" w:hAnsi="Arial" w:cs="Arial"/>
          <w:sz w:val="24"/>
          <w:szCs w:val="24"/>
        </w:rPr>
        <w:t>, </w:t>
      </w:r>
      <w:r w:rsidRPr="00B80987">
        <w:rPr>
          <w:rFonts w:ascii="Arial" w:eastAsia="Calibri" w:hAnsi="Arial" w:cs="Arial"/>
          <w:i/>
          <w:iCs/>
          <w:sz w:val="24"/>
          <w:szCs w:val="24"/>
        </w:rPr>
        <w:t>29</w:t>
      </w:r>
      <w:r w:rsidRPr="00B80987">
        <w:rPr>
          <w:rFonts w:ascii="Arial" w:eastAsia="Calibri" w:hAnsi="Arial" w:cs="Arial"/>
          <w:sz w:val="24"/>
          <w:szCs w:val="24"/>
        </w:rPr>
        <w:t>(2), 189-195.</w:t>
      </w:r>
    </w:p>
    <w:p w:rsidR="00B80987" w:rsidRPr="00B80987" w:rsidRDefault="00B80987" w:rsidP="00B80987">
      <w:pPr>
        <w:spacing w:line="240" w:lineRule="auto"/>
        <w:ind w:left="709" w:hanging="709"/>
        <w:jc w:val="both"/>
        <w:rPr>
          <w:rFonts w:ascii="Arial" w:eastAsia="Calibri" w:hAnsi="Arial" w:cs="Arial"/>
          <w:sz w:val="24"/>
          <w:szCs w:val="24"/>
          <w:lang w:val="es-ES_tradnl"/>
        </w:rPr>
      </w:pPr>
      <w:r w:rsidRPr="00B80987">
        <w:rPr>
          <w:rFonts w:ascii="Arial" w:eastAsia="Calibri" w:hAnsi="Arial" w:cs="Arial"/>
          <w:sz w:val="24"/>
          <w:szCs w:val="24"/>
          <w:lang w:val="es-ES_tradnl"/>
        </w:rPr>
        <w:t xml:space="preserve">Doménech M., Íñiguez, L. (2002), La construcción social de la violencia. </w:t>
      </w:r>
      <w:r w:rsidRPr="00B80987">
        <w:rPr>
          <w:rFonts w:ascii="Arial" w:eastAsia="Calibri" w:hAnsi="Arial" w:cs="Arial"/>
          <w:i/>
          <w:sz w:val="24"/>
          <w:szCs w:val="24"/>
          <w:lang w:val="es-ES_tradnl"/>
        </w:rPr>
        <w:t>Athenea Digital Universitát Autónoma de Barcelona,</w:t>
      </w:r>
      <w:r w:rsidRPr="00B80987">
        <w:rPr>
          <w:rFonts w:ascii="Arial" w:eastAsia="Calibri" w:hAnsi="Arial" w:cs="Arial"/>
          <w:sz w:val="24"/>
          <w:szCs w:val="24"/>
          <w:lang w:val="es-ES_tradnl"/>
        </w:rPr>
        <w:t xml:space="preserve"> </w:t>
      </w:r>
      <w:r w:rsidRPr="00B80987">
        <w:rPr>
          <w:rFonts w:ascii="Arial" w:eastAsia="Calibri" w:hAnsi="Arial" w:cs="Arial"/>
          <w:i/>
          <w:sz w:val="24"/>
          <w:szCs w:val="24"/>
          <w:lang w:val="es-ES_tradnl"/>
        </w:rPr>
        <w:t>12</w:t>
      </w:r>
      <w:r w:rsidRPr="00B80987">
        <w:rPr>
          <w:rFonts w:ascii="Arial" w:eastAsia="Calibri" w:hAnsi="Arial" w:cs="Arial"/>
          <w:sz w:val="24"/>
          <w:szCs w:val="24"/>
          <w:lang w:val="es-ES_tradnl"/>
        </w:rPr>
        <w:t>(2)</w:t>
      </w:r>
      <w:r w:rsidRPr="00B80987">
        <w:rPr>
          <w:rFonts w:ascii="Arial" w:eastAsia="Calibri" w:hAnsi="Arial" w:cs="Arial"/>
          <w:i/>
          <w:sz w:val="24"/>
          <w:szCs w:val="24"/>
          <w:lang w:val="es-ES_tradnl"/>
        </w:rPr>
        <w:t>,</w:t>
      </w:r>
      <w:r w:rsidRPr="00B80987">
        <w:rPr>
          <w:rFonts w:ascii="Arial" w:eastAsia="Calibri" w:hAnsi="Arial" w:cs="Arial"/>
          <w:sz w:val="24"/>
          <w:szCs w:val="24"/>
          <w:lang w:val="es-ES_tradnl"/>
        </w:rPr>
        <w:t xml:space="preserve"> 1-10.</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rPr>
        <w:t xml:space="preserve">Eunha Kim, &amp; Hogge, I. (2015). </w:t>
      </w:r>
      <w:r w:rsidRPr="00B80987">
        <w:rPr>
          <w:rFonts w:ascii="Arial" w:eastAsia="Calibri" w:hAnsi="Arial" w:cs="Arial"/>
          <w:sz w:val="24"/>
          <w:szCs w:val="24"/>
          <w:lang w:val="en-US"/>
        </w:rPr>
        <w:t>Intimate Partner Violence among Asian Indian Women in the United States: Recognition of Abuse and Help-Seeking Attitudes. </w:t>
      </w:r>
      <w:r w:rsidRPr="00B80987">
        <w:rPr>
          <w:rFonts w:ascii="Arial" w:eastAsia="Calibri" w:hAnsi="Arial" w:cs="Arial"/>
          <w:i/>
          <w:iCs/>
          <w:sz w:val="24"/>
          <w:szCs w:val="24"/>
          <w:lang w:val="en-US"/>
        </w:rPr>
        <w:t>International Journal of Mental Health</w:t>
      </w:r>
      <w:r w:rsidRPr="00B80987">
        <w:rPr>
          <w:rFonts w:ascii="Arial" w:eastAsia="Calibri" w:hAnsi="Arial" w:cs="Arial"/>
          <w:sz w:val="24"/>
          <w:szCs w:val="24"/>
          <w:lang w:val="en-US"/>
        </w:rPr>
        <w:t>, </w:t>
      </w:r>
      <w:r w:rsidRPr="00B80987">
        <w:rPr>
          <w:rFonts w:ascii="Arial" w:eastAsia="Calibri" w:hAnsi="Arial" w:cs="Arial"/>
          <w:i/>
          <w:iCs/>
          <w:sz w:val="24"/>
          <w:szCs w:val="24"/>
          <w:lang w:val="en-US"/>
        </w:rPr>
        <w:t>44</w:t>
      </w:r>
      <w:r w:rsidRPr="00B80987">
        <w:rPr>
          <w:rFonts w:ascii="Arial" w:eastAsia="Calibri" w:hAnsi="Arial" w:cs="Arial"/>
          <w:sz w:val="24"/>
          <w:szCs w:val="24"/>
          <w:lang w:val="en-US"/>
        </w:rPr>
        <w:t>(3), 200–214. https://doi.org/10.1080/00207411.2015.1035073.</w:t>
      </w:r>
    </w:p>
    <w:p w:rsidR="00B80987" w:rsidRPr="00B80987" w:rsidRDefault="00B80987" w:rsidP="00B80987">
      <w:pPr>
        <w:spacing w:line="240" w:lineRule="auto"/>
        <w:ind w:left="709" w:hanging="709"/>
        <w:jc w:val="both"/>
        <w:rPr>
          <w:rFonts w:ascii="Arial" w:eastAsia="Calibri" w:hAnsi="Arial" w:cs="Arial"/>
          <w:sz w:val="24"/>
          <w:szCs w:val="24"/>
        </w:rPr>
      </w:pPr>
      <w:r w:rsidRPr="00B80987">
        <w:rPr>
          <w:rFonts w:ascii="Arial" w:eastAsia="Calibri" w:hAnsi="Arial" w:cs="Arial"/>
          <w:sz w:val="24"/>
          <w:szCs w:val="24"/>
          <w:lang w:val="en-US"/>
        </w:rPr>
        <w:t xml:space="preserve">Estrada, C., Herrero, J. &amp; Rodríguez, F. J. (2012). </w:t>
      </w:r>
      <w:r w:rsidRPr="00B80987">
        <w:rPr>
          <w:rFonts w:ascii="Arial" w:eastAsia="Calibri" w:hAnsi="Arial" w:cs="Arial"/>
          <w:sz w:val="24"/>
          <w:szCs w:val="24"/>
        </w:rPr>
        <w:t xml:space="preserve">La red de apoyo en mujeres víctimas de violencia contra la pareja en el estado de Jalisco (México). </w:t>
      </w:r>
      <w:r w:rsidRPr="00B80987">
        <w:rPr>
          <w:rFonts w:ascii="Arial" w:eastAsia="Calibri" w:hAnsi="Arial" w:cs="Arial"/>
          <w:i/>
          <w:iCs/>
          <w:sz w:val="24"/>
          <w:szCs w:val="24"/>
        </w:rPr>
        <w:t>Universitas Psychologica, 11</w:t>
      </w:r>
      <w:r w:rsidRPr="00B80987">
        <w:rPr>
          <w:rFonts w:ascii="Arial" w:eastAsia="Calibri" w:hAnsi="Arial" w:cs="Arial"/>
          <w:sz w:val="24"/>
          <w:szCs w:val="24"/>
        </w:rPr>
        <w:t>(2), 523-534.</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rPr>
        <w:lastRenderedPageBreak/>
        <w:t xml:space="preserve">Feldman, L., Goncalves, L., Chacón-Puignau, G., Zaragoza, J., Bagés, N. &amp; De Pablo, J. (2008). Relaciones entre estrés académico, apoyo social, salud mental y rendimiento académico en estudiantes universitarios venezolanos. </w:t>
      </w:r>
      <w:r w:rsidRPr="00B80987">
        <w:rPr>
          <w:rFonts w:ascii="Arial" w:eastAsia="Calibri" w:hAnsi="Arial" w:cs="Arial"/>
          <w:i/>
          <w:iCs/>
          <w:sz w:val="24"/>
          <w:szCs w:val="24"/>
          <w:lang w:val="en-US"/>
        </w:rPr>
        <w:t>Universitas Psychologica,</w:t>
      </w:r>
      <w:r w:rsidRPr="00B80987">
        <w:rPr>
          <w:rFonts w:ascii="Arial" w:eastAsia="Calibri" w:hAnsi="Arial" w:cs="Arial"/>
          <w:sz w:val="24"/>
          <w:szCs w:val="24"/>
          <w:lang w:val="en-US"/>
        </w:rPr>
        <w:t xml:space="preserve"> </w:t>
      </w:r>
      <w:r w:rsidRPr="00B80987">
        <w:rPr>
          <w:rFonts w:ascii="Arial" w:eastAsia="Calibri" w:hAnsi="Arial" w:cs="Arial"/>
          <w:i/>
          <w:iCs/>
          <w:sz w:val="24"/>
          <w:szCs w:val="24"/>
          <w:lang w:val="en-US"/>
        </w:rPr>
        <w:t>7</w:t>
      </w:r>
      <w:r w:rsidRPr="00B80987">
        <w:rPr>
          <w:rFonts w:ascii="Arial" w:eastAsia="Calibri" w:hAnsi="Arial" w:cs="Arial"/>
          <w:sz w:val="24"/>
          <w:szCs w:val="24"/>
          <w:lang w:val="en-US"/>
        </w:rPr>
        <w:t>(3), 739-751.</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Frías, S., &amp; Carolina Agoff, M. (2015). Between Support and Vulnerability: Examining Family Support Among Women Victims of Intimate Partner Violence in Mexico. </w:t>
      </w:r>
      <w:r w:rsidRPr="00B80987">
        <w:rPr>
          <w:rFonts w:ascii="Arial" w:eastAsia="Calibri" w:hAnsi="Arial" w:cs="Arial"/>
          <w:i/>
          <w:iCs/>
          <w:sz w:val="24"/>
          <w:szCs w:val="24"/>
          <w:lang w:val="en-US"/>
        </w:rPr>
        <w:t>Journal Of Family Violence</w:t>
      </w:r>
      <w:r w:rsidRPr="00B80987">
        <w:rPr>
          <w:rFonts w:ascii="Arial" w:eastAsia="Calibri" w:hAnsi="Arial" w:cs="Arial"/>
          <w:sz w:val="24"/>
          <w:szCs w:val="24"/>
          <w:lang w:val="en-US"/>
        </w:rPr>
        <w:t>, </w:t>
      </w:r>
      <w:r w:rsidRPr="00B80987">
        <w:rPr>
          <w:rFonts w:ascii="Arial" w:eastAsia="Calibri" w:hAnsi="Arial" w:cs="Arial"/>
          <w:i/>
          <w:iCs/>
          <w:sz w:val="24"/>
          <w:szCs w:val="24"/>
          <w:lang w:val="en-US"/>
        </w:rPr>
        <w:t>30</w:t>
      </w:r>
      <w:r w:rsidRPr="00B80987">
        <w:rPr>
          <w:rFonts w:ascii="Arial" w:eastAsia="Calibri" w:hAnsi="Arial" w:cs="Arial"/>
          <w:sz w:val="24"/>
          <w:szCs w:val="24"/>
          <w:lang w:val="en-US"/>
        </w:rPr>
        <w:t>(3), 277-291.</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Ford-Gilboe, M., Varcoe, C., Noh, M., Wuest, J., Hammerton, J., Alhalal, E., &amp; Burnett, C. (2015). Patterns and predictors of service use among women who have separated from an abusive partner. </w:t>
      </w:r>
      <w:r w:rsidRPr="00B80987">
        <w:rPr>
          <w:rFonts w:ascii="Arial" w:eastAsia="Calibri" w:hAnsi="Arial" w:cs="Arial"/>
          <w:i/>
          <w:iCs/>
          <w:sz w:val="24"/>
          <w:szCs w:val="24"/>
          <w:lang w:val="en-US"/>
        </w:rPr>
        <w:t>Journal Of Family Violence</w:t>
      </w:r>
      <w:r w:rsidRPr="00B80987">
        <w:rPr>
          <w:rFonts w:ascii="Arial" w:eastAsia="Calibri" w:hAnsi="Arial" w:cs="Arial"/>
          <w:sz w:val="24"/>
          <w:szCs w:val="24"/>
          <w:lang w:val="en-US"/>
        </w:rPr>
        <w:t>, </w:t>
      </w:r>
      <w:r w:rsidRPr="00B80987">
        <w:rPr>
          <w:rFonts w:ascii="Arial" w:eastAsia="Calibri" w:hAnsi="Arial" w:cs="Arial"/>
          <w:i/>
          <w:iCs/>
          <w:sz w:val="24"/>
          <w:szCs w:val="24"/>
          <w:lang w:val="en-US"/>
        </w:rPr>
        <w:t>30</w:t>
      </w:r>
      <w:r w:rsidRPr="00B80987">
        <w:rPr>
          <w:rFonts w:ascii="Arial" w:eastAsia="Calibri" w:hAnsi="Arial" w:cs="Arial"/>
          <w:sz w:val="24"/>
          <w:szCs w:val="24"/>
          <w:lang w:val="en-US"/>
        </w:rPr>
        <w:t>(4), 419-431.</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Giorgi, A. (1997). The theory, practice, and evaluation of the phenomenological method as a qualitative research procedure. </w:t>
      </w:r>
      <w:r w:rsidRPr="00B80987">
        <w:rPr>
          <w:rFonts w:ascii="Arial" w:eastAsia="Calibri" w:hAnsi="Arial" w:cs="Arial"/>
          <w:i/>
          <w:iCs/>
          <w:sz w:val="24"/>
          <w:szCs w:val="24"/>
          <w:lang w:val="en-US"/>
        </w:rPr>
        <w:t>Journal of phenomenological psychology</w:t>
      </w:r>
      <w:r w:rsidRPr="00B80987">
        <w:rPr>
          <w:rFonts w:ascii="Arial" w:eastAsia="Calibri" w:hAnsi="Arial" w:cs="Arial"/>
          <w:sz w:val="24"/>
          <w:szCs w:val="24"/>
          <w:lang w:val="en-US"/>
        </w:rPr>
        <w:t>, </w:t>
      </w:r>
      <w:r w:rsidRPr="00B80987">
        <w:rPr>
          <w:rFonts w:ascii="Arial" w:eastAsia="Calibri" w:hAnsi="Arial" w:cs="Arial"/>
          <w:i/>
          <w:iCs/>
          <w:sz w:val="24"/>
          <w:szCs w:val="24"/>
          <w:lang w:val="en-US"/>
        </w:rPr>
        <w:t>28</w:t>
      </w:r>
      <w:r w:rsidRPr="00B80987">
        <w:rPr>
          <w:rFonts w:ascii="Arial" w:eastAsia="Calibri" w:hAnsi="Arial" w:cs="Arial"/>
          <w:sz w:val="24"/>
          <w:szCs w:val="24"/>
          <w:lang w:val="en-US"/>
        </w:rPr>
        <w:t>(2), 235-260.</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 xml:space="preserve">Gracia, E., Herrero, J. &amp; Musitu, G. (2002). </w:t>
      </w:r>
      <w:r w:rsidRPr="00B80987">
        <w:rPr>
          <w:rFonts w:ascii="Arial" w:eastAsia="Calibri" w:hAnsi="Arial" w:cs="Arial"/>
          <w:i/>
          <w:iCs/>
          <w:sz w:val="24"/>
          <w:szCs w:val="24"/>
        </w:rPr>
        <w:t>Evaluación de recursos y estresores psicosociales en la comunidad</w:t>
      </w:r>
      <w:r w:rsidRPr="00B80987">
        <w:rPr>
          <w:rFonts w:ascii="Arial" w:eastAsia="Calibri" w:hAnsi="Arial" w:cs="Arial"/>
          <w:sz w:val="24"/>
          <w:szCs w:val="24"/>
        </w:rPr>
        <w:t>.</w:t>
      </w:r>
      <w:r w:rsidRPr="00B80987">
        <w:rPr>
          <w:rFonts w:ascii="Arial" w:eastAsia="Calibri" w:hAnsi="Arial" w:cs="Arial"/>
          <w:i/>
          <w:iCs/>
          <w:sz w:val="24"/>
          <w:szCs w:val="24"/>
        </w:rPr>
        <w:t xml:space="preserve"> </w:t>
      </w:r>
      <w:r w:rsidRPr="00B80987">
        <w:rPr>
          <w:rFonts w:ascii="Arial" w:eastAsia="Calibri" w:hAnsi="Arial" w:cs="Arial"/>
          <w:sz w:val="24"/>
          <w:szCs w:val="24"/>
          <w:lang w:val="en-US"/>
        </w:rPr>
        <w:t>Madrid: Síntesis.</w:t>
      </w:r>
    </w:p>
    <w:p w:rsidR="00B80987" w:rsidRPr="00B80987" w:rsidRDefault="00B80987" w:rsidP="00B80987">
      <w:pPr>
        <w:spacing w:line="240" w:lineRule="auto"/>
        <w:ind w:left="709" w:hanging="709"/>
        <w:jc w:val="both"/>
        <w:rPr>
          <w:rFonts w:ascii="Arial" w:eastAsia="Calibri" w:hAnsi="Arial" w:cs="Arial"/>
          <w:iCs/>
          <w:sz w:val="24"/>
          <w:szCs w:val="24"/>
        </w:rPr>
      </w:pPr>
      <w:r w:rsidRPr="00B80987">
        <w:rPr>
          <w:rFonts w:ascii="Arial" w:eastAsia="Calibri" w:hAnsi="Arial" w:cs="Arial"/>
          <w:iCs/>
          <w:sz w:val="24"/>
          <w:szCs w:val="24"/>
          <w:lang w:val="en-US"/>
        </w:rPr>
        <w:t>Hage, S. M. (2006). Profiles of Women Survivors: The Development of Agency in Abusive Relationships. </w:t>
      </w:r>
      <w:r w:rsidRPr="00B80987">
        <w:rPr>
          <w:rFonts w:ascii="Arial" w:eastAsia="Calibri" w:hAnsi="Arial" w:cs="Arial"/>
          <w:i/>
          <w:iCs/>
          <w:sz w:val="24"/>
          <w:szCs w:val="24"/>
        </w:rPr>
        <w:t>Journal Of Counseling &amp; Development</w:t>
      </w:r>
      <w:r w:rsidRPr="00B80987">
        <w:rPr>
          <w:rFonts w:ascii="Arial" w:eastAsia="Calibri" w:hAnsi="Arial" w:cs="Arial"/>
          <w:iCs/>
          <w:sz w:val="24"/>
          <w:szCs w:val="24"/>
        </w:rPr>
        <w:t>, </w:t>
      </w:r>
      <w:r w:rsidRPr="00B80987">
        <w:rPr>
          <w:rFonts w:ascii="Arial" w:eastAsia="Calibri" w:hAnsi="Arial" w:cs="Arial"/>
          <w:i/>
          <w:iCs/>
          <w:sz w:val="24"/>
          <w:szCs w:val="24"/>
        </w:rPr>
        <w:t>84</w:t>
      </w:r>
      <w:r w:rsidRPr="00B80987">
        <w:rPr>
          <w:rFonts w:ascii="Arial" w:eastAsia="Calibri" w:hAnsi="Arial" w:cs="Arial"/>
          <w:iCs/>
          <w:sz w:val="24"/>
          <w:szCs w:val="24"/>
        </w:rPr>
        <w:t>(1), 83-94.</w:t>
      </w:r>
    </w:p>
    <w:p w:rsidR="00B80987" w:rsidRPr="00B80987" w:rsidRDefault="00B80987" w:rsidP="00B80987">
      <w:pPr>
        <w:spacing w:line="240" w:lineRule="auto"/>
        <w:ind w:left="709" w:hanging="709"/>
        <w:jc w:val="both"/>
        <w:rPr>
          <w:rFonts w:ascii="Arial" w:eastAsia="Calibri" w:hAnsi="Arial" w:cs="Arial"/>
          <w:sz w:val="24"/>
          <w:szCs w:val="24"/>
        </w:rPr>
      </w:pPr>
      <w:r w:rsidRPr="00B80987">
        <w:rPr>
          <w:rFonts w:ascii="Arial" w:eastAsia="Calibri" w:hAnsi="Arial" w:cs="Arial"/>
          <w:sz w:val="24"/>
          <w:szCs w:val="24"/>
        </w:rPr>
        <w:t xml:space="preserve">Herrero, J. &amp; Gracia, E. (2005). Redes sociales de apoyo y ajuste biopsicosocial en la vejez: un análisis comparativo en los contextos comunitario y residencial. </w:t>
      </w:r>
      <w:r w:rsidRPr="00B80987">
        <w:rPr>
          <w:rFonts w:ascii="Arial" w:eastAsia="Calibri" w:hAnsi="Arial" w:cs="Arial"/>
          <w:i/>
          <w:iCs/>
          <w:sz w:val="24"/>
          <w:szCs w:val="24"/>
        </w:rPr>
        <w:t>Intervención Psicosocial, 14</w:t>
      </w:r>
      <w:r w:rsidRPr="00B80987">
        <w:rPr>
          <w:rFonts w:ascii="Arial" w:eastAsia="Calibri" w:hAnsi="Arial" w:cs="Arial"/>
          <w:sz w:val="24"/>
          <w:szCs w:val="24"/>
        </w:rPr>
        <w:t>(1), 1-10.</w:t>
      </w:r>
    </w:p>
    <w:p w:rsidR="00B80987" w:rsidRPr="00B80987" w:rsidRDefault="00B80987" w:rsidP="00B80987">
      <w:pPr>
        <w:spacing w:line="240" w:lineRule="auto"/>
        <w:ind w:left="709" w:hanging="709"/>
        <w:jc w:val="both"/>
        <w:rPr>
          <w:rFonts w:ascii="Arial" w:eastAsia="Calibri" w:hAnsi="Arial" w:cs="Arial"/>
          <w:sz w:val="24"/>
          <w:szCs w:val="24"/>
          <w:lang w:val="es-ES_tradnl"/>
        </w:rPr>
      </w:pPr>
      <w:r w:rsidRPr="00B80987">
        <w:rPr>
          <w:rFonts w:ascii="Arial" w:eastAsia="Calibri" w:hAnsi="Arial" w:cs="Arial"/>
          <w:sz w:val="24"/>
          <w:szCs w:val="24"/>
          <w:lang w:val="es-ES_tradnl"/>
        </w:rPr>
        <w:t>Instituto Nacional de Estadística, Geografía e Informática (INEGI). Estadísticas de mortalidad, 2016. Consulta interactiva de datos. México, INEGI, 2016.</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rPr>
        <w:t xml:space="preserve">Juárez, C., Valdez, R. &amp; Hernández-Rosete, D. (2005). La percepción del apoyo social en mujeres con experiencia de violencia conyugal. </w:t>
      </w:r>
      <w:r w:rsidRPr="00B80987">
        <w:rPr>
          <w:rFonts w:ascii="Arial" w:eastAsia="Calibri" w:hAnsi="Arial" w:cs="Arial"/>
          <w:i/>
          <w:iCs/>
          <w:sz w:val="24"/>
          <w:szCs w:val="24"/>
          <w:lang w:val="en-US"/>
        </w:rPr>
        <w:t>Salud Mental,</w:t>
      </w:r>
      <w:r w:rsidRPr="00B80987">
        <w:rPr>
          <w:rFonts w:ascii="Arial" w:eastAsia="Calibri" w:hAnsi="Arial" w:cs="Arial"/>
          <w:sz w:val="24"/>
          <w:szCs w:val="24"/>
          <w:lang w:val="en-US"/>
        </w:rPr>
        <w:t xml:space="preserve"> </w:t>
      </w:r>
      <w:r w:rsidRPr="00B80987">
        <w:rPr>
          <w:rFonts w:ascii="Arial" w:eastAsia="Calibri" w:hAnsi="Arial" w:cs="Arial"/>
          <w:i/>
          <w:iCs/>
          <w:sz w:val="24"/>
          <w:szCs w:val="24"/>
          <w:lang w:val="en-US"/>
        </w:rPr>
        <w:t>28</w:t>
      </w:r>
      <w:r w:rsidRPr="00B80987">
        <w:rPr>
          <w:rFonts w:ascii="Arial" w:eastAsia="Calibri" w:hAnsi="Arial" w:cs="Arial"/>
          <w:sz w:val="24"/>
          <w:szCs w:val="24"/>
          <w:lang w:val="en-US"/>
        </w:rPr>
        <w:t>(4), 66-73.</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Kabeer, N. (1999). Resources, agency, achievements: Reflections on the measurement of women's empowerment. </w:t>
      </w:r>
      <w:r w:rsidRPr="00B80987">
        <w:rPr>
          <w:rFonts w:ascii="Arial" w:eastAsia="Calibri" w:hAnsi="Arial" w:cs="Arial"/>
          <w:i/>
          <w:iCs/>
          <w:sz w:val="24"/>
          <w:szCs w:val="24"/>
          <w:lang w:val="en-US"/>
        </w:rPr>
        <w:t>Development and change</w:t>
      </w:r>
      <w:r w:rsidRPr="00B80987">
        <w:rPr>
          <w:rFonts w:ascii="Arial" w:eastAsia="Calibri" w:hAnsi="Arial" w:cs="Arial"/>
          <w:sz w:val="24"/>
          <w:szCs w:val="24"/>
          <w:lang w:val="en-US"/>
        </w:rPr>
        <w:t>, </w:t>
      </w:r>
      <w:r w:rsidRPr="00B80987">
        <w:rPr>
          <w:rFonts w:ascii="Arial" w:eastAsia="Calibri" w:hAnsi="Arial" w:cs="Arial"/>
          <w:i/>
          <w:iCs/>
          <w:sz w:val="24"/>
          <w:szCs w:val="24"/>
          <w:lang w:val="en-US"/>
        </w:rPr>
        <w:t>30</w:t>
      </w:r>
      <w:r w:rsidRPr="00B80987">
        <w:rPr>
          <w:rFonts w:ascii="Arial" w:eastAsia="Calibri" w:hAnsi="Arial" w:cs="Arial"/>
          <w:sz w:val="24"/>
          <w:szCs w:val="24"/>
          <w:lang w:val="en-US"/>
        </w:rPr>
        <w:t>(3), 435-464.</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Kaplan, S., &amp; Komurcu, N. (2017). Evaluation of effectiveness of health services training given with different methods in combating of intimate partner violence against women: A pilot study. </w:t>
      </w:r>
      <w:r w:rsidRPr="00B80987">
        <w:rPr>
          <w:rFonts w:ascii="Arial" w:eastAsia="Calibri" w:hAnsi="Arial" w:cs="Arial"/>
          <w:i/>
          <w:iCs/>
          <w:sz w:val="24"/>
          <w:szCs w:val="24"/>
          <w:lang w:val="en-US"/>
        </w:rPr>
        <w:t>Journal of Family Violence</w:t>
      </w:r>
      <w:r w:rsidRPr="00B80987">
        <w:rPr>
          <w:rFonts w:ascii="Arial" w:eastAsia="Calibri" w:hAnsi="Arial" w:cs="Arial"/>
          <w:sz w:val="24"/>
          <w:szCs w:val="24"/>
          <w:lang w:val="en-US"/>
        </w:rPr>
        <w:t>, </w:t>
      </w:r>
      <w:r w:rsidRPr="00B80987">
        <w:rPr>
          <w:rFonts w:ascii="Arial" w:eastAsia="Calibri" w:hAnsi="Arial" w:cs="Arial"/>
          <w:i/>
          <w:iCs/>
          <w:sz w:val="24"/>
          <w:szCs w:val="24"/>
          <w:lang w:val="en-US"/>
        </w:rPr>
        <w:t>32</w:t>
      </w:r>
      <w:r w:rsidRPr="00B80987">
        <w:rPr>
          <w:rFonts w:ascii="Arial" w:eastAsia="Calibri" w:hAnsi="Arial" w:cs="Arial"/>
          <w:sz w:val="24"/>
          <w:szCs w:val="24"/>
          <w:lang w:val="en-US"/>
        </w:rPr>
        <w:t>(1), 69–77. https://doi.org/10.1007/s10896-016-9834-y</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Kim, E., &amp; Hogge, I. (2015). Intimate partner violence among Asian Indian women in the United States: Recognition of abuse and help-seeking attitudes. </w:t>
      </w:r>
      <w:r w:rsidRPr="00B80987">
        <w:rPr>
          <w:rFonts w:ascii="Arial" w:eastAsia="Calibri" w:hAnsi="Arial" w:cs="Arial"/>
          <w:i/>
          <w:iCs/>
          <w:sz w:val="24"/>
          <w:szCs w:val="24"/>
          <w:lang w:val="en-US"/>
        </w:rPr>
        <w:t>International Journal of Mental Health</w:t>
      </w:r>
      <w:r w:rsidRPr="00B80987">
        <w:rPr>
          <w:rFonts w:ascii="Arial" w:eastAsia="Calibri" w:hAnsi="Arial" w:cs="Arial"/>
          <w:sz w:val="24"/>
          <w:szCs w:val="24"/>
          <w:lang w:val="en-US"/>
        </w:rPr>
        <w:t>, </w:t>
      </w:r>
      <w:r w:rsidRPr="00B80987">
        <w:rPr>
          <w:rFonts w:ascii="Arial" w:eastAsia="Calibri" w:hAnsi="Arial" w:cs="Arial"/>
          <w:i/>
          <w:iCs/>
          <w:sz w:val="24"/>
          <w:szCs w:val="24"/>
          <w:lang w:val="en-US"/>
        </w:rPr>
        <w:t>44</w:t>
      </w:r>
      <w:r w:rsidRPr="00B80987">
        <w:rPr>
          <w:rFonts w:ascii="Arial" w:eastAsia="Calibri" w:hAnsi="Arial" w:cs="Arial"/>
          <w:sz w:val="24"/>
          <w:szCs w:val="24"/>
          <w:lang w:val="en-US"/>
        </w:rPr>
        <w:t>(3), 200-214.</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Kishor, S. (2000). Women’s contraceptive use in Egypt: What do direct measures of empowerment tell us? A</w:t>
      </w:r>
      <w:r w:rsidRPr="00B80987">
        <w:rPr>
          <w:rFonts w:ascii="Arial" w:eastAsia="Calibri" w:hAnsi="Arial" w:cs="Arial"/>
          <w:i/>
          <w:iCs/>
          <w:sz w:val="24"/>
          <w:szCs w:val="24"/>
          <w:lang w:val="en-US"/>
        </w:rPr>
        <w:t>nnual meeting of the Population Association of America, Los Angeles</w:t>
      </w:r>
      <w:r w:rsidRPr="00B80987">
        <w:rPr>
          <w:rFonts w:ascii="Arial" w:eastAsia="Calibri" w:hAnsi="Arial" w:cs="Arial"/>
          <w:sz w:val="24"/>
          <w:szCs w:val="24"/>
          <w:lang w:val="en-US"/>
        </w:rPr>
        <w:t>, 23-25.</w:t>
      </w:r>
    </w:p>
    <w:p w:rsidR="00B80987" w:rsidRPr="00B80987" w:rsidRDefault="00B80987" w:rsidP="00B80987">
      <w:pPr>
        <w:spacing w:line="240" w:lineRule="auto"/>
        <w:ind w:left="709" w:hanging="709"/>
        <w:jc w:val="both"/>
        <w:rPr>
          <w:rFonts w:ascii="Arial" w:eastAsia="Calibri" w:hAnsi="Arial" w:cs="Arial"/>
          <w:sz w:val="24"/>
          <w:szCs w:val="24"/>
        </w:rPr>
      </w:pPr>
      <w:r w:rsidRPr="00B80987">
        <w:rPr>
          <w:rFonts w:ascii="Arial" w:eastAsia="Calibri" w:hAnsi="Arial" w:cs="Arial"/>
          <w:sz w:val="24"/>
          <w:szCs w:val="24"/>
        </w:rPr>
        <w:lastRenderedPageBreak/>
        <w:t>Mancillas,C. (2006). </w:t>
      </w:r>
      <w:r w:rsidRPr="00B80987">
        <w:rPr>
          <w:rFonts w:ascii="Arial" w:eastAsia="Calibri" w:hAnsi="Arial" w:cs="Arial"/>
          <w:i/>
          <w:iCs/>
          <w:sz w:val="24"/>
          <w:szCs w:val="24"/>
        </w:rPr>
        <w:t>El péndulo de la intimidad: relatos de vida de parejas en Valle de Chalco</w:t>
      </w:r>
      <w:r w:rsidRPr="00B80987">
        <w:rPr>
          <w:rFonts w:ascii="Arial" w:eastAsia="Calibri" w:hAnsi="Arial" w:cs="Arial"/>
          <w:sz w:val="24"/>
          <w:szCs w:val="24"/>
        </w:rPr>
        <w:t>. Universidad Iberoamericana.</w:t>
      </w:r>
    </w:p>
    <w:p w:rsidR="00B80987" w:rsidRPr="00B80987" w:rsidRDefault="00B80987" w:rsidP="00B80987">
      <w:pPr>
        <w:spacing w:line="240" w:lineRule="auto"/>
        <w:ind w:left="709" w:hanging="709"/>
        <w:jc w:val="both"/>
        <w:rPr>
          <w:rFonts w:ascii="GoudyOldStyleBT-Roman" w:eastAsia="Calibri" w:hAnsi="GoudyOldStyleBT-Roman" w:cs="GoudyOldStyleBT-Roman"/>
          <w:sz w:val="24"/>
          <w:szCs w:val="24"/>
        </w:rPr>
      </w:pPr>
      <w:r w:rsidRPr="00B80987">
        <w:rPr>
          <w:rFonts w:ascii="Arial" w:eastAsia="Calibri" w:hAnsi="Arial" w:cs="Arial"/>
          <w:sz w:val="24"/>
          <w:szCs w:val="24"/>
        </w:rPr>
        <w:t xml:space="preserve">Martínez, B; Zapata, E; Delgado, D. &amp; Alberti, P. (2010). Identidad y empoderamiento de mujeres en un proyecto de capacitación. </w:t>
      </w:r>
      <w:r w:rsidRPr="00B80987">
        <w:rPr>
          <w:rFonts w:ascii="Arial" w:eastAsia="Calibri" w:hAnsi="Arial" w:cs="Arial"/>
          <w:i/>
          <w:iCs/>
          <w:sz w:val="24"/>
          <w:szCs w:val="24"/>
        </w:rPr>
        <w:t>Ra Ximhai, </w:t>
      </w:r>
      <w:r w:rsidRPr="00B80987">
        <w:rPr>
          <w:rFonts w:ascii="Arial" w:eastAsia="Calibri" w:hAnsi="Arial" w:cs="Arial"/>
          <w:i/>
          <w:sz w:val="24"/>
          <w:szCs w:val="24"/>
        </w:rPr>
        <w:t>6</w:t>
      </w:r>
      <w:r w:rsidRPr="00B80987">
        <w:rPr>
          <w:rFonts w:ascii="Arial" w:eastAsia="Calibri" w:hAnsi="Arial" w:cs="Arial"/>
          <w:sz w:val="24"/>
          <w:szCs w:val="24"/>
        </w:rPr>
        <w:t>(3) 453-467.</w:t>
      </w:r>
      <w:r w:rsidRPr="00B80987">
        <w:rPr>
          <w:rFonts w:ascii="GoudyOldStyleBT-Roman" w:eastAsia="Calibri" w:hAnsi="GoudyOldStyleBT-Roman" w:cs="GoudyOldStyleBT-Roman"/>
          <w:sz w:val="24"/>
          <w:szCs w:val="24"/>
        </w:rPr>
        <w:t xml:space="preserve"> </w:t>
      </w:r>
    </w:p>
    <w:p w:rsidR="00B80987" w:rsidRPr="00B80987" w:rsidRDefault="00B80987" w:rsidP="00B80987">
      <w:pPr>
        <w:spacing w:line="240" w:lineRule="auto"/>
        <w:ind w:left="709" w:hanging="709"/>
        <w:jc w:val="both"/>
        <w:rPr>
          <w:rFonts w:ascii="Arial" w:eastAsia="Calibri" w:hAnsi="Arial" w:cs="Arial"/>
          <w:sz w:val="24"/>
          <w:szCs w:val="24"/>
        </w:rPr>
      </w:pPr>
      <w:r w:rsidRPr="00B80987">
        <w:rPr>
          <w:rFonts w:ascii="Arial" w:eastAsia="Calibri" w:hAnsi="Arial" w:cs="Arial"/>
          <w:sz w:val="24"/>
          <w:szCs w:val="24"/>
        </w:rPr>
        <w:t xml:space="preserve">Matud, M., Aguilera, L., Morrero, R., Moraza, O. &amp; Caballeira, M. (2003). El apoyo social en la mujer maltratada por su pareja. </w:t>
      </w:r>
      <w:r w:rsidRPr="00B80987">
        <w:rPr>
          <w:rFonts w:ascii="Arial" w:eastAsia="Calibri" w:hAnsi="Arial" w:cs="Arial"/>
          <w:i/>
          <w:iCs/>
          <w:sz w:val="24"/>
          <w:szCs w:val="24"/>
        </w:rPr>
        <w:t>Revista Internacional de</w:t>
      </w:r>
      <w:r w:rsidRPr="00B80987">
        <w:rPr>
          <w:rFonts w:ascii="Arial" w:eastAsia="Calibri" w:hAnsi="Arial" w:cs="Arial"/>
          <w:sz w:val="24"/>
          <w:szCs w:val="24"/>
        </w:rPr>
        <w:t xml:space="preserve"> </w:t>
      </w:r>
      <w:r w:rsidRPr="00B80987">
        <w:rPr>
          <w:rFonts w:ascii="Arial" w:eastAsia="Calibri" w:hAnsi="Arial" w:cs="Arial"/>
          <w:i/>
          <w:iCs/>
          <w:sz w:val="24"/>
          <w:szCs w:val="24"/>
        </w:rPr>
        <w:t>Psicología Clínica y Salud, 3</w:t>
      </w:r>
      <w:r w:rsidRPr="00B80987">
        <w:rPr>
          <w:rFonts w:ascii="Arial" w:eastAsia="Calibri" w:hAnsi="Arial" w:cs="Arial"/>
          <w:sz w:val="24"/>
          <w:szCs w:val="24"/>
        </w:rPr>
        <w:t>(3), 439-459.</w:t>
      </w:r>
    </w:p>
    <w:p w:rsidR="00B80987" w:rsidRPr="00B80987" w:rsidRDefault="00B80987" w:rsidP="00B80987">
      <w:pPr>
        <w:spacing w:line="240" w:lineRule="auto"/>
        <w:ind w:left="709" w:hanging="709"/>
        <w:jc w:val="both"/>
        <w:rPr>
          <w:rFonts w:ascii="Arial" w:eastAsia="Calibri" w:hAnsi="Arial" w:cs="Arial"/>
          <w:sz w:val="24"/>
          <w:szCs w:val="24"/>
        </w:rPr>
      </w:pPr>
      <w:r w:rsidRPr="00B80987">
        <w:rPr>
          <w:rFonts w:ascii="Arial" w:eastAsia="Calibri" w:hAnsi="Arial" w:cs="Arial"/>
          <w:sz w:val="24"/>
          <w:szCs w:val="24"/>
        </w:rPr>
        <w:t xml:space="preserve">Matud, P., Caballeira, M., López, M., Morrero, R. &amp; Ibáñez, I. (2002). Apoyo social y salud: un análisis de género. </w:t>
      </w:r>
      <w:r w:rsidRPr="00B80987">
        <w:rPr>
          <w:rFonts w:ascii="Arial" w:eastAsia="Calibri" w:hAnsi="Arial" w:cs="Arial"/>
          <w:i/>
          <w:iCs/>
          <w:sz w:val="24"/>
          <w:szCs w:val="24"/>
        </w:rPr>
        <w:t>Salud Mental, 25</w:t>
      </w:r>
      <w:r w:rsidRPr="00B80987">
        <w:rPr>
          <w:rFonts w:ascii="Arial" w:eastAsia="Calibri" w:hAnsi="Arial" w:cs="Arial"/>
          <w:sz w:val="24"/>
          <w:szCs w:val="24"/>
        </w:rPr>
        <w:t>(2), 1-6.</w:t>
      </w:r>
    </w:p>
    <w:p w:rsidR="00B80987" w:rsidRPr="00B80987" w:rsidRDefault="00B80987" w:rsidP="00B80987">
      <w:pPr>
        <w:spacing w:line="240" w:lineRule="auto"/>
        <w:ind w:left="709" w:hanging="709"/>
        <w:jc w:val="both"/>
        <w:rPr>
          <w:rFonts w:ascii="Arial" w:eastAsia="Calibri" w:hAnsi="Arial" w:cs="Arial"/>
          <w:sz w:val="24"/>
          <w:szCs w:val="24"/>
        </w:rPr>
      </w:pPr>
      <w:r w:rsidRPr="00B80987">
        <w:rPr>
          <w:rFonts w:ascii="Arial" w:eastAsia="Calibri" w:hAnsi="Arial" w:cs="Arial"/>
          <w:sz w:val="24"/>
          <w:szCs w:val="24"/>
          <w:lang w:val="en-US"/>
        </w:rPr>
        <w:t xml:space="preserve">Mohr, D. C., Classen, C. &amp; Barrera, M. (2004). The relationship between social support, depression and treatment for depression in people with multiple sclerosis. </w:t>
      </w:r>
      <w:r w:rsidRPr="00B80987">
        <w:rPr>
          <w:rFonts w:ascii="Arial" w:eastAsia="Calibri" w:hAnsi="Arial" w:cs="Arial"/>
          <w:i/>
          <w:iCs/>
          <w:sz w:val="24"/>
          <w:szCs w:val="24"/>
        </w:rPr>
        <w:t>Psychological Medicine, 34</w:t>
      </w:r>
      <w:r w:rsidRPr="00B80987">
        <w:rPr>
          <w:rFonts w:ascii="Arial" w:eastAsia="Calibri" w:hAnsi="Arial" w:cs="Arial"/>
          <w:sz w:val="24"/>
          <w:szCs w:val="24"/>
        </w:rPr>
        <w:t>(3), 533-541.</w:t>
      </w:r>
    </w:p>
    <w:p w:rsidR="00B80987" w:rsidRPr="00B80987" w:rsidRDefault="00B80987" w:rsidP="00B80987">
      <w:pPr>
        <w:spacing w:line="240" w:lineRule="auto"/>
        <w:ind w:left="709" w:hanging="709"/>
        <w:jc w:val="both"/>
        <w:rPr>
          <w:rFonts w:ascii="Arial" w:eastAsia="Calibri" w:hAnsi="Arial" w:cs="Arial"/>
          <w:sz w:val="24"/>
          <w:szCs w:val="24"/>
          <w:lang w:val="es-ES_tradnl"/>
        </w:rPr>
      </w:pPr>
      <w:r w:rsidRPr="00B80987">
        <w:rPr>
          <w:rFonts w:ascii="Arial" w:eastAsia="Calibri" w:hAnsi="Arial" w:cs="Arial"/>
          <w:sz w:val="24"/>
          <w:szCs w:val="24"/>
          <w:lang w:val="es-ES_tradnl"/>
        </w:rPr>
        <w:t xml:space="preserve">Naciones Unidas (2018). Conferencias mundiales sobre la mujer Disponible en: </w:t>
      </w:r>
      <w:hyperlink r:id="rId11" w:history="1">
        <w:r w:rsidRPr="00B80987">
          <w:rPr>
            <w:rFonts w:ascii="Arial" w:eastAsia="Calibri" w:hAnsi="Arial" w:cs="Arial"/>
            <w:sz w:val="24"/>
            <w:szCs w:val="24"/>
            <w:u w:val="single"/>
            <w:lang w:val="es-ES_tradnl"/>
          </w:rPr>
          <w:t>http://www.unwomen.org/es/how-wework/intergovernmental-support/world-conferences-on-women</w:t>
        </w:r>
      </w:hyperlink>
      <w:r w:rsidRPr="00B80987">
        <w:rPr>
          <w:rFonts w:ascii="Arial" w:eastAsia="Calibri" w:hAnsi="Arial" w:cs="Arial"/>
          <w:sz w:val="24"/>
          <w:szCs w:val="24"/>
          <w:lang w:val="es-ES_tradnl"/>
        </w:rPr>
        <w:t xml:space="preserve"> </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 xml:space="preserve">Nollen, N., Catley, D., Davies, G., Hall, M. &amp; Ahluwalia, J. (2005). Religiosity, social support, and smoking cessation among urban African American smokers. </w:t>
      </w:r>
      <w:r w:rsidRPr="00B80987">
        <w:rPr>
          <w:rFonts w:ascii="Arial" w:eastAsia="Calibri" w:hAnsi="Arial" w:cs="Arial"/>
          <w:i/>
          <w:iCs/>
          <w:sz w:val="24"/>
          <w:szCs w:val="24"/>
          <w:lang w:val="en-US"/>
        </w:rPr>
        <w:t>Addictive Behaviors, 30</w:t>
      </w:r>
      <w:r w:rsidRPr="00B80987">
        <w:rPr>
          <w:rFonts w:ascii="Arial" w:eastAsia="Calibri" w:hAnsi="Arial" w:cs="Arial"/>
          <w:sz w:val="24"/>
          <w:szCs w:val="24"/>
          <w:lang w:val="en-US"/>
        </w:rPr>
        <w:t>(6), 1225-1229.</w:t>
      </w:r>
    </w:p>
    <w:p w:rsidR="00B80987" w:rsidRPr="00B80987" w:rsidRDefault="00B80987" w:rsidP="00B80987">
      <w:pPr>
        <w:spacing w:line="240" w:lineRule="auto"/>
        <w:ind w:left="709" w:hanging="709"/>
        <w:jc w:val="both"/>
        <w:rPr>
          <w:rFonts w:ascii="GoudyOldStyleBT-Roman" w:eastAsia="Calibri" w:hAnsi="GoudyOldStyleBT-Roman" w:cs="GoudyOldStyleBT-Roman"/>
          <w:sz w:val="24"/>
          <w:szCs w:val="24"/>
          <w:lang w:val="en-US"/>
        </w:rPr>
      </w:pPr>
      <w:r w:rsidRPr="00B80987">
        <w:rPr>
          <w:rFonts w:ascii="Arial" w:eastAsia="Calibri" w:hAnsi="Arial" w:cs="Arial"/>
          <w:sz w:val="24"/>
          <w:szCs w:val="24"/>
          <w:lang w:val="en-US"/>
        </w:rPr>
        <w:t xml:space="preserve">Okamoto, K. &amp; Tanaka, Y. (2004). Gender differences in the relationship between social support and subjective health among elderly persons in Japan. </w:t>
      </w:r>
      <w:r w:rsidRPr="00B80987">
        <w:rPr>
          <w:rFonts w:ascii="Arial" w:eastAsia="Calibri" w:hAnsi="Arial" w:cs="Arial"/>
          <w:i/>
          <w:iCs/>
          <w:sz w:val="24"/>
          <w:szCs w:val="24"/>
          <w:lang w:val="en-US"/>
        </w:rPr>
        <w:t>Preventive Medicine, 38</w:t>
      </w:r>
      <w:r w:rsidRPr="00B80987">
        <w:rPr>
          <w:rFonts w:ascii="Arial" w:eastAsia="Calibri" w:hAnsi="Arial" w:cs="Arial"/>
          <w:sz w:val="24"/>
          <w:szCs w:val="24"/>
          <w:lang w:val="en-US"/>
        </w:rPr>
        <w:t>(3), 318-322.</w:t>
      </w:r>
      <w:r w:rsidRPr="00B80987">
        <w:rPr>
          <w:rFonts w:ascii="GoudyOldStyleBT-Roman" w:eastAsia="Calibri" w:hAnsi="GoudyOldStyleBT-Roman" w:cs="GoudyOldStyleBT-Roman"/>
          <w:sz w:val="24"/>
          <w:szCs w:val="24"/>
          <w:lang w:val="en-US"/>
        </w:rPr>
        <w:t xml:space="preserve"> </w:t>
      </w:r>
    </w:p>
    <w:p w:rsidR="00B80987" w:rsidRPr="00B80987" w:rsidRDefault="00B80987" w:rsidP="00B80987">
      <w:pPr>
        <w:spacing w:line="240" w:lineRule="auto"/>
        <w:ind w:left="709" w:hanging="709"/>
        <w:jc w:val="both"/>
        <w:rPr>
          <w:rFonts w:ascii="Arial" w:eastAsia="Calibri" w:hAnsi="Arial" w:cs="Arial"/>
          <w:sz w:val="24"/>
          <w:szCs w:val="24"/>
        </w:rPr>
      </w:pPr>
      <w:r w:rsidRPr="00B80987">
        <w:rPr>
          <w:rFonts w:ascii="Arial" w:eastAsia="Calibri" w:hAnsi="Arial" w:cs="Arial"/>
          <w:sz w:val="24"/>
          <w:szCs w:val="24"/>
          <w:lang w:val="en-US"/>
        </w:rPr>
        <w:t xml:space="preserve">Peek, K. &amp; Lin, N. (1999). Age differences in the effects of network composition on psychological distress. </w:t>
      </w:r>
      <w:r w:rsidRPr="00B80987">
        <w:rPr>
          <w:rFonts w:ascii="Arial" w:eastAsia="Calibri" w:hAnsi="Arial" w:cs="Arial"/>
          <w:i/>
          <w:iCs/>
          <w:sz w:val="24"/>
          <w:szCs w:val="24"/>
        </w:rPr>
        <w:t xml:space="preserve">Social Science and Medicine, 49, </w:t>
      </w:r>
      <w:r w:rsidRPr="00B80987">
        <w:rPr>
          <w:rFonts w:ascii="Arial" w:eastAsia="Calibri" w:hAnsi="Arial" w:cs="Arial"/>
          <w:sz w:val="24"/>
          <w:szCs w:val="24"/>
        </w:rPr>
        <w:t>621-636.</w:t>
      </w:r>
    </w:p>
    <w:p w:rsidR="00B80987" w:rsidRPr="00B80987" w:rsidRDefault="00B80987" w:rsidP="00B80987">
      <w:pPr>
        <w:spacing w:line="240" w:lineRule="auto"/>
        <w:ind w:left="709" w:hanging="709"/>
        <w:jc w:val="both"/>
        <w:rPr>
          <w:rFonts w:ascii="Arial" w:eastAsia="Calibri" w:hAnsi="Arial" w:cs="Arial"/>
          <w:sz w:val="24"/>
          <w:szCs w:val="24"/>
          <w:u w:val="single"/>
        </w:rPr>
      </w:pPr>
      <w:r w:rsidRPr="00B80987">
        <w:rPr>
          <w:rFonts w:ascii="Arial" w:eastAsia="Calibri" w:hAnsi="Arial" w:cs="Arial"/>
          <w:sz w:val="24"/>
          <w:szCs w:val="24"/>
        </w:rPr>
        <w:t xml:space="preserve">Presidencia de la República (2013). </w:t>
      </w:r>
      <w:r w:rsidRPr="00B80987">
        <w:rPr>
          <w:rFonts w:ascii="Arial" w:eastAsia="Calibri" w:hAnsi="Arial" w:cs="Arial"/>
          <w:i/>
          <w:sz w:val="24"/>
          <w:szCs w:val="24"/>
        </w:rPr>
        <w:t>Plan Nacional de Desarrollo (PND) 2013-2018</w:t>
      </w:r>
      <w:r w:rsidRPr="00B80987">
        <w:rPr>
          <w:rFonts w:ascii="Arial" w:eastAsia="Calibri" w:hAnsi="Arial" w:cs="Arial"/>
          <w:sz w:val="24"/>
          <w:szCs w:val="24"/>
        </w:rPr>
        <w:t xml:space="preserve">. México. Disponible en </w:t>
      </w:r>
      <w:hyperlink r:id="rId12" w:history="1">
        <w:r w:rsidRPr="00B80987">
          <w:rPr>
            <w:rFonts w:ascii="Arial" w:eastAsia="Calibri" w:hAnsi="Arial" w:cs="Arial"/>
            <w:sz w:val="24"/>
            <w:szCs w:val="24"/>
            <w:u w:val="single"/>
          </w:rPr>
          <w:t>www.presidencia.gob.mx</w:t>
        </w:r>
      </w:hyperlink>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rPr>
        <w:t>Prosman, G. J., Lo Fo Wong, S. H., &amp; Lagro</w:t>
      </w:r>
      <w:r w:rsidRPr="00B80987">
        <w:rPr>
          <w:rFonts w:ascii="Cambria Math" w:eastAsia="Calibri" w:hAnsi="Cambria Math" w:cs="Cambria Math"/>
          <w:sz w:val="24"/>
          <w:szCs w:val="24"/>
        </w:rPr>
        <w:t>‐</w:t>
      </w:r>
      <w:r w:rsidRPr="00B80987">
        <w:rPr>
          <w:rFonts w:ascii="Arial" w:eastAsia="Calibri" w:hAnsi="Arial" w:cs="Arial"/>
          <w:sz w:val="24"/>
          <w:szCs w:val="24"/>
        </w:rPr>
        <w:t xml:space="preserve">Janssen, A. L. (2014). </w:t>
      </w:r>
      <w:r w:rsidRPr="00B80987">
        <w:rPr>
          <w:rFonts w:ascii="Arial" w:eastAsia="Calibri" w:hAnsi="Arial" w:cs="Arial"/>
          <w:sz w:val="24"/>
          <w:szCs w:val="24"/>
          <w:lang w:val="en-US"/>
        </w:rPr>
        <w:t>Why abused women do not seek professional help: a qualitative study. </w:t>
      </w:r>
      <w:r w:rsidRPr="00B80987">
        <w:rPr>
          <w:rFonts w:ascii="Arial" w:eastAsia="Calibri" w:hAnsi="Arial" w:cs="Arial"/>
          <w:i/>
          <w:iCs/>
          <w:sz w:val="24"/>
          <w:szCs w:val="24"/>
          <w:lang w:val="en-US"/>
        </w:rPr>
        <w:t>Scandinavian journal of caring sciences</w:t>
      </w:r>
      <w:r w:rsidRPr="00B80987">
        <w:rPr>
          <w:rFonts w:ascii="Arial" w:eastAsia="Calibri" w:hAnsi="Arial" w:cs="Arial"/>
          <w:sz w:val="24"/>
          <w:szCs w:val="24"/>
          <w:lang w:val="en-US"/>
        </w:rPr>
        <w:t>, </w:t>
      </w:r>
      <w:r w:rsidRPr="00B80987">
        <w:rPr>
          <w:rFonts w:ascii="Arial" w:eastAsia="Calibri" w:hAnsi="Arial" w:cs="Arial"/>
          <w:i/>
          <w:iCs/>
          <w:sz w:val="24"/>
          <w:szCs w:val="24"/>
          <w:lang w:val="en-US"/>
        </w:rPr>
        <w:t>28</w:t>
      </w:r>
      <w:r w:rsidRPr="00B80987">
        <w:rPr>
          <w:rFonts w:ascii="Arial" w:eastAsia="Calibri" w:hAnsi="Arial" w:cs="Arial"/>
          <w:sz w:val="24"/>
          <w:szCs w:val="24"/>
          <w:lang w:val="en-US"/>
        </w:rPr>
        <w:t>(1), 3-11.</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Rizo, C., Reynolds, A., Macy, R., &amp; Ermentrout, D. (2016). Parenting and safety program for system-involved female survivors of intimate partner violence: A qualitative follow-up study. </w:t>
      </w:r>
      <w:r w:rsidRPr="00B80987">
        <w:rPr>
          <w:rFonts w:ascii="Arial" w:eastAsia="Calibri" w:hAnsi="Arial" w:cs="Arial"/>
          <w:i/>
          <w:iCs/>
          <w:sz w:val="24"/>
          <w:szCs w:val="24"/>
          <w:lang w:val="en-US"/>
        </w:rPr>
        <w:t>Journal of Family Violence</w:t>
      </w:r>
      <w:r w:rsidRPr="00B80987">
        <w:rPr>
          <w:rFonts w:ascii="Arial" w:eastAsia="Calibri" w:hAnsi="Arial" w:cs="Arial"/>
          <w:sz w:val="24"/>
          <w:szCs w:val="24"/>
          <w:lang w:val="en-US"/>
        </w:rPr>
        <w:t>, </w:t>
      </w:r>
      <w:r w:rsidRPr="00B80987">
        <w:rPr>
          <w:rFonts w:ascii="Arial" w:eastAsia="Calibri" w:hAnsi="Arial" w:cs="Arial"/>
          <w:i/>
          <w:iCs/>
          <w:sz w:val="24"/>
          <w:szCs w:val="24"/>
          <w:lang w:val="en-US"/>
        </w:rPr>
        <w:t>31</w:t>
      </w:r>
      <w:r w:rsidRPr="00B80987">
        <w:rPr>
          <w:rFonts w:ascii="Arial" w:eastAsia="Calibri" w:hAnsi="Arial" w:cs="Arial"/>
          <w:sz w:val="24"/>
          <w:szCs w:val="24"/>
          <w:lang w:val="en-US"/>
        </w:rPr>
        <w:t>(7), 833–848. https://doi.org/10.1007/s10896-016-9833-z</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 xml:space="preserve">Rocha Sánchez, T. E. (2009). </w:t>
      </w:r>
      <w:r w:rsidRPr="00B80987">
        <w:rPr>
          <w:rFonts w:ascii="Arial" w:eastAsia="Calibri" w:hAnsi="Arial" w:cs="Arial"/>
          <w:sz w:val="24"/>
          <w:szCs w:val="24"/>
        </w:rPr>
        <w:t xml:space="preserve">Desarrollo de la identidad de género desde una perspectiva psico-socio-cultural: un recorrido conceptual. </w:t>
      </w:r>
      <w:r w:rsidRPr="00B80987">
        <w:rPr>
          <w:rFonts w:ascii="Arial" w:eastAsia="Calibri" w:hAnsi="Arial" w:cs="Arial"/>
          <w:i/>
          <w:iCs/>
          <w:sz w:val="24"/>
          <w:szCs w:val="24"/>
          <w:lang w:val="en-US"/>
        </w:rPr>
        <w:t>Interamerican Journal of Psychology</w:t>
      </w:r>
      <w:r w:rsidRPr="00B80987">
        <w:rPr>
          <w:rFonts w:ascii="Arial" w:eastAsia="Calibri" w:hAnsi="Arial" w:cs="Arial"/>
          <w:sz w:val="24"/>
          <w:szCs w:val="24"/>
          <w:lang w:val="en-US"/>
        </w:rPr>
        <w:t xml:space="preserve">, </w:t>
      </w:r>
      <w:r w:rsidRPr="00B80987">
        <w:rPr>
          <w:rFonts w:ascii="Arial" w:eastAsia="Calibri" w:hAnsi="Arial" w:cs="Arial"/>
          <w:i/>
          <w:iCs/>
          <w:sz w:val="24"/>
          <w:szCs w:val="24"/>
          <w:lang w:val="en-US"/>
        </w:rPr>
        <w:t>43</w:t>
      </w:r>
      <w:r w:rsidRPr="00B80987">
        <w:rPr>
          <w:rFonts w:ascii="Arial" w:eastAsia="Calibri" w:hAnsi="Arial" w:cs="Arial"/>
          <w:sz w:val="24"/>
          <w:szCs w:val="24"/>
          <w:lang w:val="en-US"/>
        </w:rPr>
        <w:t>(2), 250-259.</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Sabri, B., Sanchez, M. V., &amp; Campbell, J. C. (2015). Motives and characteristics of domestic violence homicides and suicides among women in India. </w:t>
      </w:r>
      <w:r w:rsidRPr="00B80987">
        <w:rPr>
          <w:rFonts w:ascii="Arial" w:eastAsia="Calibri" w:hAnsi="Arial" w:cs="Arial"/>
          <w:i/>
          <w:iCs/>
          <w:sz w:val="24"/>
          <w:szCs w:val="24"/>
          <w:lang w:val="en-US"/>
        </w:rPr>
        <w:t>Health Care for Women International</w:t>
      </w:r>
      <w:r w:rsidRPr="00B80987">
        <w:rPr>
          <w:rFonts w:ascii="Arial" w:eastAsia="Calibri" w:hAnsi="Arial" w:cs="Arial"/>
          <w:sz w:val="24"/>
          <w:szCs w:val="24"/>
          <w:lang w:val="en-US"/>
        </w:rPr>
        <w:t>, </w:t>
      </w:r>
      <w:r w:rsidRPr="00B80987">
        <w:rPr>
          <w:rFonts w:ascii="Arial" w:eastAsia="Calibri" w:hAnsi="Arial" w:cs="Arial"/>
          <w:i/>
          <w:iCs/>
          <w:sz w:val="24"/>
          <w:szCs w:val="24"/>
          <w:lang w:val="en-US"/>
        </w:rPr>
        <w:t>36</w:t>
      </w:r>
      <w:r w:rsidRPr="00B80987">
        <w:rPr>
          <w:rFonts w:ascii="Arial" w:eastAsia="Calibri" w:hAnsi="Arial" w:cs="Arial"/>
          <w:sz w:val="24"/>
          <w:szCs w:val="24"/>
          <w:lang w:val="en-US"/>
        </w:rPr>
        <w:t xml:space="preserve">(7), 851–866. </w:t>
      </w:r>
    </w:p>
    <w:p w:rsidR="00B80987" w:rsidRPr="00B80987" w:rsidRDefault="00B80987" w:rsidP="00B80987">
      <w:pPr>
        <w:spacing w:line="240" w:lineRule="auto"/>
        <w:ind w:left="709" w:hanging="709"/>
        <w:jc w:val="both"/>
        <w:rPr>
          <w:rFonts w:ascii="Arial" w:eastAsia="Calibri" w:hAnsi="Arial" w:cs="Arial"/>
          <w:sz w:val="24"/>
          <w:szCs w:val="24"/>
        </w:rPr>
      </w:pPr>
      <w:r w:rsidRPr="00B80987">
        <w:rPr>
          <w:rFonts w:ascii="Arial" w:eastAsia="Calibri" w:hAnsi="Arial" w:cs="Arial"/>
          <w:sz w:val="24"/>
          <w:szCs w:val="24"/>
          <w:lang w:val="en-US"/>
        </w:rPr>
        <w:lastRenderedPageBreak/>
        <w:t xml:space="preserve">Sen, G., Batliwala, S. (1997). Empowering Women for Reproductive Rights. Moving Beyond Cairo. Ponencia presentada en el Seminar on Female Empowerment and Demographic Processes: Moving Beyond Cairo. </w:t>
      </w:r>
      <w:r w:rsidRPr="00B80987">
        <w:rPr>
          <w:rFonts w:ascii="Arial" w:eastAsia="Calibri" w:hAnsi="Arial" w:cs="Arial"/>
          <w:sz w:val="24"/>
          <w:szCs w:val="24"/>
        </w:rPr>
        <w:t>Lund, Suecia, 21 de abril de 1997.</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rPr>
        <w:t xml:space="preserve">Terrazas-Carrillo, E., McWhirter, P., &amp; Martel, K. (2016). </w:t>
      </w:r>
      <w:r w:rsidRPr="00B80987">
        <w:rPr>
          <w:rFonts w:ascii="Arial" w:eastAsia="Calibri" w:hAnsi="Arial" w:cs="Arial"/>
          <w:sz w:val="24"/>
          <w:szCs w:val="24"/>
          <w:lang w:val="en-US"/>
        </w:rPr>
        <w:t>Depression among mexican women: the impact of nonviolent coercive control, intimate partner violence and employment status. </w:t>
      </w:r>
      <w:r w:rsidRPr="00B80987">
        <w:rPr>
          <w:rFonts w:ascii="Arial" w:eastAsia="Calibri" w:hAnsi="Arial" w:cs="Arial"/>
          <w:i/>
          <w:iCs/>
          <w:sz w:val="24"/>
          <w:szCs w:val="24"/>
          <w:lang w:val="en-US"/>
        </w:rPr>
        <w:t>Journal of Family Violence</w:t>
      </w:r>
      <w:r w:rsidRPr="00B80987">
        <w:rPr>
          <w:rFonts w:ascii="Arial" w:eastAsia="Calibri" w:hAnsi="Arial" w:cs="Arial"/>
          <w:sz w:val="24"/>
          <w:szCs w:val="24"/>
          <w:lang w:val="en-US"/>
        </w:rPr>
        <w:t>, </w:t>
      </w:r>
      <w:r w:rsidRPr="00B80987">
        <w:rPr>
          <w:rFonts w:ascii="Arial" w:eastAsia="Calibri" w:hAnsi="Arial" w:cs="Arial"/>
          <w:i/>
          <w:iCs/>
          <w:sz w:val="24"/>
          <w:szCs w:val="24"/>
          <w:lang w:val="en-US"/>
        </w:rPr>
        <w:t>31</w:t>
      </w:r>
      <w:r w:rsidRPr="00B80987">
        <w:rPr>
          <w:rFonts w:ascii="Arial" w:eastAsia="Calibri" w:hAnsi="Arial" w:cs="Arial"/>
          <w:sz w:val="24"/>
          <w:szCs w:val="24"/>
          <w:lang w:val="en-US"/>
        </w:rPr>
        <w:t>(6), 721–734. https://doi.org/10.1007/s10896-016-9827-x</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lang w:val="en-US"/>
        </w:rPr>
        <w:t>World Health Organization (2013). Global and regional estimates of violence against women: prevalence and health effects of intimate partner violence and non-partner sexual violence. Disponible en: http://apps.who.int/iris/ bitstream/10665/85239/1/9789241564625_eng.pdf World Health Organization; 2013.</w:t>
      </w:r>
    </w:p>
    <w:p w:rsidR="00B80987" w:rsidRPr="00B80987" w:rsidRDefault="00B80987" w:rsidP="00B80987">
      <w:pPr>
        <w:spacing w:line="240" w:lineRule="auto"/>
        <w:ind w:left="709" w:hanging="709"/>
        <w:jc w:val="both"/>
        <w:rPr>
          <w:rFonts w:ascii="Arial" w:eastAsia="Calibri" w:hAnsi="Arial" w:cs="Arial"/>
          <w:sz w:val="24"/>
          <w:szCs w:val="24"/>
          <w:lang w:val="en-US"/>
        </w:rPr>
      </w:pPr>
      <w:r w:rsidRPr="00B80987">
        <w:rPr>
          <w:rFonts w:ascii="Arial" w:eastAsia="Calibri" w:hAnsi="Arial" w:cs="Arial"/>
          <w:sz w:val="24"/>
          <w:szCs w:val="24"/>
        </w:rPr>
        <w:t xml:space="preserve">Zeoli, A., Rivera, E., Sullivan, C., &amp; Kubiak, S. (2013). </w:t>
      </w:r>
      <w:r w:rsidRPr="00B80987">
        <w:rPr>
          <w:rFonts w:ascii="Arial" w:eastAsia="Calibri" w:hAnsi="Arial" w:cs="Arial"/>
          <w:sz w:val="24"/>
          <w:szCs w:val="24"/>
          <w:lang w:val="en-US"/>
        </w:rPr>
        <w:t>Post-separation abuse of women and their children: boundary-setting and family court utilization among victimized mothers. </w:t>
      </w:r>
      <w:r w:rsidRPr="00B80987">
        <w:rPr>
          <w:rFonts w:ascii="Arial" w:eastAsia="Calibri" w:hAnsi="Arial" w:cs="Arial"/>
          <w:i/>
          <w:iCs/>
          <w:sz w:val="24"/>
          <w:szCs w:val="24"/>
          <w:lang w:val="en-US"/>
        </w:rPr>
        <w:t>Journal Of Family Violence</w:t>
      </w:r>
      <w:r w:rsidRPr="00B80987">
        <w:rPr>
          <w:rFonts w:ascii="Arial" w:eastAsia="Calibri" w:hAnsi="Arial" w:cs="Arial"/>
          <w:sz w:val="24"/>
          <w:szCs w:val="24"/>
          <w:lang w:val="en-US"/>
        </w:rPr>
        <w:t>, </w:t>
      </w:r>
      <w:r w:rsidRPr="00B80987">
        <w:rPr>
          <w:rFonts w:ascii="Arial" w:eastAsia="Calibri" w:hAnsi="Arial" w:cs="Arial"/>
          <w:i/>
          <w:iCs/>
          <w:sz w:val="24"/>
          <w:szCs w:val="24"/>
          <w:lang w:val="en-US"/>
        </w:rPr>
        <w:t>28</w:t>
      </w:r>
      <w:r w:rsidRPr="00B80987">
        <w:rPr>
          <w:rFonts w:ascii="Arial" w:eastAsia="Calibri" w:hAnsi="Arial" w:cs="Arial"/>
          <w:sz w:val="24"/>
          <w:szCs w:val="24"/>
          <w:lang w:val="en-US"/>
        </w:rPr>
        <w:t>(6), 547-560.</w:t>
      </w:r>
    </w:p>
    <w:p w:rsidR="00B80987" w:rsidRPr="00B80987" w:rsidRDefault="00B80987" w:rsidP="00B80987">
      <w:pPr>
        <w:spacing w:line="240" w:lineRule="auto"/>
        <w:jc w:val="both"/>
        <w:rPr>
          <w:rFonts w:ascii="Arial" w:eastAsia="Calibri" w:hAnsi="Arial" w:cs="Arial"/>
          <w:sz w:val="20"/>
          <w:szCs w:val="20"/>
          <w:lang w:val="en-US"/>
        </w:rPr>
      </w:pPr>
    </w:p>
    <w:p w:rsidR="00B80987" w:rsidRPr="00B80987" w:rsidRDefault="00B80987" w:rsidP="00B80987">
      <w:pPr>
        <w:spacing w:line="240" w:lineRule="auto"/>
        <w:jc w:val="both"/>
        <w:rPr>
          <w:rFonts w:ascii="Arial" w:eastAsia="Calibri" w:hAnsi="Arial" w:cs="Arial"/>
          <w:sz w:val="20"/>
          <w:szCs w:val="20"/>
          <w:lang w:val="en-US"/>
        </w:rPr>
      </w:pPr>
    </w:p>
    <w:p w:rsidR="00B80987" w:rsidRPr="00B80987" w:rsidRDefault="00B80987" w:rsidP="00B80987">
      <w:pPr>
        <w:spacing w:line="240" w:lineRule="auto"/>
        <w:jc w:val="both"/>
        <w:rPr>
          <w:rFonts w:ascii="Arial" w:eastAsia="Calibri" w:hAnsi="Arial" w:cs="Arial"/>
          <w:sz w:val="20"/>
          <w:szCs w:val="20"/>
          <w:lang w:val="en-US"/>
        </w:rPr>
      </w:pPr>
    </w:p>
    <w:p w:rsidR="00FC2153" w:rsidRDefault="00FC2153"/>
    <w:sectPr w:rsidR="00FC21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udyOldStyleBT-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6CA8"/>
    <w:multiLevelType w:val="hybridMultilevel"/>
    <w:tmpl w:val="5F9ECC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8805A9"/>
    <w:multiLevelType w:val="multilevel"/>
    <w:tmpl w:val="A1DC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95A48"/>
    <w:multiLevelType w:val="hybridMultilevel"/>
    <w:tmpl w:val="2B3035BC"/>
    <w:lvl w:ilvl="0" w:tplc="E508E888">
      <w:start w:val="1"/>
      <w:numFmt w:val="decimal"/>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F36DD"/>
    <w:multiLevelType w:val="hybridMultilevel"/>
    <w:tmpl w:val="080062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1E0159"/>
    <w:multiLevelType w:val="hybridMultilevel"/>
    <w:tmpl w:val="70167E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1F06D0"/>
    <w:multiLevelType w:val="hybridMultilevel"/>
    <w:tmpl w:val="C442A2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3E7AF9"/>
    <w:multiLevelType w:val="hybridMultilevel"/>
    <w:tmpl w:val="D54C7AEE"/>
    <w:lvl w:ilvl="0" w:tplc="EAEC26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23135D"/>
    <w:multiLevelType w:val="hybridMultilevel"/>
    <w:tmpl w:val="256036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E3367F"/>
    <w:multiLevelType w:val="hybridMultilevel"/>
    <w:tmpl w:val="27B24F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640640"/>
    <w:multiLevelType w:val="multilevel"/>
    <w:tmpl w:val="F656FF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2"/>
  </w:num>
  <w:num w:numId="3">
    <w:abstractNumId w:val="7"/>
  </w:num>
  <w:num w:numId="4">
    <w:abstractNumId w:val="5"/>
  </w:num>
  <w:num w:numId="5">
    <w:abstractNumId w:val="4"/>
  </w:num>
  <w:num w:numId="6">
    <w:abstractNumId w:val="6"/>
  </w:num>
  <w:num w:numId="7">
    <w:abstractNumId w:val="0"/>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87"/>
    <w:rsid w:val="00045967"/>
    <w:rsid w:val="001720F9"/>
    <w:rsid w:val="0023747F"/>
    <w:rsid w:val="00327C4B"/>
    <w:rsid w:val="004E0E88"/>
    <w:rsid w:val="007843FA"/>
    <w:rsid w:val="00B80987"/>
    <w:rsid w:val="00CD7B7C"/>
    <w:rsid w:val="00E54CD0"/>
    <w:rsid w:val="00EC47CF"/>
    <w:rsid w:val="00FC21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DA1B"/>
  <w15:chartTrackingRefBased/>
  <w15:docId w15:val="{147C37D7-4AC2-4372-AF8E-5ED85EFE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B809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0987"/>
    <w:rPr>
      <w:sz w:val="20"/>
      <w:szCs w:val="20"/>
    </w:rPr>
  </w:style>
  <w:style w:type="character" w:styleId="Refdecomentario">
    <w:name w:val="annotation reference"/>
    <w:basedOn w:val="Fuentedeprrafopredeter"/>
    <w:uiPriority w:val="99"/>
    <w:semiHidden/>
    <w:unhideWhenUsed/>
    <w:rsid w:val="00B80987"/>
    <w:rPr>
      <w:sz w:val="18"/>
      <w:szCs w:val="18"/>
    </w:rPr>
  </w:style>
  <w:style w:type="paragraph" w:styleId="Textodeglobo">
    <w:name w:val="Balloon Text"/>
    <w:basedOn w:val="Normal"/>
    <w:link w:val="TextodegloboCar"/>
    <w:uiPriority w:val="99"/>
    <w:semiHidden/>
    <w:unhideWhenUsed/>
    <w:rsid w:val="00B809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0987"/>
    <w:rPr>
      <w:rFonts w:ascii="Segoe UI" w:hAnsi="Segoe UI" w:cs="Segoe UI"/>
      <w:sz w:val="18"/>
      <w:szCs w:val="18"/>
    </w:rPr>
  </w:style>
  <w:style w:type="table" w:customStyle="1" w:styleId="Tablanormal11">
    <w:name w:val="Tabla normal 11"/>
    <w:basedOn w:val="Tablanormal"/>
    <w:next w:val="Tablanormal"/>
    <w:uiPriority w:val="41"/>
    <w:rsid w:val="00B8098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
    <w:name w:val="Table Grid"/>
    <w:basedOn w:val="Tablanormal"/>
    <w:uiPriority w:val="39"/>
    <w:rsid w:val="00B8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80987"/>
    <w:rPr>
      <w:b/>
      <w:bCs/>
    </w:rPr>
  </w:style>
  <w:style w:type="character" w:customStyle="1" w:styleId="AsuntodelcomentarioCar">
    <w:name w:val="Asunto del comentario Car"/>
    <w:basedOn w:val="TextocomentarioCar"/>
    <w:link w:val="Asuntodelcomentario"/>
    <w:uiPriority w:val="99"/>
    <w:semiHidden/>
    <w:rsid w:val="00B80987"/>
    <w:rPr>
      <w:b/>
      <w:bCs/>
      <w:sz w:val="20"/>
      <w:szCs w:val="20"/>
    </w:rPr>
  </w:style>
  <w:style w:type="character" w:customStyle="1" w:styleId="Hipervnculo1">
    <w:name w:val="Hipervínculo1"/>
    <w:basedOn w:val="Fuentedeprrafopredeter"/>
    <w:uiPriority w:val="99"/>
    <w:unhideWhenUsed/>
    <w:rsid w:val="00B80987"/>
    <w:rPr>
      <w:color w:val="0563C1"/>
      <w:u w:val="single"/>
    </w:rPr>
  </w:style>
  <w:style w:type="character" w:styleId="Hipervnculo">
    <w:name w:val="Hyperlink"/>
    <w:basedOn w:val="Fuentedeprrafopredeter"/>
    <w:uiPriority w:val="99"/>
    <w:semiHidden/>
    <w:unhideWhenUsed/>
    <w:rsid w:val="00B809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340430/Ley_Gral_Igualdad_entre_Mujeres_y_Hombr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xico.justia.com/federales/constitucion-politica-de-los-estados-unidos-mexicanos/gdoc/" TargetMode="External"/><Relationship Id="rId12" Type="http://schemas.openxmlformats.org/officeDocument/2006/relationships/hyperlink" Target="http://www.presidenci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unwomen.org/es/how-wework/intergovernmental-support/world-conferences-on-women" TargetMode="External"/><Relationship Id="rId5" Type="http://schemas.openxmlformats.org/officeDocument/2006/relationships/webSettings" Target="webSettings.xml"/><Relationship Id="rId10" Type="http://schemas.openxmlformats.org/officeDocument/2006/relationships/hyperlink" Target="http://www2.ohchr.org/spanish/law/cedaw.htm" TargetMode="External"/><Relationship Id="rId4" Type="http://schemas.openxmlformats.org/officeDocument/2006/relationships/settings" Target="settings.xml"/><Relationship Id="rId9" Type="http://schemas.openxmlformats.org/officeDocument/2006/relationships/hyperlink" Target="http://www.diputados.gob.mx/LeyesBiblio/ref/lgamvlv.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76E4-FA68-40AF-A33A-1134E509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9916</Words>
  <Characters>54540</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4</cp:revision>
  <dcterms:created xsi:type="dcterms:W3CDTF">2019-11-27T20:46:00Z</dcterms:created>
  <dcterms:modified xsi:type="dcterms:W3CDTF">2019-11-27T22:20:00Z</dcterms:modified>
</cp:coreProperties>
</file>