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6E2C" w14:textId="77777777" w:rsidR="001D489C" w:rsidRPr="00C56E77" w:rsidRDefault="001D489C" w:rsidP="00DE2E63">
      <w:pPr>
        <w:spacing w:line="240" w:lineRule="auto"/>
        <w:rPr>
          <w:sz w:val="24"/>
          <w:szCs w:val="24"/>
          <w:lang w:val="en-US"/>
        </w:rPr>
      </w:pPr>
      <w:r w:rsidRPr="00C56E77">
        <w:rPr>
          <w:sz w:val="24"/>
          <w:szCs w:val="24"/>
          <w:lang w:val="en-US"/>
        </w:rPr>
        <w:t>Type of article: Original Article</w:t>
      </w:r>
    </w:p>
    <w:p w14:paraId="3AD542A9" w14:textId="77777777" w:rsidR="001D489C" w:rsidRPr="00C56E77" w:rsidRDefault="001D489C" w:rsidP="00DE2E63">
      <w:pPr>
        <w:spacing w:line="240" w:lineRule="auto"/>
        <w:rPr>
          <w:sz w:val="24"/>
          <w:szCs w:val="24"/>
          <w:lang w:val="en-US"/>
        </w:rPr>
      </w:pPr>
      <w:r w:rsidRPr="00C56E77">
        <w:rPr>
          <w:sz w:val="24"/>
          <w:szCs w:val="24"/>
          <w:lang w:val="en-US"/>
        </w:rPr>
        <w:t>Title: Cognitive reserve correlates with task-related EEG Power in healthy aging</w:t>
      </w:r>
    </w:p>
    <w:p w14:paraId="2252C23E" w14:textId="6955132F" w:rsidR="00B06EC1" w:rsidRPr="00DD2C41" w:rsidRDefault="00B06EC1" w:rsidP="00DE2E63">
      <w:pPr>
        <w:spacing w:line="240" w:lineRule="auto"/>
        <w:rPr>
          <w:sz w:val="24"/>
          <w:szCs w:val="24"/>
          <w:lang w:val="en-US"/>
        </w:rPr>
      </w:pPr>
    </w:p>
    <w:p w14:paraId="388063C3" w14:textId="53C51DB3" w:rsidR="004A32A1" w:rsidRPr="00C56E77" w:rsidRDefault="00AE445F" w:rsidP="00DE2E63">
      <w:pPr>
        <w:spacing w:line="240" w:lineRule="auto"/>
        <w:rPr>
          <w:b/>
          <w:bCs/>
          <w:sz w:val="24"/>
          <w:szCs w:val="24"/>
          <w:lang w:val="en-US"/>
        </w:rPr>
      </w:pPr>
      <w:r w:rsidRPr="00C56E77">
        <w:rPr>
          <w:b/>
          <w:bCs/>
          <w:sz w:val="24"/>
          <w:szCs w:val="24"/>
          <w:lang w:val="en-US"/>
        </w:rPr>
        <w:t>Abstract</w:t>
      </w:r>
    </w:p>
    <w:p w14:paraId="079F3E39" w14:textId="711B4FC0" w:rsidR="006F7F6C" w:rsidRPr="00DD2C41" w:rsidRDefault="00AE445F" w:rsidP="00DE2E63">
      <w:pPr>
        <w:spacing w:line="240" w:lineRule="auto"/>
        <w:rPr>
          <w:color w:val="000000"/>
          <w:sz w:val="24"/>
          <w:szCs w:val="24"/>
          <w:lang w:val="en-US"/>
        </w:rPr>
      </w:pPr>
      <w:r w:rsidRPr="00DD2C41">
        <w:rPr>
          <w:b/>
          <w:bCs/>
          <w:color w:val="000000"/>
          <w:sz w:val="24"/>
          <w:szCs w:val="24"/>
          <w:lang w:val="en-US"/>
        </w:rPr>
        <w:t xml:space="preserve">Introduction: </w:t>
      </w:r>
      <w:r w:rsidRPr="00DD2C41">
        <w:rPr>
          <w:color w:val="000000"/>
          <w:sz w:val="24"/>
          <w:szCs w:val="24"/>
          <w:lang w:val="en-US"/>
        </w:rPr>
        <w:t xml:space="preserve">Cognitive reserve (CR) is a neuroprotective factor that allows </w:t>
      </w:r>
      <w:r w:rsidR="000A3DE3" w:rsidRPr="00DD2C41">
        <w:rPr>
          <w:color w:val="000000"/>
          <w:sz w:val="24"/>
          <w:szCs w:val="24"/>
          <w:lang w:val="en-US"/>
        </w:rPr>
        <w:t>persons</w:t>
      </w:r>
      <w:r w:rsidRPr="00DD2C41">
        <w:rPr>
          <w:color w:val="000000"/>
          <w:sz w:val="24"/>
          <w:szCs w:val="24"/>
          <w:lang w:val="en-US"/>
        </w:rPr>
        <w:t xml:space="preserve"> to mitigate the impact of negative conditions such as dementias. Neurophysiological techniques such as electroencephalography facilitate the observation of the functional dynamics of cognitive processes</w:t>
      </w:r>
      <w:r w:rsidR="000C16E3" w:rsidRPr="00DD2C41">
        <w:rPr>
          <w:color w:val="000000"/>
          <w:sz w:val="24"/>
          <w:szCs w:val="24"/>
          <w:lang w:val="en-US"/>
        </w:rPr>
        <w:t xml:space="preserve">. </w:t>
      </w:r>
      <w:r w:rsidR="000A3DE3" w:rsidRPr="00DD2C41">
        <w:rPr>
          <w:b/>
          <w:bCs/>
          <w:color w:val="000000"/>
          <w:sz w:val="24"/>
          <w:szCs w:val="24"/>
          <w:lang w:val="en-US"/>
        </w:rPr>
        <w:t>Aim</w:t>
      </w:r>
      <w:r w:rsidRPr="00DD2C41">
        <w:rPr>
          <w:b/>
          <w:bCs/>
          <w:color w:val="000000"/>
          <w:sz w:val="24"/>
          <w:szCs w:val="24"/>
          <w:lang w:val="en-US"/>
        </w:rPr>
        <w:t xml:space="preserve">: </w:t>
      </w:r>
      <w:r w:rsidR="001213E1" w:rsidRPr="00DD2C41">
        <w:rPr>
          <w:color w:val="000000"/>
          <w:sz w:val="24"/>
          <w:szCs w:val="24"/>
          <w:lang w:val="en-US"/>
        </w:rPr>
        <w:t>To study</w:t>
      </w:r>
      <w:r w:rsidRPr="00DD2C41">
        <w:rPr>
          <w:color w:val="000000"/>
          <w:sz w:val="24"/>
          <w:szCs w:val="24"/>
          <w:lang w:val="en-US"/>
        </w:rPr>
        <w:t xml:space="preserve"> the relationship </w:t>
      </w:r>
      <w:r w:rsidR="000C16E3" w:rsidRPr="00DD2C41">
        <w:rPr>
          <w:color w:val="000000"/>
          <w:sz w:val="24"/>
          <w:szCs w:val="24"/>
          <w:lang w:val="en-US"/>
        </w:rPr>
        <w:t>between</w:t>
      </w:r>
      <w:r w:rsidRPr="00DD2C41">
        <w:rPr>
          <w:color w:val="000000"/>
          <w:sz w:val="24"/>
          <w:szCs w:val="24"/>
          <w:lang w:val="en-US"/>
        </w:rPr>
        <w:t xml:space="preserve"> cognitive reserve </w:t>
      </w:r>
      <w:r w:rsidR="000C16E3" w:rsidRPr="00DD2C41">
        <w:rPr>
          <w:color w:val="000000"/>
          <w:sz w:val="24"/>
          <w:szCs w:val="24"/>
          <w:lang w:val="en-US"/>
        </w:rPr>
        <w:t>and</w:t>
      </w:r>
      <w:r w:rsidRPr="00DD2C41">
        <w:rPr>
          <w:color w:val="000000"/>
          <w:sz w:val="24"/>
          <w:szCs w:val="24"/>
          <w:lang w:val="en-US"/>
        </w:rPr>
        <w:t xml:space="preserve"> absolute power</w:t>
      </w:r>
      <w:r w:rsidR="000C16E3" w:rsidRPr="00DD2C41">
        <w:rPr>
          <w:color w:val="000000"/>
          <w:sz w:val="24"/>
          <w:szCs w:val="24"/>
          <w:lang w:val="en-US"/>
        </w:rPr>
        <w:t xml:space="preserve"> (AP)</w:t>
      </w:r>
      <w:r w:rsidRPr="00DD2C41">
        <w:rPr>
          <w:color w:val="000000"/>
          <w:sz w:val="24"/>
          <w:szCs w:val="24"/>
          <w:lang w:val="en-US"/>
        </w:rPr>
        <w:t xml:space="preserve"> of the electroencephalogram (EEG) </w:t>
      </w:r>
      <w:r w:rsidR="00FA6728" w:rsidRPr="00DD2C41">
        <w:rPr>
          <w:color w:val="000000"/>
          <w:sz w:val="24"/>
          <w:szCs w:val="24"/>
          <w:lang w:val="en-US"/>
        </w:rPr>
        <w:t xml:space="preserve">registered during the Wisconsin Card Sorting Test (WCST) </w:t>
      </w:r>
      <w:r w:rsidRPr="00DD2C41">
        <w:rPr>
          <w:color w:val="000000"/>
          <w:sz w:val="24"/>
          <w:szCs w:val="24"/>
          <w:lang w:val="en-US"/>
        </w:rPr>
        <w:t xml:space="preserve">of older adults without neuropathology. </w:t>
      </w:r>
      <w:r w:rsidR="002D1840" w:rsidRPr="00DD2C41">
        <w:rPr>
          <w:b/>
          <w:bCs/>
          <w:color w:val="000000"/>
          <w:sz w:val="24"/>
          <w:szCs w:val="24"/>
          <w:lang w:val="en-US"/>
        </w:rPr>
        <w:t xml:space="preserve">Methods: </w:t>
      </w:r>
      <w:r w:rsidRPr="00DD2C41">
        <w:rPr>
          <w:color w:val="000000"/>
          <w:sz w:val="24"/>
          <w:szCs w:val="24"/>
          <w:lang w:val="en-US"/>
        </w:rPr>
        <w:t xml:space="preserve">The </w:t>
      </w:r>
      <w:r w:rsidR="002D1840" w:rsidRPr="00DD2C41">
        <w:rPr>
          <w:color w:val="000000"/>
          <w:sz w:val="24"/>
          <w:szCs w:val="24"/>
          <w:lang w:val="en-US"/>
        </w:rPr>
        <w:t>EEG</w:t>
      </w:r>
      <w:r w:rsidRPr="00DD2C41">
        <w:rPr>
          <w:color w:val="000000"/>
          <w:sz w:val="24"/>
          <w:szCs w:val="24"/>
          <w:lang w:val="en-US"/>
        </w:rPr>
        <w:t xml:space="preserve"> of 10</w:t>
      </w:r>
      <w:r w:rsidR="002D1840" w:rsidRPr="00DD2C41">
        <w:rPr>
          <w:color w:val="000000"/>
          <w:sz w:val="24"/>
          <w:szCs w:val="24"/>
          <w:lang w:val="en-US"/>
        </w:rPr>
        <w:t xml:space="preserve"> healthy</w:t>
      </w:r>
      <w:r w:rsidRPr="00DD2C41">
        <w:rPr>
          <w:color w:val="000000"/>
          <w:sz w:val="24"/>
          <w:szCs w:val="24"/>
          <w:lang w:val="en-US"/>
        </w:rPr>
        <w:t xml:space="preserve"> elderly people was recorded during WCST solution, </w:t>
      </w:r>
      <w:r w:rsidR="000A3DE3" w:rsidRPr="00DD2C41">
        <w:rPr>
          <w:color w:val="000000"/>
          <w:sz w:val="24"/>
          <w:szCs w:val="24"/>
          <w:lang w:val="en-US"/>
        </w:rPr>
        <w:t>CR</w:t>
      </w:r>
      <w:r w:rsidRPr="00DD2C41">
        <w:rPr>
          <w:color w:val="000000"/>
          <w:sz w:val="24"/>
          <w:szCs w:val="24"/>
          <w:lang w:val="en-US"/>
        </w:rPr>
        <w:t xml:space="preserve"> was measured</w:t>
      </w:r>
      <w:r w:rsidR="002D1840" w:rsidRPr="00DD2C41">
        <w:rPr>
          <w:color w:val="000000"/>
          <w:sz w:val="24"/>
          <w:szCs w:val="24"/>
          <w:lang w:val="en-US"/>
        </w:rPr>
        <w:t xml:space="preserve"> </w:t>
      </w:r>
      <w:r w:rsidRPr="00DD2C41">
        <w:rPr>
          <w:color w:val="000000"/>
          <w:sz w:val="24"/>
          <w:szCs w:val="24"/>
          <w:lang w:val="en-US"/>
        </w:rPr>
        <w:t xml:space="preserve">and correlated with the </w:t>
      </w:r>
      <w:r w:rsidR="000C16E3" w:rsidRPr="00DD2C41">
        <w:rPr>
          <w:color w:val="000000"/>
          <w:sz w:val="24"/>
          <w:szCs w:val="24"/>
          <w:lang w:val="en-US"/>
        </w:rPr>
        <w:t>AP</w:t>
      </w:r>
      <w:r w:rsidRPr="00DD2C41">
        <w:rPr>
          <w:color w:val="000000"/>
          <w:sz w:val="24"/>
          <w:szCs w:val="24"/>
          <w:lang w:val="en-US"/>
        </w:rPr>
        <w:t xml:space="preserve"> of the EEG</w:t>
      </w:r>
      <w:r w:rsidR="002D1840" w:rsidRPr="00DD2C41">
        <w:rPr>
          <w:color w:val="000000"/>
          <w:sz w:val="24"/>
          <w:szCs w:val="24"/>
          <w:lang w:val="en-US"/>
        </w:rPr>
        <w:t xml:space="preserve">. </w:t>
      </w:r>
      <w:r w:rsidR="002D1840" w:rsidRPr="00DD2C41">
        <w:rPr>
          <w:b/>
          <w:bCs/>
          <w:color w:val="000000"/>
          <w:sz w:val="24"/>
          <w:szCs w:val="24"/>
          <w:lang w:val="en-US"/>
        </w:rPr>
        <w:t xml:space="preserve">Results: </w:t>
      </w:r>
      <w:r w:rsidR="002D1840" w:rsidRPr="00DD2C41">
        <w:rPr>
          <w:color w:val="000000"/>
          <w:sz w:val="24"/>
          <w:szCs w:val="24"/>
          <w:lang w:val="en-US"/>
        </w:rPr>
        <w:t>C</w:t>
      </w:r>
      <w:r w:rsidRPr="00DD2C41">
        <w:rPr>
          <w:color w:val="000000"/>
          <w:sz w:val="24"/>
          <w:szCs w:val="24"/>
          <w:lang w:val="en-US"/>
        </w:rPr>
        <w:t xml:space="preserve">ognitive reserve was negatively associated with the </w:t>
      </w:r>
      <w:r w:rsidR="000C16E3" w:rsidRPr="00DD2C41">
        <w:rPr>
          <w:color w:val="000000"/>
          <w:sz w:val="24"/>
          <w:szCs w:val="24"/>
          <w:lang w:val="en-US"/>
        </w:rPr>
        <w:t>AP</w:t>
      </w:r>
      <w:r w:rsidRPr="00DD2C41">
        <w:rPr>
          <w:color w:val="000000"/>
          <w:sz w:val="24"/>
          <w:szCs w:val="24"/>
          <w:lang w:val="en-US"/>
        </w:rPr>
        <w:t xml:space="preserve"> of the Delta and Theta bands. </w:t>
      </w:r>
      <w:r w:rsidR="00673422" w:rsidRPr="00DD2C41">
        <w:rPr>
          <w:b/>
          <w:bCs/>
          <w:color w:val="000000"/>
          <w:sz w:val="24"/>
          <w:szCs w:val="24"/>
          <w:lang w:val="en-US"/>
        </w:rPr>
        <w:t>Conclusions:</w:t>
      </w:r>
      <w:r w:rsidRPr="00DD2C41">
        <w:rPr>
          <w:color w:val="000000"/>
          <w:sz w:val="24"/>
          <w:szCs w:val="24"/>
          <w:lang w:val="en-US"/>
        </w:rPr>
        <w:t xml:space="preserve"> </w:t>
      </w:r>
      <w:r w:rsidR="00523C10" w:rsidRPr="00DD2C41">
        <w:rPr>
          <w:color w:val="000000"/>
          <w:sz w:val="24"/>
          <w:szCs w:val="24"/>
          <w:lang w:val="en-US"/>
        </w:rPr>
        <w:t>C</w:t>
      </w:r>
      <w:r w:rsidR="000A3DE3" w:rsidRPr="00DD2C41">
        <w:rPr>
          <w:color w:val="000000"/>
          <w:sz w:val="24"/>
          <w:szCs w:val="24"/>
          <w:lang w:val="en-US"/>
        </w:rPr>
        <w:t>R</w:t>
      </w:r>
      <w:r w:rsidR="00523C10" w:rsidRPr="00DD2C41">
        <w:rPr>
          <w:color w:val="000000"/>
          <w:sz w:val="24"/>
          <w:szCs w:val="24"/>
          <w:lang w:val="en-US"/>
        </w:rPr>
        <w:t xml:space="preserve"> is negatively correlated with </w:t>
      </w:r>
      <w:r w:rsidR="000C16E3" w:rsidRPr="00DD2C41">
        <w:rPr>
          <w:color w:val="000000"/>
          <w:sz w:val="24"/>
          <w:szCs w:val="24"/>
          <w:lang w:val="en-US"/>
        </w:rPr>
        <w:t xml:space="preserve">AP this implies that the participants with low </w:t>
      </w:r>
      <w:r w:rsidR="000A3DE3" w:rsidRPr="00DD2C41">
        <w:rPr>
          <w:color w:val="000000"/>
          <w:sz w:val="24"/>
          <w:szCs w:val="24"/>
          <w:lang w:val="en-US"/>
        </w:rPr>
        <w:t>CR</w:t>
      </w:r>
      <w:r w:rsidR="000C16E3" w:rsidRPr="00DD2C41">
        <w:rPr>
          <w:color w:val="000000"/>
          <w:sz w:val="24"/>
          <w:szCs w:val="24"/>
          <w:lang w:val="en-US"/>
        </w:rPr>
        <w:t xml:space="preserve"> have less efficient task related activation.</w:t>
      </w:r>
    </w:p>
    <w:p w14:paraId="3A900EED" w14:textId="77777777" w:rsidR="00673422" w:rsidRPr="00C56E77" w:rsidRDefault="00673422" w:rsidP="00DE2E63">
      <w:pPr>
        <w:spacing w:line="240" w:lineRule="auto"/>
        <w:rPr>
          <w:sz w:val="24"/>
          <w:szCs w:val="24"/>
          <w:lang w:val="en-US"/>
        </w:rPr>
      </w:pPr>
    </w:p>
    <w:p w14:paraId="43997AC1" w14:textId="03CC5D51" w:rsidR="00AE445F" w:rsidRPr="00C56E77" w:rsidRDefault="00673422" w:rsidP="00DE2E63">
      <w:pPr>
        <w:spacing w:line="240" w:lineRule="auto"/>
        <w:rPr>
          <w:sz w:val="24"/>
          <w:szCs w:val="24"/>
          <w:lang w:val="en-US"/>
        </w:rPr>
      </w:pPr>
      <w:r w:rsidRPr="00C56E77">
        <w:rPr>
          <w:b/>
          <w:bCs/>
          <w:sz w:val="24"/>
          <w:szCs w:val="24"/>
          <w:lang w:val="en-US"/>
        </w:rPr>
        <w:t xml:space="preserve">Key words: </w:t>
      </w:r>
      <w:r w:rsidR="0029784D" w:rsidRPr="00C56E77">
        <w:rPr>
          <w:sz w:val="24"/>
          <w:szCs w:val="24"/>
          <w:lang w:val="en-US"/>
        </w:rPr>
        <w:t>Cognitive Reserve, Electroencephalography, Aged, Wisconsin Card Sorting Test, Neurophysiology</w:t>
      </w:r>
    </w:p>
    <w:p w14:paraId="5224A55F" w14:textId="77777777" w:rsidR="00B06EC1" w:rsidRPr="00C56E77" w:rsidRDefault="00B06EC1" w:rsidP="00DE2E63">
      <w:pPr>
        <w:spacing w:line="240" w:lineRule="auto"/>
        <w:rPr>
          <w:sz w:val="24"/>
          <w:szCs w:val="24"/>
          <w:lang w:val="en-US"/>
        </w:rPr>
      </w:pPr>
    </w:p>
    <w:p w14:paraId="6F1B4C3D" w14:textId="77777777" w:rsidR="0029784D" w:rsidRPr="00C56E77" w:rsidRDefault="0029784D" w:rsidP="00DE2E63">
      <w:pPr>
        <w:spacing w:line="240" w:lineRule="auto"/>
        <w:rPr>
          <w:b/>
          <w:bCs/>
          <w:sz w:val="24"/>
          <w:szCs w:val="24"/>
        </w:rPr>
      </w:pPr>
      <w:r w:rsidRPr="00C56E77">
        <w:rPr>
          <w:b/>
          <w:bCs/>
          <w:sz w:val="24"/>
          <w:szCs w:val="24"/>
        </w:rPr>
        <w:t>Resumen</w:t>
      </w:r>
    </w:p>
    <w:p w14:paraId="7B1B0C72" w14:textId="60DA28ED" w:rsidR="0029784D" w:rsidRPr="00C56E77" w:rsidRDefault="0029784D" w:rsidP="00DE2E63">
      <w:pPr>
        <w:spacing w:line="240" w:lineRule="auto"/>
        <w:rPr>
          <w:sz w:val="24"/>
          <w:szCs w:val="24"/>
        </w:rPr>
      </w:pPr>
      <w:r w:rsidRPr="00C56E77">
        <w:rPr>
          <w:b/>
          <w:bCs/>
          <w:sz w:val="24"/>
          <w:szCs w:val="24"/>
        </w:rPr>
        <w:t>Introducción:</w:t>
      </w:r>
      <w:r w:rsidRPr="00C56E77">
        <w:rPr>
          <w:sz w:val="24"/>
          <w:szCs w:val="24"/>
        </w:rPr>
        <w:t xml:space="preserve"> La reserva cognitiva (RC) permite mitigar el impacto de afecciones negativas como las demencias. </w:t>
      </w:r>
      <w:r w:rsidR="000A3DE3" w:rsidRPr="00C56E77">
        <w:rPr>
          <w:sz w:val="24"/>
          <w:szCs w:val="24"/>
        </w:rPr>
        <w:t>El</w:t>
      </w:r>
      <w:r w:rsidRPr="00C56E77">
        <w:rPr>
          <w:sz w:val="24"/>
          <w:szCs w:val="24"/>
        </w:rPr>
        <w:t xml:space="preserve"> electroencefalogra</w:t>
      </w:r>
      <w:r w:rsidR="000A3DE3" w:rsidRPr="00C56E77">
        <w:rPr>
          <w:sz w:val="24"/>
          <w:szCs w:val="24"/>
        </w:rPr>
        <w:t>ma (EEG)</w:t>
      </w:r>
      <w:r w:rsidRPr="00C56E77">
        <w:rPr>
          <w:sz w:val="24"/>
          <w:szCs w:val="24"/>
        </w:rPr>
        <w:t xml:space="preserve"> facilita la observación funcional de los procesos cognitivos. </w:t>
      </w:r>
      <w:r w:rsidRPr="00C56E77">
        <w:rPr>
          <w:b/>
          <w:bCs/>
          <w:sz w:val="24"/>
          <w:szCs w:val="24"/>
        </w:rPr>
        <w:t>Objetivo:</w:t>
      </w:r>
      <w:r w:rsidRPr="00C56E77">
        <w:rPr>
          <w:sz w:val="24"/>
          <w:szCs w:val="24"/>
        </w:rPr>
        <w:t xml:space="preserve"> Estudiar la relación entre la </w:t>
      </w:r>
      <w:r w:rsidR="000A3DE3" w:rsidRPr="00C56E77">
        <w:rPr>
          <w:sz w:val="24"/>
          <w:szCs w:val="24"/>
        </w:rPr>
        <w:t>RC</w:t>
      </w:r>
      <w:r w:rsidRPr="00C56E77">
        <w:rPr>
          <w:sz w:val="24"/>
          <w:szCs w:val="24"/>
        </w:rPr>
        <w:t xml:space="preserve"> y la potencia absoluta (PA) del EEG registrado durante el Test de clasificación de tarjetas de Wisconsin (WCST) en adultos mayores </w:t>
      </w:r>
      <w:r w:rsidR="000A3DE3" w:rsidRPr="00C56E77">
        <w:rPr>
          <w:sz w:val="24"/>
          <w:szCs w:val="24"/>
        </w:rPr>
        <w:t>sanos.</w:t>
      </w:r>
      <w:r w:rsidRPr="00C56E77">
        <w:rPr>
          <w:sz w:val="24"/>
          <w:szCs w:val="24"/>
        </w:rPr>
        <w:t xml:space="preserve"> </w:t>
      </w:r>
      <w:r w:rsidRPr="00C56E77">
        <w:rPr>
          <w:b/>
          <w:bCs/>
          <w:sz w:val="24"/>
          <w:szCs w:val="24"/>
        </w:rPr>
        <w:t>Métodos:</w:t>
      </w:r>
      <w:r w:rsidRPr="00C56E77">
        <w:rPr>
          <w:sz w:val="24"/>
          <w:szCs w:val="24"/>
        </w:rPr>
        <w:t xml:space="preserve"> Se registró EEG de 10 </w:t>
      </w:r>
      <w:r w:rsidR="000A3DE3" w:rsidRPr="00C56E77">
        <w:rPr>
          <w:sz w:val="24"/>
          <w:szCs w:val="24"/>
        </w:rPr>
        <w:t>participantes</w:t>
      </w:r>
      <w:r w:rsidRPr="00C56E77">
        <w:rPr>
          <w:sz w:val="24"/>
          <w:szCs w:val="24"/>
        </w:rPr>
        <w:t xml:space="preserve"> durante la solución del WCST</w:t>
      </w:r>
      <w:r w:rsidR="000A3DE3" w:rsidRPr="00C56E77">
        <w:rPr>
          <w:sz w:val="24"/>
          <w:szCs w:val="24"/>
        </w:rPr>
        <w:t>;</w:t>
      </w:r>
      <w:r w:rsidRPr="00C56E77">
        <w:rPr>
          <w:sz w:val="24"/>
          <w:szCs w:val="24"/>
        </w:rPr>
        <w:t xml:space="preserve"> la </w:t>
      </w:r>
      <w:r w:rsidR="000A3DE3" w:rsidRPr="00C56E77">
        <w:rPr>
          <w:sz w:val="24"/>
          <w:szCs w:val="24"/>
        </w:rPr>
        <w:t>RC</w:t>
      </w:r>
      <w:r w:rsidRPr="00C56E77">
        <w:rPr>
          <w:sz w:val="24"/>
          <w:szCs w:val="24"/>
        </w:rPr>
        <w:t xml:space="preserve"> de los participantes se midió y se correlacionó con la PA del EEG. </w:t>
      </w:r>
      <w:r w:rsidRPr="00C56E77">
        <w:rPr>
          <w:b/>
          <w:bCs/>
          <w:sz w:val="24"/>
          <w:szCs w:val="24"/>
        </w:rPr>
        <w:t>Resultados:</w:t>
      </w:r>
      <w:r w:rsidRPr="00C56E77">
        <w:rPr>
          <w:sz w:val="24"/>
          <w:szCs w:val="24"/>
        </w:rPr>
        <w:t xml:space="preserve"> La </w:t>
      </w:r>
      <w:r w:rsidR="000A3DE3" w:rsidRPr="00C56E77">
        <w:rPr>
          <w:sz w:val="24"/>
          <w:szCs w:val="24"/>
        </w:rPr>
        <w:t>RC</w:t>
      </w:r>
      <w:r w:rsidRPr="00C56E77">
        <w:rPr>
          <w:sz w:val="24"/>
          <w:szCs w:val="24"/>
        </w:rPr>
        <w:t xml:space="preserve"> se asoció negativamente con la PA de las bandas Delta y Theta. </w:t>
      </w:r>
      <w:r w:rsidRPr="00C56E77">
        <w:rPr>
          <w:b/>
          <w:bCs/>
          <w:sz w:val="24"/>
          <w:szCs w:val="24"/>
        </w:rPr>
        <w:t>Conclusiones:</w:t>
      </w:r>
      <w:r w:rsidRPr="00C56E77">
        <w:rPr>
          <w:sz w:val="24"/>
          <w:szCs w:val="24"/>
        </w:rPr>
        <w:t xml:space="preserve"> La </w:t>
      </w:r>
      <w:r w:rsidR="000A3DE3" w:rsidRPr="00C56E77">
        <w:rPr>
          <w:sz w:val="24"/>
          <w:szCs w:val="24"/>
        </w:rPr>
        <w:t>RC</w:t>
      </w:r>
      <w:r w:rsidRPr="00C56E77">
        <w:rPr>
          <w:sz w:val="24"/>
          <w:szCs w:val="24"/>
        </w:rPr>
        <w:t xml:space="preserve"> se correlaciona negativamente con la PA, esto implica que los participantes con baja </w:t>
      </w:r>
      <w:r w:rsidR="000A3DE3" w:rsidRPr="00C56E77">
        <w:rPr>
          <w:sz w:val="24"/>
          <w:szCs w:val="24"/>
        </w:rPr>
        <w:t>RC</w:t>
      </w:r>
      <w:r w:rsidRPr="00C56E77">
        <w:rPr>
          <w:sz w:val="24"/>
          <w:szCs w:val="24"/>
        </w:rPr>
        <w:t xml:space="preserve"> tienen una activación cerebral menos eficiente al realizar una tarea cognitiva.</w:t>
      </w:r>
    </w:p>
    <w:p w14:paraId="71A05110" w14:textId="2E52D93C" w:rsidR="0029784D" w:rsidRPr="00C56E77" w:rsidRDefault="0029784D" w:rsidP="00DE2E63">
      <w:pPr>
        <w:spacing w:line="240" w:lineRule="auto"/>
        <w:rPr>
          <w:sz w:val="24"/>
          <w:szCs w:val="24"/>
        </w:rPr>
      </w:pPr>
    </w:p>
    <w:p w14:paraId="0CCA88D8" w14:textId="6F7D15A1" w:rsidR="0029784D" w:rsidRPr="00C56E77" w:rsidRDefault="0029784D" w:rsidP="00DE2E63">
      <w:pPr>
        <w:spacing w:line="240" w:lineRule="auto"/>
        <w:rPr>
          <w:sz w:val="24"/>
          <w:szCs w:val="24"/>
        </w:rPr>
      </w:pPr>
      <w:r w:rsidRPr="00C56E77">
        <w:rPr>
          <w:b/>
          <w:bCs/>
          <w:sz w:val="24"/>
          <w:szCs w:val="24"/>
        </w:rPr>
        <w:t xml:space="preserve">Palabras clave: </w:t>
      </w:r>
      <w:r w:rsidRPr="00C56E77">
        <w:rPr>
          <w:sz w:val="24"/>
          <w:szCs w:val="24"/>
        </w:rPr>
        <w:t>Reserva cognitiva, Electroencefalografía, Envejecimiento, Test de clasificación de tarjetas de Wisconsin, Neurofisiología</w:t>
      </w:r>
    </w:p>
    <w:p w14:paraId="72072417" w14:textId="77777777" w:rsidR="00AE445F" w:rsidRPr="00C56E77" w:rsidRDefault="00AE445F" w:rsidP="00DE2E63">
      <w:pPr>
        <w:spacing w:line="240" w:lineRule="auto"/>
        <w:rPr>
          <w:sz w:val="24"/>
          <w:szCs w:val="24"/>
        </w:rPr>
      </w:pPr>
      <w:r w:rsidRPr="00C56E77">
        <w:rPr>
          <w:sz w:val="24"/>
          <w:szCs w:val="24"/>
        </w:rPr>
        <w:br w:type="page"/>
      </w:r>
    </w:p>
    <w:p w14:paraId="1700685D" w14:textId="77777777" w:rsidR="00AE445F" w:rsidRPr="00C56E77" w:rsidRDefault="00AE445F" w:rsidP="00DE2E63">
      <w:pPr>
        <w:spacing w:line="240" w:lineRule="auto"/>
        <w:rPr>
          <w:sz w:val="24"/>
          <w:szCs w:val="24"/>
          <w:lang w:val="en-US"/>
        </w:rPr>
      </w:pPr>
      <w:r w:rsidRPr="00C56E77">
        <w:rPr>
          <w:sz w:val="24"/>
          <w:szCs w:val="24"/>
          <w:lang w:val="en-US"/>
        </w:rPr>
        <w:lastRenderedPageBreak/>
        <w:t>Introduction:</w:t>
      </w:r>
    </w:p>
    <w:p w14:paraId="05B081BE" w14:textId="1EC18474" w:rsidR="00AE445F" w:rsidRPr="00DD2C41" w:rsidRDefault="00F65864" w:rsidP="00DE2E63">
      <w:pPr>
        <w:spacing w:line="240" w:lineRule="auto"/>
        <w:rPr>
          <w:color w:val="000000"/>
          <w:sz w:val="24"/>
          <w:szCs w:val="24"/>
        </w:rPr>
      </w:pPr>
      <w:r w:rsidRPr="00C56E77">
        <w:rPr>
          <w:sz w:val="24"/>
          <w:szCs w:val="24"/>
          <w:lang w:val="en-US"/>
        </w:rPr>
        <w:t>Cognitive reserve (CR) is a neuroprotective factor that allo</w:t>
      </w:r>
      <w:r w:rsidRPr="00DD2C41">
        <w:rPr>
          <w:color w:val="000000"/>
          <w:sz w:val="24"/>
          <w:szCs w:val="24"/>
          <w:lang w:val="en-US"/>
        </w:rPr>
        <w:t xml:space="preserve">ws the </w:t>
      </w:r>
      <w:r w:rsidR="001213E1" w:rsidRPr="00DD2C41">
        <w:rPr>
          <w:color w:val="000000"/>
          <w:sz w:val="24"/>
          <w:szCs w:val="24"/>
          <w:lang w:val="en-US"/>
        </w:rPr>
        <w:t>person</w:t>
      </w:r>
      <w:r w:rsidRPr="00DD2C41">
        <w:rPr>
          <w:color w:val="000000"/>
          <w:sz w:val="24"/>
          <w:szCs w:val="24"/>
          <w:lang w:val="en-US"/>
        </w:rPr>
        <w:t xml:space="preserve"> to </w:t>
      </w:r>
      <w:r w:rsidRPr="00C56E77">
        <w:rPr>
          <w:sz w:val="24"/>
          <w:szCs w:val="24"/>
          <w:lang w:val="en-US"/>
        </w:rPr>
        <w:t>modulate cognitive impairment or mitigate the impact of negative conditions such as dementias. This mitigation is achieved through the recruitment or optimization of alternative neural networks for the execution of the affected cognitive processes</w:t>
      </w:r>
      <w:r w:rsidR="00E77932" w:rsidRPr="00C56E77">
        <w:rPr>
          <w:sz w:val="24"/>
          <w:szCs w:val="24"/>
          <w:lang w:val="en-US"/>
        </w:rPr>
        <w:t xml:space="preserve"> </w:t>
      </w:r>
      <w:r w:rsidR="00E77932" w:rsidRPr="00C56E77">
        <w:rPr>
          <w:sz w:val="24"/>
          <w:szCs w:val="24"/>
          <w:lang w:val="en-US"/>
        </w:rPr>
        <w:fldChar w:fldCharType="begin" w:fldLock="1"/>
      </w:r>
      <w:r w:rsidR="00E77932" w:rsidRPr="00C56E77">
        <w:rPr>
          <w:sz w:val="24"/>
          <w:szCs w:val="24"/>
          <w:lang w:val="en-US"/>
        </w:rPr>
        <w:instrText>ADDIN CSL_CITATION {"citationItems":[{"id":"ITEM-1","itemData":{"DOI":"10.1017/S1355617702813248","ISSN":"13556177","abstract":" The idea of reserve against brain damage stems from the repeated observation that there does not appear to be a direct relationship between the degree of brain pathology or brain damage and the clinical manifestation of that damage. This paper attempts to develop a coherent theoretical account of reserve. One convenient subdivision of reserve models revolves around whether they envision reserve as a passive process, such as in brain reserve or threshold, or see the brain as actively attempting to cope with or compensate for pathology, as in cognitive reserve. Cognitive reserve may be based on more efficient utilization of brain networks or of enhanced ability to recruit alternate brain networks as needed. A distinction is suggested between reserve, the ability to optimize or maximize normal performance, and compensation, an attempt to maximize performance in the face of brain damage by using brain structures or networks not engaged when the brain is not damaged. Epidemiologic and imaging data that help to develop and support the concept of reserve are presented. ( JINS , 2002, 8 , 448–460.) ","author":[{"dropping-particle":"","family":"Stern","given":"Yaakov","non-dropping-particle":"","parse-names":false,"suffix":""}],"container-title":"Journal of the International Neuropsychological Society","id":"ITEM-1","issue":"3","issued":{"date-parts":[["2002"]]},"page":"448-460","title":"What is cognitive reserve? Theory and research application of the reserve concept","type":"article-journal","volume":"8"},"uris":["http://www.mendeley.com/documents/?uuid=75c7d85a-50e4-40f9-8f3c-caca802283a3"]},{"id":"ITEM-2","itemData":{"DOI":"10.1016/j.neuropsychologia.2009.03.004","ISSN":"00283932","author":[{"dropping-particle":"","family":"Stern","given":"Yaakov","non-dropping-particle":"","parse-names":false,"suffix":""}],"container-title":"Neuropsychologia","id":"ITEM-2","issue":"10","issued":{"date-parts":[["2009","8"]]},"page":"2015-2028","title":"Cognitive reserve</w:instrText>
      </w:r>
      <w:r w:rsidR="00E77932" w:rsidRPr="00C56E77">
        <w:rPr>
          <w:rFonts w:ascii="Segoe UI Symbol" w:hAnsi="Segoe UI Symbol" w:cs="Segoe UI Symbol"/>
          <w:sz w:val="24"/>
          <w:szCs w:val="24"/>
          <w:lang w:val="en-US"/>
        </w:rPr>
        <w:instrText>☆</w:instrText>
      </w:r>
      <w:r w:rsidR="00E77932" w:rsidRPr="00C56E77">
        <w:rPr>
          <w:sz w:val="24"/>
          <w:szCs w:val="24"/>
          <w:lang w:val="en-US"/>
        </w:rPr>
        <w:instrText>","type":"article-journal","volume":"47"},"uris":["http://www.mendeley.com/documents/?uuid=b9d799a6-f05f-46d6-b6e4-d2bfcad54f63"]},{"id":"ITEM-3","itemData":{"DOI":"10.1016/j.pneurobio.2009.10.001","ISSN":"03010082","abstract":"The concept of 'cognitive reserve', and a broader theory of 'brain reserve', were originally proposed to help explain epidemiological data indicating that individuals who engaged in higher levels of mental and physical activity via education, occupation and recreation, were at lower risk of developing Alzheimer's disease and other forms of dementia. Subsequently, behavioral, cellular and molecular studies in animals (predominantly mice and rats) have revealed dramatic effects of environmental enrichment, which involves enhanced levels of sensory, cognitive and motor stimulation via housing in novel, complex environments. Furthermore, increasing levels of voluntary physical exercise, via ad libitum access to running wheels, can have significant effects on brain and behavior, thus informing the relative effects of mental and physical activity. More recently, animal models of brain disorders have been compared under environmentally stimulating and standard housing conditions, and this has provided new insights into environmental modulators and gene-environment interactions involved in pathogenesis. Here, we review animal studies that have investigated the effects of modifying mental and physical activity via experimental manipulations, and discuss their relevance to brain and cognitive reserve (BCR). Recent evidence suggests that the concept of BCR is not only relevant to brain aging, neurodegenerative diseases and dementia, but also to other neurological and psychiatric disorders. Understanding the cellular and molecular mechanisms mediating BCR may not only facilitate future strategies aimed at optimising healthy brain aging, but could also identify molecular targets for novel pharmacological approaches aimed at boosting BCR in 'at risk' and symptomatic individuals with various brain disorders. © 2009 Elsevier Ltd. All rights reserved.","author":[{"dropping-particle":"","family":"Nithianantharajah","given":"Jess","non-dropping-particle":"","parse-names":false,"suffix":""},{"dropping-particle":"","family":"Hannan","given":"Anthony J.","non-dropping-particle":"","parse-names":false,"suffix":""}],"container-title":"Progress in Neurobiology","id":"ITEM-3","issue":"4","issued":{"date-parts":[["2009"]]},"page":"369-382","title":"The neurobiology of brain and cognitive reserve: Mental and physical activity as modulators of brain disorders","type":"article-journal","volume":"89"},"uris":["http://www.mendeley.com/documents/?uuid=c755ffbf-a250-48b5-bd06-946058ec28bf"]},{"id":"ITEM-4","itemData":{"DOI":"10.1017/S1355617711000014.Cognitive","author":[{"dropping-particle":"","family":"Reed","given":"Bruce R.","non-dropping-particle":"","parse-names":false,"suffix":""},{"dropping-particle":"","family":"Schneider","given":"Julie a","non-dropping-particle":"","parse-names":false,"suffix":""},{"dropping-particle":"","family":"Bennett","given":"David a","non-dropping-particle":"","parse-names":false,"suffix":""},{"dropping-particle":"","family":"Mungas","given":"Dan","non-dropping-particle":"","parse-names":false,"suffix":""}],"container-title":"J Int Neuropsychol Soc","id":"ITEM-4","issue":"4","issued":{"date-parts":[["2011"]]},"page":"615-624","title":"Education in Building Reserve","type":"article-journal","volume":"17"},"uris":["http://www.mendeley.com/documents/?uuid=fbb00a0d-6020-4f76-871f-c6ac0a2cb0e3"]}],"mendeley":{"formattedCitation":"(Nithianantharajah &amp; Hannan, 2009; Reed, Schneider, Bennett, &amp; Mungas, 2011; Stern, 2002, 2009)","plainTextFormattedCitation":"(Nithianantharajah &amp; Hannan, 2009; Reed, Schneider, Bennett, &amp; Mungas, 2011; Stern, 2002, 2009)","previouslyFormattedCitation":"(Nithianantharajah &amp; Hannan, 2009; Reed, Schneider, Bennett, &amp; Mungas, 2011; Stern, 2002, 2009)"},"properties":{"noteIndex":0},"schema":"https://github.com/citation-style-language/schema/raw/master/csl-citation.json"}</w:instrText>
      </w:r>
      <w:r w:rsidR="00E77932" w:rsidRPr="00C56E77">
        <w:rPr>
          <w:sz w:val="24"/>
          <w:szCs w:val="24"/>
          <w:lang w:val="en-US"/>
        </w:rPr>
        <w:fldChar w:fldCharType="separate"/>
      </w:r>
      <w:r w:rsidR="00E77932" w:rsidRPr="00C56E77">
        <w:rPr>
          <w:noProof/>
          <w:sz w:val="24"/>
          <w:szCs w:val="24"/>
          <w:lang w:val="en-US"/>
        </w:rPr>
        <w:t>(Nithianantharajah &amp; Hannan, 2009; Reed, Schneider, Bennett, &amp; Mungas, 2011; Stern, 2002, 2009)</w:t>
      </w:r>
      <w:r w:rsidR="00E77932" w:rsidRPr="00C56E77">
        <w:rPr>
          <w:sz w:val="24"/>
          <w:szCs w:val="24"/>
          <w:lang w:val="en-US"/>
        </w:rPr>
        <w:fldChar w:fldCharType="end"/>
      </w:r>
      <w:r w:rsidR="00E77932" w:rsidRPr="00C56E77">
        <w:rPr>
          <w:sz w:val="24"/>
          <w:szCs w:val="24"/>
          <w:lang w:val="en-US"/>
        </w:rPr>
        <w:t xml:space="preserve">. </w:t>
      </w:r>
      <w:r w:rsidRPr="00C56E77">
        <w:rPr>
          <w:sz w:val="24"/>
          <w:szCs w:val="24"/>
          <w:lang w:val="en-US"/>
        </w:rPr>
        <w:t xml:space="preserve">Cognitive </w:t>
      </w:r>
      <w:r w:rsidRPr="00DD2C41">
        <w:rPr>
          <w:color w:val="000000"/>
          <w:sz w:val="24"/>
          <w:szCs w:val="24"/>
          <w:lang w:val="en-US"/>
        </w:rPr>
        <w:t xml:space="preserve">reserve is </w:t>
      </w:r>
      <w:r w:rsidR="00B967A3" w:rsidRPr="00DD2C41">
        <w:rPr>
          <w:color w:val="000000"/>
          <w:sz w:val="24"/>
          <w:szCs w:val="24"/>
          <w:lang w:val="en-US"/>
        </w:rPr>
        <w:t xml:space="preserve">developed throughout life and </w:t>
      </w:r>
      <w:r w:rsidR="00B967A3" w:rsidRPr="00C56E77">
        <w:rPr>
          <w:sz w:val="24"/>
          <w:szCs w:val="24"/>
          <w:lang w:val="en-US"/>
        </w:rPr>
        <w:t xml:space="preserve">is </w:t>
      </w:r>
      <w:r w:rsidRPr="00C56E77">
        <w:rPr>
          <w:sz w:val="24"/>
          <w:szCs w:val="24"/>
          <w:lang w:val="en-US"/>
        </w:rPr>
        <w:t>usually measured from proximal variables such as educational level, IQ, occupational complexity, participation in stimulating cognitive activities, leisure activities, lifestyle, physical activity, exercise and social interactions</w:t>
      </w:r>
      <w:r w:rsidR="00E77932" w:rsidRPr="00C56E77">
        <w:rPr>
          <w:sz w:val="24"/>
          <w:szCs w:val="24"/>
          <w:lang w:val="en-US"/>
        </w:rPr>
        <w:t xml:space="preserve"> </w:t>
      </w:r>
      <w:r w:rsidR="00E77932" w:rsidRPr="00C56E77">
        <w:rPr>
          <w:sz w:val="24"/>
          <w:szCs w:val="24"/>
          <w:lang w:val="en-US"/>
        </w:rPr>
        <w:fldChar w:fldCharType="begin" w:fldLock="1"/>
      </w:r>
      <w:r w:rsidR="00E77932" w:rsidRPr="00C56E77">
        <w:rPr>
          <w:sz w:val="24"/>
          <w:szCs w:val="24"/>
          <w:lang w:val="en-US"/>
        </w:rPr>
        <w:instrText>ADDIN CSL_CITATION {"citationItems":[{"id":"ITEM-1","itemData":{"DOI":"10.1017/S1355617711000014.Cognitive","author":[{"dropping-particle":"","family":"Reed","given":"Bruce R.","non-dropping-particle":"","parse-names":false,"suffix":""},{"dropping-particle":"","family":"Schneider","given":"Julie a","non-dropping-particle":"","parse-names":false,"suffix":""},{"dropping-particle":"","family":"Bennett","given":"David a","non-dropping-particle":"","parse-names":false,"suffix":""},{"dropping-particle":"","family":"Mungas","given":"Dan","non-dropping-particle":"","parse-names":false,"suffix":""}],"container-title":"J Int Neuropsychol Soc","id":"ITEM-1","issue":"4","issued":{"date-parts":[["2011"]]},"page":"615-624","title":"Education in Building Reserve","type":"article-journal","volume":"17"},"uris":["http://www.mendeley.com/documents/?uuid=fbb00a0d-6020-4f76-871f-c6ac0a2cb0e3"]},{"id":"ITEM-2","itemData":{"DOI":"10.1016/j.regg.2012.02.006","ISSN":"15781747","abstract":"An in-depth review is presented of the role that cognitive reserve plays in the emergence of (mild cognitive impairment (MCI), and its progression to dementia by using different indicators. The studies reviewed provide support to the hypothesis that the reserve influences the manifestation of symptoms of cognitive impairment and at least partially, in its progression to dementia. The role of indicators of reserve are discussed, such as educational level, work complexity and cognitive activity in these processes. A model is also presented that argues that people with MCI and low reserves show a steeper decline early in the process of deterioration, compared to the high level of reserve this marked deterioration would have at the end of the process, due to the protective role of this reserve. This raises the need for more empirical research to help consolidate this theoretical model. © 2012 SEGG.","author":[{"dropping-particle":"","family":"Lojo-Seoane","given":"Cristina","non-dropping-particle":"","parse-names":false,"suffix":""},{"dropping-particle":"","family":"Facal","given":"David","non-dropping-particle":"","parse-names":false,"suffix":""},{"dropping-particle":"","family":"Juncos-Rabadán","given":"Onésimo","non-dropping-particle":"","parse-names":false,"suffix":""}],"container-title":"Revista Espanola de Geriatria y Gerontologia","id":"ITEM-2","issue":"6","issued":{"date-parts":[["2012"]]},"page":"270-278","publisher":"SEGG","title":"¿Previene la actividad intelectual el deterioro cognitivo? Relaciones entre reserva cognitiva y deterioro cognitivo ligero","type":"article-journal","volume":"47"},"uris":["http://www.mendeley.com/documents/?uuid=2059684e-c23c-4c8a-86cf-125e95d22b92"]},{"id":"ITEM-3","itemData":{"DOI":"10.1007/s11682-016-9599-1","ISSN":"19317565","abstract":"© 2016, Springer Science+Business Media New York. Cognitive reserve (CR) shows protective effects in Alzheimer’s disease (AD) and reduces the risk of dementia. Despite the clinical significance of CR, a clinically useful diagnostic biomarker of brain changes underlying CR in AD is not available yet. Our aim was to develop a fully-automated approach applied to fMRI to produce a biomarker associated with CR in subjects at increased risk of AD. We computed resting-state global functional connectivity (GFC), i.e. the average connectivity strength, for each voxel within the cognitive control network, which may sustain CR due to its central role in higher cognitive function. In a training sample including 43 mild cognitive impairment (MCI) subjects and 24 healthy controls (HC), we found that MCI subjects with high CR ( &gt;  median of years of education, CR+) showed increased frequency of high GFC values compared to MCI-CR- and HC. A summary index capturing such a surplus frequency of high GFC was computed (called GFC reserve (GFC-R) index). GFC-R discriminated MCI-CR+ vs. MCI-CR-, with the area under the ROC = 0.84. Cross-validation in an independently recruited test sample of 23 MCI subjects showed that higher levels of the GFC-R index predicted higher years of education and an alternative questionnaire-based proxy of CR, controlled for memory performance, gray matter of the cognitive control network, white matter hyperintensities, age, and gender. In conclusion, the GFC-R index that captures GFC changes within the cognitive control network provides a biomarker candidate of functional brain changes of CR in patients at increased risk of AD.","author":[{"dropping-particle":"","family":"Franzmeier","given":"N.","non-dropping-particle":"","parse-names":false,"suffix":""},{"dropping-particle":"","family":"Caballero","given":"M. Á.Araque","non-dropping-particle":"","parse-names":false,"suffix":""},{"dropping-particle":"","family":"Taylor","given":"A. N.W.","non-dropping-particle":"","parse-names":false,"suffix":""},{"dropping-particle":"","family":"Simon-Vermot","given":"L.","non-dropping-particle":"","parse-names":false,"suffix":""},{"dropping-particle":"","family":"Buerger","given":"K.","non-dropping-particle":"","parse-names":false,"suffix":""},{"dropping-particle":"","family":"Ertl-Wagner","given":"B.","non-dropping-particle":"","parse-names":false,"suffix":""},{"dropping-particle":"","family":"Mueller","given":"C.","non-dropping-particle":"","parse-names":false,"suffix":""},{"dropping-particle":"","family":"Catak","given":"C.","non-dropping-particle":"","parse-names":false,"suffix":""},{"dropping-particle":"","family":"Janowitz","given":"D.","non-dropping-particle":"","parse-names":false,"suffix":""},{"dropping-particle":"","family":"Baykara","given":"E.","non-dropping-particle":"","parse-names":false,"suffix":""},{"dropping-particle":"","family":"Gesierich","given":"B.","non-dropping-particle":"","parse-names":false,"suffix":""},{"dropping-particle":"","family":"Duering","given":"M.","non-dropping-particle":"","parse-names":false,"suffix":""},{"dropping-particle":"","family":"Ewers","given":"M.","non-dropping-particle":"","parse-names"</w:instrText>
      </w:r>
      <w:r w:rsidR="00E77932" w:rsidRPr="00DD2C41">
        <w:rPr>
          <w:sz w:val="24"/>
          <w:szCs w:val="24"/>
        </w:rPr>
        <w:instrText>:false,"suffix":""}],"container-title":"Brain Imaging and Behavior","id":"ITEM-3","issue":"2","issued":{"date-parts":[["2017"]]},"page":"368-382","publisher":"Brain Imaging and Behavior","title":"Resting-state global functional connectivity as a biomarker of cognitive reserve in mild cognitive impairment","type":"article-journal","volume":"11"},"uris":["http://www.mendeley.com/documents/?uuid=cb0107b4-f791-4dd7-8206-4210fd27f00b"]},{"id":"ITEM-4","itemData":{"DOI":"10.1007/s11682-016-9566-x","ISSN":"1931-7557","author":[{"dropping-particle":"","family":"Stern","given":"Yaakov","non-dropping-particle":"","parse-names":false,"suffix":""}],"container-title":"Brain Imaging and Behavior","id":"ITEM-4","issue":"2","issued":{"date-parts":[["2017","4","23"]]},"page":"410-416","title":"An approach to studying the neural correlates of reserve","type":"article-journal","volume":"11"},"uris":["http://www.mendeley.com/documents/?uuid=3aa52116-61fe-4d43-b6d6-fc398d1ae9a9"]}],"mendeley":{"formattedCitation":"(Franzmeier et al., 2017; Lojo-Seoane, Facal, &amp; Juncos-Rabadán, 2012; Reed et al., 2011; Stern, 2017)","plainTextFormattedCitation":"(Franzmeier et al., 2017; Lojo-Seoane, Facal, &amp; Juncos-Rabadán, 2012; Reed et al., 2011; Stern, 2017)","previouslyFormattedCitation":"(Franzmeier et al., 2017; Lojo-Seoane, Facal, &amp; Juncos-Rabadán, 2012; Reed et al., 2011; Stern, 2017)"},"properties":{"noteIndex":0},"schema":"https://github.com/citation-style-language/schema/raw/master/csl-citation.json"}</w:instrText>
      </w:r>
      <w:r w:rsidR="00E77932" w:rsidRPr="00C56E77">
        <w:rPr>
          <w:sz w:val="24"/>
          <w:szCs w:val="24"/>
          <w:lang w:val="en-US"/>
        </w:rPr>
        <w:fldChar w:fldCharType="separate"/>
      </w:r>
      <w:r w:rsidR="00E77932" w:rsidRPr="00C56E77">
        <w:rPr>
          <w:noProof/>
          <w:sz w:val="24"/>
          <w:szCs w:val="24"/>
        </w:rPr>
        <w:t>(Franzmeier et al., 2017; Lojo-Seoane, Facal, &amp; Juncos-Rabadán, 2012; Reed et al., 2011; Stern, 2017)</w:t>
      </w:r>
      <w:r w:rsidR="00E77932" w:rsidRPr="00C56E77">
        <w:rPr>
          <w:sz w:val="24"/>
          <w:szCs w:val="24"/>
          <w:lang w:val="en-US"/>
        </w:rPr>
        <w:fldChar w:fldCharType="end"/>
      </w:r>
      <w:r w:rsidR="00D100C9" w:rsidRPr="00C56E77">
        <w:rPr>
          <w:sz w:val="24"/>
          <w:szCs w:val="24"/>
        </w:rPr>
        <w:t>.</w:t>
      </w:r>
      <w:r w:rsidR="00E77932" w:rsidRPr="00DD2C41">
        <w:rPr>
          <w:color w:val="000000"/>
          <w:sz w:val="24"/>
          <w:szCs w:val="24"/>
        </w:rPr>
        <w:t xml:space="preserve"> </w:t>
      </w:r>
    </w:p>
    <w:p w14:paraId="5F6E1436" w14:textId="478E420E" w:rsidR="00F65864" w:rsidRPr="00C56E77" w:rsidRDefault="00F65864" w:rsidP="00DE2E63">
      <w:pPr>
        <w:spacing w:line="240" w:lineRule="auto"/>
        <w:rPr>
          <w:sz w:val="24"/>
          <w:szCs w:val="24"/>
          <w:lang w:val="en-US"/>
        </w:rPr>
      </w:pPr>
      <w:r w:rsidRPr="00C56E77">
        <w:rPr>
          <w:sz w:val="24"/>
          <w:szCs w:val="24"/>
          <w:lang w:val="en-US"/>
        </w:rPr>
        <w:t xml:space="preserve">Neurophysiological techniques such as electroencephalography allow the study of neuronal activity and facilitate the observation of the functional dynamics of cognitive processes and how they are influenced by factors such as cognitive reserve, whose effect on EEG power must still be described in depth. Recently, research models have been designed to study cognitive reserve </w:t>
      </w:r>
      <w:r w:rsidR="009A0B96" w:rsidRPr="00C56E77">
        <w:rPr>
          <w:sz w:val="24"/>
          <w:szCs w:val="24"/>
          <w:lang w:val="en-US"/>
        </w:rPr>
        <w:t>using</w:t>
      </w:r>
      <w:r w:rsidRPr="00C56E77">
        <w:rPr>
          <w:sz w:val="24"/>
          <w:szCs w:val="24"/>
          <w:lang w:val="en-US"/>
        </w:rPr>
        <w:t xml:space="preserve"> neurophysiological and neuroimaging methods</w:t>
      </w:r>
      <w:r w:rsidR="00E77932" w:rsidRPr="00C56E77">
        <w:rPr>
          <w:sz w:val="24"/>
          <w:szCs w:val="24"/>
          <w:lang w:val="en-US"/>
        </w:rPr>
        <w:t xml:space="preserve"> </w:t>
      </w:r>
      <w:r w:rsidR="00E77932" w:rsidRPr="00C56E77">
        <w:rPr>
          <w:sz w:val="24"/>
          <w:szCs w:val="24"/>
          <w:lang w:val="en-US"/>
        </w:rPr>
        <w:fldChar w:fldCharType="begin" w:fldLock="1"/>
      </w:r>
      <w:r w:rsidR="00E77932" w:rsidRPr="00C56E77">
        <w:rPr>
          <w:sz w:val="24"/>
          <w:szCs w:val="24"/>
          <w:lang w:val="en-US"/>
        </w:rPr>
        <w:instrText>ADDIN CSL_CITATION {"citationItems":[{"id":"ITEM-1","itemData":{"DOI":"10.1007/s11682-016-9566-x","ISSN":"1931-7557","author":[{"dropping-particle":"","family":"Stern","given":"Yaakov","non-dropping-particle":"","parse-names":false,"suffix":""}],"container-title":"Brain Imaging and Behavior","id":"ITEM-1","issue":"2","issued":{"date-parts":[["2017","4","23"]]},"page":"410-416","title":"An approach to studying the neural correlates of reserve","type":"article-journal","volume":"11"},"uris":["http://www.mendeley.com/documents/?uuid=3aa52116-61fe-4d43-b6d6-fc398d1ae9a9"]}],"mendeley":{"formattedCitation":"(Stern, 2017)","plainTextFormattedCitation":"(Stern, 2017)","previouslyFormattedCitation":"(Stern, 2017)"},"properties":{"noteIndex":0},"schema":"https://github.com/citation-style-language/schema/raw/master/csl-citation.json"}</w:instrText>
      </w:r>
      <w:r w:rsidR="00E77932" w:rsidRPr="00C56E77">
        <w:rPr>
          <w:sz w:val="24"/>
          <w:szCs w:val="24"/>
          <w:lang w:val="en-US"/>
        </w:rPr>
        <w:fldChar w:fldCharType="separate"/>
      </w:r>
      <w:r w:rsidR="00E77932" w:rsidRPr="00C56E77">
        <w:rPr>
          <w:noProof/>
          <w:sz w:val="24"/>
          <w:szCs w:val="24"/>
          <w:lang w:val="en-US"/>
        </w:rPr>
        <w:t>(Stern, 2017)</w:t>
      </w:r>
      <w:r w:rsidR="00E77932" w:rsidRPr="00C56E77">
        <w:rPr>
          <w:sz w:val="24"/>
          <w:szCs w:val="24"/>
          <w:lang w:val="en-US"/>
        </w:rPr>
        <w:fldChar w:fldCharType="end"/>
      </w:r>
      <w:r w:rsidR="00737D38" w:rsidRPr="00C56E77">
        <w:rPr>
          <w:sz w:val="24"/>
          <w:szCs w:val="24"/>
          <w:lang w:val="en-US"/>
        </w:rPr>
        <w:t>.</w:t>
      </w:r>
      <w:r w:rsidRPr="00C56E77">
        <w:rPr>
          <w:sz w:val="24"/>
          <w:szCs w:val="24"/>
          <w:lang w:val="en-US"/>
        </w:rPr>
        <w:t xml:space="preserve"> These models allow the </w:t>
      </w:r>
      <w:r w:rsidR="00FA6728" w:rsidRPr="00C56E77">
        <w:rPr>
          <w:sz w:val="24"/>
          <w:szCs w:val="24"/>
          <w:lang w:val="en-US"/>
        </w:rPr>
        <w:t>design</w:t>
      </w:r>
      <w:r w:rsidRPr="00C56E77">
        <w:rPr>
          <w:sz w:val="24"/>
          <w:szCs w:val="24"/>
          <w:lang w:val="en-US"/>
        </w:rPr>
        <w:t xml:space="preserve"> of experimental protocols to provide information about the physiological dynamics of cognitive reserve; using as a basis the transversal model proposed by </w:t>
      </w:r>
      <w:r w:rsidRPr="00DD2C41">
        <w:rPr>
          <w:color w:val="000000"/>
          <w:sz w:val="24"/>
          <w:szCs w:val="24"/>
          <w:lang w:val="en-US"/>
        </w:rPr>
        <w:t>Stern</w:t>
      </w:r>
      <w:r w:rsidR="00E77932" w:rsidRPr="00DD2C41">
        <w:rPr>
          <w:color w:val="000000"/>
          <w:sz w:val="24"/>
          <w:szCs w:val="24"/>
          <w:lang w:val="en-US"/>
        </w:rPr>
        <w:t xml:space="preserve"> (2017)</w:t>
      </w:r>
      <w:r w:rsidR="00737D38" w:rsidRPr="00DD2C41">
        <w:rPr>
          <w:color w:val="000000"/>
          <w:sz w:val="24"/>
          <w:szCs w:val="24"/>
          <w:lang w:val="en-US"/>
        </w:rPr>
        <w:t>,</w:t>
      </w:r>
      <w:r w:rsidR="00E77932" w:rsidRPr="00DD2C41">
        <w:rPr>
          <w:color w:val="000000"/>
          <w:sz w:val="24"/>
          <w:szCs w:val="24"/>
          <w:lang w:val="en-US"/>
        </w:rPr>
        <w:t xml:space="preserve"> </w:t>
      </w:r>
      <w:r w:rsidRPr="00C56E77">
        <w:rPr>
          <w:sz w:val="24"/>
          <w:szCs w:val="24"/>
          <w:lang w:val="en-US"/>
        </w:rPr>
        <w:t xml:space="preserve">and the neuronal efficiency models proposed by </w:t>
      </w:r>
      <w:proofErr w:type="spellStart"/>
      <w:r w:rsidRPr="00DD2C41">
        <w:rPr>
          <w:color w:val="000000"/>
          <w:sz w:val="24"/>
          <w:szCs w:val="24"/>
          <w:lang w:val="en-US"/>
        </w:rPr>
        <w:t>Steffener</w:t>
      </w:r>
      <w:proofErr w:type="spellEnd"/>
      <w:r w:rsidRPr="00DD2C41">
        <w:rPr>
          <w:color w:val="000000"/>
          <w:sz w:val="24"/>
          <w:szCs w:val="24"/>
          <w:lang w:val="en-US"/>
        </w:rPr>
        <w:t xml:space="preserve"> and Stern</w:t>
      </w:r>
      <w:r w:rsidR="00E77932" w:rsidRPr="00DD2C41">
        <w:rPr>
          <w:color w:val="000000"/>
          <w:sz w:val="24"/>
          <w:szCs w:val="24"/>
          <w:lang w:val="en-US"/>
        </w:rPr>
        <w:t xml:space="preserve"> </w:t>
      </w:r>
      <w:r w:rsidR="00637315" w:rsidRPr="00DD2C41">
        <w:rPr>
          <w:color w:val="000000"/>
          <w:sz w:val="24"/>
          <w:szCs w:val="24"/>
          <w:lang w:val="en-US"/>
        </w:rPr>
        <w:fldChar w:fldCharType="begin" w:fldLock="1"/>
      </w:r>
      <w:r w:rsidR="00032712" w:rsidRPr="00DD2C41">
        <w:rPr>
          <w:color w:val="000000"/>
          <w:sz w:val="24"/>
          <w:szCs w:val="24"/>
          <w:lang w:val="en-US"/>
        </w:rPr>
        <w:instrText>ADDIN CSL_CITATION {"citationItems":[{"id":"ITEM-1","itemData":{"DOI":"10.1016/j.bbadis.2011.09.012","ISSN":"09254439","abstract":"The concept of reserve arose from the mismatch between the extent of brain changes or pathology and the clinical manifestations of these brain changes. The cognitive reserve hypothesis posits that individual differences in the flexibility and adaptability of brain networks underlying cognitive function may allow some people to cope better with brain changes than others. Although there is ample epidemiologic evidence for cognitive reserve, the neural substrate of reserve is still a topic of ongoing research. Here we review some representative studies from our group that exemplify possibilities for the neural substrate of reserve including neural reserve, neural compensation, and generalized cognitive reserve networks. We also present a schematic overview of our ongoing research in this area. This article is part of a Special Issue entitled: Imaging Brain Aging and Neurodegenerative disease. © 2011 Elsevier B.V.","author":[{"dropping-particle":"","family":"Steffener","given":"Jason","non-dropping-particle":"","parse-names":false,"suffix":""},{"dropping-particle":"","family":"Stern","given":"Yaakov","non-dropping-particle":"","parse-names":false,"suffix":""}],"container-title":"Biochimica et Biophysica Acta - Molecular Basis of Disease","id":"ITEM-1","issue":"3","issued":{"date-parts":[["2012"]]},"page":"467-473","publisher":"Elsevier B.V.","title":"Exploring the neural basis of cognitive reserve in aging","type":"article-journal","volume":"1822"},"uris":["http://www.mendeley.com/documents/?uuid=937dd40e-6442-4b4d-8438-e19e56931273"]}],"mendeley":{"formattedCitation":"(Steffener &amp; Stern, 2012a)","plainTextFormattedCitation":"(Steffener &amp; Stern, 2012a)","previouslyFormattedCitation":"(Steffener &amp; Stern, 2012a)"},"properties":{"noteIndex":0},"schema":"https://github.com/citation-style-language/schema/raw/master/csl-citation.json"}</w:instrText>
      </w:r>
      <w:r w:rsidR="00637315" w:rsidRPr="00DD2C41">
        <w:rPr>
          <w:color w:val="000000"/>
          <w:sz w:val="24"/>
          <w:szCs w:val="24"/>
          <w:lang w:val="en-US"/>
        </w:rPr>
        <w:fldChar w:fldCharType="separate"/>
      </w:r>
      <w:r w:rsidR="00032712" w:rsidRPr="00DD2C41">
        <w:rPr>
          <w:noProof/>
          <w:color w:val="000000"/>
          <w:sz w:val="24"/>
          <w:szCs w:val="24"/>
          <w:lang w:val="en-US"/>
        </w:rPr>
        <w:t>(Steffener &amp; Stern, 2012a)</w:t>
      </w:r>
      <w:r w:rsidR="00637315" w:rsidRPr="00DD2C41">
        <w:rPr>
          <w:color w:val="000000"/>
          <w:sz w:val="24"/>
          <w:szCs w:val="24"/>
          <w:lang w:val="en-US"/>
        </w:rPr>
        <w:fldChar w:fldCharType="end"/>
      </w:r>
      <w:r w:rsidR="00737D38" w:rsidRPr="00DD2C41">
        <w:rPr>
          <w:color w:val="000000"/>
          <w:sz w:val="24"/>
          <w:szCs w:val="24"/>
          <w:lang w:val="en-US"/>
        </w:rPr>
        <w:t>,</w:t>
      </w:r>
      <w:r w:rsidR="00E77932" w:rsidRPr="00DD2C41">
        <w:rPr>
          <w:color w:val="000000"/>
          <w:sz w:val="24"/>
          <w:szCs w:val="24"/>
          <w:lang w:val="en-US"/>
        </w:rPr>
        <w:t xml:space="preserve"> </w:t>
      </w:r>
      <w:r w:rsidRPr="00C56E77">
        <w:rPr>
          <w:sz w:val="24"/>
          <w:szCs w:val="24"/>
          <w:lang w:val="en-US"/>
        </w:rPr>
        <w:t xml:space="preserve">this research describes the effects of cognitive reserve on absolute power of the </w:t>
      </w:r>
      <w:r w:rsidRPr="00DD2C41">
        <w:rPr>
          <w:color w:val="000000"/>
          <w:sz w:val="24"/>
          <w:szCs w:val="24"/>
          <w:lang w:val="en-US"/>
        </w:rPr>
        <w:t>electroencephalogram recorded during a task of executive functions in healthy elderly participants to assess th</w:t>
      </w:r>
      <w:r w:rsidR="00B967A3" w:rsidRPr="00DD2C41">
        <w:rPr>
          <w:color w:val="000000"/>
          <w:sz w:val="24"/>
          <w:szCs w:val="24"/>
          <w:lang w:val="en-US"/>
        </w:rPr>
        <w:t>ree</w:t>
      </w:r>
      <w:r w:rsidRPr="00DD2C41">
        <w:rPr>
          <w:color w:val="000000"/>
          <w:sz w:val="24"/>
          <w:szCs w:val="24"/>
          <w:lang w:val="en-US"/>
        </w:rPr>
        <w:t xml:space="preserve"> questions: </w:t>
      </w:r>
      <w:r w:rsidR="00B967A3" w:rsidRPr="00DD2C41">
        <w:rPr>
          <w:color w:val="000000"/>
          <w:sz w:val="24"/>
          <w:szCs w:val="24"/>
          <w:lang w:val="en-US"/>
        </w:rPr>
        <w:t xml:space="preserve">1) </w:t>
      </w:r>
      <w:r w:rsidR="009A0B96" w:rsidRPr="00DD2C41">
        <w:rPr>
          <w:color w:val="000000"/>
          <w:sz w:val="24"/>
          <w:szCs w:val="24"/>
          <w:lang w:val="en-US"/>
        </w:rPr>
        <w:t>W</w:t>
      </w:r>
      <w:r w:rsidRPr="00DD2C41">
        <w:rPr>
          <w:color w:val="000000"/>
          <w:sz w:val="24"/>
          <w:szCs w:val="24"/>
          <w:lang w:val="en-US"/>
        </w:rPr>
        <w:t xml:space="preserve">hat is the relation between cognitive reserve and absolute power of the EEG frequency bands during cognitive processing? </w:t>
      </w:r>
      <w:r w:rsidR="00B967A3" w:rsidRPr="00DD2C41">
        <w:rPr>
          <w:color w:val="000000"/>
          <w:sz w:val="24"/>
          <w:szCs w:val="24"/>
          <w:lang w:val="en-US"/>
        </w:rPr>
        <w:t xml:space="preserve">2) </w:t>
      </w:r>
      <w:r w:rsidRPr="00DD2C41">
        <w:rPr>
          <w:color w:val="000000"/>
          <w:sz w:val="24"/>
          <w:szCs w:val="24"/>
          <w:lang w:val="en-US"/>
        </w:rPr>
        <w:t xml:space="preserve">Which frequency spectrum of the EEG is more sensitive to the different levels of cognitive reserve? </w:t>
      </w:r>
      <w:r w:rsidR="00B967A3" w:rsidRPr="00DD2C41">
        <w:rPr>
          <w:color w:val="000000"/>
          <w:sz w:val="24"/>
          <w:szCs w:val="24"/>
          <w:lang w:val="en-US"/>
        </w:rPr>
        <w:t xml:space="preserve">3) </w:t>
      </w:r>
      <w:r w:rsidR="009A0B96" w:rsidRPr="00DD2C41">
        <w:rPr>
          <w:color w:val="000000"/>
          <w:sz w:val="24"/>
          <w:szCs w:val="24"/>
          <w:lang w:val="en-US"/>
        </w:rPr>
        <w:t xml:space="preserve">Are the patterns of absolute power dependent of </w:t>
      </w:r>
      <w:r w:rsidRPr="00DD2C41">
        <w:rPr>
          <w:color w:val="000000"/>
          <w:sz w:val="24"/>
          <w:szCs w:val="24"/>
          <w:lang w:val="en-US"/>
        </w:rPr>
        <w:t>the level of cognitive reserve?</w:t>
      </w:r>
    </w:p>
    <w:p w14:paraId="1D0A52AE" w14:textId="2660D435" w:rsidR="009A0B96" w:rsidRPr="00C56E77" w:rsidRDefault="009A0B96" w:rsidP="00DE2E63">
      <w:pPr>
        <w:spacing w:line="240" w:lineRule="auto"/>
        <w:rPr>
          <w:sz w:val="24"/>
          <w:szCs w:val="24"/>
          <w:lang w:val="en-US"/>
        </w:rPr>
      </w:pPr>
      <w:r w:rsidRPr="00C56E77">
        <w:rPr>
          <w:sz w:val="24"/>
          <w:szCs w:val="24"/>
          <w:lang w:val="en-US"/>
        </w:rPr>
        <w:t>Therefore, the objective of the research was to study the relationship between cognitive reserve and absolute power of the electroencephalogram of older adults registered during a task of executive functions. It was hypothesized that older adults with higher cognitive reserve will have more efficient cortical activation patterns in response to the demands of a cognitive task, so that their electroencephalogram will show lower absolute power in the theta band.</w:t>
      </w:r>
    </w:p>
    <w:p w14:paraId="6BB9BCCF" w14:textId="77777777" w:rsidR="00155201" w:rsidRPr="00C56E77" w:rsidRDefault="00155201" w:rsidP="00DE2E63">
      <w:pPr>
        <w:spacing w:line="240" w:lineRule="auto"/>
        <w:rPr>
          <w:sz w:val="24"/>
          <w:szCs w:val="24"/>
          <w:lang w:val="en-US"/>
        </w:rPr>
      </w:pPr>
    </w:p>
    <w:p w14:paraId="3012A8BD" w14:textId="77777777" w:rsidR="00FA0C78" w:rsidRPr="00C56E77" w:rsidRDefault="00FA0C78" w:rsidP="00DE2E63">
      <w:pPr>
        <w:spacing w:line="240" w:lineRule="auto"/>
        <w:rPr>
          <w:b/>
          <w:bCs/>
          <w:sz w:val="24"/>
          <w:szCs w:val="24"/>
          <w:lang w:val="en-US"/>
        </w:rPr>
      </w:pPr>
      <w:r w:rsidRPr="00C56E77">
        <w:rPr>
          <w:b/>
          <w:bCs/>
          <w:sz w:val="24"/>
          <w:szCs w:val="24"/>
          <w:lang w:val="en-US"/>
        </w:rPr>
        <w:t>Methods</w:t>
      </w:r>
    </w:p>
    <w:p w14:paraId="72D4DDF6" w14:textId="2450C8E2" w:rsidR="003914CB" w:rsidRPr="00C56E77" w:rsidRDefault="00FA0C78" w:rsidP="00DE2E63">
      <w:pPr>
        <w:spacing w:line="240" w:lineRule="auto"/>
        <w:rPr>
          <w:sz w:val="24"/>
          <w:szCs w:val="24"/>
          <w:lang w:val="en-US"/>
        </w:rPr>
      </w:pPr>
      <w:r w:rsidRPr="00C56E77">
        <w:rPr>
          <w:sz w:val="24"/>
          <w:szCs w:val="24"/>
          <w:lang w:val="en-US"/>
        </w:rPr>
        <w:t xml:space="preserve">We carried out a quasi-experimental prospective study, </w:t>
      </w:r>
      <w:r w:rsidR="00102AF1" w:rsidRPr="00C56E77">
        <w:rPr>
          <w:sz w:val="24"/>
          <w:szCs w:val="24"/>
          <w:lang w:val="en-US"/>
        </w:rPr>
        <w:t>during</w:t>
      </w:r>
      <w:r w:rsidRPr="00C56E77">
        <w:rPr>
          <w:sz w:val="24"/>
          <w:szCs w:val="24"/>
          <w:lang w:val="en-US"/>
        </w:rPr>
        <w:t xml:space="preserve"> a period of 12 months (</w:t>
      </w:r>
      <w:r w:rsidR="00102AF1" w:rsidRPr="00C56E77">
        <w:rPr>
          <w:sz w:val="24"/>
          <w:szCs w:val="24"/>
          <w:lang w:val="en-US"/>
        </w:rPr>
        <w:t xml:space="preserve">from </w:t>
      </w:r>
      <w:r w:rsidRPr="00C56E77">
        <w:rPr>
          <w:sz w:val="24"/>
          <w:szCs w:val="24"/>
          <w:lang w:val="en-US"/>
        </w:rPr>
        <w:t>January</w:t>
      </w:r>
      <w:r w:rsidR="00102AF1" w:rsidRPr="00C56E77">
        <w:rPr>
          <w:sz w:val="24"/>
          <w:szCs w:val="24"/>
          <w:lang w:val="en-US"/>
        </w:rPr>
        <w:t xml:space="preserve"> 2018</w:t>
      </w:r>
      <w:r w:rsidRPr="00C56E77">
        <w:rPr>
          <w:sz w:val="24"/>
          <w:szCs w:val="24"/>
          <w:lang w:val="en-US"/>
        </w:rPr>
        <w:t xml:space="preserve"> </w:t>
      </w:r>
      <w:r w:rsidR="00102AF1" w:rsidRPr="00C56E77">
        <w:rPr>
          <w:sz w:val="24"/>
          <w:szCs w:val="24"/>
          <w:lang w:val="en-US"/>
        </w:rPr>
        <w:t>to</w:t>
      </w:r>
      <w:r w:rsidRPr="00C56E77">
        <w:rPr>
          <w:sz w:val="24"/>
          <w:szCs w:val="24"/>
          <w:lang w:val="en-US"/>
        </w:rPr>
        <w:t xml:space="preserve"> December 2018), considering cognitive reserve as an independent variable, and absolute power as a dependent variable. A non-probabilistic sampling was carried out by volunteering in which 26 adults over 60 years old participated, 16 were excluded due to history of depression, anxiety, diagnosis of Alzheimer's or dementia, or </w:t>
      </w:r>
      <w:r w:rsidR="00523C10" w:rsidRPr="00C56E77">
        <w:rPr>
          <w:sz w:val="24"/>
          <w:szCs w:val="24"/>
          <w:lang w:val="en-US"/>
        </w:rPr>
        <w:t xml:space="preserve">for </w:t>
      </w:r>
      <w:r w:rsidRPr="00C56E77">
        <w:rPr>
          <w:sz w:val="24"/>
          <w:szCs w:val="24"/>
          <w:lang w:val="en-US"/>
        </w:rPr>
        <w:t>presenting cognitive impairment measured with the Mini-Mental State</w:t>
      </w:r>
      <w:r w:rsidR="00102AF1" w:rsidRPr="00C56E77">
        <w:rPr>
          <w:sz w:val="24"/>
          <w:szCs w:val="24"/>
          <w:lang w:val="en-US"/>
        </w:rPr>
        <w:t xml:space="preserve"> Examination</w:t>
      </w:r>
      <w:r w:rsidR="00E77932" w:rsidRPr="00C56E77">
        <w:rPr>
          <w:sz w:val="24"/>
          <w:szCs w:val="24"/>
          <w:lang w:val="en-US"/>
        </w:rPr>
        <w:t xml:space="preserve"> </w:t>
      </w:r>
      <w:r w:rsidR="00E77932" w:rsidRPr="00C56E77">
        <w:rPr>
          <w:sz w:val="24"/>
          <w:szCs w:val="24"/>
          <w:lang w:val="en-US"/>
        </w:rPr>
        <w:fldChar w:fldCharType="begin" w:fldLock="1"/>
      </w:r>
      <w:r w:rsidR="00E77932" w:rsidRPr="00C56E77">
        <w:rPr>
          <w:sz w:val="24"/>
          <w:szCs w:val="24"/>
          <w:lang w:val="en-US"/>
        </w:rPr>
        <w:instrText>ADDIN CSL_CITATION {"citationItems":[{"id":"ITEM-1","itemData":{"author":[{"dropping-particle":"","family":"Folstein MF, Folstein SE","given":"McHugh PR","non-dropping-particle":"","parse-names":false,"suffix":""}],"container-title":"J Psychiatr Res","id":"ITEM-1","issued":{"date-parts":[["1975"]]},"page":"189-198","title":"Mini-mental state. A grading the cognitive state of patiens for the clinician","type":"article-journal","volume":"12"},"uris":["http://www.mendeley.com/documents/?uuid=c7aedc2d-e8b9-4a1b-b78b-cba3e0923123"]}],"mendeley":{"formattedCitation":"(Folstein MF, Folstein SE, 1975)","plainTextFormattedCitation":"(Folstein MF, Folstein SE, 1975)","previouslyFormattedCitation":"(Folstein MF, Folstein SE, 1975)"},"properties":{"noteIndex":0},"schema":"https://github.com/citation-style-language/schema/raw/master/csl-citation.json"}</w:instrText>
      </w:r>
      <w:r w:rsidR="00E77932" w:rsidRPr="00C56E77">
        <w:rPr>
          <w:sz w:val="24"/>
          <w:szCs w:val="24"/>
          <w:lang w:val="en-US"/>
        </w:rPr>
        <w:fldChar w:fldCharType="separate"/>
      </w:r>
      <w:r w:rsidR="00E77932" w:rsidRPr="00C56E77">
        <w:rPr>
          <w:noProof/>
          <w:sz w:val="24"/>
          <w:szCs w:val="24"/>
          <w:lang w:val="en-US"/>
        </w:rPr>
        <w:t>(Folstein MF, Folstein SE, 1975)</w:t>
      </w:r>
      <w:r w:rsidR="00E77932" w:rsidRPr="00C56E77">
        <w:rPr>
          <w:sz w:val="24"/>
          <w:szCs w:val="24"/>
          <w:lang w:val="en-US"/>
        </w:rPr>
        <w:fldChar w:fldCharType="end"/>
      </w:r>
      <w:r w:rsidR="00E77932" w:rsidRPr="00C56E77">
        <w:rPr>
          <w:sz w:val="24"/>
          <w:szCs w:val="24"/>
          <w:lang w:val="en-US"/>
        </w:rPr>
        <w:t>.</w:t>
      </w:r>
      <w:r w:rsidR="009C0395" w:rsidRPr="00C56E77">
        <w:rPr>
          <w:sz w:val="24"/>
          <w:szCs w:val="24"/>
          <w:lang w:val="en-US"/>
        </w:rPr>
        <w:t xml:space="preserve"> The final study sample consisted of 10 </w:t>
      </w:r>
      <w:r w:rsidR="00D100C9" w:rsidRPr="00C56E77">
        <w:rPr>
          <w:sz w:val="24"/>
          <w:szCs w:val="24"/>
          <w:lang w:val="en-US"/>
        </w:rPr>
        <w:t>old adults</w:t>
      </w:r>
      <w:r w:rsidR="009C0395" w:rsidRPr="00C56E77">
        <w:rPr>
          <w:sz w:val="24"/>
          <w:szCs w:val="24"/>
          <w:lang w:val="en-US"/>
        </w:rPr>
        <w:t xml:space="preserve"> without neuropathology</w:t>
      </w:r>
      <w:r w:rsidR="00C229B0" w:rsidRPr="00C56E77">
        <w:rPr>
          <w:sz w:val="24"/>
          <w:szCs w:val="24"/>
          <w:lang w:val="en-US"/>
        </w:rPr>
        <w:t xml:space="preserve"> (see Table 1. For sample description).</w:t>
      </w:r>
    </w:p>
    <w:p w14:paraId="4A375E97" w14:textId="307BBFA9" w:rsidR="00F676D3" w:rsidRPr="00C56E77" w:rsidRDefault="00F676D3" w:rsidP="00DE2E63">
      <w:pPr>
        <w:spacing w:line="240" w:lineRule="auto"/>
        <w:rPr>
          <w:sz w:val="24"/>
          <w:szCs w:val="24"/>
          <w:lang w:val="en-US"/>
        </w:rPr>
      </w:pPr>
    </w:p>
    <w:p w14:paraId="0CB20ECE" w14:textId="77777777" w:rsidR="00F676D3" w:rsidRPr="00C56E77" w:rsidRDefault="00F676D3" w:rsidP="00F676D3">
      <w:pPr>
        <w:spacing w:line="240" w:lineRule="auto"/>
        <w:rPr>
          <w:sz w:val="24"/>
          <w:szCs w:val="24"/>
          <w:lang w:val="en-US"/>
        </w:rPr>
      </w:pPr>
      <w:r w:rsidRPr="00C56E77">
        <w:rPr>
          <w:sz w:val="24"/>
          <w:szCs w:val="24"/>
          <w:lang w:val="en-US"/>
        </w:rPr>
        <w:lastRenderedPageBreak/>
        <w:t>Table 1. Description of the study sample (n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428"/>
      </w:tblGrid>
      <w:tr w:rsidR="00F676D3" w:rsidRPr="00DD2C41" w14:paraId="27124AA2" w14:textId="77777777" w:rsidTr="00DD2C41">
        <w:tc>
          <w:tcPr>
            <w:tcW w:w="0" w:type="auto"/>
            <w:tcBorders>
              <w:left w:val="nil"/>
              <w:bottom w:val="single" w:sz="4" w:space="0" w:color="auto"/>
              <w:right w:val="nil"/>
            </w:tcBorders>
            <w:shd w:val="clear" w:color="auto" w:fill="auto"/>
          </w:tcPr>
          <w:p w14:paraId="25EEB401" w14:textId="77777777" w:rsidR="00F676D3" w:rsidRPr="00DD2C41" w:rsidRDefault="00F676D3" w:rsidP="00DD2C41">
            <w:pPr>
              <w:spacing w:after="0" w:line="240" w:lineRule="auto"/>
              <w:rPr>
                <w:sz w:val="24"/>
                <w:szCs w:val="24"/>
                <w:lang w:val="en-US"/>
              </w:rPr>
            </w:pPr>
          </w:p>
        </w:tc>
        <w:tc>
          <w:tcPr>
            <w:tcW w:w="0" w:type="auto"/>
            <w:tcBorders>
              <w:left w:val="nil"/>
              <w:bottom w:val="single" w:sz="4" w:space="0" w:color="auto"/>
              <w:right w:val="nil"/>
            </w:tcBorders>
            <w:shd w:val="clear" w:color="auto" w:fill="auto"/>
          </w:tcPr>
          <w:p w14:paraId="517C428F" w14:textId="77777777" w:rsidR="00F676D3" w:rsidRPr="00DD2C41" w:rsidRDefault="00F676D3" w:rsidP="00DD2C41">
            <w:pPr>
              <w:spacing w:after="0" w:line="240" w:lineRule="auto"/>
              <w:jc w:val="center"/>
              <w:rPr>
                <w:sz w:val="24"/>
                <w:szCs w:val="24"/>
              </w:rPr>
            </w:pPr>
            <w:r w:rsidRPr="00DD2C41">
              <w:rPr>
                <w:sz w:val="24"/>
                <w:szCs w:val="24"/>
              </w:rPr>
              <w:t xml:space="preserve">Mean ± SD </w:t>
            </w:r>
          </w:p>
        </w:tc>
      </w:tr>
      <w:tr w:rsidR="00F676D3" w:rsidRPr="00DD2C41" w14:paraId="13994C7A" w14:textId="77777777" w:rsidTr="00DD2C41">
        <w:tc>
          <w:tcPr>
            <w:tcW w:w="0" w:type="auto"/>
            <w:tcBorders>
              <w:left w:val="nil"/>
              <w:bottom w:val="nil"/>
              <w:right w:val="nil"/>
            </w:tcBorders>
            <w:shd w:val="clear" w:color="auto" w:fill="auto"/>
          </w:tcPr>
          <w:p w14:paraId="03C5E4CC" w14:textId="77777777" w:rsidR="00F676D3" w:rsidRPr="00DD2C41" w:rsidRDefault="00F676D3" w:rsidP="00DD2C41">
            <w:pPr>
              <w:spacing w:after="0" w:line="240" w:lineRule="auto"/>
              <w:rPr>
                <w:sz w:val="24"/>
                <w:szCs w:val="24"/>
              </w:rPr>
            </w:pPr>
            <w:r w:rsidRPr="00DD2C41">
              <w:rPr>
                <w:sz w:val="24"/>
                <w:szCs w:val="24"/>
              </w:rPr>
              <w:t>Age</w:t>
            </w:r>
          </w:p>
        </w:tc>
        <w:tc>
          <w:tcPr>
            <w:tcW w:w="0" w:type="auto"/>
            <w:tcBorders>
              <w:left w:val="nil"/>
              <w:bottom w:val="nil"/>
              <w:right w:val="nil"/>
            </w:tcBorders>
            <w:shd w:val="clear" w:color="auto" w:fill="auto"/>
          </w:tcPr>
          <w:p w14:paraId="59E72593" w14:textId="77777777" w:rsidR="00F676D3" w:rsidRPr="00DD2C41" w:rsidRDefault="00F676D3" w:rsidP="00DD2C41">
            <w:pPr>
              <w:spacing w:after="0" w:line="240" w:lineRule="auto"/>
              <w:jc w:val="center"/>
              <w:rPr>
                <w:sz w:val="24"/>
                <w:szCs w:val="24"/>
              </w:rPr>
            </w:pPr>
            <w:r w:rsidRPr="00DD2C41">
              <w:rPr>
                <w:sz w:val="24"/>
                <w:szCs w:val="24"/>
              </w:rPr>
              <w:t>68.2 ± 7</w:t>
            </w:r>
          </w:p>
        </w:tc>
      </w:tr>
      <w:tr w:rsidR="00F676D3" w:rsidRPr="00DD2C41" w14:paraId="33922733" w14:textId="77777777" w:rsidTr="00DD2C41">
        <w:tc>
          <w:tcPr>
            <w:tcW w:w="0" w:type="auto"/>
            <w:tcBorders>
              <w:top w:val="nil"/>
              <w:left w:val="nil"/>
              <w:bottom w:val="nil"/>
              <w:right w:val="nil"/>
            </w:tcBorders>
            <w:shd w:val="clear" w:color="auto" w:fill="auto"/>
          </w:tcPr>
          <w:p w14:paraId="7B179026" w14:textId="77777777" w:rsidR="00F676D3" w:rsidRPr="00DD2C41" w:rsidRDefault="00F676D3" w:rsidP="00DD2C41">
            <w:pPr>
              <w:spacing w:after="0" w:line="240" w:lineRule="auto"/>
              <w:rPr>
                <w:sz w:val="24"/>
                <w:szCs w:val="24"/>
              </w:rPr>
            </w:pPr>
            <w:r w:rsidRPr="00DD2C41">
              <w:rPr>
                <w:sz w:val="24"/>
                <w:szCs w:val="24"/>
              </w:rPr>
              <w:t>Years of schooling</w:t>
            </w:r>
          </w:p>
        </w:tc>
        <w:tc>
          <w:tcPr>
            <w:tcW w:w="0" w:type="auto"/>
            <w:tcBorders>
              <w:top w:val="nil"/>
              <w:left w:val="nil"/>
              <w:bottom w:val="nil"/>
              <w:right w:val="nil"/>
            </w:tcBorders>
            <w:shd w:val="clear" w:color="auto" w:fill="auto"/>
          </w:tcPr>
          <w:p w14:paraId="52020BF9" w14:textId="77777777" w:rsidR="00F676D3" w:rsidRPr="00DD2C41" w:rsidRDefault="00F676D3" w:rsidP="00DD2C41">
            <w:pPr>
              <w:spacing w:after="0" w:line="240" w:lineRule="auto"/>
              <w:jc w:val="center"/>
              <w:rPr>
                <w:sz w:val="24"/>
                <w:szCs w:val="24"/>
              </w:rPr>
            </w:pPr>
            <w:r w:rsidRPr="00DD2C41">
              <w:rPr>
                <w:sz w:val="24"/>
                <w:szCs w:val="24"/>
              </w:rPr>
              <w:t>10 ± 6</w:t>
            </w:r>
          </w:p>
        </w:tc>
      </w:tr>
      <w:tr w:rsidR="00F676D3" w:rsidRPr="00DD2C41" w14:paraId="4596A468" w14:textId="77777777" w:rsidTr="00DD2C41">
        <w:tc>
          <w:tcPr>
            <w:tcW w:w="0" w:type="auto"/>
            <w:tcBorders>
              <w:top w:val="nil"/>
              <w:left w:val="nil"/>
              <w:bottom w:val="nil"/>
              <w:right w:val="nil"/>
            </w:tcBorders>
            <w:shd w:val="clear" w:color="auto" w:fill="auto"/>
          </w:tcPr>
          <w:p w14:paraId="08F69DE8" w14:textId="77777777" w:rsidR="00F676D3" w:rsidRPr="00DD2C41" w:rsidRDefault="00F676D3" w:rsidP="00DD2C41">
            <w:pPr>
              <w:spacing w:after="0" w:line="240" w:lineRule="auto"/>
              <w:rPr>
                <w:sz w:val="24"/>
                <w:szCs w:val="24"/>
              </w:rPr>
            </w:pPr>
            <w:r w:rsidRPr="00DD2C41">
              <w:rPr>
                <w:sz w:val="24"/>
                <w:szCs w:val="24"/>
              </w:rPr>
              <w:t>Occupational complexity</w:t>
            </w:r>
          </w:p>
        </w:tc>
        <w:tc>
          <w:tcPr>
            <w:tcW w:w="0" w:type="auto"/>
            <w:tcBorders>
              <w:top w:val="nil"/>
              <w:left w:val="nil"/>
              <w:bottom w:val="nil"/>
              <w:right w:val="nil"/>
            </w:tcBorders>
            <w:shd w:val="clear" w:color="auto" w:fill="auto"/>
          </w:tcPr>
          <w:p w14:paraId="7814809B" w14:textId="77777777" w:rsidR="00F676D3" w:rsidRPr="00DD2C41" w:rsidRDefault="00F676D3" w:rsidP="00DD2C41">
            <w:pPr>
              <w:spacing w:after="0" w:line="240" w:lineRule="auto"/>
              <w:jc w:val="center"/>
              <w:rPr>
                <w:sz w:val="24"/>
                <w:szCs w:val="24"/>
              </w:rPr>
            </w:pPr>
            <w:r w:rsidRPr="00DD2C41">
              <w:rPr>
                <w:sz w:val="24"/>
                <w:szCs w:val="24"/>
              </w:rPr>
              <w:t>5 ± 3</w:t>
            </w:r>
          </w:p>
        </w:tc>
      </w:tr>
      <w:tr w:rsidR="00F676D3" w:rsidRPr="00DD2C41" w14:paraId="04DDCC59" w14:textId="77777777" w:rsidTr="00DD2C41">
        <w:tc>
          <w:tcPr>
            <w:tcW w:w="0" w:type="auto"/>
            <w:tcBorders>
              <w:top w:val="nil"/>
              <w:left w:val="nil"/>
              <w:bottom w:val="nil"/>
              <w:right w:val="nil"/>
            </w:tcBorders>
            <w:shd w:val="clear" w:color="auto" w:fill="auto"/>
          </w:tcPr>
          <w:p w14:paraId="3F2E0B6A" w14:textId="77777777" w:rsidR="00F676D3" w:rsidRPr="00DD2C41" w:rsidRDefault="00F676D3" w:rsidP="00DD2C41">
            <w:pPr>
              <w:spacing w:after="0" w:line="240" w:lineRule="auto"/>
              <w:rPr>
                <w:sz w:val="24"/>
                <w:szCs w:val="24"/>
              </w:rPr>
            </w:pPr>
            <w:r w:rsidRPr="00DD2C41">
              <w:rPr>
                <w:sz w:val="24"/>
                <w:szCs w:val="24"/>
              </w:rPr>
              <w:t>Monthly income*</w:t>
            </w:r>
          </w:p>
        </w:tc>
        <w:tc>
          <w:tcPr>
            <w:tcW w:w="0" w:type="auto"/>
            <w:tcBorders>
              <w:top w:val="nil"/>
              <w:left w:val="nil"/>
              <w:bottom w:val="nil"/>
              <w:right w:val="nil"/>
            </w:tcBorders>
            <w:shd w:val="clear" w:color="auto" w:fill="auto"/>
          </w:tcPr>
          <w:p w14:paraId="6478AEFB" w14:textId="77777777" w:rsidR="00F676D3" w:rsidRPr="00DD2C41" w:rsidRDefault="00F676D3" w:rsidP="00DD2C41">
            <w:pPr>
              <w:spacing w:after="0" w:line="240" w:lineRule="auto"/>
              <w:jc w:val="center"/>
              <w:rPr>
                <w:sz w:val="24"/>
                <w:szCs w:val="24"/>
              </w:rPr>
            </w:pPr>
            <w:r w:rsidRPr="00DD2C41">
              <w:rPr>
                <w:sz w:val="24"/>
                <w:szCs w:val="24"/>
              </w:rPr>
              <w:t>7150 ± 5543</w:t>
            </w:r>
          </w:p>
        </w:tc>
      </w:tr>
      <w:tr w:rsidR="00F676D3" w:rsidRPr="00DD2C41" w14:paraId="643B4179" w14:textId="77777777" w:rsidTr="00DD2C41">
        <w:tc>
          <w:tcPr>
            <w:tcW w:w="0" w:type="auto"/>
            <w:tcBorders>
              <w:top w:val="nil"/>
              <w:left w:val="nil"/>
              <w:bottom w:val="nil"/>
              <w:right w:val="nil"/>
            </w:tcBorders>
            <w:shd w:val="clear" w:color="auto" w:fill="auto"/>
          </w:tcPr>
          <w:p w14:paraId="4BF51ACB" w14:textId="77777777" w:rsidR="00F676D3" w:rsidRPr="00DD2C41" w:rsidRDefault="00F676D3" w:rsidP="00DD2C41">
            <w:pPr>
              <w:spacing w:after="0" w:line="240" w:lineRule="auto"/>
              <w:rPr>
                <w:sz w:val="24"/>
                <w:szCs w:val="24"/>
              </w:rPr>
            </w:pPr>
            <w:r w:rsidRPr="00DD2C41">
              <w:rPr>
                <w:sz w:val="24"/>
                <w:szCs w:val="24"/>
              </w:rPr>
              <w:t>Mini Mental Score</w:t>
            </w:r>
          </w:p>
        </w:tc>
        <w:tc>
          <w:tcPr>
            <w:tcW w:w="0" w:type="auto"/>
            <w:tcBorders>
              <w:top w:val="nil"/>
              <w:left w:val="nil"/>
              <w:bottom w:val="nil"/>
              <w:right w:val="nil"/>
            </w:tcBorders>
            <w:shd w:val="clear" w:color="auto" w:fill="auto"/>
          </w:tcPr>
          <w:p w14:paraId="1511BAE3" w14:textId="77777777" w:rsidR="00F676D3" w:rsidRPr="00DD2C41" w:rsidRDefault="00F676D3" w:rsidP="00DD2C41">
            <w:pPr>
              <w:spacing w:after="0" w:line="240" w:lineRule="auto"/>
              <w:jc w:val="center"/>
              <w:rPr>
                <w:sz w:val="24"/>
                <w:szCs w:val="24"/>
              </w:rPr>
            </w:pPr>
            <w:r w:rsidRPr="00DD2C41">
              <w:rPr>
                <w:sz w:val="24"/>
                <w:szCs w:val="24"/>
              </w:rPr>
              <w:t>29 ± 1.2</w:t>
            </w:r>
          </w:p>
        </w:tc>
      </w:tr>
      <w:tr w:rsidR="00F676D3" w:rsidRPr="00DD2C41" w14:paraId="660D8E64" w14:textId="77777777" w:rsidTr="00DD2C41">
        <w:tc>
          <w:tcPr>
            <w:tcW w:w="0" w:type="auto"/>
            <w:tcBorders>
              <w:top w:val="nil"/>
              <w:left w:val="nil"/>
              <w:bottom w:val="nil"/>
              <w:right w:val="nil"/>
            </w:tcBorders>
            <w:shd w:val="clear" w:color="auto" w:fill="auto"/>
          </w:tcPr>
          <w:p w14:paraId="504BA2D6" w14:textId="77777777" w:rsidR="00F676D3" w:rsidRPr="00DD2C41" w:rsidRDefault="00F676D3" w:rsidP="00DD2C41">
            <w:pPr>
              <w:spacing w:after="0" w:line="240" w:lineRule="auto"/>
              <w:rPr>
                <w:sz w:val="24"/>
                <w:szCs w:val="24"/>
                <w:vertAlign w:val="superscript"/>
                <w:lang w:val="en-US"/>
              </w:rPr>
            </w:pPr>
            <w:r w:rsidRPr="00DD2C41">
              <w:rPr>
                <w:sz w:val="24"/>
                <w:szCs w:val="24"/>
                <w:lang w:val="en-US"/>
              </w:rPr>
              <w:t>WCST</w:t>
            </w:r>
            <w:r w:rsidRPr="00DD2C41">
              <w:rPr>
                <w:sz w:val="24"/>
                <w:szCs w:val="24"/>
                <w:vertAlign w:val="superscript"/>
                <w:lang w:val="en-US"/>
              </w:rPr>
              <w:t>1</w:t>
            </w:r>
            <w:r w:rsidRPr="00DD2C41">
              <w:rPr>
                <w:sz w:val="24"/>
                <w:szCs w:val="24"/>
                <w:lang w:val="en-US"/>
              </w:rPr>
              <w:t xml:space="preserve"> completed categories</w:t>
            </w:r>
          </w:p>
        </w:tc>
        <w:tc>
          <w:tcPr>
            <w:tcW w:w="0" w:type="auto"/>
            <w:tcBorders>
              <w:top w:val="nil"/>
              <w:left w:val="nil"/>
              <w:bottom w:val="nil"/>
              <w:right w:val="nil"/>
            </w:tcBorders>
            <w:shd w:val="clear" w:color="auto" w:fill="auto"/>
          </w:tcPr>
          <w:p w14:paraId="00B2CA75" w14:textId="77777777" w:rsidR="00F676D3" w:rsidRPr="00DD2C41" w:rsidRDefault="00F676D3" w:rsidP="00DD2C41">
            <w:pPr>
              <w:spacing w:after="0" w:line="240" w:lineRule="auto"/>
              <w:jc w:val="center"/>
              <w:rPr>
                <w:sz w:val="24"/>
                <w:szCs w:val="24"/>
                <w:lang w:val="en-US"/>
              </w:rPr>
            </w:pPr>
            <w:r w:rsidRPr="00DD2C41">
              <w:rPr>
                <w:sz w:val="24"/>
                <w:szCs w:val="24"/>
                <w:lang w:val="en-US"/>
              </w:rPr>
              <w:t>2</w:t>
            </w:r>
            <w:r w:rsidRPr="00DD2C41">
              <w:rPr>
                <w:sz w:val="24"/>
                <w:szCs w:val="24"/>
              </w:rPr>
              <w:t xml:space="preserve"> ± 1</w:t>
            </w:r>
          </w:p>
        </w:tc>
      </w:tr>
      <w:tr w:rsidR="00F676D3" w:rsidRPr="00DD2C41" w14:paraId="45750B8A" w14:textId="77777777" w:rsidTr="00DD2C41">
        <w:tc>
          <w:tcPr>
            <w:tcW w:w="0" w:type="auto"/>
            <w:tcBorders>
              <w:top w:val="nil"/>
              <w:left w:val="nil"/>
              <w:right w:val="nil"/>
            </w:tcBorders>
            <w:shd w:val="clear" w:color="auto" w:fill="auto"/>
          </w:tcPr>
          <w:p w14:paraId="311C92C2" w14:textId="77777777" w:rsidR="00F676D3" w:rsidRPr="00DD2C41" w:rsidRDefault="00F676D3" w:rsidP="00DD2C41">
            <w:pPr>
              <w:spacing w:after="0" w:line="240" w:lineRule="auto"/>
              <w:rPr>
                <w:sz w:val="24"/>
                <w:szCs w:val="24"/>
                <w:lang w:val="en-US"/>
              </w:rPr>
            </w:pPr>
            <w:r w:rsidRPr="00DD2C41">
              <w:rPr>
                <w:sz w:val="24"/>
                <w:szCs w:val="24"/>
                <w:lang w:val="en-US"/>
              </w:rPr>
              <w:t>Cognitive Reserve Index</w:t>
            </w:r>
          </w:p>
        </w:tc>
        <w:tc>
          <w:tcPr>
            <w:tcW w:w="0" w:type="auto"/>
            <w:tcBorders>
              <w:top w:val="nil"/>
              <w:left w:val="nil"/>
              <w:right w:val="nil"/>
            </w:tcBorders>
            <w:shd w:val="clear" w:color="auto" w:fill="auto"/>
          </w:tcPr>
          <w:p w14:paraId="3036E828" w14:textId="77777777" w:rsidR="00F676D3" w:rsidRPr="00DD2C41" w:rsidRDefault="00F676D3" w:rsidP="00DD2C41">
            <w:pPr>
              <w:spacing w:after="0" w:line="240" w:lineRule="auto"/>
              <w:jc w:val="center"/>
              <w:rPr>
                <w:sz w:val="24"/>
                <w:szCs w:val="24"/>
                <w:lang w:val="en-US"/>
              </w:rPr>
            </w:pPr>
            <w:r w:rsidRPr="00DD2C41">
              <w:rPr>
                <w:sz w:val="24"/>
                <w:szCs w:val="24"/>
                <w:lang w:val="en-US"/>
              </w:rPr>
              <w:t>0.41</w:t>
            </w:r>
            <w:r w:rsidRPr="00DD2C41">
              <w:rPr>
                <w:sz w:val="24"/>
                <w:szCs w:val="24"/>
              </w:rPr>
              <w:t xml:space="preserve"> ± 0.10</w:t>
            </w:r>
          </w:p>
        </w:tc>
      </w:tr>
    </w:tbl>
    <w:p w14:paraId="167474D0" w14:textId="191B1CDD" w:rsidR="00F676D3" w:rsidRPr="00C56E77" w:rsidRDefault="00F676D3" w:rsidP="00DE2E63">
      <w:pPr>
        <w:spacing w:line="240" w:lineRule="auto"/>
        <w:rPr>
          <w:sz w:val="24"/>
          <w:szCs w:val="24"/>
          <w:lang w:val="en-US"/>
        </w:rPr>
      </w:pPr>
      <w:r w:rsidRPr="00C56E77">
        <w:rPr>
          <w:sz w:val="24"/>
          <w:szCs w:val="24"/>
          <w:lang w:val="en-US"/>
        </w:rPr>
        <w:t xml:space="preserve">* Amount in </w:t>
      </w:r>
      <w:proofErr w:type="spellStart"/>
      <w:r w:rsidRPr="00C56E77">
        <w:rPr>
          <w:sz w:val="24"/>
          <w:szCs w:val="24"/>
          <w:lang w:val="en-US"/>
        </w:rPr>
        <w:t>mexican</w:t>
      </w:r>
      <w:proofErr w:type="spellEnd"/>
      <w:r w:rsidRPr="00C56E77">
        <w:rPr>
          <w:sz w:val="24"/>
          <w:szCs w:val="24"/>
          <w:lang w:val="en-US"/>
        </w:rPr>
        <w:t xml:space="preserve"> pesos;</w:t>
      </w:r>
      <w:r w:rsidRPr="00C56E77">
        <w:rPr>
          <w:sz w:val="24"/>
          <w:szCs w:val="24"/>
          <w:vertAlign w:val="superscript"/>
          <w:lang w:val="en-US"/>
        </w:rPr>
        <w:t>1</w:t>
      </w:r>
      <w:r w:rsidRPr="00C56E77">
        <w:rPr>
          <w:sz w:val="24"/>
          <w:szCs w:val="24"/>
          <w:lang w:val="en-US"/>
        </w:rPr>
        <w:t>Wisconsin Card Sorting Test</w:t>
      </w:r>
    </w:p>
    <w:p w14:paraId="537485B6" w14:textId="77777777" w:rsidR="00E12F57" w:rsidRPr="00C56E77" w:rsidRDefault="00E12F57" w:rsidP="00DE2E63">
      <w:pPr>
        <w:spacing w:line="240" w:lineRule="auto"/>
        <w:rPr>
          <w:sz w:val="24"/>
          <w:szCs w:val="24"/>
          <w:lang w:val="en-US"/>
        </w:rPr>
      </w:pPr>
    </w:p>
    <w:p w14:paraId="6B542020" w14:textId="77777777" w:rsidR="003914CB" w:rsidRPr="00C56E77" w:rsidRDefault="003914CB" w:rsidP="00DE2E63">
      <w:pPr>
        <w:spacing w:line="240" w:lineRule="auto"/>
        <w:rPr>
          <w:b/>
          <w:bCs/>
          <w:sz w:val="24"/>
          <w:szCs w:val="24"/>
          <w:lang w:val="en-US"/>
        </w:rPr>
      </w:pPr>
      <w:r w:rsidRPr="00C56E77">
        <w:rPr>
          <w:b/>
          <w:bCs/>
          <w:sz w:val="24"/>
          <w:szCs w:val="24"/>
          <w:lang w:val="en-US"/>
        </w:rPr>
        <w:t>Ethics</w:t>
      </w:r>
    </w:p>
    <w:p w14:paraId="15614BE9" w14:textId="418EEC4C" w:rsidR="00102AF1" w:rsidRPr="00C56E77" w:rsidRDefault="003914CB" w:rsidP="00DE2E63">
      <w:pPr>
        <w:spacing w:line="240" w:lineRule="auto"/>
        <w:rPr>
          <w:sz w:val="24"/>
          <w:szCs w:val="24"/>
          <w:lang w:val="en-US"/>
        </w:rPr>
      </w:pPr>
      <w:r w:rsidRPr="00C56E77">
        <w:rPr>
          <w:sz w:val="24"/>
          <w:szCs w:val="24"/>
          <w:lang w:val="en-US"/>
        </w:rPr>
        <w:t xml:space="preserve">This research protocol has been approved by the </w:t>
      </w:r>
      <w:proofErr w:type="spellStart"/>
      <w:r w:rsidRPr="00C56E77">
        <w:rPr>
          <w:i/>
          <w:iCs/>
          <w:sz w:val="24"/>
          <w:szCs w:val="24"/>
          <w:lang w:val="en-US"/>
        </w:rPr>
        <w:t>Comité</w:t>
      </w:r>
      <w:proofErr w:type="spellEnd"/>
      <w:r w:rsidRPr="00C56E77">
        <w:rPr>
          <w:i/>
          <w:iCs/>
          <w:sz w:val="24"/>
          <w:szCs w:val="24"/>
          <w:lang w:val="en-US"/>
        </w:rPr>
        <w:t xml:space="preserve"> de </w:t>
      </w:r>
      <w:proofErr w:type="spellStart"/>
      <w:r w:rsidRPr="00C56E77">
        <w:rPr>
          <w:i/>
          <w:iCs/>
          <w:sz w:val="24"/>
          <w:szCs w:val="24"/>
          <w:lang w:val="en-US"/>
        </w:rPr>
        <w:t>Ética</w:t>
      </w:r>
      <w:proofErr w:type="spellEnd"/>
      <w:r w:rsidRPr="00C56E77">
        <w:rPr>
          <w:i/>
          <w:iCs/>
          <w:sz w:val="24"/>
          <w:szCs w:val="24"/>
          <w:lang w:val="en-US"/>
        </w:rPr>
        <w:t xml:space="preserve"> </w:t>
      </w:r>
      <w:proofErr w:type="spellStart"/>
      <w:r w:rsidRPr="00C56E77">
        <w:rPr>
          <w:i/>
          <w:iCs/>
          <w:sz w:val="24"/>
          <w:szCs w:val="24"/>
          <w:lang w:val="en-US"/>
        </w:rPr>
        <w:t>en</w:t>
      </w:r>
      <w:proofErr w:type="spellEnd"/>
      <w:r w:rsidRPr="00C56E77">
        <w:rPr>
          <w:i/>
          <w:iCs/>
          <w:sz w:val="24"/>
          <w:szCs w:val="24"/>
          <w:lang w:val="en-US"/>
        </w:rPr>
        <w:t xml:space="preserve"> </w:t>
      </w:r>
      <w:proofErr w:type="spellStart"/>
      <w:r w:rsidRPr="00C56E77">
        <w:rPr>
          <w:i/>
          <w:iCs/>
          <w:sz w:val="24"/>
          <w:szCs w:val="24"/>
          <w:lang w:val="en-US"/>
        </w:rPr>
        <w:t>Investigación</w:t>
      </w:r>
      <w:proofErr w:type="spellEnd"/>
      <w:r w:rsidRPr="00C56E77">
        <w:rPr>
          <w:i/>
          <w:iCs/>
          <w:sz w:val="24"/>
          <w:szCs w:val="24"/>
          <w:lang w:val="en-US"/>
        </w:rPr>
        <w:t xml:space="preserve"> de la </w:t>
      </w:r>
      <w:proofErr w:type="spellStart"/>
      <w:r w:rsidRPr="00C56E77">
        <w:rPr>
          <w:i/>
          <w:iCs/>
          <w:sz w:val="24"/>
          <w:szCs w:val="24"/>
          <w:lang w:val="en-US"/>
        </w:rPr>
        <w:t>Facultad</w:t>
      </w:r>
      <w:proofErr w:type="spellEnd"/>
      <w:r w:rsidRPr="00C56E77">
        <w:rPr>
          <w:i/>
          <w:iCs/>
          <w:sz w:val="24"/>
          <w:szCs w:val="24"/>
          <w:lang w:val="en-US"/>
        </w:rPr>
        <w:t xml:space="preserve"> de </w:t>
      </w:r>
      <w:proofErr w:type="spellStart"/>
      <w:r w:rsidRPr="00C56E77">
        <w:rPr>
          <w:i/>
          <w:iCs/>
          <w:sz w:val="24"/>
          <w:szCs w:val="24"/>
          <w:lang w:val="en-US"/>
        </w:rPr>
        <w:t>Psicología-Xalapa</w:t>
      </w:r>
      <w:proofErr w:type="spellEnd"/>
      <w:r w:rsidRPr="00C56E77">
        <w:rPr>
          <w:i/>
          <w:iCs/>
          <w:sz w:val="24"/>
          <w:szCs w:val="24"/>
          <w:lang w:val="en-US"/>
        </w:rPr>
        <w:t xml:space="preserve"> </w:t>
      </w:r>
      <w:r w:rsidRPr="00C56E77">
        <w:rPr>
          <w:sz w:val="24"/>
          <w:szCs w:val="24"/>
          <w:lang w:val="en-US"/>
        </w:rPr>
        <w:t xml:space="preserve">(CEI-FP) (CONBIOETICA30CEI00820150409) with registration number CEI-FP/008/2017, this committee has verified that the research complies with the criteria necessary to be considered as risk-free for the participants, and has granted </w:t>
      </w:r>
      <w:r w:rsidR="00D71157" w:rsidRPr="00C56E77">
        <w:rPr>
          <w:sz w:val="24"/>
          <w:szCs w:val="24"/>
          <w:lang w:val="en-US"/>
        </w:rPr>
        <w:t xml:space="preserve">the researchers an </w:t>
      </w:r>
      <w:r w:rsidRPr="00C56E77">
        <w:rPr>
          <w:sz w:val="24"/>
          <w:szCs w:val="24"/>
          <w:lang w:val="en-US"/>
        </w:rPr>
        <w:t>approval to perform it in the period between January 9, 2018 and January 9, 2019.</w:t>
      </w:r>
    </w:p>
    <w:p w14:paraId="50A9ECDB" w14:textId="323E0454" w:rsidR="00102AF1" w:rsidRPr="00C56E77" w:rsidRDefault="00102AF1" w:rsidP="00DE2E63">
      <w:pPr>
        <w:spacing w:line="240" w:lineRule="auto"/>
        <w:rPr>
          <w:sz w:val="24"/>
          <w:szCs w:val="24"/>
          <w:lang w:val="en-US"/>
        </w:rPr>
      </w:pPr>
      <w:r w:rsidRPr="00C56E77">
        <w:rPr>
          <w:sz w:val="24"/>
          <w:szCs w:val="24"/>
          <w:lang w:val="en-US"/>
        </w:rPr>
        <w:t>To measure the cognitive reserve a Cognitive Reserve Index (CRI) was constructed</w:t>
      </w:r>
      <w:r w:rsidR="00D71157" w:rsidRPr="00C56E77">
        <w:rPr>
          <w:sz w:val="24"/>
          <w:szCs w:val="24"/>
          <w:lang w:val="en-US"/>
        </w:rPr>
        <w:t xml:space="preserve"> using</w:t>
      </w:r>
      <w:r w:rsidRPr="00C56E77">
        <w:rPr>
          <w:sz w:val="24"/>
          <w:szCs w:val="24"/>
          <w:lang w:val="en-US"/>
        </w:rPr>
        <w:t xml:space="preserve"> a cognitive reserve instrument that consists of 39 indicators of cognitive</w:t>
      </w:r>
      <w:r w:rsidR="00A87194" w:rsidRPr="00C56E77">
        <w:rPr>
          <w:sz w:val="24"/>
          <w:szCs w:val="24"/>
          <w:lang w:val="en-US"/>
        </w:rPr>
        <w:t>ly</w:t>
      </w:r>
      <w:r w:rsidRPr="00C56E77">
        <w:rPr>
          <w:sz w:val="24"/>
          <w:szCs w:val="24"/>
          <w:lang w:val="en-US"/>
        </w:rPr>
        <w:t xml:space="preserve"> stimulating activities in which the participants must identify how many days per week they perform the activity, the maximum score of the instrument is </w:t>
      </w:r>
      <w:r w:rsidRPr="00DD2C41">
        <w:rPr>
          <w:color w:val="000000"/>
          <w:sz w:val="24"/>
          <w:szCs w:val="24"/>
          <w:lang w:val="en-US"/>
        </w:rPr>
        <w:t>273</w:t>
      </w:r>
      <w:r w:rsidR="00B967A3" w:rsidRPr="00DD2C41">
        <w:rPr>
          <w:color w:val="000000"/>
          <w:sz w:val="24"/>
          <w:szCs w:val="24"/>
          <w:lang w:val="en-US"/>
        </w:rPr>
        <w:t>, this instrument is still in validation process</w:t>
      </w:r>
      <w:r w:rsidRPr="00DD2C41">
        <w:rPr>
          <w:color w:val="000000"/>
          <w:sz w:val="24"/>
          <w:szCs w:val="24"/>
          <w:lang w:val="en-US"/>
        </w:rPr>
        <w:t xml:space="preserve">; </w:t>
      </w:r>
      <w:r w:rsidRPr="00C56E77">
        <w:rPr>
          <w:sz w:val="24"/>
          <w:szCs w:val="24"/>
          <w:lang w:val="en-US"/>
        </w:rPr>
        <w:t xml:space="preserve">the years of schooling completed by the participant are added to this value, the maximum score in the education category is 21 (considering 2 years </w:t>
      </w:r>
      <w:r w:rsidR="00D71157" w:rsidRPr="00C56E77">
        <w:rPr>
          <w:sz w:val="24"/>
          <w:szCs w:val="24"/>
          <w:lang w:val="en-US"/>
        </w:rPr>
        <w:t>for</w:t>
      </w:r>
      <w:r w:rsidRPr="00C56E77">
        <w:rPr>
          <w:sz w:val="24"/>
          <w:szCs w:val="24"/>
          <w:lang w:val="en-US"/>
        </w:rPr>
        <w:t xml:space="preserve"> master's degree and 3 </w:t>
      </w:r>
      <w:r w:rsidR="00D71157" w:rsidRPr="00C56E77">
        <w:rPr>
          <w:sz w:val="24"/>
          <w:szCs w:val="24"/>
          <w:lang w:val="en-US"/>
        </w:rPr>
        <w:t xml:space="preserve">for </w:t>
      </w:r>
      <w:r w:rsidRPr="00C56E77">
        <w:rPr>
          <w:sz w:val="24"/>
          <w:szCs w:val="24"/>
          <w:lang w:val="en-US"/>
        </w:rPr>
        <w:t xml:space="preserve">PhD); </w:t>
      </w:r>
      <w:r w:rsidR="00D71157" w:rsidRPr="00C56E77">
        <w:rPr>
          <w:sz w:val="24"/>
          <w:szCs w:val="24"/>
          <w:lang w:val="en-US"/>
        </w:rPr>
        <w:t>i</w:t>
      </w:r>
      <w:r w:rsidRPr="00C56E77">
        <w:rPr>
          <w:sz w:val="24"/>
          <w:szCs w:val="24"/>
          <w:lang w:val="en-US"/>
        </w:rPr>
        <w:t>n addition, the occupational complexity score is added, this is obtained from the National Classification System of Occupations (SINCO)</w:t>
      </w:r>
      <w:r w:rsidR="00E77932" w:rsidRPr="00DD2C41">
        <w:rPr>
          <w:color w:val="000000"/>
          <w:sz w:val="24"/>
          <w:szCs w:val="24"/>
          <w:lang w:val="en-US"/>
        </w:rPr>
        <w:t xml:space="preserve"> </w:t>
      </w:r>
      <w:r w:rsidR="00E77932" w:rsidRPr="00DD2C41">
        <w:rPr>
          <w:color w:val="000000"/>
          <w:sz w:val="24"/>
          <w:szCs w:val="24"/>
          <w:lang w:val="en-US"/>
        </w:rPr>
        <w:fldChar w:fldCharType="begin" w:fldLock="1"/>
      </w:r>
      <w:r w:rsidR="00E77932" w:rsidRPr="00DD2C41">
        <w:rPr>
          <w:color w:val="000000"/>
          <w:sz w:val="24"/>
          <w:szCs w:val="24"/>
          <w:lang w:val="en-US"/>
        </w:rPr>
        <w:instrText>ADDIN CSL_CITATION {"citationItems":[{"id":"ITEM-1","itemData":{"ISBN":"9786074942637","abstract":"</w:instrText>
      </w:r>
      <w:r w:rsidR="00E77932" w:rsidRPr="00DD2C41">
        <w:rPr>
          <w:color w:val="000000"/>
          <w:sz w:val="24"/>
          <w:szCs w:val="24"/>
          <w:lang w:val="en-US"/>
        </w:rPr>
        <w:instrText xml:space="preserve"> En 2011, la entidad que realiza el mayor número de mastografías es el Distrito Federal (2 114.24 estudios por cada 100 mil mujeres de 20 a 69 años). </w:instrText>
      </w:r>
      <w:r w:rsidR="00E77932" w:rsidRPr="00DD2C41">
        <w:rPr>
          <w:color w:val="000000"/>
          <w:sz w:val="24"/>
          <w:szCs w:val="24"/>
          <w:lang w:val="en-US"/>
        </w:rPr>
        <w:instrText xml:space="preserve"> En México, 30 de cada 100 mujeres que salen de un hospital por tumores malignos en 2011, padecen cáncer de mama. </w:instrText>
      </w:r>
      <w:r w:rsidR="00E77932" w:rsidRPr="00DD2C41">
        <w:rPr>
          <w:color w:val="000000"/>
          <w:sz w:val="24"/>
          <w:szCs w:val="24"/>
          <w:lang w:val="en-US"/>
        </w:rPr>
        <w:instrText xml:space="preserve"> La incidencia de cáncer de mama es más alta en las mujeres que en los varones. Durante 2011 afectó a 23.70 de cada 100 mil mujeres de 20 años y más. </w:instrText>
      </w:r>
      <w:r w:rsidR="00E77932" w:rsidRPr="00DD2C41">
        <w:rPr>
          <w:color w:val="000000"/>
          <w:sz w:val="24"/>
          <w:szCs w:val="24"/>
          <w:lang w:val="en-US"/>
        </w:rPr>
        <w:instrText> Durante 2011, Chihuahua reporta la tasa de mortalidad observada más alta por neoplasias mamarias (20.71 de cada 100 mil mujeres de 20 años y más). De acuerdo con la Organización Mundial de la Salud (OMS), el cáncer más frecuente entre las mujeres es el de mama, que a nivel mundial representa 16% de todos los cánceres femeninos. Se estima que cada año se detectan 1.38 millones de casos nuevos. Este padecimiento se presenta con más frecuencia en países desarrollados, pero tiene mayor impacto en la población de países de bajos y medios ingresos como México, debido al aumento en la esperanza de vida, la urbanización y cambios en el modo de vida. Para reducir el impacto de esta enfermedad entre la población, la OMS afirma que la detección temprana es una estrategia fundamental para el diagnóstico, tratamiento y control oportuno (OMS, 2012). La OMS celebra cada 19 de octubre el Día Internacional del Cáncer de Mama, con el objetivo de sensibilizar sobre la importancia de identificar en etapas tempranas esta enfermedad. En este sentido, el Instituto Nacional de Estadística y Geografía (INEGI), con el propósito de apoyar esta ardua labor, presenta un panorama general de dicha enfermedad en la población mexicana. PREVENCIÓN","author":[{"dropping-particle":"","family":"INEGI","given":"","non-dropping-particle":"","parse-names":false,"suffix":""}],"container-title":"Sinco","id":"ITEM-1","issued":{"date-parts":[["2012"]]},"number-of-pages":"180","title":"Sistema nacional de clasificación de ocupaciones","type":"book"},"uris":["http://www.mendeley.com/documents/?uuid=62e06c11-3e3b-4a05-9cef-8f2f2f1d0eec"]}],"mendeley":{"formattedCitation":"(INEGI, 2012)","plainTextFormattedCitation":"(INEGI, 2012)","previouslyFormattedCitation":"(INEGI, 2012)"},"properties":{"noteIndex":0},"schema":"https://github.com/citation-style-language/schema/raw/master/csl-citation.json"}</w:instrText>
      </w:r>
      <w:r w:rsidR="00E77932" w:rsidRPr="00DD2C41">
        <w:rPr>
          <w:color w:val="000000"/>
          <w:sz w:val="24"/>
          <w:szCs w:val="24"/>
          <w:lang w:val="en-US"/>
        </w:rPr>
        <w:fldChar w:fldCharType="separate"/>
      </w:r>
      <w:r w:rsidR="00E77932" w:rsidRPr="00DD2C41">
        <w:rPr>
          <w:noProof/>
          <w:color w:val="000000"/>
          <w:sz w:val="24"/>
          <w:szCs w:val="24"/>
          <w:lang w:val="en-US"/>
        </w:rPr>
        <w:t>(INEGI, 2012)</w:t>
      </w:r>
      <w:r w:rsidR="00E77932" w:rsidRPr="00DD2C41">
        <w:rPr>
          <w:color w:val="000000"/>
          <w:sz w:val="24"/>
          <w:szCs w:val="24"/>
          <w:lang w:val="en-US"/>
        </w:rPr>
        <w:fldChar w:fldCharType="end"/>
      </w:r>
      <w:r w:rsidR="00E77932" w:rsidRPr="00DD2C41">
        <w:rPr>
          <w:color w:val="000000"/>
          <w:sz w:val="24"/>
          <w:szCs w:val="24"/>
          <w:lang w:val="en-US"/>
        </w:rPr>
        <w:t>.</w:t>
      </w:r>
      <w:r w:rsidR="00E77932" w:rsidRPr="00C56E77">
        <w:rPr>
          <w:sz w:val="24"/>
          <w:szCs w:val="24"/>
          <w:lang w:val="en-US"/>
        </w:rPr>
        <w:t xml:space="preserve"> </w:t>
      </w:r>
      <w:r w:rsidR="00637315" w:rsidRPr="00C56E77">
        <w:rPr>
          <w:sz w:val="24"/>
          <w:szCs w:val="24"/>
          <w:lang w:val="en-US"/>
        </w:rPr>
        <w:t>W</w:t>
      </w:r>
      <w:r w:rsidRPr="00C56E77">
        <w:rPr>
          <w:sz w:val="24"/>
          <w:szCs w:val="24"/>
          <w:lang w:val="en-US"/>
        </w:rPr>
        <w:t xml:space="preserve">hich is a tool that is used to reflect the occupational structure of Mexico, granting a value according to the salary </w:t>
      </w:r>
      <w:r w:rsidR="00A87194" w:rsidRPr="00C56E77">
        <w:rPr>
          <w:sz w:val="24"/>
          <w:szCs w:val="24"/>
          <w:lang w:val="en-US"/>
        </w:rPr>
        <w:t xml:space="preserve">and complexity </w:t>
      </w:r>
      <w:r w:rsidRPr="00C56E77">
        <w:rPr>
          <w:sz w:val="24"/>
          <w:szCs w:val="24"/>
          <w:lang w:val="en-US"/>
        </w:rPr>
        <w:t xml:space="preserve">of any given occupation, however, for this index, the </w:t>
      </w:r>
      <w:r w:rsidR="003A538D" w:rsidRPr="00C56E77">
        <w:rPr>
          <w:sz w:val="24"/>
          <w:szCs w:val="24"/>
          <w:lang w:val="en-US"/>
        </w:rPr>
        <w:t xml:space="preserve">original </w:t>
      </w:r>
      <w:r w:rsidRPr="00C56E77">
        <w:rPr>
          <w:sz w:val="24"/>
          <w:szCs w:val="24"/>
          <w:lang w:val="en-US"/>
        </w:rPr>
        <w:t>scale was inverted so that the</w:t>
      </w:r>
      <w:r w:rsidR="003A538D" w:rsidRPr="00C56E77">
        <w:rPr>
          <w:sz w:val="24"/>
          <w:szCs w:val="24"/>
          <w:lang w:val="en-US"/>
        </w:rPr>
        <w:t xml:space="preserve"> score of the</w:t>
      </w:r>
      <w:r w:rsidRPr="00C56E77">
        <w:rPr>
          <w:sz w:val="24"/>
          <w:szCs w:val="24"/>
          <w:lang w:val="en-US"/>
        </w:rPr>
        <w:t xml:space="preserve"> least complex occupation score corresponded to 1 and the</w:t>
      </w:r>
      <w:r w:rsidR="003A538D" w:rsidRPr="00C56E77">
        <w:rPr>
          <w:sz w:val="24"/>
          <w:szCs w:val="24"/>
          <w:lang w:val="en-US"/>
        </w:rPr>
        <w:t xml:space="preserve"> score of the</w:t>
      </w:r>
      <w:r w:rsidRPr="00C56E77">
        <w:rPr>
          <w:sz w:val="24"/>
          <w:szCs w:val="24"/>
          <w:lang w:val="en-US"/>
        </w:rPr>
        <w:t xml:space="preserve"> mo</w:t>
      </w:r>
      <w:r w:rsidR="003A538D" w:rsidRPr="00C56E77">
        <w:rPr>
          <w:sz w:val="24"/>
          <w:szCs w:val="24"/>
          <w:lang w:val="en-US"/>
        </w:rPr>
        <w:t>st</w:t>
      </w:r>
      <w:r w:rsidRPr="00C56E77">
        <w:rPr>
          <w:sz w:val="24"/>
          <w:szCs w:val="24"/>
          <w:lang w:val="en-US"/>
        </w:rPr>
        <w:t xml:space="preserve"> complex occupation score to 9 (previously 9 and 1</w:t>
      </w:r>
      <w:r w:rsidR="003A538D" w:rsidRPr="00C56E77">
        <w:rPr>
          <w:sz w:val="24"/>
          <w:szCs w:val="24"/>
          <w:lang w:val="en-US"/>
        </w:rPr>
        <w:t xml:space="preserve"> respectively</w:t>
      </w:r>
      <w:r w:rsidRPr="00C56E77">
        <w:rPr>
          <w:sz w:val="24"/>
          <w:szCs w:val="24"/>
          <w:lang w:val="en-US"/>
        </w:rPr>
        <w:t>).</w:t>
      </w:r>
    </w:p>
    <w:p w14:paraId="46ABCE54" w14:textId="77777777" w:rsidR="00E12F57" w:rsidRPr="00C56E77" w:rsidRDefault="00E12F57" w:rsidP="00DE2E63">
      <w:pPr>
        <w:spacing w:line="240" w:lineRule="auto"/>
        <w:rPr>
          <w:sz w:val="24"/>
          <w:szCs w:val="24"/>
          <w:lang w:val="en-US"/>
        </w:rPr>
      </w:pPr>
    </w:p>
    <w:p w14:paraId="1E56EA41" w14:textId="77777777" w:rsidR="003A538D" w:rsidRPr="00C56E77" w:rsidRDefault="003A538D" w:rsidP="00DE2E63">
      <w:pPr>
        <w:spacing w:line="240" w:lineRule="auto"/>
        <w:rPr>
          <w:sz w:val="24"/>
          <w:szCs w:val="24"/>
          <w:lang w:val="en-US"/>
        </w:rPr>
      </w:pPr>
      <w:r w:rsidRPr="00C56E77">
        <w:rPr>
          <w:sz w:val="24"/>
          <w:szCs w:val="24"/>
          <w:lang w:val="en-US"/>
        </w:rPr>
        <w:t>The formula used to calculate the Cognitive Reserve Index was:</w:t>
      </w:r>
    </w:p>
    <w:p w14:paraId="07658FCA" w14:textId="50ECE9CA" w:rsidR="003A538D" w:rsidRPr="00DD2C41" w:rsidRDefault="003A538D" w:rsidP="00DE2E63">
      <w:pPr>
        <w:spacing w:line="240" w:lineRule="auto"/>
        <w:rPr>
          <w:rFonts w:eastAsia="Times New Roman"/>
          <w:sz w:val="24"/>
          <w:szCs w:val="24"/>
          <w:lang w:val="en-US"/>
        </w:rPr>
      </w:pPr>
      <w:r w:rsidRPr="00C56E77">
        <w:rPr>
          <w:sz w:val="24"/>
          <w:szCs w:val="24"/>
          <w:lang w:val="en-US"/>
        </w:rPr>
        <w:t xml:space="preserve">CRI = </w:t>
      </w:r>
      <w:r w:rsidR="00DD2C41" w:rsidRPr="00DD2C41">
        <w:rPr>
          <w:rFonts w:eastAsiaTheme="minorEastAsia"/>
          <w:sz w:val="24"/>
          <w:szCs w:val="24"/>
          <w:lang w:val="en-US"/>
        </w:rPr>
        <w:fldChar w:fldCharType="begin"/>
      </w:r>
      <w:r w:rsidR="00DD2C41" w:rsidRPr="00DD2C41">
        <w:rPr>
          <w:rFonts w:eastAsiaTheme="minorEastAsia"/>
          <w:sz w:val="24"/>
          <w:szCs w:val="24"/>
          <w:lang w:val="en-US"/>
        </w:rPr>
        <w:instrText xml:space="preserve"> QUOTE </w:instrText>
      </w:r>
      <w:r w:rsidR="00667F8F">
        <w:rPr>
          <w:noProof/>
          <w:position w:val="-40"/>
        </w:rPr>
        <w:pict w14:anchorId="2FE91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3.1pt;height:35.1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3&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379B&quot;/&gt;&lt;wsp:rsid wsp:val=&quot;0000217A&quot;/&gt;&lt;wsp:rsid wsp:val=&quot;00032712&quot;/&gt;&lt;wsp:rsid wsp:val=&quot;00036837&quot;/&gt;&lt;wsp:rsid wsp:val=&quot;000541FD&quot;/&gt;&lt;wsp:rsid wsp:val=&quot;00075111&quot;/&gt;&lt;wsp:rsid wsp:val=&quot;00082377&quot;/&gt;&lt;wsp:rsid wsp:val=&quot;000944D7&quot;/&gt;&lt;wsp:rsid wsp:val=&quot;00097E14&quot;/&gt;&lt;wsp:rsid wsp:val=&quot;000A3DE3&quot;/&gt;&lt;wsp:rsid wsp:val=&quot;000B1829&quot;/&gt;&lt;wsp:rsid wsp:val=&quot;000C01DA&quot;/&gt;&lt;wsp:rsid wsp:val=&quot;000C0D6F&quot;/&gt;&lt;wsp:rsid wsp:val=&quot;000C16E3&quot;/&gt;&lt;wsp:rsid wsp:val=&quot;000C3EBD&quot;/&gt;&lt;wsp:rsid wsp:val=&quot;000C7007&quot;/&gt;&lt;wsp:rsid wsp:val=&quot;000D6ADD&quot;/&gt;&lt;wsp:rsid wsp:val=&quot;000E647D&quot;/&gt;&lt;wsp:rsid wsp:val=&quot;00102AF1&quot;/&gt;&lt;wsp:rsid wsp:val=&quot;00104795&quot;/&gt;&lt;wsp:rsid wsp:val=&quot;00107195&quot;/&gt;&lt;wsp:rsid wsp:val=&quot;00112987&quot;/&gt;&lt;wsp:rsid wsp:val=&quot;00115BE8&quot;/&gt;&lt;wsp:rsid wsp:val=&quot;001213E1&quot;/&gt;&lt;wsp:rsid wsp:val=&quot;00121D21&quot;/&gt;&lt;wsp:rsid wsp:val=&quot;00132077&quot;/&gt;&lt;wsp:rsid wsp:val=&quot;001338F4&quot;/&gt;&lt;wsp:rsid wsp:val=&quot;001522B9&quot;/&gt;&lt;wsp:rsid wsp:val=&quot;00155201&quot;/&gt;&lt;wsp:rsid wsp:val=&quot;001B3127&quot;/&gt;&lt;wsp:rsid wsp:val=&quot;001D489C&quot;/&gt;&lt;wsp:rsid wsp:val=&quot;001F4A84&quot;/&gt;&lt;wsp:rsid wsp:val=&quot;001F6ED6&quot;/&gt;&lt;wsp:rsid wsp:val=&quot;00217869&quot;/&gt;&lt;wsp:rsid wsp:val=&quot;00222C53&quot;/&gt;&lt;wsp:rsid wsp:val=&quot;00234500&quot;/&gt;&lt;wsp:rsid wsp:val=&quot;002533D4&quot;/&gt;&lt;wsp:rsid wsp:val=&quot;002727D0&quot;/&gt;&lt;wsp:rsid wsp:val=&quot;002768E7&quot;/&gt;&lt;wsp:rsid wsp:val=&quot;00284E40&quot;/&gt;&lt;wsp:rsid wsp:val=&quot;00292AC4&quot;/&gt;&lt;wsp:rsid wsp:val=&quot;0029784D&quot;/&gt;&lt;wsp:rsid wsp:val=&quot;002C06FF&quot;/&gt;&lt;wsp:rsid wsp:val=&quot;002D1840&quot;/&gt;&lt;wsp:rsid wsp:val=&quot;002E1D6D&quot;/&gt;&lt;wsp:rsid wsp:val=&quot;00306845&quot;/&gt;&lt;wsp:rsid wsp:val=&quot;00316C63&quot;/&gt;&lt;wsp:rsid wsp:val=&quot;00381AB2&quot;/&gt;&lt;wsp:rsid wsp:val=&quot;003914CB&quot;/&gt;&lt;wsp:rsid wsp:val=&quot;003A538D&quot;/&gt;&lt;wsp:rsid wsp:val=&quot;003B650D&quot;/&gt;&lt;wsp:rsid wsp:val=&quot;003C5AB9&quot;/&gt;&lt;wsp:rsid wsp:val=&quot;00403A5C&quot;/&gt;&lt;wsp:rsid wsp:val=&quot;004546BC&quot;/&gt;&lt;wsp:rsid wsp:val=&quot;00456D49&quot;/&gt;&lt;wsp:rsid wsp:val=&quot;004A32A1&quot;/&gt;&lt;wsp:rsid wsp:val=&quot;004A7B02&quot;/&gt;&lt;wsp:rsid wsp:val=&quot;004B6E06&quot;/&gt;&lt;wsp:rsid wsp:val=&quot;004B7578&quot;/&gt;&lt;wsp:rsid wsp:val=&quot;004C2944&quot;/&gt;&lt;wsp:rsid wsp:val=&quot;004D2068&quot;/&gt;&lt;wsp:rsid wsp:val=&quot;004D28F5&quot;/&gt;&lt;wsp:rsid wsp:val=&quot;004F4A0B&quot;/&gt;&lt;wsp:rsid wsp:val=&quot;00505CD3&quot;/&gt;&lt;wsp:rsid wsp:val=&quot;0050639D&quot;/&gt;&lt;wsp:rsid wsp:val=&quot;00506A0A&quot;/&gt;&lt;wsp:rsid wsp:val=&quot;005153CF&quot;/&gt;&lt;wsp:rsid wsp:val=&quot;00515FB3&quot;/&gt;&lt;wsp:rsid wsp:val=&quot;00523C10&quot;/&gt;&lt;wsp:rsid wsp:val=&quot;00541253&quot;/&gt;&lt;wsp:rsid wsp:val=&quot;00550366&quot;/&gt;&lt;wsp:rsid wsp:val=&quot;005662DF&quot;/&gt;&lt;wsp:rsid wsp:val=&quot;00571667&quot;/&gt;&lt;wsp:rsid wsp:val=&quot;005740FC&quot;/&gt;&lt;wsp:rsid wsp:val=&quot;005A6341&quot;/&gt;&lt;wsp:rsid wsp:val=&quot;005B293F&quot;/&gt;&lt;wsp:rsid wsp:val=&quot;005D2F75&quot;/&gt;&lt;wsp:rsid wsp:val=&quot;005E4119&quot;/&gt;&lt;wsp:rsid wsp:val=&quot;005E7CBC&quot;/&gt;&lt;wsp:rsid wsp:val=&quot;00606E03&quot;/&gt;&lt;wsp:rsid wsp:val=&quot;00620025&quot;/&gt;&lt;wsp:rsid wsp:val=&quot;00624897&quot;/&gt;&lt;wsp:rsid wsp:val=&quot;00624940&quot;/&gt;&lt;wsp:rsid wsp:val=&quot;00632C3F&quot;/&gt;&lt;wsp:rsid wsp:val=&quot;00637315&quot;/&gt;&lt;wsp:rsid wsp:val=&quot;0065170A&quot;/&gt;&lt;wsp:rsid wsp:val=&quot;00656CBB&quot;/&gt;&lt;wsp:rsid wsp:val=&quot;00665D46&quot;/&gt;&lt;wsp:rsid wsp:val=&quot;00673422&quot;/&gt;&lt;wsp:rsid wsp:val=&quot;00685225&quot;/&gt;&lt;wsp:rsid wsp:val=&quot;00695F74&quot;/&gt;&lt;wsp:rsid wsp:val=&quot;006A13BF&quot;/&gt;&lt;wsp:rsid wsp:val=&quot;006B50E4&quot;/&gt;&lt;wsp:rsid wsp:val=&quot;006D5A8D&quot;/&gt;&lt;wsp:rsid wsp:val=&quot;006E379B&quot;/&gt;&lt;wsp:rsid wsp:val=&quot;006F0FE7&quot;/&gt;&lt;wsp:rsid wsp:val=&quot;006F3613&quot;/&gt;&lt;wsp:rsid wsp:val=&quot;006F7F6C&quot;/&gt;&lt;wsp:rsid wsp:val=&quot;007020FE&quot;/&gt;&lt;wsp:rsid wsp:val=&quot;00705E51&quot;/&gt;&lt;wsp:rsid wsp:val=&quot;00730D34&quot;/&gt;&lt;wsp:rsid wsp:val=&quot;00737D38&quot;/&gt;&lt;wsp:rsid wsp:val=&quot;0078345E&quot;/&gt;&lt;wsp:rsid wsp:val=&quot;007919B0&quot;/&gt;&lt;wsp:rsid wsp:val=&quot;00792125&quot;/&gt;&lt;wsp:rsid wsp:val=&quot;007B2449&quot;/&gt;&lt;wsp:rsid wsp:val=&quot;007B4250&quot;/&gt;&lt;wsp:rsid wsp:val=&quot;007D6831&quot;/&gt;&lt;wsp:rsid wsp:val=&quot;007F02C8&quot;/&gt;&lt;wsp:rsid wsp:val=&quot;007F0E56&quot;/&gt;&lt;wsp:rsid wsp:val=&quot;007F1A4B&quot;/&gt;&lt;wsp:rsid wsp:val=&quot;007F248B&quot;/&gt;&lt;wsp:rsid wsp:val=&quot;007F6818&quot;/&gt;&lt;wsp:rsid wsp:val=&quot;008233C5&quot;/&gt;&lt;wsp:rsid wsp:val=&quot;008428F3&quot;/&gt;&lt;wsp:rsid wsp:val=&quot;008D3230&quot;/&gt;&lt;wsp:rsid wsp:val=&quot;008F1743&quot;/&gt;&lt;wsp:rsid wsp:val=&quot;009152EC&quot;/&gt;&lt;wsp:rsid wsp:val=&quot;00925FC3&quot;/&gt;&lt;wsp:rsid wsp:val=&quot;009319C6&quot;/&gt;&lt;wsp:rsid wsp:val=&quot;00935314&quot;/&gt;&lt;wsp:rsid wsp:val=&quot;00935B61&quot;/&gt;&lt;wsp:rsid wsp:val=&quot;0096648E&quot;/&gt;&lt;wsp:rsid wsp:val=&quot;00972C7A&quot;/&gt;&lt;wsp:rsid wsp:val=&quot;009853B8&quot;/&gt;&lt;wsp:rsid wsp:val=&quot;009942C2&quot;/&gt;&lt;wsp:rsid wsp:val=&quot;009A0B96&quot;/&gt;&lt;wsp:rsid wsp:val=&quot;009A7A9A&quot;/&gt;&lt;wsp:rsid wsp:val=&quot;009C0395&quot;/&gt;&lt;wsp:rsid wsp:val=&quot;009C7B3A&quot;/&gt;&lt;wsp:rsid wsp:val=&quot;009D43FB&quot;/&gt;&lt;wsp:rsid wsp:val=&quot;009F1EF3&quot;/&gt;&lt;wsp:rsid wsp:val=&quot;009F2AE2&quot;/&gt;&lt;wsp:rsid wsp:val=&quot;009F4E8D&quot;/&gt;&lt;wsp:rsid wsp:val=&quot;00A325E2&quot;/&gt;&lt;wsp:rsid wsp:val=&quot;00A4241B&quot;/&gt;&lt;wsp:rsid wsp:val=&quot;00A51FB1&quot;/&gt;&lt;wsp:rsid wsp:val=&quot;00A70989&quot;/&gt;&lt;wsp:rsid wsp:val=&quot;00A87194&quot;/&gt;&lt;wsp:rsid wsp:val=&quot;00A9096A&quot;/&gt;&lt;wsp:rsid wsp:val=&quot;00A9247F&quot;/&gt;&lt;wsp:rsid wsp:val=&quot;00A93D6C&quot;/&gt;&lt;wsp:rsid wsp:val=&quot;00AC2EDC&quot;/&gt;&lt;wsp:rsid wsp:val=&quot;00AC37A4&quot;/&gt;&lt;wsp:rsid wsp:val=&quot;00AE445F&quot;/&gt;&lt;wsp:rsid wsp:val=&quot;00AE55D6&quot;/&gt;&lt;wsp:rsid wsp:val=&quot;00B06EC1&quot;/&gt;&lt;wsp:rsid wsp:val=&quot;00B131F6&quot;/&gt;&lt;wsp:rsid wsp:val=&quot;00B31EE5&quot;/&gt;&lt;wsp:rsid wsp:val=&quot;00B3566A&quot;/&gt;&lt;wsp:rsid wsp:val=&quot;00B67AB2&quot;/&gt;&lt;wsp:rsid wsp:val=&quot;00B84C22&quot;/&gt;&lt;wsp:rsid wsp:val=&quot;00B864E6&quot;/&gt;&lt;wsp:rsid wsp:val=&quot;00B93435&quot;/&gt;&lt;wsp:rsid wsp:val=&quot;00B967A3&quot;/&gt;&lt;wsp:rsid wsp:val=&quot;00BA2516&quot;/&gt;&lt;wsp:rsid wsp:val=&quot;00BC4A67&quot;/&gt;&lt;wsp:rsid wsp:val=&quot;00BF7E49&quot;/&gt;&lt;wsp:rsid wsp:val=&quot;00C0723C&quot;/&gt;&lt;wsp:rsid wsp:val=&quot;00C229B0&quot;/&gt;&lt;wsp:rsid wsp:val=&quot;00C31707&quot;/&gt;&lt;wsp:rsid wsp:val=&quot;00C56E77&quot;/&gt;&lt;wsp:rsid wsp:val=&quot;00C758AF&quot;/&gt;&lt;wsp:rsid wsp:val=&quot;00C82336&quot;/&gt;&lt;wsp:rsid wsp:val=&quot;00C97E07&quot;/&gt;&lt;wsp:rsid wsp:val=&quot;00CA01CE&quot;/&gt;&lt;wsp:rsid wsp:val=&quot;00CA13E5&quot;/&gt;&lt;wsp:rsid wsp:val=&quot;00CB270D&quot;/&gt;&lt;wsp:rsid wsp:val=&quot;00CB7492&quot;/&gt;&lt;wsp:rsid wsp:val=&quot;00CC4AB6&quot;/&gt;&lt;wsp:rsid wsp:val=&quot;00CE60C3&quot;/&gt;&lt;wsp:rsid wsp:val=&quot;00D100C9&quot;/&gt;&lt;wsp:rsid wsp:val=&quot;00D120ED&quot;/&gt;&lt;wsp:rsid wsp:val=&quot;00D45CEF&quot;/&gt;&lt;wsp:rsid wsp:val=&quot;00D57A69&quot;/&gt;&lt;wsp:rsid wsp:val=&quot;00D57A84&quot;/&gt;&lt;wsp:rsid wsp:val=&quot;00D62DAC&quot;/&gt;&lt;wsp:rsid wsp:val=&quot;00D65B8A&quot;/&gt;&lt;wsp:rsid wsp:val=&quot;00D71157&quot;/&gt;&lt;wsp:rsid wsp:val=&quot;00DC2B9A&quot;/&gt;&lt;wsp:rsid wsp:val=&quot;00DD2C41&quot;/&gt;&lt;wsp:rsid wsp:val=&quot;00DD601E&quot;/&gt;&lt;wsp:rsid wsp:val=&quot;00DE2E63&quot;/&gt;&lt;wsp:rsid wsp:val=&quot;00DF28A9&quot;/&gt;&lt;wsp:rsid wsp:val=&quot;00E12F57&quot;/&gt;&lt;wsp:rsid wsp:val=&quot;00E15FB3&quot;/&gt;&lt;wsp:rsid wsp:val=&quot;00E23C78&quot;/&gt;&lt;wsp:rsid wsp:val=&quot;00E23E11&quot;/&gt;&lt;wsp:rsid wsp:val=&quot;00E300AB&quot;/&gt;&lt;wsp:rsid wsp:val=&quot;00E33040&quot;/&gt;&lt;wsp:rsid wsp:val=&quot;00E34177&quot;/&gt;&lt;wsp:rsid wsp:val=&quot;00E67A84&quot;/&gt;&lt;wsp:rsid wsp:val=&quot;00E77932&quot;/&gt;&lt;wsp:rsid wsp:val=&quot;00E80A63&quot;/&gt;&lt;wsp:rsid wsp:val=&quot;00EB214D&quot;/&gt;&lt;wsp:rsid wsp:val=&quot;00EB29A9&quot;/&gt;&lt;wsp:rsid wsp:val=&quot;00EB7FB8&quot;/&gt;&lt;wsp:rsid wsp:val=&quot;00EC2045&quot;/&gt;&lt;wsp:rsid wsp:val=&quot;00EC316D&quot;/&gt;&lt;wsp:rsid wsp:val=&quot;00EE57C4&quot;/&gt;&lt;wsp:rsid wsp:val=&quot;00F165F7&quot;/&gt;&lt;wsp:rsid wsp:val=&quot;00F40758&quot;/&gt;&lt;wsp:rsid wsp:val=&quot;00F442F7&quot;/&gt;&lt;wsp:rsid wsp:val=&quot;00F57592&quot;/&gt;&lt;wsp:rsid wsp:val=&quot;00F65864&quot;/&gt;&lt;wsp:rsid wsp:val=&quot;00F676D3&quot;/&gt;&lt;wsp:rsid wsp:val=&quot;00F71F5C&quot;/&gt;&lt;wsp:rsid wsp:val=&quot;00F826AF&quot;/&gt;&lt;wsp:rsid wsp:val=&quot;00F8387E&quot;/&gt;&lt;wsp:rsid wsp:val=&quot;00F83BB5&quot;/&gt;&lt;wsp:rsid wsp:val=&quot;00F93F3F&quot;/&gt;&lt;wsp:rsid wsp:val=&quot;00F965C7&quot;/&gt;&lt;wsp:rsid wsp:val=&quot;00FA0C78&quot;/&gt;&lt;wsp:rsid wsp:val=&quot;00FA6728&quot;/&gt;&lt;wsp:rsid wsp:val=&quot;00FB1301&quot;/&gt;&lt;wsp:rsid wsp:val=&quot;00FB378B&quot;/&gt;&lt;wsp:rsid wsp:val=&quot;00FB3EA6&quot;/&gt;&lt;wsp:rsid wsp:val=&quot;00FD441C&quot;/&gt;&lt;wsp:rsid wsp:val=&quot;00FD70DA&quot;/&gt;&lt;wsp:rsid wsp:val=&quot;00FE7E9B&quot;/&gt;&lt;wsp:rsid wsp:val=&quot;00FF4483&quot;/&gt;&lt;wsp:rsid wsp:val=&quot;00FF5850&quot;/&gt;&lt;wsp:rsid wsp:val=&quot;00FF78D2&quot;/&gt;&lt;/wsp:rsids&gt;&lt;/w:docPr&gt;&lt;w:body&gt;&lt;wx:sect&gt;&lt;w:p wsp:rsidR=&quot;00000000&quot; wsp:rsidRDefault=&quot;00A325E2&quot; wsp:rsidP=&quot;00A325E2&quot;&gt;&lt;m:oMathPara&gt;&lt;m:oMath&gt;&lt;m:f&gt;&lt;m:fPr&gt;&lt;m:ctrlPr&gt;&lt;w:rPr&gt;&lt;w:rFonts w:ascii=&quot;Cambria Math&quot; w:h-ansi=&quot;Cambria Math&quot;/&gt;&lt;wx:font wx:val=&quot;Cambria Math&quot;/&gt;&lt;w:i/&gt;&lt;w:sz w:val=&quot;24&quot;/&gt;&lt;w:sz-cs w:val=&quot;24&quot;/&gt;&lt;w:lang w:val=&quot;ES&quot;/&gt;&lt;/w:rPr&gt;&lt;/m:ctrlPr&gt;&lt;/m:fPr&gt;&lt;m:num&gt;&lt;m:r&gt;&lt;w:rPr&gt;&lt;w:rFonts w:ascii=&quot;Cambria Math&quot; w:h-ansi=&quot;Cambria Math&quot;/&gt;&lt;wx:font wx:val=&quot;Cambria Math&quot;/&gt;&lt;w:i/&gt;&lt;w:sz w:val=&quot;24&quot;/&gt;&lt;w:sz-cs w:val=&quot;24&quot;/&gt;&lt;w:lang w:val=&quot;ES&quot;/&gt;&lt;/w:rPr&gt;&lt;m:t&gt;CR&lt;/m:t&gt;&lt;/m:r&gt;&lt;m:r&gt;&lt;w:rPr&gt;&lt;w:rFonts w:ascii=&quot;Cambria Math&quot; w:h-ansi=&quot;Cambria Math&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S&quot;/&gt;&lt;/w:rPr&gt;&lt;m:t&gt;score&lt;/m:t&gt;&lt;/m:r&gt;&lt;m:r&gt;&lt;m:rPr&gt;&lt;m:nor/&gt;&lt;/m:rPr&gt;&lt;w:rPr&gt;&lt;w:sz w:val=&quot;24&quot;/&gt;&lt;w:sz-cs w:val=&quot;24&quot;/&gt;&lt;w:lang w:val=&quot;EN-US&quot;/&gt;&lt;/w:rPr&gt;&lt;m:t&gt; + Years of schooling + Occupational complexity&lt;/m:t&gt;&lt;/m:r&gt;&lt;/m:num&gt;&lt;m:den&gt;&lt;m:r&gt;&lt;m:rPr&gt;&lt;m:nor/&gt;&lt;/m:rPr&gt;&lt;w:rPr&gt;&lt;w:sz w:val=&quot;24&quot;/&gt;&lt;w:sz-cs w:val=&quot;24&quot;/&gt;&lt;w:lang w:val=&quot;EN-US&quot;/&gt;&lt;/w:rPr&gt;&lt;m:t&gt;303&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7" o:title="" chromakey="white"/>
          </v:shape>
        </w:pict>
      </w:r>
      <w:r w:rsidR="00DD2C41" w:rsidRPr="00DD2C41">
        <w:rPr>
          <w:rFonts w:eastAsiaTheme="minorEastAsia"/>
          <w:sz w:val="24"/>
          <w:szCs w:val="24"/>
          <w:lang w:val="en-US"/>
        </w:rPr>
        <w:instrText xml:space="preserve"> </w:instrText>
      </w:r>
      <w:r w:rsidR="00DD2C41" w:rsidRPr="00DD2C41">
        <w:rPr>
          <w:rFonts w:eastAsiaTheme="minorEastAsia"/>
          <w:sz w:val="24"/>
          <w:szCs w:val="24"/>
          <w:lang w:val="en-US"/>
        </w:rPr>
        <w:fldChar w:fldCharType="separate"/>
      </w:r>
      <w:r w:rsidR="00667F8F">
        <w:rPr>
          <w:noProof/>
          <w:position w:val="-40"/>
        </w:rPr>
        <w:pict w14:anchorId="3DAA7F92">
          <v:shape id="_x0000_i1025" type="#_x0000_t75" alt="" style="width:203.1pt;height:35.1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3&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379B&quot;/&gt;&lt;wsp:rsid wsp:val=&quot;0000217A&quot;/&gt;&lt;wsp:rsid wsp:val=&quot;00032712&quot;/&gt;&lt;wsp:rsid wsp:val=&quot;00036837&quot;/&gt;&lt;wsp:rsid wsp:val=&quot;000541FD&quot;/&gt;&lt;wsp:rsid wsp:val=&quot;00075111&quot;/&gt;&lt;wsp:rsid wsp:val=&quot;00082377&quot;/&gt;&lt;wsp:rsid wsp:val=&quot;000944D7&quot;/&gt;&lt;wsp:rsid wsp:val=&quot;00097E14&quot;/&gt;&lt;wsp:rsid wsp:val=&quot;000A3DE3&quot;/&gt;&lt;wsp:rsid wsp:val=&quot;000B1829&quot;/&gt;&lt;wsp:rsid wsp:val=&quot;000C01DA&quot;/&gt;&lt;wsp:rsid wsp:val=&quot;000C0D6F&quot;/&gt;&lt;wsp:rsid wsp:val=&quot;000C16E3&quot;/&gt;&lt;wsp:rsid wsp:val=&quot;000C3EBD&quot;/&gt;&lt;wsp:rsid wsp:val=&quot;000C7007&quot;/&gt;&lt;wsp:rsid wsp:val=&quot;000D6ADD&quot;/&gt;&lt;wsp:rsid wsp:val=&quot;000E647D&quot;/&gt;&lt;wsp:rsid wsp:val=&quot;00102AF1&quot;/&gt;&lt;wsp:rsid wsp:val=&quot;00104795&quot;/&gt;&lt;wsp:rsid wsp:val=&quot;00107195&quot;/&gt;&lt;wsp:rsid wsp:val=&quot;00112987&quot;/&gt;&lt;wsp:rsid wsp:val=&quot;00115BE8&quot;/&gt;&lt;wsp:rsid wsp:val=&quot;001213E1&quot;/&gt;&lt;wsp:rsid wsp:val=&quot;00121D21&quot;/&gt;&lt;wsp:rsid wsp:val=&quot;00132077&quot;/&gt;&lt;wsp:rsid wsp:val=&quot;001338F4&quot;/&gt;&lt;wsp:rsid wsp:val=&quot;001522B9&quot;/&gt;&lt;wsp:rsid wsp:val=&quot;00155201&quot;/&gt;&lt;wsp:rsid wsp:val=&quot;001B3127&quot;/&gt;&lt;wsp:rsid wsp:val=&quot;001D489C&quot;/&gt;&lt;wsp:rsid wsp:val=&quot;001F4A84&quot;/&gt;&lt;wsp:rsid wsp:val=&quot;001F6ED6&quot;/&gt;&lt;wsp:rsid wsp:val=&quot;00217869&quot;/&gt;&lt;wsp:rsid wsp:val=&quot;00222C53&quot;/&gt;&lt;wsp:rsid wsp:val=&quot;00234500&quot;/&gt;&lt;wsp:rsid wsp:val=&quot;002533D4&quot;/&gt;&lt;wsp:rsid wsp:val=&quot;002727D0&quot;/&gt;&lt;wsp:rsid wsp:val=&quot;002768E7&quot;/&gt;&lt;wsp:rsid wsp:val=&quot;00284E40&quot;/&gt;&lt;wsp:rsid wsp:val=&quot;00292AC4&quot;/&gt;&lt;wsp:rsid wsp:val=&quot;0029784D&quot;/&gt;&lt;wsp:rsid wsp:val=&quot;002C06FF&quot;/&gt;&lt;wsp:rsid wsp:val=&quot;002D1840&quot;/&gt;&lt;wsp:rsid wsp:val=&quot;002E1D6D&quot;/&gt;&lt;wsp:rsid wsp:val=&quot;00306845&quot;/&gt;&lt;wsp:rsid wsp:val=&quot;00316C63&quot;/&gt;&lt;wsp:rsid wsp:val=&quot;00381AB2&quot;/&gt;&lt;wsp:rsid wsp:val=&quot;003914CB&quot;/&gt;&lt;wsp:rsid wsp:val=&quot;003A538D&quot;/&gt;&lt;wsp:rsid wsp:val=&quot;003B650D&quot;/&gt;&lt;wsp:rsid wsp:val=&quot;003C5AB9&quot;/&gt;&lt;wsp:rsid wsp:val=&quot;00403A5C&quot;/&gt;&lt;wsp:rsid wsp:val=&quot;004546BC&quot;/&gt;&lt;wsp:rsid wsp:val=&quot;00456D49&quot;/&gt;&lt;wsp:rsid wsp:val=&quot;004A32A1&quot;/&gt;&lt;wsp:rsid wsp:val=&quot;004A7B02&quot;/&gt;&lt;wsp:rsid wsp:val=&quot;004B6E06&quot;/&gt;&lt;wsp:rsid wsp:val=&quot;004B7578&quot;/&gt;&lt;wsp:rsid wsp:val=&quot;004C2944&quot;/&gt;&lt;wsp:rsid wsp:val=&quot;004D2068&quot;/&gt;&lt;wsp:rsid wsp:val=&quot;004D28F5&quot;/&gt;&lt;wsp:rsid wsp:val=&quot;004F4A0B&quot;/&gt;&lt;wsp:rsid wsp:val=&quot;00505CD3&quot;/&gt;&lt;wsp:rsid wsp:val=&quot;0050639D&quot;/&gt;&lt;wsp:rsid wsp:val=&quot;00506A0A&quot;/&gt;&lt;wsp:rsid wsp:val=&quot;005153CF&quot;/&gt;&lt;wsp:rsid wsp:val=&quot;00515FB3&quot;/&gt;&lt;wsp:rsid wsp:val=&quot;00523C10&quot;/&gt;&lt;wsp:rsid wsp:val=&quot;00541253&quot;/&gt;&lt;wsp:rsid wsp:val=&quot;00550366&quot;/&gt;&lt;wsp:rsid wsp:val=&quot;005662DF&quot;/&gt;&lt;wsp:rsid wsp:val=&quot;00571667&quot;/&gt;&lt;wsp:rsid wsp:val=&quot;005740FC&quot;/&gt;&lt;wsp:rsid wsp:val=&quot;005A6341&quot;/&gt;&lt;wsp:rsid wsp:val=&quot;005B293F&quot;/&gt;&lt;wsp:rsid wsp:val=&quot;005D2F75&quot;/&gt;&lt;wsp:rsid wsp:val=&quot;005E4119&quot;/&gt;&lt;wsp:rsid wsp:val=&quot;005E7CBC&quot;/&gt;&lt;wsp:rsid wsp:val=&quot;00606E03&quot;/&gt;&lt;wsp:rsid wsp:val=&quot;00620025&quot;/&gt;&lt;wsp:rsid wsp:val=&quot;00624897&quot;/&gt;&lt;wsp:rsid wsp:val=&quot;00624940&quot;/&gt;&lt;wsp:rsid wsp:val=&quot;00632C3F&quot;/&gt;&lt;wsp:rsid wsp:val=&quot;00637315&quot;/&gt;&lt;wsp:rsid wsp:val=&quot;0065170A&quot;/&gt;&lt;wsp:rsid wsp:val=&quot;00656CBB&quot;/&gt;&lt;wsp:rsid wsp:val=&quot;00665D46&quot;/&gt;&lt;wsp:rsid wsp:val=&quot;00673422&quot;/&gt;&lt;wsp:rsid wsp:val=&quot;00685225&quot;/&gt;&lt;wsp:rsid wsp:val=&quot;00695F74&quot;/&gt;&lt;wsp:rsid wsp:val=&quot;006A13BF&quot;/&gt;&lt;wsp:rsid wsp:val=&quot;006B50E4&quot;/&gt;&lt;wsp:rsid wsp:val=&quot;006D5A8D&quot;/&gt;&lt;wsp:rsid wsp:val=&quot;006E379B&quot;/&gt;&lt;wsp:rsid wsp:val=&quot;006F0FE7&quot;/&gt;&lt;wsp:rsid wsp:val=&quot;006F3613&quot;/&gt;&lt;wsp:rsid wsp:val=&quot;006F7F6C&quot;/&gt;&lt;wsp:rsid wsp:val=&quot;007020FE&quot;/&gt;&lt;wsp:rsid wsp:val=&quot;00705E51&quot;/&gt;&lt;wsp:rsid wsp:val=&quot;00730D34&quot;/&gt;&lt;wsp:rsid wsp:val=&quot;00737D38&quot;/&gt;&lt;wsp:rsid wsp:val=&quot;0078345E&quot;/&gt;&lt;wsp:rsid wsp:val=&quot;007919B0&quot;/&gt;&lt;wsp:rsid wsp:val=&quot;00792125&quot;/&gt;&lt;wsp:rsid wsp:val=&quot;007B2449&quot;/&gt;&lt;wsp:rsid wsp:val=&quot;007B4250&quot;/&gt;&lt;wsp:rsid wsp:val=&quot;007D6831&quot;/&gt;&lt;wsp:rsid wsp:val=&quot;007F02C8&quot;/&gt;&lt;wsp:rsid wsp:val=&quot;007F0E56&quot;/&gt;&lt;wsp:rsid wsp:val=&quot;007F1A4B&quot;/&gt;&lt;wsp:rsid wsp:val=&quot;007F248B&quot;/&gt;&lt;wsp:rsid wsp:val=&quot;007F6818&quot;/&gt;&lt;wsp:rsid wsp:val=&quot;008233C5&quot;/&gt;&lt;wsp:rsid wsp:val=&quot;008428F3&quot;/&gt;&lt;wsp:rsid wsp:val=&quot;008D3230&quot;/&gt;&lt;wsp:rsid wsp:val=&quot;008F1743&quot;/&gt;&lt;wsp:rsid wsp:val=&quot;009152EC&quot;/&gt;&lt;wsp:rsid wsp:val=&quot;00925FC3&quot;/&gt;&lt;wsp:rsid wsp:val=&quot;009319C6&quot;/&gt;&lt;wsp:rsid wsp:val=&quot;00935314&quot;/&gt;&lt;wsp:rsid wsp:val=&quot;00935B61&quot;/&gt;&lt;wsp:rsid wsp:val=&quot;0096648E&quot;/&gt;&lt;wsp:rsid wsp:val=&quot;00972C7A&quot;/&gt;&lt;wsp:rsid wsp:val=&quot;009853B8&quot;/&gt;&lt;wsp:rsid wsp:val=&quot;009942C2&quot;/&gt;&lt;wsp:rsid wsp:val=&quot;009A0B96&quot;/&gt;&lt;wsp:rsid wsp:val=&quot;009A7A9A&quot;/&gt;&lt;wsp:rsid wsp:val=&quot;009C0395&quot;/&gt;&lt;wsp:rsid wsp:val=&quot;009C7B3A&quot;/&gt;&lt;wsp:rsid wsp:val=&quot;009D43FB&quot;/&gt;&lt;wsp:rsid wsp:val=&quot;009F1EF3&quot;/&gt;&lt;wsp:rsid wsp:val=&quot;009F2AE2&quot;/&gt;&lt;wsp:rsid wsp:val=&quot;009F4E8D&quot;/&gt;&lt;wsp:rsid wsp:val=&quot;00A325E2&quot;/&gt;&lt;wsp:rsid wsp:val=&quot;00A4241B&quot;/&gt;&lt;wsp:rsid wsp:val=&quot;00A51FB1&quot;/&gt;&lt;wsp:rsid wsp:val=&quot;00A70989&quot;/&gt;&lt;wsp:rsid wsp:val=&quot;00A87194&quot;/&gt;&lt;wsp:rsid wsp:val=&quot;00A9096A&quot;/&gt;&lt;wsp:rsid wsp:val=&quot;00A9247F&quot;/&gt;&lt;wsp:rsid wsp:val=&quot;00A93D6C&quot;/&gt;&lt;wsp:rsid wsp:val=&quot;00AC2EDC&quot;/&gt;&lt;wsp:rsid wsp:val=&quot;00AC37A4&quot;/&gt;&lt;wsp:rsid wsp:val=&quot;00AE445F&quot;/&gt;&lt;wsp:rsid wsp:val=&quot;00AE55D6&quot;/&gt;&lt;wsp:rsid wsp:val=&quot;00B06EC1&quot;/&gt;&lt;wsp:rsid wsp:val=&quot;00B131F6&quot;/&gt;&lt;wsp:rsid wsp:val=&quot;00B31EE5&quot;/&gt;&lt;wsp:rsid wsp:val=&quot;00B3566A&quot;/&gt;&lt;wsp:rsid wsp:val=&quot;00B67AB2&quot;/&gt;&lt;wsp:rsid wsp:val=&quot;00B84C22&quot;/&gt;&lt;wsp:rsid wsp:val=&quot;00B864E6&quot;/&gt;&lt;wsp:rsid wsp:val=&quot;00B93435&quot;/&gt;&lt;wsp:rsid wsp:val=&quot;00B967A3&quot;/&gt;&lt;wsp:rsid wsp:val=&quot;00BA2516&quot;/&gt;&lt;wsp:rsid wsp:val=&quot;00BC4A67&quot;/&gt;&lt;wsp:rsid wsp:val=&quot;00BF7E49&quot;/&gt;&lt;wsp:rsid wsp:val=&quot;00C0723C&quot;/&gt;&lt;wsp:rsid wsp:val=&quot;00C229B0&quot;/&gt;&lt;wsp:rsid wsp:val=&quot;00C31707&quot;/&gt;&lt;wsp:rsid wsp:val=&quot;00C56E77&quot;/&gt;&lt;wsp:rsid wsp:val=&quot;00C758AF&quot;/&gt;&lt;wsp:rsid wsp:val=&quot;00C82336&quot;/&gt;&lt;wsp:rsid wsp:val=&quot;00C97E07&quot;/&gt;&lt;wsp:rsid wsp:val=&quot;00CA01CE&quot;/&gt;&lt;wsp:rsid wsp:val=&quot;00CA13E5&quot;/&gt;&lt;wsp:rsid wsp:val=&quot;00CB270D&quot;/&gt;&lt;wsp:rsid wsp:val=&quot;00CB7492&quot;/&gt;&lt;wsp:rsid wsp:val=&quot;00CC4AB6&quot;/&gt;&lt;wsp:rsid wsp:val=&quot;00CE60C3&quot;/&gt;&lt;wsp:rsid wsp:val=&quot;00D100C9&quot;/&gt;&lt;wsp:rsid wsp:val=&quot;00D120ED&quot;/&gt;&lt;wsp:rsid wsp:val=&quot;00D45CEF&quot;/&gt;&lt;wsp:rsid wsp:val=&quot;00D57A69&quot;/&gt;&lt;wsp:rsid wsp:val=&quot;00D57A84&quot;/&gt;&lt;wsp:rsid wsp:val=&quot;00D62DAC&quot;/&gt;&lt;wsp:rsid wsp:val=&quot;00D65B8A&quot;/&gt;&lt;wsp:rsid wsp:val=&quot;00D71157&quot;/&gt;&lt;wsp:rsid wsp:val=&quot;00DC2B9A&quot;/&gt;&lt;wsp:rsid wsp:val=&quot;00DD2C41&quot;/&gt;&lt;wsp:rsid wsp:val=&quot;00DD601E&quot;/&gt;&lt;wsp:rsid wsp:val=&quot;00DE2E63&quot;/&gt;&lt;wsp:rsid wsp:val=&quot;00DF28A9&quot;/&gt;&lt;wsp:rsid wsp:val=&quot;00E12F57&quot;/&gt;&lt;wsp:rsid wsp:val=&quot;00E15FB3&quot;/&gt;&lt;wsp:rsid wsp:val=&quot;00E23C78&quot;/&gt;&lt;wsp:rsid wsp:val=&quot;00E23E11&quot;/&gt;&lt;wsp:rsid wsp:val=&quot;00E300AB&quot;/&gt;&lt;wsp:rsid wsp:val=&quot;00E33040&quot;/&gt;&lt;wsp:rsid wsp:val=&quot;00E34177&quot;/&gt;&lt;wsp:rsid wsp:val=&quot;00E67A84&quot;/&gt;&lt;wsp:rsid wsp:val=&quot;00E77932&quot;/&gt;&lt;wsp:rsid wsp:val=&quot;00E80A63&quot;/&gt;&lt;wsp:rsid wsp:val=&quot;00EB214D&quot;/&gt;&lt;wsp:rsid wsp:val=&quot;00EB29A9&quot;/&gt;&lt;wsp:rsid wsp:val=&quot;00EB7FB8&quot;/&gt;&lt;wsp:rsid wsp:val=&quot;00EC2045&quot;/&gt;&lt;wsp:rsid wsp:val=&quot;00EC316D&quot;/&gt;&lt;wsp:rsid wsp:val=&quot;00EE57C4&quot;/&gt;&lt;wsp:rsid wsp:val=&quot;00F165F7&quot;/&gt;&lt;wsp:rsid wsp:val=&quot;00F40758&quot;/&gt;&lt;wsp:rsid wsp:val=&quot;00F442F7&quot;/&gt;&lt;wsp:rsid wsp:val=&quot;00F57592&quot;/&gt;&lt;wsp:rsid wsp:val=&quot;00F65864&quot;/&gt;&lt;wsp:rsid wsp:val=&quot;00F676D3&quot;/&gt;&lt;wsp:rsid wsp:val=&quot;00F71F5C&quot;/&gt;&lt;wsp:rsid wsp:val=&quot;00F826AF&quot;/&gt;&lt;wsp:rsid wsp:val=&quot;00F8387E&quot;/&gt;&lt;wsp:rsid wsp:val=&quot;00F83BB5&quot;/&gt;&lt;wsp:rsid wsp:val=&quot;00F93F3F&quot;/&gt;&lt;wsp:rsid wsp:val=&quot;00F965C7&quot;/&gt;&lt;wsp:rsid wsp:val=&quot;00FA0C78&quot;/&gt;&lt;wsp:rsid wsp:val=&quot;00FA6728&quot;/&gt;&lt;wsp:rsid wsp:val=&quot;00FB1301&quot;/&gt;&lt;wsp:rsid wsp:val=&quot;00FB378B&quot;/&gt;&lt;wsp:rsid wsp:val=&quot;00FB3EA6&quot;/&gt;&lt;wsp:rsid wsp:val=&quot;00FD441C&quot;/&gt;&lt;wsp:rsid wsp:val=&quot;00FD70DA&quot;/&gt;&lt;wsp:rsid wsp:val=&quot;00FE7E9B&quot;/&gt;&lt;wsp:rsid wsp:val=&quot;00FF4483&quot;/&gt;&lt;wsp:rsid wsp:val=&quot;00FF5850&quot;/&gt;&lt;wsp:rsid wsp:val=&quot;00FF78D2&quot;/&gt;&lt;/wsp:rsids&gt;&lt;/w:docPr&gt;&lt;w:body&gt;&lt;wx:sect&gt;&lt;w:p wsp:rsidR=&quot;00000000&quot; wsp:rsidRDefault=&quot;00A325E2&quot; wsp:rsidP=&quot;00A325E2&quot;&gt;&lt;m:oMathPara&gt;&lt;m:oMath&gt;&lt;m:f&gt;&lt;m:fPr&gt;&lt;m:ctrlPr&gt;&lt;w:rPr&gt;&lt;w:rFonts w:ascii=&quot;Cambria Math&quot; w:h-ansi=&quot;Cambria Math&quot;/&gt;&lt;wx:font wx:val=&quot;Cambria Math&quot;/&gt;&lt;w:i/&gt;&lt;w:sz w:val=&quot;24&quot;/&gt;&lt;w:sz-cs w:val=&quot;24&quot;/&gt;&lt;w:lang w:val=&quot;ES&quot;/&gt;&lt;/w:rPr&gt;&lt;/m:ctrlPr&gt;&lt;/m:fPr&gt;&lt;m:num&gt;&lt;m:r&gt;&lt;w:rPr&gt;&lt;w:rFonts w:ascii=&quot;Cambria Math&quot; w:h-ansi=&quot;Cambria Math&quot;/&gt;&lt;wx:font wx:val=&quot;Cambria Math&quot;/&gt;&lt;w:i/&gt;&lt;w:sz w:val=&quot;24&quot;/&gt;&lt;w:sz-cs w:val=&quot;24&quot;/&gt;&lt;w:lang w:val=&quot;ES&quot;/&gt;&lt;/w:rPr&gt;&lt;m:t&gt;CR&lt;/m:t&gt;&lt;/m:r&gt;&lt;m:r&gt;&lt;w:rPr&gt;&lt;w:rFonts w:ascii=&quot;Cambria Math&quot; w:h-ansi=&quot;Cambria Math&quot;/&gt;&lt;wx:font wx:val=&quot;Cambria Math&quot;/&gt;&lt;w:i/&gt;&lt;w:sz w:val=&quot;24&quot;/&gt;&lt;w:sz-cs w:val=&quot;24&quot;/&gt;&lt;w:lang w:val=&quot;EN-US&quot;/&gt;&lt;/w:rPr&gt;&lt;m:t&gt; &lt;/m:t&gt;&lt;/m:r&gt;&lt;m:r&gt;&lt;w:rPr&gt;&lt;w:rFonts w:ascii=&quot;Cambria Math&quot; w:h-ansi=&quot;Cambria Math&quot;/&gt;&lt;wx:font wx:val=&quot;Cambria Math&quot;/&gt;&lt;w:i/&gt;&lt;w:sz w:val=&quot;24&quot;/&gt;&lt;w:sz-cs w:val=&quot;24&quot;/&gt;&lt;w:lang w:val=&quot;ES&quot;/&gt;&lt;/w:rPr&gt;&lt;m:t&gt;score&lt;/m:t&gt;&lt;/m:r&gt;&lt;m:r&gt;&lt;m:rPr&gt;&lt;m:nor/&gt;&lt;/m:rPr&gt;&lt;w:rPr&gt;&lt;w:sz w:val=&quot;24&quot;/&gt;&lt;w:sz-cs w:val=&quot;24&quot;/&gt;&lt;w:lang w:val=&quot;EN-US&quot;/&gt;&lt;/w:rPr&gt;&lt;m:t&gt; + Years of schooling + Occupational complexity&lt;/m:t&gt;&lt;/m:r&gt;&lt;/m:num&gt;&lt;m:den&gt;&lt;m:r&gt;&lt;m:rPr&gt;&lt;m:nor/&gt;&lt;/m:rPr&gt;&lt;w:rPr&gt;&lt;w:sz w:val=&quot;24&quot;/&gt;&lt;w:sz-cs w:val=&quot;24&quot;/&gt;&lt;w:lang w:val=&quot;EN-US&quot;/&gt;&lt;/w:rPr&gt;&lt;m:t&gt;303&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7" o:title="" chromakey="white"/>
          </v:shape>
        </w:pict>
      </w:r>
      <w:r w:rsidR="00DD2C41" w:rsidRPr="00DD2C41">
        <w:rPr>
          <w:rFonts w:eastAsiaTheme="minorEastAsia"/>
          <w:sz w:val="24"/>
          <w:szCs w:val="24"/>
          <w:lang w:val="en-US"/>
        </w:rPr>
        <w:fldChar w:fldCharType="end"/>
      </w:r>
    </w:p>
    <w:p w14:paraId="5E49F97E" w14:textId="77777777" w:rsidR="00075111" w:rsidRPr="00C56E77" w:rsidRDefault="00075111" w:rsidP="00DE2E63">
      <w:pPr>
        <w:spacing w:line="240" w:lineRule="auto"/>
        <w:rPr>
          <w:sz w:val="24"/>
          <w:szCs w:val="24"/>
          <w:lang w:val="en-US"/>
        </w:rPr>
      </w:pPr>
    </w:p>
    <w:p w14:paraId="1C3370B6" w14:textId="1D2CBB42" w:rsidR="00705E51" w:rsidRPr="00C56E77" w:rsidRDefault="003A538D" w:rsidP="00DE2E63">
      <w:pPr>
        <w:spacing w:line="240" w:lineRule="auto"/>
        <w:rPr>
          <w:sz w:val="24"/>
          <w:szCs w:val="24"/>
          <w:lang w:val="en-US"/>
        </w:rPr>
      </w:pPr>
      <w:r w:rsidRPr="00C56E77">
        <w:rPr>
          <w:sz w:val="24"/>
          <w:szCs w:val="24"/>
          <w:lang w:val="en-US"/>
        </w:rPr>
        <w:t xml:space="preserve">Where the </w:t>
      </w:r>
      <w:r w:rsidRPr="00C56E77">
        <w:rPr>
          <w:i/>
          <w:iCs/>
          <w:sz w:val="24"/>
          <w:szCs w:val="24"/>
          <w:lang w:val="en-US"/>
        </w:rPr>
        <w:t>CR Score</w:t>
      </w:r>
      <w:r w:rsidRPr="00C56E77">
        <w:rPr>
          <w:sz w:val="24"/>
          <w:szCs w:val="24"/>
          <w:lang w:val="en-US"/>
        </w:rPr>
        <w:t xml:space="preserve"> is the score obtained by the participant in the cognitive reserve instrument and 303 is the total score that can be obtained by adding the three components of the Index. The result of the calculation is a value between 0 and 1 where the higher scores indicate that the participant has more indicators that favor cognitive reserve, this score was used as a measure of the level of cognitive reserve for each participant.</w:t>
      </w:r>
    </w:p>
    <w:p w14:paraId="7C77BBCC" w14:textId="74C93A77" w:rsidR="00705E51" w:rsidRPr="00C56E77" w:rsidRDefault="00705E51" w:rsidP="00DE2E63">
      <w:pPr>
        <w:spacing w:line="240" w:lineRule="auto"/>
        <w:rPr>
          <w:color w:val="FF0000"/>
          <w:sz w:val="24"/>
          <w:szCs w:val="24"/>
          <w:lang w:val="en-US"/>
        </w:rPr>
      </w:pPr>
      <w:r w:rsidRPr="00DD2C41">
        <w:rPr>
          <w:color w:val="000000"/>
          <w:sz w:val="24"/>
          <w:szCs w:val="24"/>
          <w:lang w:val="en-US"/>
        </w:rPr>
        <w:lastRenderedPageBreak/>
        <w:t xml:space="preserve">The electroencephalogram (EEG) was </w:t>
      </w:r>
      <w:r w:rsidR="00D71157" w:rsidRPr="00DD2C41">
        <w:rPr>
          <w:color w:val="000000"/>
          <w:sz w:val="24"/>
          <w:szCs w:val="24"/>
          <w:lang w:val="en-US"/>
        </w:rPr>
        <w:t>recorded</w:t>
      </w:r>
      <w:r w:rsidRPr="00DD2C41">
        <w:rPr>
          <w:color w:val="000000"/>
          <w:sz w:val="24"/>
          <w:szCs w:val="24"/>
          <w:lang w:val="en-US"/>
        </w:rPr>
        <w:t xml:space="preserve"> </w:t>
      </w:r>
      <w:r w:rsidR="00B967A3" w:rsidRPr="00DD2C41">
        <w:rPr>
          <w:color w:val="000000"/>
          <w:sz w:val="24"/>
          <w:szCs w:val="24"/>
          <w:lang w:val="en-US"/>
        </w:rPr>
        <w:t xml:space="preserve">in the mornings </w:t>
      </w:r>
      <w:r w:rsidRPr="00DD2C41">
        <w:rPr>
          <w:color w:val="000000"/>
          <w:sz w:val="24"/>
          <w:szCs w:val="24"/>
          <w:lang w:val="en-US"/>
        </w:rPr>
        <w:t>between 09:00 and 1</w:t>
      </w:r>
      <w:r w:rsidR="00B967A3" w:rsidRPr="00DD2C41">
        <w:rPr>
          <w:color w:val="000000"/>
          <w:sz w:val="24"/>
          <w:szCs w:val="24"/>
          <w:lang w:val="en-US"/>
        </w:rPr>
        <w:t>1</w:t>
      </w:r>
      <w:r w:rsidRPr="00DD2C41">
        <w:rPr>
          <w:color w:val="000000"/>
          <w:sz w:val="24"/>
          <w:szCs w:val="24"/>
          <w:lang w:val="en-US"/>
        </w:rPr>
        <w:t>:</w:t>
      </w:r>
      <w:r w:rsidR="00B967A3" w:rsidRPr="00DD2C41">
        <w:rPr>
          <w:color w:val="000000"/>
          <w:sz w:val="24"/>
          <w:szCs w:val="24"/>
          <w:lang w:val="en-US"/>
        </w:rPr>
        <w:t>59</w:t>
      </w:r>
      <w:r w:rsidRPr="00DD2C41">
        <w:rPr>
          <w:color w:val="000000"/>
          <w:sz w:val="24"/>
          <w:szCs w:val="24"/>
          <w:lang w:val="en-US"/>
        </w:rPr>
        <w:t xml:space="preserve"> </w:t>
      </w:r>
      <w:r w:rsidR="00B967A3" w:rsidRPr="00DD2C41">
        <w:rPr>
          <w:color w:val="000000"/>
          <w:sz w:val="24"/>
          <w:szCs w:val="24"/>
          <w:lang w:val="en-US"/>
        </w:rPr>
        <w:t>a.m.</w:t>
      </w:r>
      <w:r w:rsidRPr="00DD2C41">
        <w:rPr>
          <w:color w:val="000000"/>
          <w:sz w:val="24"/>
          <w:szCs w:val="24"/>
          <w:lang w:val="en-US"/>
        </w:rPr>
        <w:t xml:space="preserve"> in a cubicle with dim light, free of distracting stimuli and electrically isolated</w:t>
      </w:r>
      <w:r w:rsidR="00B967A3" w:rsidRPr="00DD2C41">
        <w:rPr>
          <w:color w:val="000000"/>
          <w:sz w:val="24"/>
          <w:szCs w:val="24"/>
          <w:lang w:val="en-US"/>
        </w:rPr>
        <w:t>.</w:t>
      </w:r>
      <w:r w:rsidRPr="00DD2C41">
        <w:rPr>
          <w:color w:val="000000"/>
          <w:sz w:val="24"/>
          <w:szCs w:val="24"/>
          <w:lang w:val="en-US"/>
        </w:rPr>
        <w:t xml:space="preserve"> </w:t>
      </w:r>
      <w:r w:rsidR="00B967A3" w:rsidRPr="00DD2C41">
        <w:rPr>
          <w:color w:val="000000"/>
          <w:sz w:val="24"/>
          <w:szCs w:val="24"/>
          <w:lang w:val="en-US"/>
        </w:rPr>
        <w:t>I</w:t>
      </w:r>
      <w:r w:rsidRPr="00DD2C41">
        <w:rPr>
          <w:color w:val="000000"/>
          <w:sz w:val="24"/>
          <w:szCs w:val="24"/>
          <w:lang w:val="en-US"/>
        </w:rPr>
        <w:t xml:space="preserve">t was recorded with the software Curry Neuroimaging Suit 7.0.10 XS </w:t>
      </w:r>
      <w:proofErr w:type="spellStart"/>
      <w:r w:rsidRPr="00DD2C41">
        <w:rPr>
          <w:color w:val="000000"/>
          <w:sz w:val="24"/>
          <w:szCs w:val="24"/>
          <w:lang w:val="en-US"/>
        </w:rPr>
        <w:t>Neuroscan</w:t>
      </w:r>
      <w:proofErr w:type="spellEnd"/>
      <w:r w:rsidRPr="00DD2C41">
        <w:rPr>
          <w:color w:val="000000"/>
          <w:sz w:val="24"/>
          <w:szCs w:val="24"/>
          <w:lang w:val="en-US"/>
        </w:rPr>
        <w:t xml:space="preserve"> System with 32 Au (gold) electrodes placed according to the International 10-20 System on the scalp in the leads: FP1</w:t>
      </w:r>
      <w:r w:rsidR="00B967A3" w:rsidRPr="00DD2C41">
        <w:rPr>
          <w:color w:val="000000"/>
          <w:sz w:val="24"/>
          <w:szCs w:val="24"/>
          <w:lang w:val="en-US"/>
        </w:rPr>
        <w:t>-</w:t>
      </w:r>
      <w:r w:rsidRPr="00DD2C41">
        <w:rPr>
          <w:color w:val="000000"/>
          <w:sz w:val="24"/>
          <w:szCs w:val="24"/>
          <w:lang w:val="en-US"/>
        </w:rPr>
        <w:t>FP2, F7</w:t>
      </w:r>
      <w:r w:rsidR="00B967A3" w:rsidRPr="00DD2C41">
        <w:rPr>
          <w:color w:val="000000"/>
          <w:sz w:val="24"/>
          <w:szCs w:val="24"/>
          <w:lang w:val="en-US"/>
        </w:rPr>
        <w:t xml:space="preserve">-F8, </w:t>
      </w:r>
      <w:r w:rsidRPr="00DD2C41">
        <w:rPr>
          <w:color w:val="000000"/>
          <w:sz w:val="24"/>
          <w:szCs w:val="24"/>
          <w:lang w:val="en-US"/>
        </w:rPr>
        <w:t>F3</w:t>
      </w:r>
      <w:r w:rsidR="00B967A3" w:rsidRPr="00DD2C41">
        <w:rPr>
          <w:color w:val="000000"/>
          <w:sz w:val="24"/>
          <w:szCs w:val="24"/>
          <w:lang w:val="en-US"/>
        </w:rPr>
        <w:t>-F4,</w:t>
      </w:r>
      <w:r w:rsidRPr="00DD2C41">
        <w:rPr>
          <w:color w:val="000000"/>
          <w:sz w:val="24"/>
          <w:szCs w:val="24"/>
          <w:lang w:val="en-US"/>
        </w:rPr>
        <w:t xml:space="preserve"> </w:t>
      </w:r>
      <w:proofErr w:type="spellStart"/>
      <w:r w:rsidRPr="00DD2C41">
        <w:rPr>
          <w:color w:val="000000"/>
          <w:sz w:val="24"/>
          <w:szCs w:val="24"/>
          <w:lang w:val="en-US"/>
        </w:rPr>
        <w:t>Fz</w:t>
      </w:r>
      <w:proofErr w:type="spellEnd"/>
      <w:r w:rsidRPr="00DD2C41">
        <w:rPr>
          <w:color w:val="000000"/>
          <w:sz w:val="24"/>
          <w:szCs w:val="24"/>
          <w:lang w:val="en-US"/>
        </w:rPr>
        <w:t>, FT7</w:t>
      </w:r>
      <w:r w:rsidR="00B967A3" w:rsidRPr="00DD2C41">
        <w:rPr>
          <w:color w:val="000000"/>
          <w:sz w:val="24"/>
          <w:szCs w:val="24"/>
          <w:lang w:val="en-US"/>
        </w:rPr>
        <w:t>-FT8</w:t>
      </w:r>
      <w:r w:rsidRPr="00DD2C41">
        <w:rPr>
          <w:color w:val="000000"/>
          <w:sz w:val="24"/>
          <w:szCs w:val="24"/>
          <w:lang w:val="en-US"/>
        </w:rPr>
        <w:t>, FC3</w:t>
      </w:r>
      <w:r w:rsidR="00B967A3" w:rsidRPr="00DD2C41">
        <w:rPr>
          <w:color w:val="000000"/>
          <w:sz w:val="24"/>
          <w:szCs w:val="24"/>
          <w:lang w:val="en-US"/>
        </w:rPr>
        <w:t>-FC4</w:t>
      </w:r>
      <w:r w:rsidRPr="00DD2C41">
        <w:rPr>
          <w:color w:val="000000"/>
          <w:sz w:val="24"/>
          <w:szCs w:val="24"/>
          <w:lang w:val="en-US"/>
        </w:rPr>
        <w:t xml:space="preserve">, </w:t>
      </w:r>
      <w:proofErr w:type="spellStart"/>
      <w:r w:rsidRPr="00DD2C41">
        <w:rPr>
          <w:color w:val="000000"/>
          <w:sz w:val="24"/>
          <w:szCs w:val="24"/>
          <w:lang w:val="en-US"/>
        </w:rPr>
        <w:t>FCz</w:t>
      </w:r>
      <w:proofErr w:type="spellEnd"/>
      <w:r w:rsidRPr="00DD2C41">
        <w:rPr>
          <w:color w:val="000000"/>
          <w:sz w:val="24"/>
          <w:szCs w:val="24"/>
          <w:lang w:val="en-US"/>
        </w:rPr>
        <w:t xml:space="preserve"> ,</w:t>
      </w:r>
      <w:r w:rsidR="00B967A3" w:rsidRPr="00DD2C41">
        <w:rPr>
          <w:color w:val="000000"/>
          <w:sz w:val="24"/>
          <w:szCs w:val="24"/>
          <w:lang w:val="en-US"/>
        </w:rPr>
        <w:t xml:space="preserve"> </w:t>
      </w:r>
      <w:r w:rsidRPr="00DD2C41">
        <w:rPr>
          <w:color w:val="000000"/>
          <w:sz w:val="24"/>
          <w:szCs w:val="24"/>
          <w:lang w:val="en-US"/>
        </w:rPr>
        <w:t>T7</w:t>
      </w:r>
      <w:r w:rsidR="00B967A3" w:rsidRPr="00DD2C41">
        <w:rPr>
          <w:color w:val="000000"/>
          <w:sz w:val="24"/>
          <w:szCs w:val="24"/>
          <w:lang w:val="en-US"/>
        </w:rPr>
        <w:t>-T8</w:t>
      </w:r>
      <w:r w:rsidRPr="00DD2C41">
        <w:rPr>
          <w:color w:val="000000"/>
          <w:sz w:val="24"/>
          <w:szCs w:val="24"/>
          <w:lang w:val="en-US"/>
        </w:rPr>
        <w:t>, C3</w:t>
      </w:r>
      <w:r w:rsidR="00B967A3" w:rsidRPr="00DD2C41">
        <w:rPr>
          <w:color w:val="000000"/>
          <w:sz w:val="24"/>
          <w:szCs w:val="24"/>
          <w:lang w:val="en-US"/>
        </w:rPr>
        <w:t>-C4</w:t>
      </w:r>
      <w:r w:rsidRPr="00DD2C41">
        <w:rPr>
          <w:color w:val="000000"/>
          <w:sz w:val="24"/>
          <w:szCs w:val="24"/>
          <w:lang w:val="en-US"/>
        </w:rPr>
        <w:t xml:space="preserve">, </w:t>
      </w:r>
      <w:proofErr w:type="spellStart"/>
      <w:r w:rsidRPr="00DD2C41">
        <w:rPr>
          <w:color w:val="000000"/>
          <w:sz w:val="24"/>
          <w:szCs w:val="24"/>
          <w:lang w:val="en-US"/>
        </w:rPr>
        <w:t>Cz</w:t>
      </w:r>
      <w:proofErr w:type="spellEnd"/>
      <w:r w:rsidR="00B967A3" w:rsidRPr="00DD2C41">
        <w:rPr>
          <w:color w:val="000000"/>
          <w:sz w:val="24"/>
          <w:szCs w:val="24"/>
          <w:lang w:val="en-US"/>
        </w:rPr>
        <w:t>,</w:t>
      </w:r>
      <w:r w:rsidRPr="00DD2C41">
        <w:rPr>
          <w:color w:val="000000"/>
          <w:sz w:val="24"/>
          <w:szCs w:val="24"/>
          <w:lang w:val="en-US"/>
        </w:rPr>
        <w:t xml:space="preserve"> TP7</w:t>
      </w:r>
      <w:r w:rsidR="00B967A3" w:rsidRPr="00DD2C41">
        <w:rPr>
          <w:color w:val="000000"/>
          <w:sz w:val="24"/>
          <w:szCs w:val="24"/>
          <w:lang w:val="en-US"/>
        </w:rPr>
        <w:t>-TP8</w:t>
      </w:r>
      <w:r w:rsidRPr="00DD2C41">
        <w:rPr>
          <w:color w:val="000000"/>
          <w:sz w:val="24"/>
          <w:szCs w:val="24"/>
          <w:lang w:val="en-US"/>
        </w:rPr>
        <w:t>, CP3</w:t>
      </w:r>
      <w:r w:rsidR="00B967A3" w:rsidRPr="00DD2C41">
        <w:rPr>
          <w:color w:val="000000"/>
          <w:sz w:val="24"/>
          <w:szCs w:val="24"/>
          <w:lang w:val="en-US"/>
        </w:rPr>
        <w:t>-CP4</w:t>
      </w:r>
      <w:r w:rsidRPr="00DD2C41">
        <w:rPr>
          <w:color w:val="000000"/>
          <w:sz w:val="24"/>
          <w:szCs w:val="24"/>
          <w:lang w:val="en-US"/>
        </w:rPr>
        <w:t xml:space="preserve">, </w:t>
      </w:r>
      <w:proofErr w:type="spellStart"/>
      <w:r w:rsidRPr="00DD2C41">
        <w:rPr>
          <w:color w:val="000000"/>
          <w:sz w:val="24"/>
          <w:szCs w:val="24"/>
          <w:lang w:val="en-US"/>
        </w:rPr>
        <w:t>CPz</w:t>
      </w:r>
      <w:proofErr w:type="spellEnd"/>
      <w:r w:rsidRPr="00DD2C41">
        <w:rPr>
          <w:color w:val="000000"/>
          <w:sz w:val="24"/>
          <w:szCs w:val="24"/>
          <w:lang w:val="en-US"/>
        </w:rPr>
        <w:t>, P7</w:t>
      </w:r>
      <w:r w:rsidR="00B967A3" w:rsidRPr="00DD2C41">
        <w:rPr>
          <w:color w:val="000000"/>
          <w:sz w:val="24"/>
          <w:szCs w:val="24"/>
          <w:lang w:val="en-US"/>
        </w:rPr>
        <w:t>-P8</w:t>
      </w:r>
      <w:r w:rsidRPr="00DD2C41">
        <w:rPr>
          <w:color w:val="000000"/>
          <w:sz w:val="24"/>
          <w:szCs w:val="24"/>
          <w:lang w:val="en-US"/>
        </w:rPr>
        <w:t>, P3</w:t>
      </w:r>
      <w:r w:rsidR="00B967A3" w:rsidRPr="00DD2C41">
        <w:rPr>
          <w:color w:val="000000"/>
          <w:sz w:val="24"/>
          <w:szCs w:val="24"/>
          <w:lang w:val="en-US"/>
        </w:rPr>
        <w:t>-P4</w:t>
      </w:r>
      <w:r w:rsidRPr="00DD2C41">
        <w:rPr>
          <w:color w:val="000000"/>
          <w:sz w:val="24"/>
          <w:szCs w:val="24"/>
          <w:lang w:val="en-US"/>
        </w:rPr>
        <w:t xml:space="preserve">, </w:t>
      </w:r>
      <w:proofErr w:type="spellStart"/>
      <w:r w:rsidRPr="00DD2C41">
        <w:rPr>
          <w:color w:val="000000"/>
          <w:sz w:val="24"/>
          <w:szCs w:val="24"/>
          <w:lang w:val="en-US"/>
        </w:rPr>
        <w:t>Pz</w:t>
      </w:r>
      <w:proofErr w:type="spellEnd"/>
      <w:r w:rsidRPr="00DD2C41">
        <w:rPr>
          <w:color w:val="000000"/>
          <w:sz w:val="24"/>
          <w:szCs w:val="24"/>
          <w:lang w:val="en-US"/>
        </w:rPr>
        <w:t>, O</w:t>
      </w:r>
      <w:r w:rsidR="00730D34" w:rsidRPr="00DD2C41">
        <w:rPr>
          <w:color w:val="000000"/>
          <w:sz w:val="24"/>
          <w:szCs w:val="24"/>
          <w:lang w:val="en-US"/>
        </w:rPr>
        <w:t>1</w:t>
      </w:r>
      <w:r w:rsidR="00B967A3" w:rsidRPr="00DD2C41">
        <w:rPr>
          <w:color w:val="000000"/>
          <w:sz w:val="24"/>
          <w:szCs w:val="24"/>
          <w:lang w:val="en-US"/>
        </w:rPr>
        <w:t>-O2</w:t>
      </w:r>
      <w:r w:rsidRPr="00DD2C41">
        <w:rPr>
          <w:color w:val="000000"/>
          <w:sz w:val="24"/>
          <w:szCs w:val="24"/>
          <w:lang w:val="en-US"/>
        </w:rPr>
        <w:t xml:space="preserve">, </w:t>
      </w:r>
      <w:r w:rsidR="00B967A3" w:rsidRPr="00DD2C41">
        <w:rPr>
          <w:color w:val="000000"/>
          <w:sz w:val="24"/>
          <w:szCs w:val="24"/>
          <w:lang w:val="en-US"/>
        </w:rPr>
        <w:t xml:space="preserve">and </w:t>
      </w:r>
      <w:r w:rsidRPr="00DD2C41">
        <w:rPr>
          <w:color w:val="000000"/>
          <w:sz w:val="24"/>
          <w:szCs w:val="24"/>
          <w:lang w:val="en-US"/>
        </w:rPr>
        <w:t xml:space="preserve">Oz. Two </w:t>
      </w:r>
      <w:r w:rsidRPr="00C56E77">
        <w:rPr>
          <w:sz w:val="24"/>
          <w:szCs w:val="24"/>
          <w:lang w:val="en-US"/>
        </w:rPr>
        <w:t xml:space="preserve">references were placed on the mastoid bones behind the ears (M1 and M2) and a ground electrode (GND) on the forehead of the participant. Four electrodes were placed to control the eye movements (VE1, VE2, HO1 and HO2). Cardiac activity was recorded by means of two electrodes located below the clavicles (EKG1 and EKG2). The recording parameters of the electroencephalogram were: Sampling frequency at 1 kHz, High Pass Filter at 0.5 Hz, Low Pass Filter at 30 Hz, Notch Filter at 60 Hz with harmonics, artifact reduction with threshold Lower at -200 </w:t>
      </w:r>
      <w:proofErr w:type="spellStart"/>
      <w:r w:rsidRPr="00C56E77">
        <w:rPr>
          <w:sz w:val="24"/>
          <w:szCs w:val="24"/>
          <w:lang w:val="en-US"/>
        </w:rPr>
        <w:t>μV</w:t>
      </w:r>
      <w:proofErr w:type="spellEnd"/>
      <w:r w:rsidRPr="00C56E77">
        <w:rPr>
          <w:sz w:val="24"/>
          <w:szCs w:val="24"/>
          <w:lang w:val="en-US"/>
        </w:rPr>
        <w:t xml:space="preserve"> and Upper at 200 </w:t>
      </w:r>
      <w:proofErr w:type="spellStart"/>
      <w:r w:rsidRPr="00C56E77">
        <w:rPr>
          <w:sz w:val="24"/>
          <w:szCs w:val="24"/>
          <w:lang w:val="en-US"/>
        </w:rPr>
        <w:t>μV</w:t>
      </w:r>
      <w:proofErr w:type="spellEnd"/>
      <w:r w:rsidRPr="00C56E77">
        <w:rPr>
          <w:sz w:val="24"/>
          <w:szCs w:val="24"/>
          <w:lang w:val="en-US"/>
        </w:rPr>
        <w:t>.</w:t>
      </w:r>
    </w:p>
    <w:p w14:paraId="186C7E78" w14:textId="09B5AEFC" w:rsidR="00632C3F" w:rsidRPr="00C56E77" w:rsidRDefault="00632C3F" w:rsidP="00DE2E63">
      <w:pPr>
        <w:spacing w:line="240" w:lineRule="auto"/>
        <w:rPr>
          <w:sz w:val="24"/>
          <w:szCs w:val="24"/>
          <w:lang w:val="en-US"/>
        </w:rPr>
      </w:pPr>
      <w:r w:rsidRPr="00C56E77">
        <w:rPr>
          <w:sz w:val="24"/>
          <w:szCs w:val="24"/>
          <w:lang w:val="en-US"/>
        </w:rPr>
        <w:t>A clinical EEG protocol (eyes</w:t>
      </w:r>
      <w:r w:rsidR="00D71157" w:rsidRPr="00C56E77">
        <w:rPr>
          <w:sz w:val="24"/>
          <w:szCs w:val="24"/>
          <w:lang w:val="en-US"/>
        </w:rPr>
        <w:t>-</w:t>
      </w:r>
      <w:r w:rsidRPr="00C56E77">
        <w:rPr>
          <w:sz w:val="24"/>
          <w:szCs w:val="24"/>
          <w:lang w:val="en-US"/>
        </w:rPr>
        <w:t>closed, eyes</w:t>
      </w:r>
      <w:r w:rsidR="00D71157" w:rsidRPr="00C56E77">
        <w:rPr>
          <w:sz w:val="24"/>
          <w:szCs w:val="24"/>
          <w:lang w:val="en-US"/>
        </w:rPr>
        <w:t>-</w:t>
      </w:r>
      <w:r w:rsidRPr="00C56E77">
        <w:rPr>
          <w:sz w:val="24"/>
          <w:szCs w:val="24"/>
          <w:lang w:val="en-US"/>
        </w:rPr>
        <w:t xml:space="preserve">open, hyperventilation, recovery of hyperventilation, </w:t>
      </w:r>
      <w:proofErr w:type="spellStart"/>
      <w:r w:rsidRPr="00C56E77">
        <w:rPr>
          <w:sz w:val="24"/>
          <w:szCs w:val="24"/>
          <w:lang w:val="en-US"/>
        </w:rPr>
        <w:t>photostimulation</w:t>
      </w:r>
      <w:proofErr w:type="spellEnd"/>
      <w:r w:rsidRPr="00C56E77">
        <w:rPr>
          <w:sz w:val="24"/>
          <w:szCs w:val="24"/>
          <w:lang w:val="en-US"/>
        </w:rPr>
        <w:t xml:space="preserve"> and auditory stimulation) was used to analyze the brain's electrical activity with the purpose of determining if </w:t>
      </w:r>
      <w:r w:rsidR="00D71157" w:rsidRPr="00C56E77">
        <w:rPr>
          <w:sz w:val="24"/>
          <w:szCs w:val="24"/>
          <w:lang w:val="en-US"/>
        </w:rPr>
        <w:t xml:space="preserve">the participant’s </w:t>
      </w:r>
      <w:r w:rsidRPr="00C56E77">
        <w:rPr>
          <w:sz w:val="24"/>
          <w:szCs w:val="24"/>
          <w:lang w:val="en-US"/>
        </w:rPr>
        <w:t>activity was within the normality and exclude cases that present paroxysmal activity. The basal EEG activity of each participant was characterized by the frequency and amplitude predominant in occipital regions. The symmetry and interhemispheric synchrony were analyzed, the segments corresponding to eyes</w:t>
      </w:r>
      <w:r w:rsidR="00D71157" w:rsidRPr="00C56E77">
        <w:rPr>
          <w:sz w:val="24"/>
          <w:szCs w:val="24"/>
          <w:lang w:val="en-US"/>
        </w:rPr>
        <w:t>-</w:t>
      </w:r>
      <w:r w:rsidRPr="00C56E77">
        <w:rPr>
          <w:sz w:val="24"/>
          <w:szCs w:val="24"/>
          <w:lang w:val="en-US"/>
        </w:rPr>
        <w:t>closed and eyes</w:t>
      </w:r>
      <w:r w:rsidR="00D71157" w:rsidRPr="00C56E77">
        <w:rPr>
          <w:sz w:val="24"/>
          <w:szCs w:val="24"/>
          <w:lang w:val="en-US"/>
        </w:rPr>
        <w:t>-</w:t>
      </w:r>
      <w:r w:rsidRPr="00C56E77">
        <w:rPr>
          <w:sz w:val="24"/>
          <w:szCs w:val="24"/>
          <w:lang w:val="en-US"/>
        </w:rPr>
        <w:t>open were extracted from the clinical protocol for its consideration as resting state basal activity. In order to demonstrate the effect of cognitive reserve, and to assess its impact on the neurophysiological dynamics associated with cognitive processing, after the clinical EEG protocol, during the EEG the participants performed the Wisconsin Card Sorting Test (WCST) on a computerized version of the STIM2 software</w:t>
      </w:r>
      <w:r w:rsidR="00D57A84" w:rsidRPr="00C56E77">
        <w:rPr>
          <w:sz w:val="24"/>
          <w:szCs w:val="24"/>
          <w:lang w:val="en-US"/>
        </w:rPr>
        <w:t xml:space="preserve"> v4.0 </w:t>
      </w:r>
      <w:proofErr w:type="spellStart"/>
      <w:r w:rsidR="00D57A84" w:rsidRPr="00C56E77">
        <w:rPr>
          <w:sz w:val="24"/>
          <w:szCs w:val="24"/>
          <w:lang w:val="en-US"/>
        </w:rPr>
        <w:t>Neuroscan</w:t>
      </w:r>
      <w:proofErr w:type="spellEnd"/>
      <w:r w:rsidRPr="00C56E77">
        <w:rPr>
          <w:sz w:val="24"/>
          <w:szCs w:val="24"/>
          <w:lang w:val="en-US"/>
        </w:rPr>
        <w:t xml:space="preserve">. This test was selected because cognitive reserve is highly dependent on the complexity of the cognitive tasks that the person faces and also favors the integration of neural networks to meet the demands of a cognitive task, since the executive functions are one of the processes that are most affected in aging, and </w:t>
      </w:r>
      <w:r w:rsidR="00D71157" w:rsidRPr="00C56E77">
        <w:rPr>
          <w:sz w:val="24"/>
          <w:szCs w:val="24"/>
          <w:lang w:val="en-US"/>
        </w:rPr>
        <w:t>also</w:t>
      </w:r>
      <w:r w:rsidRPr="00C56E77">
        <w:rPr>
          <w:sz w:val="24"/>
          <w:szCs w:val="24"/>
          <w:lang w:val="en-US"/>
        </w:rPr>
        <w:t xml:space="preserve"> require the recruitment of brain areas associated with language, memory and other cognitive processes, it was considered that the execution of a task of executive functions would be cognitively demanding for the aged participants and that it would allow to inquire the effect of the cognitive reserve.</w:t>
      </w:r>
    </w:p>
    <w:p w14:paraId="153C70BA" w14:textId="66D4E8EE" w:rsidR="00606E03" w:rsidRPr="00C56E77" w:rsidRDefault="00606E03" w:rsidP="00DE2E63">
      <w:pPr>
        <w:spacing w:line="240" w:lineRule="auto"/>
        <w:rPr>
          <w:sz w:val="24"/>
          <w:szCs w:val="24"/>
          <w:lang w:val="en-US"/>
        </w:rPr>
      </w:pPr>
      <w:r w:rsidRPr="00C56E77">
        <w:rPr>
          <w:sz w:val="24"/>
          <w:szCs w:val="24"/>
          <w:lang w:val="en-US"/>
        </w:rPr>
        <w:t xml:space="preserve">For the preprocessing of the signal, the EEG was re-referenced to the common average reference (CAR), later, in the software </w:t>
      </w:r>
      <w:proofErr w:type="spellStart"/>
      <w:r w:rsidRPr="00C56E77">
        <w:rPr>
          <w:sz w:val="24"/>
          <w:szCs w:val="24"/>
          <w:lang w:val="en-US"/>
        </w:rPr>
        <w:t>Neuroscan</w:t>
      </w:r>
      <w:proofErr w:type="spellEnd"/>
      <w:r w:rsidRPr="00C56E77">
        <w:rPr>
          <w:sz w:val="24"/>
          <w:szCs w:val="24"/>
          <w:lang w:val="en-US"/>
        </w:rPr>
        <w:t xml:space="preserve"> v4.5 of </w:t>
      </w:r>
      <w:proofErr w:type="spellStart"/>
      <w:r w:rsidRPr="00C56E77">
        <w:rPr>
          <w:sz w:val="24"/>
          <w:szCs w:val="24"/>
          <w:lang w:val="en-US"/>
        </w:rPr>
        <w:t>Compumedics</w:t>
      </w:r>
      <w:proofErr w:type="spellEnd"/>
      <w:r w:rsidRPr="00C56E77">
        <w:rPr>
          <w:sz w:val="24"/>
          <w:szCs w:val="24"/>
          <w:lang w:val="en-US"/>
        </w:rPr>
        <w:t xml:space="preserve"> USA, Inc. </w:t>
      </w:r>
      <w:r w:rsidR="00D57A84" w:rsidRPr="00C56E77">
        <w:rPr>
          <w:sz w:val="24"/>
          <w:szCs w:val="24"/>
          <w:lang w:val="en-US"/>
        </w:rPr>
        <w:t>T</w:t>
      </w:r>
      <w:r w:rsidRPr="00C56E77">
        <w:rPr>
          <w:sz w:val="24"/>
          <w:szCs w:val="24"/>
          <w:lang w:val="en-US"/>
        </w:rPr>
        <w:t>he full EEG recording was segmented in 5 conditions (eyes</w:t>
      </w:r>
      <w:r w:rsidR="00D71157" w:rsidRPr="00C56E77">
        <w:rPr>
          <w:sz w:val="24"/>
          <w:szCs w:val="24"/>
          <w:lang w:val="en-US"/>
        </w:rPr>
        <w:t>-</w:t>
      </w:r>
      <w:r w:rsidRPr="00C56E77">
        <w:rPr>
          <w:sz w:val="24"/>
          <w:szCs w:val="24"/>
          <w:lang w:val="en-US"/>
        </w:rPr>
        <w:t>closed, eyes</w:t>
      </w:r>
      <w:r w:rsidR="00D71157" w:rsidRPr="00C56E77">
        <w:rPr>
          <w:sz w:val="24"/>
          <w:szCs w:val="24"/>
          <w:lang w:val="en-US"/>
        </w:rPr>
        <w:t>-</w:t>
      </w:r>
      <w:r w:rsidRPr="00C56E77">
        <w:rPr>
          <w:sz w:val="24"/>
          <w:szCs w:val="24"/>
          <w:lang w:val="en-US"/>
        </w:rPr>
        <w:t xml:space="preserve">open, and WCST minutes 0 to 3, WCST minutes 3 to 6 and WCST minutes 6 to 9) in </w:t>
      </w:r>
      <w:r w:rsidR="0096648E" w:rsidRPr="00C56E77">
        <w:rPr>
          <w:sz w:val="24"/>
          <w:szCs w:val="24"/>
          <w:lang w:val="en-US"/>
        </w:rPr>
        <w:t>epochs</w:t>
      </w:r>
      <w:r w:rsidRPr="00C56E77">
        <w:rPr>
          <w:sz w:val="24"/>
          <w:szCs w:val="24"/>
          <w:lang w:val="en-US"/>
        </w:rPr>
        <w:t xml:space="preserve"> of one second (1024 sampling points) </w:t>
      </w:r>
      <w:r w:rsidR="0096648E" w:rsidRPr="00C56E77">
        <w:rPr>
          <w:sz w:val="24"/>
          <w:szCs w:val="24"/>
          <w:lang w:val="en-US"/>
        </w:rPr>
        <w:t xml:space="preserve">which </w:t>
      </w:r>
      <w:r w:rsidRPr="00C56E77">
        <w:rPr>
          <w:sz w:val="24"/>
          <w:szCs w:val="24"/>
          <w:lang w:val="en-US"/>
        </w:rPr>
        <w:t xml:space="preserve">were submitted </w:t>
      </w:r>
      <w:r w:rsidR="0096648E" w:rsidRPr="00C56E77">
        <w:rPr>
          <w:sz w:val="24"/>
          <w:szCs w:val="24"/>
          <w:lang w:val="en-US"/>
        </w:rPr>
        <w:t>to</w:t>
      </w:r>
      <w:r w:rsidRPr="00C56E77">
        <w:rPr>
          <w:sz w:val="24"/>
          <w:szCs w:val="24"/>
          <w:lang w:val="en-US"/>
        </w:rPr>
        <w:t xml:space="preserve"> visual inspection by a single researcher to identify and eliminate the segments that present</w:t>
      </w:r>
      <w:r w:rsidR="0096648E" w:rsidRPr="00C56E77">
        <w:rPr>
          <w:sz w:val="24"/>
          <w:szCs w:val="24"/>
          <w:lang w:val="en-US"/>
        </w:rPr>
        <w:t>ed</w:t>
      </w:r>
      <w:r w:rsidRPr="00C56E77">
        <w:rPr>
          <w:sz w:val="24"/>
          <w:szCs w:val="24"/>
          <w:lang w:val="en-US"/>
        </w:rPr>
        <w:t xml:space="preserve"> artefacts. Absolute power was </w:t>
      </w:r>
      <w:r w:rsidR="0096648E" w:rsidRPr="00C56E77">
        <w:rPr>
          <w:sz w:val="24"/>
          <w:szCs w:val="24"/>
          <w:lang w:val="en-US"/>
        </w:rPr>
        <w:t xml:space="preserve">then </w:t>
      </w:r>
      <w:r w:rsidRPr="00C56E77">
        <w:rPr>
          <w:sz w:val="24"/>
          <w:szCs w:val="24"/>
          <w:lang w:val="en-US"/>
        </w:rPr>
        <w:t>calculated</w:t>
      </w:r>
      <w:r w:rsidR="0096648E" w:rsidRPr="00C56E77">
        <w:rPr>
          <w:sz w:val="24"/>
          <w:szCs w:val="24"/>
          <w:lang w:val="en-US"/>
        </w:rPr>
        <w:t xml:space="preserve"> from the epochs</w:t>
      </w:r>
      <w:r w:rsidRPr="00C56E77">
        <w:rPr>
          <w:sz w:val="24"/>
          <w:szCs w:val="24"/>
          <w:lang w:val="en-US"/>
        </w:rPr>
        <w:t xml:space="preserve">, the </w:t>
      </w:r>
      <w:proofErr w:type="spellStart"/>
      <w:r w:rsidRPr="00C56E77">
        <w:rPr>
          <w:sz w:val="24"/>
          <w:szCs w:val="24"/>
          <w:lang w:val="en-US"/>
        </w:rPr>
        <w:t>Neuroscan</w:t>
      </w:r>
      <w:proofErr w:type="spellEnd"/>
      <w:r w:rsidRPr="00C56E77">
        <w:rPr>
          <w:sz w:val="24"/>
          <w:szCs w:val="24"/>
          <w:lang w:val="en-US"/>
        </w:rPr>
        <w:t xml:space="preserve"> Averaging module was used to calculate the power spectrum </w:t>
      </w:r>
      <w:r w:rsidR="00D71157" w:rsidRPr="00C56E77">
        <w:rPr>
          <w:sz w:val="24"/>
          <w:szCs w:val="24"/>
          <w:lang w:val="en-US"/>
        </w:rPr>
        <w:t>through</w:t>
      </w:r>
      <w:r w:rsidRPr="00C56E77">
        <w:rPr>
          <w:sz w:val="24"/>
          <w:szCs w:val="24"/>
          <w:lang w:val="en-US"/>
        </w:rPr>
        <w:t xml:space="preserve"> the Fast Fourier Transform</w:t>
      </w:r>
      <w:r w:rsidR="0096648E" w:rsidRPr="00C56E77">
        <w:rPr>
          <w:sz w:val="24"/>
          <w:szCs w:val="24"/>
          <w:lang w:val="en-US"/>
        </w:rPr>
        <w:t xml:space="preserve">, using the </w:t>
      </w:r>
      <w:r w:rsidRPr="00C56E77">
        <w:rPr>
          <w:sz w:val="24"/>
          <w:szCs w:val="24"/>
          <w:lang w:val="en-US"/>
        </w:rPr>
        <w:t xml:space="preserve">parameters: </w:t>
      </w:r>
      <w:r w:rsidR="00D71157" w:rsidRPr="00C56E77">
        <w:rPr>
          <w:sz w:val="24"/>
          <w:szCs w:val="24"/>
          <w:lang w:val="en-US"/>
        </w:rPr>
        <w:t xml:space="preserve">Welch window function at </w:t>
      </w:r>
      <w:r w:rsidRPr="00C56E77">
        <w:rPr>
          <w:sz w:val="24"/>
          <w:szCs w:val="24"/>
          <w:lang w:val="en-US"/>
        </w:rPr>
        <w:t xml:space="preserve">10%, resolution 0.978 Hz, duration 1023 </w:t>
      </w:r>
      <w:proofErr w:type="spellStart"/>
      <w:r w:rsidRPr="00C56E77">
        <w:rPr>
          <w:sz w:val="24"/>
          <w:szCs w:val="24"/>
          <w:lang w:val="en-US"/>
        </w:rPr>
        <w:t>ms</w:t>
      </w:r>
      <w:proofErr w:type="spellEnd"/>
      <w:r w:rsidRPr="00C56E77">
        <w:rPr>
          <w:sz w:val="24"/>
          <w:szCs w:val="24"/>
          <w:lang w:val="en-US"/>
        </w:rPr>
        <w:t>, 500 Hz range, 1024 points.</w:t>
      </w:r>
    </w:p>
    <w:p w14:paraId="4ABD4CB6" w14:textId="77777777" w:rsidR="0096648E" w:rsidRPr="00C56E77" w:rsidRDefault="0096648E" w:rsidP="00DE2E63">
      <w:pPr>
        <w:spacing w:line="240" w:lineRule="auto"/>
        <w:rPr>
          <w:sz w:val="24"/>
          <w:szCs w:val="24"/>
          <w:lang w:val="en-US"/>
        </w:rPr>
      </w:pPr>
      <w:r w:rsidRPr="00C56E77">
        <w:rPr>
          <w:sz w:val="24"/>
          <w:szCs w:val="24"/>
          <w:lang w:val="en-US"/>
        </w:rPr>
        <w:t xml:space="preserve">The Absolute Power of each frequency band for each of the electrodes was averaged in twelve analysis areas: Left Side (F7, FT7, T7, TP7, P7), Medial Left (FP1, F3, FC3, C3, CP3 , P3, O1), Central Line (FZ, FCZ, CZ, CPZ, PZ, OZ), Medial Right (FP2, F4, FC4, C4, CP4, P4, O2), Right Side (F8, FT8, T8, TP8 , P8), Anterior Left (FP1, F7, F3, FT7, </w:t>
      </w:r>
      <w:r w:rsidRPr="00C56E77">
        <w:rPr>
          <w:sz w:val="24"/>
          <w:szCs w:val="24"/>
          <w:lang w:val="en-US"/>
        </w:rPr>
        <w:lastRenderedPageBreak/>
        <w:t>FC3), Anterior Right (FP2, F8, F4, FT8, FC4), Posterior Left (TP7, CP3, P7, P3, O1), Posterior Right (TP8, CP4, P8, P4, O2), Central Left (T7, C3), Central Right (T8, C4), and Parieto-Occipital (P3, PZ, P4, O1, OZ, O2).</w:t>
      </w:r>
    </w:p>
    <w:p w14:paraId="5B34C459" w14:textId="77777777" w:rsidR="0096648E" w:rsidRPr="00C56E77" w:rsidRDefault="0096648E" w:rsidP="00DE2E63">
      <w:pPr>
        <w:spacing w:line="240" w:lineRule="auto"/>
        <w:rPr>
          <w:b/>
          <w:bCs/>
          <w:sz w:val="24"/>
          <w:szCs w:val="24"/>
          <w:lang w:val="en-US"/>
        </w:rPr>
      </w:pPr>
      <w:r w:rsidRPr="00C56E77">
        <w:rPr>
          <w:b/>
          <w:bCs/>
          <w:sz w:val="24"/>
          <w:szCs w:val="24"/>
          <w:lang w:val="en-US"/>
        </w:rPr>
        <w:t xml:space="preserve">Statistical analysis </w:t>
      </w:r>
    </w:p>
    <w:p w14:paraId="25DF81E8" w14:textId="79789252" w:rsidR="00F40758" w:rsidRPr="00C56E77" w:rsidRDefault="0096648E" w:rsidP="00DE2E63">
      <w:pPr>
        <w:spacing w:line="240" w:lineRule="auto"/>
        <w:rPr>
          <w:sz w:val="24"/>
          <w:szCs w:val="24"/>
          <w:lang w:val="en-US"/>
        </w:rPr>
      </w:pPr>
      <w:r w:rsidRPr="00C56E77">
        <w:rPr>
          <w:sz w:val="24"/>
          <w:szCs w:val="24"/>
          <w:lang w:val="en-US"/>
        </w:rPr>
        <w:t xml:space="preserve">To analyze the relationship of between cognitive reserve and absolute power (AP) of the EEG, the Spearman correlation analysis was used, correlation tests were performed with a unilateral contrast. To compare the AP of delta, theta, alpha and </w:t>
      </w:r>
      <w:r w:rsidR="005740FC" w:rsidRPr="00C56E77">
        <w:rPr>
          <w:sz w:val="24"/>
          <w:szCs w:val="24"/>
          <w:lang w:val="en-US"/>
        </w:rPr>
        <w:t>beta</w:t>
      </w:r>
      <w:r w:rsidRPr="00C56E77">
        <w:rPr>
          <w:sz w:val="24"/>
          <w:szCs w:val="24"/>
          <w:lang w:val="en-US"/>
        </w:rPr>
        <w:t xml:space="preserve"> bands corresponding to </w:t>
      </w:r>
      <w:r w:rsidR="005740FC" w:rsidRPr="00C56E77">
        <w:rPr>
          <w:sz w:val="24"/>
          <w:szCs w:val="24"/>
          <w:lang w:val="en-US"/>
        </w:rPr>
        <w:t xml:space="preserve">each of </w:t>
      </w:r>
      <w:r w:rsidRPr="00C56E77">
        <w:rPr>
          <w:sz w:val="24"/>
          <w:szCs w:val="24"/>
          <w:lang w:val="en-US"/>
        </w:rPr>
        <w:t>the 5 conditions of the EEG</w:t>
      </w:r>
      <w:r w:rsidR="005740FC" w:rsidRPr="00C56E77">
        <w:rPr>
          <w:sz w:val="24"/>
          <w:szCs w:val="24"/>
          <w:lang w:val="en-US"/>
        </w:rPr>
        <w:t xml:space="preserve"> (eyes</w:t>
      </w:r>
      <w:r w:rsidR="00036837" w:rsidRPr="00C56E77">
        <w:rPr>
          <w:sz w:val="24"/>
          <w:szCs w:val="24"/>
          <w:lang w:val="en-US"/>
        </w:rPr>
        <w:t>-</w:t>
      </w:r>
      <w:r w:rsidR="005740FC" w:rsidRPr="00C56E77">
        <w:rPr>
          <w:sz w:val="24"/>
          <w:szCs w:val="24"/>
          <w:lang w:val="en-US"/>
        </w:rPr>
        <w:t>closed, eyes</w:t>
      </w:r>
      <w:r w:rsidR="00036837" w:rsidRPr="00C56E77">
        <w:rPr>
          <w:sz w:val="24"/>
          <w:szCs w:val="24"/>
          <w:lang w:val="en-US"/>
        </w:rPr>
        <w:t>-</w:t>
      </w:r>
      <w:r w:rsidR="005740FC" w:rsidRPr="00C56E77">
        <w:rPr>
          <w:sz w:val="24"/>
          <w:szCs w:val="24"/>
          <w:lang w:val="en-US"/>
        </w:rPr>
        <w:t>open, and WCST minutes 0 to 3, WCST minutes 3 to 6 and WCST minutes 6 to 9)</w:t>
      </w:r>
      <w:r w:rsidRPr="00C56E77">
        <w:rPr>
          <w:sz w:val="24"/>
          <w:szCs w:val="24"/>
          <w:lang w:val="en-US"/>
        </w:rPr>
        <w:t xml:space="preserve">, </w:t>
      </w:r>
      <w:r w:rsidR="005740FC" w:rsidRPr="00C56E77">
        <w:rPr>
          <w:sz w:val="24"/>
          <w:szCs w:val="24"/>
          <w:lang w:val="en-US"/>
        </w:rPr>
        <w:t>G</w:t>
      </w:r>
      <w:r w:rsidR="00730D34" w:rsidRPr="00C56E77">
        <w:rPr>
          <w:sz w:val="24"/>
          <w:szCs w:val="24"/>
          <w:lang w:val="en-US"/>
        </w:rPr>
        <w:t xml:space="preserve">eneralized </w:t>
      </w:r>
      <w:r w:rsidR="005740FC" w:rsidRPr="00C56E77">
        <w:rPr>
          <w:sz w:val="24"/>
          <w:szCs w:val="24"/>
          <w:lang w:val="en-US"/>
        </w:rPr>
        <w:t>L</w:t>
      </w:r>
      <w:r w:rsidR="00730D34" w:rsidRPr="00C56E77">
        <w:rPr>
          <w:sz w:val="24"/>
          <w:szCs w:val="24"/>
          <w:lang w:val="en-US"/>
        </w:rPr>
        <w:t xml:space="preserve">inear </w:t>
      </w:r>
      <w:r w:rsidR="005740FC" w:rsidRPr="00C56E77">
        <w:rPr>
          <w:sz w:val="24"/>
          <w:szCs w:val="24"/>
          <w:lang w:val="en-US"/>
        </w:rPr>
        <w:t>M</w:t>
      </w:r>
      <w:r w:rsidR="00730D34" w:rsidRPr="00C56E77">
        <w:rPr>
          <w:sz w:val="24"/>
          <w:szCs w:val="24"/>
          <w:lang w:val="en-US"/>
        </w:rPr>
        <w:t>odels (GLM)</w:t>
      </w:r>
      <w:r w:rsidRPr="00C56E77">
        <w:rPr>
          <w:sz w:val="24"/>
          <w:szCs w:val="24"/>
          <w:lang w:val="en-US"/>
        </w:rPr>
        <w:t xml:space="preserve"> of repeated measures were used with intrasubject contrasts, in case of </w:t>
      </w:r>
      <w:r w:rsidR="005740FC" w:rsidRPr="00C56E77">
        <w:rPr>
          <w:sz w:val="24"/>
          <w:szCs w:val="24"/>
          <w:lang w:val="en-US"/>
        </w:rPr>
        <w:t>violating</w:t>
      </w:r>
      <w:r w:rsidRPr="00C56E77">
        <w:rPr>
          <w:sz w:val="24"/>
          <w:szCs w:val="24"/>
          <w:lang w:val="en-US"/>
        </w:rPr>
        <w:t xml:space="preserve"> the sphericity assumption in the repeated measures analysis the Greenhouse-</w:t>
      </w:r>
      <w:proofErr w:type="spellStart"/>
      <w:r w:rsidRPr="00C56E77">
        <w:rPr>
          <w:sz w:val="24"/>
          <w:szCs w:val="24"/>
          <w:lang w:val="en-US"/>
        </w:rPr>
        <w:t>Geisser</w:t>
      </w:r>
      <w:proofErr w:type="spellEnd"/>
      <w:r w:rsidRPr="00C56E77">
        <w:rPr>
          <w:sz w:val="24"/>
          <w:szCs w:val="24"/>
          <w:lang w:val="en-US"/>
        </w:rPr>
        <w:t xml:space="preserve"> adjustment was </w:t>
      </w:r>
      <w:r w:rsidR="005740FC" w:rsidRPr="00C56E77">
        <w:rPr>
          <w:sz w:val="24"/>
          <w:szCs w:val="24"/>
          <w:lang w:val="en-US"/>
        </w:rPr>
        <w:t>carried out</w:t>
      </w:r>
      <w:r w:rsidRPr="00C56E77">
        <w:rPr>
          <w:sz w:val="24"/>
          <w:szCs w:val="24"/>
          <w:lang w:val="en-US"/>
        </w:rPr>
        <w:t xml:space="preserve">. To identify and describe the patterns of </w:t>
      </w:r>
      <w:r w:rsidR="005740FC" w:rsidRPr="00C56E77">
        <w:rPr>
          <w:sz w:val="24"/>
          <w:szCs w:val="24"/>
          <w:lang w:val="en-US"/>
        </w:rPr>
        <w:t>AP</w:t>
      </w:r>
      <w:r w:rsidRPr="00C56E77">
        <w:rPr>
          <w:sz w:val="24"/>
          <w:szCs w:val="24"/>
          <w:lang w:val="en-US"/>
        </w:rPr>
        <w:t xml:space="preserve"> according to cognitive reserve</w:t>
      </w:r>
      <w:r w:rsidR="005740FC" w:rsidRPr="00C56E77">
        <w:rPr>
          <w:sz w:val="24"/>
          <w:szCs w:val="24"/>
          <w:lang w:val="en-US"/>
        </w:rPr>
        <w:t xml:space="preserve"> level</w:t>
      </w:r>
      <w:r w:rsidRPr="00C56E77">
        <w:rPr>
          <w:sz w:val="24"/>
          <w:szCs w:val="24"/>
          <w:lang w:val="en-US"/>
        </w:rPr>
        <w:t>, a hierarchical cluster analysis with a single solution</w:t>
      </w:r>
      <w:r w:rsidR="005740FC" w:rsidRPr="00C56E77">
        <w:rPr>
          <w:sz w:val="24"/>
          <w:szCs w:val="24"/>
          <w:lang w:val="en-US"/>
        </w:rPr>
        <w:t xml:space="preserve"> (3 groups)</w:t>
      </w:r>
      <w:r w:rsidRPr="00C56E77">
        <w:rPr>
          <w:sz w:val="24"/>
          <w:szCs w:val="24"/>
          <w:lang w:val="en-US"/>
        </w:rPr>
        <w:t xml:space="preserve"> was used to divide the sample </w:t>
      </w:r>
      <w:r w:rsidR="005740FC" w:rsidRPr="00C56E77">
        <w:rPr>
          <w:sz w:val="24"/>
          <w:szCs w:val="24"/>
          <w:lang w:val="en-US"/>
        </w:rPr>
        <w:t>in 3</w:t>
      </w:r>
      <w:r w:rsidRPr="00C56E77">
        <w:rPr>
          <w:sz w:val="24"/>
          <w:szCs w:val="24"/>
          <w:lang w:val="en-US"/>
        </w:rPr>
        <w:t xml:space="preserve"> level</w:t>
      </w:r>
      <w:r w:rsidR="005740FC" w:rsidRPr="00C56E77">
        <w:rPr>
          <w:sz w:val="24"/>
          <w:szCs w:val="24"/>
          <w:lang w:val="en-US"/>
        </w:rPr>
        <w:t>s (low, medium, and high)</w:t>
      </w:r>
      <w:r w:rsidRPr="00C56E77">
        <w:rPr>
          <w:sz w:val="24"/>
          <w:szCs w:val="24"/>
          <w:lang w:val="en-US"/>
        </w:rPr>
        <w:t xml:space="preserve"> of cognitive reserve</w:t>
      </w:r>
      <w:r w:rsidR="005740FC" w:rsidRPr="00C56E77">
        <w:rPr>
          <w:sz w:val="24"/>
          <w:szCs w:val="24"/>
          <w:lang w:val="en-US"/>
        </w:rPr>
        <w:t>.</w:t>
      </w:r>
      <w:r w:rsidRPr="00C56E77">
        <w:rPr>
          <w:sz w:val="24"/>
          <w:szCs w:val="24"/>
          <w:lang w:val="en-US"/>
        </w:rPr>
        <w:t xml:space="preserve"> </w:t>
      </w:r>
      <w:r w:rsidR="005740FC" w:rsidRPr="00C56E77">
        <w:rPr>
          <w:sz w:val="24"/>
          <w:szCs w:val="24"/>
          <w:lang w:val="en-US"/>
        </w:rPr>
        <w:t>Profile plots</w:t>
      </w:r>
      <w:r w:rsidRPr="00C56E77">
        <w:rPr>
          <w:sz w:val="24"/>
          <w:szCs w:val="24"/>
          <w:lang w:val="en-US"/>
        </w:rPr>
        <w:t xml:space="preserve"> were </w:t>
      </w:r>
      <w:r w:rsidR="005740FC" w:rsidRPr="00C56E77">
        <w:rPr>
          <w:sz w:val="24"/>
          <w:szCs w:val="24"/>
          <w:lang w:val="en-US"/>
        </w:rPr>
        <w:t xml:space="preserve">used </w:t>
      </w:r>
      <w:r w:rsidRPr="00C56E77">
        <w:rPr>
          <w:sz w:val="24"/>
          <w:szCs w:val="24"/>
          <w:lang w:val="en-US"/>
        </w:rPr>
        <w:t>for each</w:t>
      </w:r>
      <w:r w:rsidR="005740FC" w:rsidRPr="00C56E77">
        <w:rPr>
          <w:sz w:val="24"/>
          <w:szCs w:val="24"/>
          <w:lang w:val="en-US"/>
        </w:rPr>
        <w:t xml:space="preserve"> cognitive reserve</w:t>
      </w:r>
      <w:r w:rsidRPr="00C56E77">
        <w:rPr>
          <w:sz w:val="24"/>
          <w:szCs w:val="24"/>
          <w:lang w:val="en-US"/>
        </w:rPr>
        <w:t xml:space="preserve"> group considering the 5 EEG conditions of analysis (baseline and experimental)</w:t>
      </w:r>
      <w:r w:rsidR="00F40758" w:rsidRPr="00C56E77">
        <w:rPr>
          <w:sz w:val="24"/>
          <w:szCs w:val="24"/>
          <w:lang w:val="en-US"/>
        </w:rPr>
        <w:t>, to assess the differences between the incre</w:t>
      </w:r>
      <w:r w:rsidR="002768E7" w:rsidRPr="00C56E77">
        <w:rPr>
          <w:sz w:val="24"/>
          <w:szCs w:val="24"/>
          <w:lang w:val="en-US"/>
        </w:rPr>
        <w:t>ments</w:t>
      </w:r>
      <w:r w:rsidR="00F40758" w:rsidRPr="00C56E77">
        <w:rPr>
          <w:sz w:val="24"/>
          <w:szCs w:val="24"/>
          <w:lang w:val="en-US"/>
        </w:rPr>
        <w:t xml:space="preserve"> in AP when passing from the eyes</w:t>
      </w:r>
      <w:r w:rsidR="00036837" w:rsidRPr="00C56E77">
        <w:rPr>
          <w:sz w:val="24"/>
          <w:szCs w:val="24"/>
          <w:lang w:val="en-US"/>
        </w:rPr>
        <w:t>-</w:t>
      </w:r>
      <w:r w:rsidR="00F40758" w:rsidRPr="00C56E77">
        <w:rPr>
          <w:sz w:val="24"/>
          <w:szCs w:val="24"/>
          <w:lang w:val="en-US"/>
        </w:rPr>
        <w:t>open condition to the WCST according to the CR level, a subtraction was carried out were the</w:t>
      </w:r>
      <w:r w:rsidR="002768E7" w:rsidRPr="00C56E77">
        <w:rPr>
          <w:sz w:val="24"/>
          <w:szCs w:val="24"/>
          <w:lang w:val="en-US"/>
        </w:rPr>
        <w:t xml:space="preserve"> AP of the</w:t>
      </w:r>
      <w:r w:rsidR="00F40758" w:rsidRPr="00C56E77">
        <w:rPr>
          <w:sz w:val="24"/>
          <w:szCs w:val="24"/>
          <w:lang w:val="en-US"/>
        </w:rPr>
        <w:t xml:space="preserve"> eyes</w:t>
      </w:r>
      <w:r w:rsidR="00036837" w:rsidRPr="00C56E77">
        <w:rPr>
          <w:sz w:val="24"/>
          <w:szCs w:val="24"/>
          <w:lang w:val="en-US"/>
        </w:rPr>
        <w:t>-</w:t>
      </w:r>
      <w:r w:rsidR="00F40758" w:rsidRPr="00C56E77">
        <w:rPr>
          <w:sz w:val="24"/>
          <w:szCs w:val="24"/>
          <w:lang w:val="en-US"/>
        </w:rPr>
        <w:t>open</w:t>
      </w:r>
      <w:r w:rsidR="00DC2B9A" w:rsidRPr="00C56E77">
        <w:rPr>
          <w:sz w:val="24"/>
          <w:szCs w:val="24"/>
          <w:lang w:val="en-US"/>
        </w:rPr>
        <w:t xml:space="preserve"> </w:t>
      </w:r>
      <w:r w:rsidR="002768E7" w:rsidRPr="00C56E77">
        <w:rPr>
          <w:sz w:val="24"/>
          <w:szCs w:val="24"/>
          <w:lang w:val="en-US"/>
        </w:rPr>
        <w:t>condition</w:t>
      </w:r>
      <w:r w:rsidR="00F40758" w:rsidRPr="00C56E77">
        <w:rPr>
          <w:sz w:val="24"/>
          <w:szCs w:val="24"/>
          <w:lang w:val="en-US"/>
        </w:rPr>
        <w:t xml:space="preserve"> was subtracted from the AP of </w:t>
      </w:r>
      <w:r w:rsidR="00036837" w:rsidRPr="00C56E77">
        <w:rPr>
          <w:sz w:val="24"/>
          <w:szCs w:val="24"/>
          <w:lang w:val="en-US"/>
        </w:rPr>
        <w:t xml:space="preserve">each of </w:t>
      </w:r>
      <w:r w:rsidR="00F40758" w:rsidRPr="00C56E77">
        <w:rPr>
          <w:sz w:val="24"/>
          <w:szCs w:val="24"/>
          <w:lang w:val="en-US"/>
        </w:rPr>
        <w:t xml:space="preserve">the </w:t>
      </w:r>
      <w:r w:rsidR="002768E7" w:rsidRPr="00C56E77">
        <w:rPr>
          <w:sz w:val="24"/>
          <w:szCs w:val="24"/>
          <w:lang w:val="en-US"/>
        </w:rPr>
        <w:t xml:space="preserve">three </w:t>
      </w:r>
      <w:r w:rsidR="00F40758" w:rsidRPr="00C56E77">
        <w:rPr>
          <w:sz w:val="24"/>
          <w:szCs w:val="24"/>
          <w:lang w:val="en-US"/>
        </w:rPr>
        <w:t>WCST conditions, these values were compared with ANOVA</w:t>
      </w:r>
      <w:r w:rsidR="002768E7" w:rsidRPr="00C56E77">
        <w:rPr>
          <w:sz w:val="24"/>
          <w:szCs w:val="24"/>
          <w:lang w:val="en-US"/>
        </w:rPr>
        <w:t xml:space="preserve">s after verifying </w:t>
      </w:r>
      <w:r w:rsidR="007F248B" w:rsidRPr="00C56E77">
        <w:rPr>
          <w:sz w:val="24"/>
          <w:szCs w:val="24"/>
          <w:lang w:val="en-US"/>
        </w:rPr>
        <w:t xml:space="preserve">the </w:t>
      </w:r>
      <w:r w:rsidR="002768E7" w:rsidRPr="00C56E77">
        <w:rPr>
          <w:sz w:val="24"/>
          <w:szCs w:val="24"/>
          <w:lang w:val="en-US"/>
        </w:rPr>
        <w:t xml:space="preserve">assumptions with Shapiro-Wilk and </w:t>
      </w:r>
      <w:proofErr w:type="spellStart"/>
      <w:r w:rsidR="002768E7" w:rsidRPr="00C56E77">
        <w:rPr>
          <w:sz w:val="24"/>
          <w:szCs w:val="24"/>
          <w:lang w:val="en-US"/>
        </w:rPr>
        <w:t>Levene’s</w:t>
      </w:r>
      <w:proofErr w:type="spellEnd"/>
      <w:r w:rsidR="002768E7" w:rsidRPr="00C56E77">
        <w:rPr>
          <w:sz w:val="24"/>
          <w:szCs w:val="24"/>
          <w:lang w:val="en-US"/>
        </w:rPr>
        <w:t xml:space="preserve"> tests</w:t>
      </w:r>
      <w:r w:rsidR="008428F3" w:rsidRPr="00C56E77">
        <w:rPr>
          <w:sz w:val="24"/>
          <w:szCs w:val="24"/>
          <w:lang w:val="en-US"/>
        </w:rPr>
        <w:t xml:space="preserve"> and Bonferroni corrected for multiple comparisons</w:t>
      </w:r>
      <w:r w:rsidR="002768E7" w:rsidRPr="00C56E77">
        <w:rPr>
          <w:sz w:val="24"/>
          <w:szCs w:val="24"/>
          <w:lang w:val="en-US"/>
        </w:rPr>
        <w:t>.</w:t>
      </w:r>
    </w:p>
    <w:p w14:paraId="6CF682CE" w14:textId="7D1AD6FE" w:rsidR="009C0395" w:rsidRPr="00C56E77" w:rsidRDefault="00B31EE5" w:rsidP="00DE2E63">
      <w:pPr>
        <w:spacing w:line="240" w:lineRule="auto"/>
        <w:rPr>
          <w:b/>
          <w:bCs/>
          <w:sz w:val="24"/>
          <w:szCs w:val="24"/>
          <w:lang w:val="en-US"/>
        </w:rPr>
      </w:pPr>
      <w:r w:rsidRPr="00C56E77">
        <w:rPr>
          <w:b/>
          <w:bCs/>
          <w:sz w:val="24"/>
          <w:szCs w:val="24"/>
          <w:lang w:val="en-US"/>
        </w:rPr>
        <w:t>Results</w:t>
      </w:r>
    </w:p>
    <w:p w14:paraId="67FD02A3" w14:textId="3788E608" w:rsidR="009853B8" w:rsidRPr="00C56E77" w:rsidRDefault="00C229B0" w:rsidP="00DE2E63">
      <w:pPr>
        <w:spacing w:line="240" w:lineRule="auto"/>
        <w:rPr>
          <w:sz w:val="24"/>
          <w:szCs w:val="24"/>
          <w:lang w:val="en-US"/>
        </w:rPr>
      </w:pPr>
      <w:r w:rsidRPr="00C56E77">
        <w:rPr>
          <w:sz w:val="24"/>
          <w:szCs w:val="24"/>
          <w:lang w:val="en-US"/>
        </w:rPr>
        <w:t>We found negative correlations between the Cognitive Reserve Index</w:t>
      </w:r>
      <w:r w:rsidR="003C5AB9" w:rsidRPr="00C56E77">
        <w:rPr>
          <w:sz w:val="24"/>
          <w:szCs w:val="24"/>
          <w:lang w:val="en-US"/>
        </w:rPr>
        <w:t xml:space="preserve"> (CRI)</w:t>
      </w:r>
      <w:r w:rsidRPr="00C56E77">
        <w:rPr>
          <w:sz w:val="24"/>
          <w:szCs w:val="24"/>
          <w:lang w:val="en-US"/>
        </w:rPr>
        <w:t xml:space="preserve"> and the absolute power </w:t>
      </w:r>
      <w:r w:rsidR="003C5AB9" w:rsidRPr="00C56E77">
        <w:rPr>
          <w:sz w:val="24"/>
          <w:szCs w:val="24"/>
          <w:lang w:val="en-US"/>
        </w:rPr>
        <w:t xml:space="preserve">(AP) </w:t>
      </w:r>
      <w:r w:rsidRPr="00C56E77">
        <w:rPr>
          <w:sz w:val="24"/>
          <w:szCs w:val="24"/>
          <w:lang w:val="en-US"/>
        </w:rPr>
        <w:t>of the delta and theta frequency bands in the basal conditions of eyes</w:t>
      </w:r>
      <w:r w:rsidR="00036837" w:rsidRPr="00C56E77">
        <w:rPr>
          <w:sz w:val="24"/>
          <w:szCs w:val="24"/>
          <w:lang w:val="en-US"/>
        </w:rPr>
        <w:t>-</w:t>
      </w:r>
      <w:r w:rsidRPr="00C56E77">
        <w:rPr>
          <w:sz w:val="24"/>
          <w:szCs w:val="24"/>
          <w:lang w:val="en-US"/>
        </w:rPr>
        <w:t>closed and eyes</w:t>
      </w:r>
      <w:r w:rsidR="00036837" w:rsidRPr="00C56E77">
        <w:rPr>
          <w:sz w:val="24"/>
          <w:szCs w:val="24"/>
          <w:lang w:val="en-US"/>
        </w:rPr>
        <w:t>-</w:t>
      </w:r>
      <w:r w:rsidRPr="00C56E77">
        <w:rPr>
          <w:sz w:val="24"/>
          <w:szCs w:val="24"/>
          <w:lang w:val="en-US"/>
        </w:rPr>
        <w:t>open (Table 2).</w:t>
      </w:r>
    </w:p>
    <w:p w14:paraId="1E3F75D8" w14:textId="3E3ED9F5" w:rsidR="00C758AF" w:rsidRPr="00C56E77" w:rsidRDefault="00C758AF" w:rsidP="00DE2E63">
      <w:pPr>
        <w:spacing w:line="240" w:lineRule="auto"/>
        <w:rPr>
          <w:sz w:val="24"/>
          <w:szCs w:val="24"/>
          <w:lang w:val="en-US"/>
        </w:rPr>
      </w:pPr>
    </w:p>
    <w:p w14:paraId="05F06C10" w14:textId="77777777" w:rsidR="00F676D3" w:rsidRPr="00C56E77" w:rsidRDefault="00F676D3" w:rsidP="00F676D3">
      <w:pPr>
        <w:spacing w:line="240" w:lineRule="auto"/>
        <w:rPr>
          <w:sz w:val="24"/>
          <w:szCs w:val="24"/>
          <w:lang w:val="en-US"/>
        </w:rPr>
      </w:pPr>
      <w:bookmarkStart w:id="0" w:name="_Toc13482371"/>
      <w:r w:rsidRPr="00C56E77">
        <w:rPr>
          <w:sz w:val="24"/>
          <w:szCs w:val="24"/>
          <w:lang w:val="en-US"/>
        </w:rPr>
        <w:t xml:space="preserve">Table 2. </w:t>
      </w:r>
      <w:bookmarkEnd w:id="0"/>
      <w:r w:rsidRPr="00C56E77">
        <w:rPr>
          <w:sz w:val="24"/>
          <w:szCs w:val="24"/>
          <w:lang w:val="en-US"/>
        </w:rPr>
        <w:t>Correlations between Cognitive Reserve Index and Absolute Power in basal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16"/>
        <w:gridCol w:w="756"/>
        <w:gridCol w:w="716"/>
        <w:gridCol w:w="756"/>
        <w:gridCol w:w="757"/>
        <w:gridCol w:w="800"/>
      </w:tblGrid>
      <w:tr w:rsidR="00F676D3" w:rsidRPr="00DD2C41" w14:paraId="360057AB" w14:textId="77777777" w:rsidTr="00E64C9D">
        <w:tc>
          <w:tcPr>
            <w:tcW w:w="0" w:type="auto"/>
            <w:tcBorders>
              <w:top w:val="nil"/>
              <w:left w:val="nil"/>
              <w:bottom w:val="nil"/>
              <w:right w:val="nil"/>
            </w:tcBorders>
          </w:tcPr>
          <w:p w14:paraId="736E67A5" w14:textId="77777777" w:rsidR="00F676D3" w:rsidRPr="00DD2C41" w:rsidRDefault="00F676D3" w:rsidP="00E64C9D">
            <w:pPr>
              <w:spacing w:line="240" w:lineRule="auto"/>
              <w:jc w:val="center"/>
              <w:rPr>
                <w:sz w:val="24"/>
                <w:szCs w:val="24"/>
                <w:lang w:val="en-US"/>
              </w:rPr>
            </w:pPr>
          </w:p>
        </w:tc>
        <w:tc>
          <w:tcPr>
            <w:tcW w:w="0" w:type="auto"/>
            <w:gridSpan w:val="4"/>
            <w:tcBorders>
              <w:left w:val="nil"/>
              <w:bottom w:val="single" w:sz="4" w:space="0" w:color="auto"/>
              <w:right w:val="nil"/>
            </w:tcBorders>
          </w:tcPr>
          <w:p w14:paraId="6D8B09DE" w14:textId="77777777" w:rsidR="00F676D3" w:rsidRPr="00DD2C41" w:rsidRDefault="00F676D3" w:rsidP="00E64C9D">
            <w:pPr>
              <w:spacing w:line="240" w:lineRule="auto"/>
              <w:jc w:val="center"/>
              <w:rPr>
                <w:b/>
                <w:sz w:val="24"/>
                <w:szCs w:val="24"/>
              </w:rPr>
            </w:pPr>
            <w:r w:rsidRPr="00DD2C41">
              <w:rPr>
                <w:b/>
                <w:sz w:val="24"/>
                <w:szCs w:val="24"/>
              </w:rPr>
              <w:t>Eyes Closed</w:t>
            </w:r>
          </w:p>
        </w:tc>
        <w:tc>
          <w:tcPr>
            <w:tcW w:w="0" w:type="auto"/>
            <w:gridSpan w:val="2"/>
            <w:tcBorders>
              <w:left w:val="nil"/>
              <w:bottom w:val="single" w:sz="4" w:space="0" w:color="auto"/>
              <w:right w:val="nil"/>
            </w:tcBorders>
          </w:tcPr>
          <w:p w14:paraId="0A067D44" w14:textId="458CCEE7" w:rsidR="00F676D3" w:rsidRPr="00DD2C41" w:rsidRDefault="00F676D3" w:rsidP="00E64C9D">
            <w:pPr>
              <w:spacing w:line="240" w:lineRule="auto"/>
              <w:jc w:val="center"/>
              <w:rPr>
                <w:b/>
                <w:sz w:val="24"/>
                <w:szCs w:val="24"/>
              </w:rPr>
            </w:pPr>
            <w:r w:rsidRPr="00DD2C41">
              <w:rPr>
                <w:b/>
                <w:sz w:val="24"/>
                <w:szCs w:val="24"/>
              </w:rPr>
              <w:t>Eyes Open</w:t>
            </w:r>
            <w:r w:rsidR="00EB7FB8" w:rsidRPr="00DD2C41">
              <w:rPr>
                <w:b/>
                <w:sz w:val="24"/>
                <w:szCs w:val="24"/>
              </w:rPr>
              <w:t>ed</w:t>
            </w:r>
          </w:p>
        </w:tc>
      </w:tr>
      <w:tr w:rsidR="00F676D3" w:rsidRPr="00DD2C41" w14:paraId="4F81C77E" w14:textId="77777777" w:rsidTr="00E64C9D">
        <w:tc>
          <w:tcPr>
            <w:tcW w:w="0" w:type="auto"/>
            <w:tcBorders>
              <w:top w:val="nil"/>
              <w:left w:val="nil"/>
              <w:bottom w:val="single" w:sz="4" w:space="0" w:color="auto"/>
              <w:right w:val="nil"/>
            </w:tcBorders>
          </w:tcPr>
          <w:p w14:paraId="46301D47" w14:textId="77777777" w:rsidR="00F676D3" w:rsidRPr="00DD2C41" w:rsidRDefault="00F676D3" w:rsidP="00E64C9D">
            <w:pPr>
              <w:spacing w:line="240" w:lineRule="auto"/>
              <w:jc w:val="center"/>
              <w:rPr>
                <w:sz w:val="24"/>
                <w:szCs w:val="24"/>
              </w:rPr>
            </w:pPr>
          </w:p>
        </w:tc>
        <w:tc>
          <w:tcPr>
            <w:tcW w:w="0" w:type="auto"/>
            <w:gridSpan w:val="2"/>
            <w:tcBorders>
              <w:left w:val="nil"/>
              <w:bottom w:val="single" w:sz="4" w:space="0" w:color="auto"/>
              <w:right w:val="nil"/>
            </w:tcBorders>
          </w:tcPr>
          <w:p w14:paraId="3EE004AF" w14:textId="77777777" w:rsidR="00F676D3" w:rsidRPr="00DD2C41" w:rsidRDefault="00F676D3" w:rsidP="00E64C9D">
            <w:pPr>
              <w:spacing w:line="240" w:lineRule="auto"/>
              <w:jc w:val="center"/>
              <w:rPr>
                <w:b/>
                <w:sz w:val="24"/>
                <w:szCs w:val="24"/>
              </w:rPr>
            </w:pPr>
            <w:r w:rsidRPr="00DD2C41">
              <w:rPr>
                <w:b/>
                <w:sz w:val="24"/>
                <w:szCs w:val="24"/>
              </w:rPr>
              <w:t>Delta</w:t>
            </w:r>
          </w:p>
        </w:tc>
        <w:tc>
          <w:tcPr>
            <w:tcW w:w="0" w:type="auto"/>
            <w:gridSpan w:val="2"/>
            <w:tcBorders>
              <w:left w:val="nil"/>
              <w:bottom w:val="single" w:sz="4" w:space="0" w:color="auto"/>
              <w:right w:val="nil"/>
            </w:tcBorders>
          </w:tcPr>
          <w:p w14:paraId="332089E3" w14:textId="77777777" w:rsidR="00F676D3" w:rsidRPr="00DD2C41" w:rsidRDefault="00F676D3" w:rsidP="00E64C9D">
            <w:pPr>
              <w:spacing w:line="240" w:lineRule="auto"/>
              <w:jc w:val="center"/>
              <w:rPr>
                <w:b/>
                <w:sz w:val="24"/>
                <w:szCs w:val="24"/>
              </w:rPr>
            </w:pPr>
            <w:r w:rsidRPr="00DD2C41">
              <w:rPr>
                <w:b/>
                <w:sz w:val="24"/>
                <w:szCs w:val="24"/>
              </w:rPr>
              <w:t>Theta</w:t>
            </w:r>
          </w:p>
        </w:tc>
        <w:tc>
          <w:tcPr>
            <w:tcW w:w="0" w:type="auto"/>
            <w:gridSpan w:val="2"/>
            <w:tcBorders>
              <w:left w:val="nil"/>
              <w:bottom w:val="single" w:sz="4" w:space="0" w:color="auto"/>
              <w:right w:val="nil"/>
            </w:tcBorders>
          </w:tcPr>
          <w:p w14:paraId="02569AEA" w14:textId="77777777" w:rsidR="00F676D3" w:rsidRPr="00DD2C41" w:rsidRDefault="00F676D3" w:rsidP="00E64C9D">
            <w:pPr>
              <w:spacing w:line="240" w:lineRule="auto"/>
              <w:jc w:val="center"/>
              <w:rPr>
                <w:b/>
                <w:sz w:val="24"/>
                <w:szCs w:val="24"/>
              </w:rPr>
            </w:pPr>
            <w:r w:rsidRPr="00DD2C41">
              <w:rPr>
                <w:b/>
                <w:sz w:val="24"/>
                <w:szCs w:val="24"/>
              </w:rPr>
              <w:t>Delta</w:t>
            </w:r>
          </w:p>
        </w:tc>
      </w:tr>
      <w:tr w:rsidR="00F676D3" w:rsidRPr="00DD2C41" w14:paraId="09F55BF0" w14:textId="77777777" w:rsidTr="00E64C9D">
        <w:tc>
          <w:tcPr>
            <w:tcW w:w="0" w:type="auto"/>
            <w:tcBorders>
              <w:top w:val="single" w:sz="4" w:space="0" w:color="auto"/>
              <w:left w:val="nil"/>
              <w:bottom w:val="single" w:sz="4" w:space="0" w:color="auto"/>
              <w:right w:val="nil"/>
            </w:tcBorders>
          </w:tcPr>
          <w:p w14:paraId="40CF075D" w14:textId="77777777" w:rsidR="00F676D3" w:rsidRPr="00DD2C41" w:rsidRDefault="00F676D3" w:rsidP="00E64C9D">
            <w:pPr>
              <w:spacing w:line="240" w:lineRule="auto"/>
              <w:jc w:val="center"/>
              <w:rPr>
                <w:b/>
                <w:sz w:val="24"/>
                <w:szCs w:val="24"/>
              </w:rPr>
            </w:pPr>
            <w:r w:rsidRPr="00DD2C41">
              <w:rPr>
                <w:b/>
                <w:sz w:val="24"/>
                <w:szCs w:val="24"/>
              </w:rPr>
              <w:t>Area</w:t>
            </w:r>
          </w:p>
        </w:tc>
        <w:tc>
          <w:tcPr>
            <w:tcW w:w="0" w:type="auto"/>
            <w:tcBorders>
              <w:top w:val="single" w:sz="4" w:space="0" w:color="auto"/>
              <w:left w:val="nil"/>
              <w:bottom w:val="single" w:sz="4" w:space="0" w:color="auto"/>
              <w:right w:val="nil"/>
            </w:tcBorders>
          </w:tcPr>
          <w:p w14:paraId="615A5C6A" w14:textId="77777777" w:rsidR="00F676D3" w:rsidRPr="00DD2C41" w:rsidRDefault="00F676D3" w:rsidP="00E64C9D">
            <w:pPr>
              <w:spacing w:line="240" w:lineRule="auto"/>
              <w:jc w:val="center"/>
              <w:rPr>
                <w:sz w:val="24"/>
                <w:szCs w:val="24"/>
              </w:rPr>
            </w:pPr>
            <w:r w:rsidRPr="00DD2C41">
              <w:rPr>
                <w:b/>
                <w:sz w:val="24"/>
                <w:szCs w:val="24"/>
              </w:rPr>
              <w:sym w:font="Symbol" w:char="F072"/>
            </w:r>
          </w:p>
        </w:tc>
        <w:tc>
          <w:tcPr>
            <w:tcW w:w="0" w:type="auto"/>
            <w:tcBorders>
              <w:top w:val="single" w:sz="4" w:space="0" w:color="auto"/>
              <w:left w:val="nil"/>
              <w:bottom w:val="single" w:sz="4" w:space="0" w:color="auto"/>
              <w:right w:val="nil"/>
            </w:tcBorders>
          </w:tcPr>
          <w:p w14:paraId="62984258" w14:textId="77777777" w:rsidR="00F676D3" w:rsidRPr="00DD2C41" w:rsidRDefault="00F676D3" w:rsidP="00E64C9D">
            <w:pPr>
              <w:spacing w:line="240" w:lineRule="auto"/>
              <w:jc w:val="center"/>
              <w:rPr>
                <w:iCs/>
                <w:sz w:val="24"/>
                <w:szCs w:val="24"/>
              </w:rPr>
            </w:pPr>
            <w:r w:rsidRPr="00DD2C41">
              <w:rPr>
                <w:iCs/>
                <w:sz w:val="24"/>
                <w:szCs w:val="24"/>
              </w:rPr>
              <w:t>p</w:t>
            </w:r>
          </w:p>
        </w:tc>
        <w:tc>
          <w:tcPr>
            <w:tcW w:w="0" w:type="auto"/>
            <w:tcBorders>
              <w:top w:val="single" w:sz="4" w:space="0" w:color="auto"/>
              <w:left w:val="nil"/>
              <w:bottom w:val="single" w:sz="4" w:space="0" w:color="auto"/>
              <w:right w:val="nil"/>
            </w:tcBorders>
          </w:tcPr>
          <w:p w14:paraId="06362322" w14:textId="77777777" w:rsidR="00F676D3" w:rsidRPr="00DD2C41" w:rsidRDefault="00F676D3" w:rsidP="00E64C9D">
            <w:pPr>
              <w:spacing w:line="240" w:lineRule="auto"/>
              <w:jc w:val="center"/>
              <w:rPr>
                <w:sz w:val="24"/>
                <w:szCs w:val="24"/>
              </w:rPr>
            </w:pPr>
            <w:r w:rsidRPr="00DD2C41">
              <w:rPr>
                <w:b/>
                <w:sz w:val="24"/>
                <w:szCs w:val="24"/>
              </w:rPr>
              <w:sym w:font="Symbol" w:char="F072"/>
            </w:r>
          </w:p>
        </w:tc>
        <w:tc>
          <w:tcPr>
            <w:tcW w:w="0" w:type="auto"/>
            <w:tcBorders>
              <w:top w:val="single" w:sz="4" w:space="0" w:color="auto"/>
              <w:left w:val="nil"/>
              <w:bottom w:val="single" w:sz="4" w:space="0" w:color="auto"/>
              <w:right w:val="nil"/>
            </w:tcBorders>
          </w:tcPr>
          <w:p w14:paraId="65EE77D0" w14:textId="77777777" w:rsidR="00F676D3" w:rsidRPr="00DD2C41" w:rsidRDefault="00F676D3" w:rsidP="00E64C9D">
            <w:pPr>
              <w:spacing w:line="240" w:lineRule="auto"/>
              <w:jc w:val="center"/>
              <w:rPr>
                <w:sz w:val="24"/>
                <w:szCs w:val="24"/>
              </w:rPr>
            </w:pPr>
            <w:r w:rsidRPr="00DD2C41">
              <w:rPr>
                <w:sz w:val="24"/>
                <w:szCs w:val="24"/>
              </w:rPr>
              <w:t>p</w:t>
            </w:r>
          </w:p>
        </w:tc>
        <w:tc>
          <w:tcPr>
            <w:tcW w:w="0" w:type="auto"/>
            <w:tcBorders>
              <w:top w:val="single" w:sz="4" w:space="0" w:color="auto"/>
              <w:left w:val="nil"/>
              <w:bottom w:val="single" w:sz="4" w:space="0" w:color="auto"/>
              <w:right w:val="nil"/>
            </w:tcBorders>
          </w:tcPr>
          <w:p w14:paraId="087743B4" w14:textId="77777777" w:rsidR="00F676D3" w:rsidRPr="00DD2C41" w:rsidRDefault="00F676D3" w:rsidP="00E64C9D">
            <w:pPr>
              <w:spacing w:line="240" w:lineRule="auto"/>
              <w:jc w:val="center"/>
              <w:rPr>
                <w:i/>
                <w:sz w:val="24"/>
                <w:szCs w:val="24"/>
              </w:rPr>
            </w:pPr>
            <w:r w:rsidRPr="00DD2C41">
              <w:rPr>
                <w:b/>
                <w:sz w:val="24"/>
                <w:szCs w:val="24"/>
              </w:rPr>
              <w:sym w:font="Symbol" w:char="F072"/>
            </w:r>
          </w:p>
        </w:tc>
        <w:tc>
          <w:tcPr>
            <w:tcW w:w="0" w:type="auto"/>
            <w:tcBorders>
              <w:top w:val="single" w:sz="4" w:space="0" w:color="auto"/>
              <w:left w:val="nil"/>
              <w:bottom w:val="single" w:sz="4" w:space="0" w:color="auto"/>
              <w:right w:val="nil"/>
            </w:tcBorders>
          </w:tcPr>
          <w:p w14:paraId="626CFB66" w14:textId="77777777" w:rsidR="00F676D3" w:rsidRPr="00DD2C41" w:rsidRDefault="00F676D3" w:rsidP="00E64C9D">
            <w:pPr>
              <w:spacing w:line="240" w:lineRule="auto"/>
              <w:jc w:val="center"/>
              <w:rPr>
                <w:iCs/>
                <w:sz w:val="24"/>
                <w:szCs w:val="24"/>
              </w:rPr>
            </w:pPr>
            <w:r w:rsidRPr="00DD2C41">
              <w:rPr>
                <w:iCs/>
                <w:sz w:val="24"/>
                <w:szCs w:val="24"/>
              </w:rPr>
              <w:t>p</w:t>
            </w:r>
          </w:p>
        </w:tc>
      </w:tr>
      <w:tr w:rsidR="00F676D3" w:rsidRPr="00DD2C41" w14:paraId="22ACA64D" w14:textId="77777777" w:rsidTr="00E64C9D">
        <w:tc>
          <w:tcPr>
            <w:tcW w:w="0" w:type="auto"/>
            <w:tcBorders>
              <w:left w:val="nil"/>
              <w:bottom w:val="nil"/>
              <w:right w:val="nil"/>
            </w:tcBorders>
          </w:tcPr>
          <w:p w14:paraId="24D4BE89" w14:textId="77777777" w:rsidR="00F676D3" w:rsidRPr="00DD2C41" w:rsidRDefault="00F676D3" w:rsidP="00E64C9D">
            <w:pPr>
              <w:spacing w:line="240" w:lineRule="auto"/>
              <w:rPr>
                <w:sz w:val="24"/>
                <w:szCs w:val="24"/>
              </w:rPr>
            </w:pPr>
            <w:r w:rsidRPr="00C56E77">
              <w:rPr>
                <w:rFonts w:eastAsia="Times New Roman"/>
                <w:color w:val="222222"/>
                <w:sz w:val="24"/>
                <w:szCs w:val="24"/>
              </w:rPr>
              <w:t>Medial left</w:t>
            </w:r>
          </w:p>
        </w:tc>
        <w:tc>
          <w:tcPr>
            <w:tcW w:w="0" w:type="auto"/>
            <w:tcBorders>
              <w:left w:val="nil"/>
              <w:bottom w:val="nil"/>
              <w:right w:val="nil"/>
            </w:tcBorders>
          </w:tcPr>
          <w:p w14:paraId="109E5807" w14:textId="77777777" w:rsidR="00F676D3" w:rsidRPr="00DD2C41" w:rsidRDefault="00F676D3" w:rsidP="00E64C9D">
            <w:pPr>
              <w:spacing w:line="240" w:lineRule="auto"/>
              <w:jc w:val="center"/>
              <w:rPr>
                <w:sz w:val="24"/>
                <w:szCs w:val="24"/>
              </w:rPr>
            </w:pPr>
            <w:r w:rsidRPr="00DD2C41">
              <w:rPr>
                <w:sz w:val="24"/>
                <w:szCs w:val="24"/>
              </w:rPr>
              <w:t>-.685</w:t>
            </w:r>
          </w:p>
        </w:tc>
        <w:tc>
          <w:tcPr>
            <w:tcW w:w="0" w:type="auto"/>
            <w:tcBorders>
              <w:left w:val="nil"/>
              <w:bottom w:val="nil"/>
              <w:right w:val="nil"/>
            </w:tcBorders>
          </w:tcPr>
          <w:p w14:paraId="25A3B83F" w14:textId="77777777" w:rsidR="00F676D3" w:rsidRPr="00DD2C41" w:rsidRDefault="00F676D3" w:rsidP="00E64C9D">
            <w:pPr>
              <w:spacing w:line="240" w:lineRule="auto"/>
              <w:jc w:val="center"/>
              <w:rPr>
                <w:sz w:val="24"/>
                <w:szCs w:val="24"/>
              </w:rPr>
            </w:pPr>
            <w:r w:rsidRPr="00DD2C41">
              <w:rPr>
                <w:sz w:val="24"/>
                <w:szCs w:val="24"/>
              </w:rPr>
              <w:t>0.014</w:t>
            </w:r>
          </w:p>
        </w:tc>
        <w:tc>
          <w:tcPr>
            <w:tcW w:w="0" w:type="auto"/>
            <w:tcBorders>
              <w:left w:val="nil"/>
              <w:bottom w:val="nil"/>
              <w:right w:val="nil"/>
            </w:tcBorders>
          </w:tcPr>
          <w:p w14:paraId="14E0091A" w14:textId="77777777" w:rsidR="00F676D3" w:rsidRPr="00DD2C41" w:rsidRDefault="00F676D3" w:rsidP="00E64C9D">
            <w:pPr>
              <w:spacing w:line="240" w:lineRule="auto"/>
              <w:jc w:val="center"/>
              <w:rPr>
                <w:sz w:val="24"/>
                <w:szCs w:val="24"/>
              </w:rPr>
            </w:pPr>
            <w:r w:rsidRPr="00DD2C41">
              <w:rPr>
                <w:sz w:val="24"/>
                <w:szCs w:val="24"/>
              </w:rPr>
              <w:t>-.612</w:t>
            </w:r>
          </w:p>
        </w:tc>
        <w:tc>
          <w:tcPr>
            <w:tcW w:w="0" w:type="auto"/>
            <w:tcBorders>
              <w:left w:val="nil"/>
              <w:bottom w:val="nil"/>
              <w:right w:val="nil"/>
            </w:tcBorders>
          </w:tcPr>
          <w:p w14:paraId="71C9F778" w14:textId="77777777" w:rsidR="00F676D3" w:rsidRPr="00DD2C41" w:rsidRDefault="00F676D3" w:rsidP="00E64C9D">
            <w:pPr>
              <w:spacing w:line="240" w:lineRule="auto"/>
              <w:jc w:val="center"/>
              <w:rPr>
                <w:sz w:val="24"/>
                <w:szCs w:val="24"/>
              </w:rPr>
            </w:pPr>
            <w:r w:rsidRPr="00DD2C41">
              <w:rPr>
                <w:sz w:val="24"/>
                <w:szCs w:val="24"/>
              </w:rPr>
              <w:t>0.030</w:t>
            </w:r>
          </w:p>
        </w:tc>
        <w:tc>
          <w:tcPr>
            <w:tcW w:w="0" w:type="auto"/>
            <w:tcBorders>
              <w:left w:val="nil"/>
              <w:bottom w:val="nil"/>
              <w:right w:val="nil"/>
            </w:tcBorders>
          </w:tcPr>
          <w:p w14:paraId="6C27AC4E" w14:textId="77777777" w:rsidR="00F676D3" w:rsidRPr="00DD2C41" w:rsidRDefault="00F676D3" w:rsidP="00E64C9D">
            <w:pPr>
              <w:spacing w:line="240" w:lineRule="auto"/>
              <w:jc w:val="center"/>
              <w:rPr>
                <w:sz w:val="24"/>
                <w:szCs w:val="24"/>
              </w:rPr>
            </w:pPr>
            <w:r w:rsidRPr="00DD2C41">
              <w:rPr>
                <w:sz w:val="24"/>
                <w:szCs w:val="24"/>
              </w:rPr>
              <w:t>-.709</w:t>
            </w:r>
          </w:p>
        </w:tc>
        <w:tc>
          <w:tcPr>
            <w:tcW w:w="0" w:type="auto"/>
            <w:tcBorders>
              <w:left w:val="nil"/>
              <w:bottom w:val="nil"/>
              <w:right w:val="nil"/>
            </w:tcBorders>
          </w:tcPr>
          <w:p w14:paraId="490A13F6" w14:textId="77777777" w:rsidR="00F676D3" w:rsidRPr="00DD2C41" w:rsidRDefault="00F676D3" w:rsidP="00E64C9D">
            <w:pPr>
              <w:spacing w:line="240" w:lineRule="auto"/>
              <w:jc w:val="center"/>
              <w:rPr>
                <w:sz w:val="24"/>
                <w:szCs w:val="24"/>
              </w:rPr>
            </w:pPr>
            <w:r w:rsidRPr="00DD2C41">
              <w:rPr>
                <w:sz w:val="24"/>
                <w:szCs w:val="24"/>
              </w:rPr>
              <w:t>0.011</w:t>
            </w:r>
          </w:p>
        </w:tc>
      </w:tr>
      <w:tr w:rsidR="00F676D3" w:rsidRPr="00DD2C41" w14:paraId="14B4EDED" w14:textId="77777777" w:rsidTr="00E64C9D">
        <w:tc>
          <w:tcPr>
            <w:tcW w:w="0" w:type="auto"/>
            <w:tcBorders>
              <w:top w:val="nil"/>
              <w:left w:val="nil"/>
              <w:bottom w:val="nil"/>
              <w:right w:val="nil"/>
            </w:tcBorders>
          </w:tcPr>
          <w:p w14:paraId="54749AF5" w14:textId="77777777" w:rsidR="00F676D3" w:rsidRPr="00DD2C41" w:rsidRDefault="00F676D3" w:rsidP="00E64C9D">
            <w:pPr>
              <w:spacing w:line="240" w:lineRule="auto"/>
              <w:rPr>
                <w:sz w:val="24"/>
                <w:szCs w:val="24"/>
              </w:rPr>
            </w:pPr>
            <w:r w:rsidRPr="00C56E77">
              <w:rPr>
                <w:rFonts w:eastAsia="Times New Roman"/>
                <w:color w:val="222222"/>
                <w:sz w:val="24"/>
                <w:szCs w:val="24"/>
              </w:rPr>
              <w:t>Central line</w:t>
            </w:r>
          </w:p>
        </w:tc>
        <w:tc>
          <w:tcPr>
            <w:tcW w:w="0" w:type="auto"/>
            <w:tcBorders>
              <w:top w:val="nil"/>
              <w:left w:val="nil"/>
              <w:bottom w:val="nil"/>
              <w:right w:val="nil"/>
            </w:tcBorders>
          </w:tcPr>
          <w:p w14:paraId="186991AE" w14:textId="77777777" w:rsidR="00F676D3" w:rsidRPr="00DD2C41" w:rsidRDefault="00F676D3" w:rsidP="00E64C9D">
            <w:pPr>
              <w:spacing w:line="240" w:lineRule="auto"/>
              <w:jc w:val="center"/>
              <w:rPr>
                <w:sz w:val="24"/>
                <w:szCs w:val="24"/>
              </w:rPr>
            </w:pPr>
            <w:r w:rsidRPr="00DD2C41">
              <w:rPr>
                <w:sz w:val="24"/>
                <w:szCs w:val="24"/>
              </w:rPr>
              <w:t>-.552</w:t>
            </w:r>
          </w:p>
        </w:tc>
        <w:tc>
          <w:tcPr>
            <w:tcW w:w="0" w:type="auto"/>
            <w:tcBorders>
              <w:top w:val="nil"/>
              <w:left w:val="nil"/>
              <w:bottom w:val="nil"/>
              <w:right w:val="nil"/>
            </w:tcBorders>
          </w:tcPr>
          <w:p w14:paraId="25069089" w14:textId="77777777" w:rsidR="00F676D3" w:rsidRPr="00DD2C41" w:rsidRDefault="00F676D3" w:rsidP="00E64C9D">
            <w:pPr>
              <w:spacing w:line="240" w:lineRule="auto"/>
              <w:jc w:val="center"/>
              <w:rPr>
                <w:sz w:val="24"/>
                <w:szCs w:val="24"/>
              </w:rPr>
            </w:pPr>
            <w:r w:rsidRPr="00DD2C41">
              <w:rPr>
                <w:sz w:val="24"/>
                <w:szCs w:val="24"/>
              </w:rPr>
              <w:t>0.049</w:t>
            </w:r>
          </w:p>
        </w:tc>
        <w:tc>
          <w:tcPr>
            <w:tcW w:w="0" w:type="auto"/>
            <w:tcBorders>
              <w:top w:val="nil"/>
              <w:left w:val="nil"/>
              <w:bottom w:val="nil"/>
              <w:right w:val="nil"/>
            </w:tcBorders>
          </w:tcPr>
          <w:p w14:paraId="07E3A6D3" w14:textId="77777777" w:rsidR="00F676D3" w:rsidRPr="00DD2C41" w:rsidRDefault="00F676D3" w:rsidP="00E64C9D">
            <w:pPr>
              <w:spacing w:line="240" w:lineRule="auto"/>
              <w:jc w:val="center"/>
              <w:rPr>
                <w:sz w:val="24"/>
                <w:szCs w:val="24"/>
              </w:rPr>
            </w:pPr>
            <w:r w:rsidRPr="00DD2C41">
              <w:rPr>
                <w:sz w:val="24"/>
                <w:szCs w:val="24"/>
              </w:rPr>
              <w:t>-.564</w:t>
            </w:r>
          </w:p>
        </w:tc>
        <w:tc>
          <w:tcPr>
            <w:tcW w:w="0" w:type="auto"/>
            <w:tcBorders>
              <w:top w:val="nil"/>
              <w:left w:val="nil"/>
              <w:bottom w:val="nil"/>
              <w:right w:val="nil"/>
            </w:tcBorders>
          </w:tcPr>
          <w:p w14:paraId="438391F7" w14:textId="77777777" w:rsidR="00F676D3" w:rsidRPr="00DD2C41" w:rsidRDefault="00F676D3" w:rsidP="00E64C9D">
            <w:pPr>
              <w:spacing w:line="240" w:lineRule="auto"/>
              <w:jc w:val="center"/>
              <w:rPr>
                <w:sz w:val="24"/>
                <w:szCs w:val="24"/>
              </w:rPr>
            </w:pPr>
            <w:r w:rsidRPr="00DD2C41">
              <w:rPr>
                <w:sz w:val="24"/>
                <w:szCs w:val="24"/>
              </w:rPr>
              <w:t>0.035</w:t>
            </w:r>
          </w:p>
        </w:tc>
        <w:tc>
          <w:tcPr>
            <w:tcW w:w="0" w:type="auto"/>
            <w:tcBorders>
              <w:top w:val="nil"/>
              <w:left w:val="nil"/>
              <w:bottom w:val="nil"/>
              <w:right w:val="nil"/>
            </w:tcBorders>
          </w:tcPr>
          <w:p w14:paraId="29839C1B"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39087673" w14:textId="77777777" w:rsidR="00F676D3" w:rsidRPr="00DD2C41" w:rsidRDefault="00F676D3" w:rsidP="00E64C9D">
            <w:pPr>
              <w:spacing w:line="240" w:lineRule="auto"/>
              <w:jc w:val="center"/>
              <w:rPr>
                <w:sz w:val="24"/>
                <w:szCs w:val="24"/>
              </w:rPr>
            </w:pPr>
          </w:p>
        </w:tc>
      </w:tr>
      <w:tr w:rsidR="00F676D3" w:rsidRPr="00DD2C41" w14:paraId="706BBEF3" w14:textId="77777777" w:rsidTr="00E64C9D">
        <w:tc>
          <w:tcPr>
            <w:tcW w:w="0" w:type="auto"/>
            <w:tcBorders>
              <w:top w:val="nil"/>
              <w:left w:val="nil"/>
              <w:bottom w:val="nil"/>
              <w:right w:val="nil"/>
            </w:tcBorders>
          </w:tcPr>
          <w:p w14:paraId="7C184FE5" w14:textId="77777777" w:rsidR="00F676D3" w:rsidRPr="00DD2C41" w:rsidRDefault="00F676D3" w:rsidP="00E64C9D">
            <w:pPr>
              <w:spacing w:line="240" w:lineRule="auto"/>
              <w:rPr>
                <w:sz w:val="24"/>
                <w:szCs w:val="24"/>
              </w:rPr>
            </w:pPr>
            <w:r w:rsidRPr="00C56E77">
              <w:rPr>
                <w:rFonts w:eastAsia="Times New Roman"/>
                <w:color w:val="222222"/>
                <w:sz w:val="24"/>
                <w:szCs w:val="24"/>
              </w:rPr>
              <w:t>Anterior left</w:t>
            </w:r>
          </w:p>
        </w:tc>
        <w:tc>
          <w:tcPr>
            <w:tcW w:w="0" w:type="auto"/>
            <w:tcBorders>
              <w:top w:val="nil"/>
              <w:left w:val="nil"/>
              <w:bottom w:val="nil"/>
              <w:right w:val="nil"/>
            </w:tcBorders>
          </w:tcPr>
          <w:p w14:paraId="4BBE0A3D"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549B9E5A"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7116B484" w14:textId="77777777" w:rsidR="00F676D3" w:rsidRPr="00DD2C41" w:rsidRDefault="00F676D3" w:rsidP="00E64C9D">
            <w:pPr>
              <w:spacing w:line="240" w:lineRule="auto"/>
              <w:jc w:val="center"/>
              <w:rPr>
                <w:sz w:val="24"/>
                <w:szCs w:val="24"/>
              </w:rPr>
            </w:pPr>
            <w:r w:rsidRPr="00DD2C41">
              <w:rPr>
                <w:sz w:val="24"/>
                <w:szCs w:val="24"/>
              </w:rPr>
              <w:t>-.661</w:t>
            </w:r>
          </w:p>
        </w:tc>
        <w:tc>
          <w:tcPr>
            <w:tcW w:w="0" w:type="auto"/>
            <w:tcBorders>
              <w:top w:val="nil"/>
              <w:left w:val="nil"/>
              <w:bottom w:val="nil"/>
              <w:right w:val="nil"/>
            </w:tcBorders>
          </w:tcPr>
          <w:p w14:paraId="0F181348" w14:textId="77777777" w:rsidR="00F676D3" w:rsidRPr="00DD2C41" w:rsidRDefault="00F676D3" w:rsidP="00E64C9D">
            <w:pPr>
              <w:spacing w:line="240" w:lineRule="auto"/>
              <w:jc w:val="center"/>
              <w:rPr>
                <w:sz w:val="24"/>
                <w:szCs w:val="24"/>
              </w:rPr>
            </w:pPr>
            <w:r w:rsidRPr="00DD2C41">
              <w:rPr>
                <w:sz w:val="24"/>
                <w:szCs w:val="24"/>
              </w:rPr>
              <w:t>0.019</w:t>
            </w:r>
          </w:p>
        </w:tc>
        <w:tc>
          <w:tcPr>
            <w:tcW w:w="0" w:type="auto"/>
            <w:tcBorders>
              <w:top w:val="nil"/>
              <w:left w:val="nil"/>
              <w:bottom w:val="nil"/>
              <w:right w:val="nil"/>
            </w:tcBorders>
          </w:tcPr>
          <w:p w14:paraId="29A87737"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3EF24C73" w14:textId="77777777" w:rsidR="00F676D3" w:rsidRPr="00DD2C41" w:rsidRDefault="00F676D3" w:rsidP="00E64C9D">
            <w:pPr>
              <w:spacing w:line="240" w:lineRule="auto"/>
              <w:jc w:val="center"/>
              <w:rPr>
                <w:sz w:val="24"/>
                <w:szCs w:val="24"/>
              </w:rPr>
            </w:pPr>
          </w:p>
        </w:tc>
      </w:tr>
      <w:tr w:rsidR="00F676D3" w:rsidRPr="00DD2C41" w14:paraId="1A8ED3CA" w14:textId="77777777" w:rsidTr="00E64C9D">
        <w:tc>
          <w:tcPr>
            <w:tcW w:w="0" w:type="auto"/>
            <w:tcBorders>
              <w:top w:val="nil"/>
              <w:left w:val="nil"/>
              <w:bottom w:val="nil"/>
              <w:right w:val="nil"/>
            </w:tcBorders>
          </w:tcPr>
          <w:p w14:paraId="7089750C" w14:textId="77777777" w:rsidR="00F676D3" w:rsidRPr="00DD2C41" w:rsidRDefault="00F676D3" w:rsidP="00E64C9D">
            <w:pPr>
              <w:spacing w:line="240" w:lineRule="auto"/>
              <w:rPr>
                <w:sz w:val="24"/>
                <w:szCs w:val="24"/>
              </w:rPr>
            </w:pPr>
            <w:r w:rsidRPr="00C56E77">
              <w:rPr>
                <w:rFonts w:eastAsia="Times New Roman"/>
                <w:color w:val="222222"/>
                <w:sz w:val="24"/>
                <w:szCs w:val="24"/>
              </w:rPr>
              <w:t>Posterior left</w:t>
            </w:r>
          </w:p>
        </w:tc>
        <w:tc>
          <w:tcPr>
            <w:tcW w:w="0" w:type="auto"/>
            <w:tcBorders>
              <w:top w:val="nil"/>
              <w:left w:val="nil"/>
              <w:bottom w:val="nil"/>
              <w:right w:val="nil"/>
            </w:tcBorders>
          </w:tcPr>
          <w:p w14:paraId="645C4877" w14:textId="77777777" w:rsidR="00F676D3" w:rsidRPr="00DD2C41" w:rsidRDefault="00F676D3" w:rsidP="00E64C9D">
            <w:pPr>
              <w:spacing w:line="240" w:lineRule="auto"/>
              <w:jc w:val="center"/>
              <w:rPr>
                <w:sz w:val="24"/>
                <w:szCs w:val="24"/>
              </w:rPr>
            </w:pPr>
            <w:r w:rsidRPr="00DD2C41">
              <w:rPr>
                <w:sz w:val="24"/>
                <w:szCs w:val="24"/>
              </w:rPr>
              <w:t>-.624</w:t>
            </w:r>
          </w:p>
        </w:tc>
        <w:tc>
          <w:tcPr>
            <w:tcW w:w="0" w:type="auto"/>
            <w:tcBorders>
              <w:top w:val="nil"/>
              <w:left w:val="nil"/>
              <w:bottom w:val="nil"/>
              <w:right w:val="nil"/>
            </w:tcBorders>
          </w:tcPr>
          <w:p w14:paraId="4354E7DB" w14:textId="77777777" w:rsidR="00F676D3" w:rsidRPr="00DD2C41" w:rsidRDefault="00F676D3" w:rsidP="00E64C9D">
            <w:pPr>
              <w:spacing w:line="240" w:lineRule="auto"/>
              <w:jc w:val="center"/>
              <w:rPr>
                <w:sz w:val="24"/>
                <w:szCs w:val="24"/>
              </w:rPr>
            </w:pPr>
            <w:r w:rsidRPr="00DD2C41">
              <w:rPr>
                <w:sz w:val="24"/>
                <w:szCs w:val="24"/>
              </w:rPr>
              <w:t>0.027</w:t>
            </w:r>
          </w:p>
        </w:tc>
        <w:tc>
          <w:tcPr>
            <w:tcW w:w="0" w:type="auto"/>
            <w:tcBorders>
              <w:top w:val="nil"/>
              <w:left w:val="nil"/>
              <w:bottom w:val="nil"/>
              <w:right w:val="nil"/>
            </w:tcBorders>
          </w:tcPr>
          <w:p w14:paraId="2B4F823E" w14:textId="77777777" w:rsidR="00F676D3" w:rsidRPr="00DD2C41" w:rsidRDefault="00F676D3" w:rsidP="00E64C9D">
            <w:pPr>
              <w:spacing w:line="240" w:lineRule="auto"/>
              <w:jc w:val="center"/>
              <w:rPr>
                <w:sz w:val="24"/>
                <w:szCs w:val="24"/>
              </w:rPr>
            </w:pPr>
            <w:r w:rsidRPr="00DD2C41">
              <w:rPr>
                <w:sz w:val="24"/>
                <w:szCs w:val="24"/>
              </w:rPr>
              <w:t>-.685</w:t>
            </w:r>
          </w:p>
        </w:tc>
        <w:tc>
          <w:tcPr>
            <w:tcW w:w="0" w:type="auto"/>
            <w:tcBorders>
              <w:top w:val="nil"/>
              <w:left w:val="nil"/>
              <w:bottom w:val="nil"/>
              <w:right w:val="nil"/>
            </w:tcBorders>
          </w:tcPr>
          <w:p w14:paraId="24445B84" w14:textId="77777777" w:rsidR="00F676D3" w:rsidRPr="00DD2C41" w:rsidRDefault="00F676D3" w:rsidP="00E64C9D">
            <w:pPr>
              <w:spacing w:line="240" w:lineRule="auto"/>
              <w:jc w:val="center"/>
              <w:rPr>
                <w:sz w:val="24"/>
                <w:szCs w:val="24"/>
              </w:rPr>
            </w:pPr>
            <w:r w:rsidRPr="00DD2C41">
              <w:rPr>
                <w:sz w:val="24"/>
                <w:szCs w:val="24"/>
              </w:rPr>
              <w:t>0.014</w:t>
            </w:r>
          </w:p>
        </w:tc>
        <w:tc>
          <w:tcPr>
            <w:tcW w:w="0" w:type="auto"/>
            <w:tcBorders>
              <w:top w:val="nil"/>
              <w:left w:val="nil"/>
              <w:bottom w:val="nil"/>
              <w:right w:val="nil"/>
            </w:tcBorders>
          </w:tcPr>
          <w:p w14:paraId="6D77AC5E" w14:textId="77777777" w:rsidR="00F676D3" w:rsidRPr="00DD2C41" w:rsidRDefault="00F676D3" w:rsidP="00E64C9D">
            <w:pPr>
              <w:spacing w:line="240" w:lineRule="auto"/>
              <w:jc w:val="center"/>
              <w:rPr>
                <w:sz w:val="24"/>
                <w:szCs w:val="24"/>
              </w:rPr>
            </w:pPr>
            <w:r w:rsidRPr="00DD2C41">
              <w:rPr>
                <w:sz w:val="24"/>
                <w:szCs w:val="24"/>
              </w:rPr>
              <w:t>-.673</w:t>
            </w:r>
          </w:p>
        </w:tc>
        <w:tc>
          <w:tcPr>
            <w:tcW w:w="0" w:type="auto"/>
            <w:tcBorders>
              <w:top w:val="nil"/>
              <w:left w:val="nil"/>
              <w:bottom w:val="nil"/>
              <w:right w:val="nil"/>
            </w:tcBorders>
          </w:tcPr>
          <w:p w14:paraId="231C950D" w14:textId="77777777" w:rsidR="00F676D3" w:rsidRPr="00DD2C41" w:rsidRDefault="00F676D3" w:rsidP="00E64C9D">
            <w:pPr>
              <w:spacing w:line="240" w:lineRule="auto"/>
              <w:jc w:val="center"/>
              <w:rPr>
                <w:sz w:val="24"/>
                <w:szCs w:val="24"/>
              </w:rPr>
            </w:pPr>
            <w:r w:rsidRPr="00DD2C41">
              <w:rPr>
                <w:sz w:val="24"/>
                <w:szCs w:val="24"/>
              </w:rPr>
              <w:t>0.017</w:t>
            </w:r>
          </w:p>
        </w:tc>
      </w:tr>
      <w:tr w:rsidR="00F676D3" w:rsidRPr="00DD2C41" w14:paraId="4D012471" w14:textId="77777777" w:rsidTr="00E64C9D">
        <w:tc>
          <w:tcPr>
            <w:tcW w:w="0" w:type="auto"/>
            <w:tcBorders>
              <w:top w:val="nil"/>
              <w:left w:val="nil"/>
              <w:bottom w:val="nil"/>
              <w:right w:val="nil"/>
            </w:tcBorders>
          </w:tcPr>
          <w:p w14:paraId="745FAB78" w14:textId="77777777" w:rsidR="00F676D3" w:rsidRPr="00DD2C41" w:rsidRDefault="00F676D3" w:rsidP="00E64C9D">
            <w:pPr>
              <w:spacing w:line="240" w:lineRule="auto"/>
              <w:rPr>
                <w:sz w:val="24"/>
                <w:szCs w:val="24"/>
              </w:rPr>
            </w:pPr>
            <w:r w:rsidRPr="00C56E77">
              <w:rPr>
                <w:rFonts w:eastAsia="Times New Roman"/>
                <w:color w:val="222222"/>
                <w:sz w:val="24"/>
                <w:szCs w:val="24"/>
              </w:rPr>
              <w:t>Parieto-Occipital</w:t>
            </w:r>
          </w:p>
        </w:tc>
        <w:tc>
          <w:tcPr>
            <w:tcW w:w="0" w:type="auto"/>
            <w:tcBorders>
              <w:top w:val="nil"/>
              <w:left w:val="nil"/>
              <w:bottom w:val="nil"/>
              <w:right w:val="nil"/>
            </w:tcBorders>
          </w:tcPr>
          <w:p w14:paraId="1542188D" w14:textId="77777777" w:rsidR="00F676D3" w:rsidRPr="00DD2C41" w:rsidRDefault="00F676D3" w:rsidP="00E64C9D">
            <w:pPr>
              <w:spacing w:line="240" w:lineRule="auto"/>
              <w:jc w:val="center"/>
              <w:rPr>
                <w:sz w:val="24"/>
                <w:szCs w:val="24"/>
              </w:rPr>
            </w:pPr>
            <w:r w:rsidRPr="00DD2C41">
              <w:rPr>
                <w:sz w:val="24"/>
                <w:szCs w:val="24"/>
              </w:rPr>
              <w:t>-.624</w:t>
            </w:r>
          </w:p>
        </w:tc>
        <w:tc>
          <w:tcPr>
            <w:tcW w:w="0" w:type="auto"/>
            <w:tcBorders>
              <w:top w:val="nil"/>
              <w:left w:val="nil"/>
              <w:bottom w:val="nil"/>
              <w:right w:val="nil"/>
            </w:tcBorders>
          </w:tcPr>
          <w:p w14:paraId="23B499BD" w14:textId="77777777" w:rsidR="00F676D3" w:rsidRPr="00DD2C41" w:rsidRDefault="00F676D3" w:rsidP="00E64C9D">
            <w:pPr>
              <w:spacing w:line="240" w:lineRule="auto"/>
              <w:jc w:val="center"/>
              <w:rPr>
                <w:sz w:val="24"/>
                <w:szCs w:val="24"/>
              </w:rPr>
            </w:pPr>
            <w:r w:rsidRPr="00DD2C41">
              <w:rPr>
                <w:sz w:val="24"/>
                <w:szCs w:val="24"/>
              </w:rPr>
              <w:t>0.027</w:t>
            </w:r>
          </w:p>
        </w:tc>
        <w:tc>
          <w:tcPr>
            <w:tcW w:w="0" w:type="auto"/>
            <w:tcBorders>
              <w:top w:val="nil"/>
              <w:left w:val="nil"/>
              <w:bottom w:val="nil"/>
              <w:right w:val="nil"/>
            </w:tcBorders>
          </w:tcPr>
          <w:p w14:paraId="627AAA32" w14:textId="77777777" w:rsidR="00F676D3" w:rsidRPr="00DD2C41" w:rsidRDefault="00F676D3" w:rsidP="00E64C9D">
            <w:pPr>
              <w:spacing w:line="240" w:lineRule="auto"/>
              <w:jc w:val="center"/>
              <w:rPr>
                <w:sz w:val="24"/>
                <w:szCs w:val="24"/>
              </w:rPr>
            </w:pPr>
            <w:r w:rsidRPr="00DD2C41">
              <w:rPr>
                <w:sz w:val="24"/>
                <w:szCs w:val="24"/>
              </w:rPr>
              <w:t>-.553</w:t>
            </w:r>
          </w:p>
        </w:tc>
        <w:tc>
          <w:tcPr>
            <w:tcW w:w="0" w:type="auto"/>
            <w:tcBorders>
              <w:top w:val="nil"/>
              <w:left w:val="nil"/>
              <w:bottom w:val="nil"/>
              <w:right w:val="nil"/>
            </w:tcBorders>
          </w:tcPr>
          <w:p w14:paraId="16E02565" w14:textId="77777777" w:rsidR="00F676D3" w:rsidRPr="00DD2C41" w:rsidRDefault="00F676D3" w:rsidP="00E64C9D">
            <w:pPr>
              <w:spacing w:line="240" w:lineRule="auto"/>
              <w:jc w:val="center"/>
              <w:rPr>
                <w:sz w:val="24"/>
                <w:szCs w:val="24"/>
              </w:rPr>
            </w:pPr>
            <w:r w:rsidRPr="00DD2C41">
              <w:rPr>
                <w:sz w:val="24"/>
                <w:szCs w:val="24"/>
              </w:rPr>
              <w:t>0.049</w:t>
            </w:r>
          </w:p>
        </w:tc>
        <w:tc>
          <w:tcPr>
            <w:tcW w:w="0" w:type="auto"/>
            <w:tcBorders>
              <w:top w:val="nil"/>
              <w:left w:val="nil"/>
              <w:bottom w:val="nil"/>
              <w:right w:val="nil"/>
            </w:tcBorders>
          </w:tcPr>
          <w:p w14:paraId="30075661" w14:textId="77777777" w:rsidR="00F676D3" w:rsidRPr="00DD2C41" w:rsidRDefault="00F676D3" w:rsidP="00E64C9D">
            <w:pPr>
              <w:spacing w:line="240" w:lineRule="auto"/>
              <w:jc w:val="center"/>
              <w:rPr>
                <w:sz w:val="24"/>
                <w:szCs w:val="24"/>
              </w:rPr>
            </w:pPr>
            <w:r w:rsidRPr="00DD2C41">
              <w:rPr>
                <w:sz w:val="24"/>
                <w:szCs w:val="24"/>
              </w:rPr>
              <w:t>-.552</w:t>
            </w:r>
          </w:p>
        </w:tc>
        <w:tc>
          <w:tcPr>
            <w:tcW w:w="0" w:type="auto"/>
            <w:tcBorders>
              <w:top w:val="nil"/>
              <w:left w:val="nil"/>
              <w:bottom w:val="nil"/>
              <w:right w:val="nil"/>
            </w:tcBorders>
          </w:tcPr>
          <w:p w14:paraId="2489940B" w14:textId="77777777" w:rsidR="00F676D3" w:rsidRPr="00DD2C41" w:rsidRDefault="00F676D3" w:rsidP="00E64C9D">
            <w:pPr>
              <w:spacing w:line="240" w:lineRule="auto"/>
              <w:jc w:val="center"/>
              <w:rPr>
                <w:sz w:val="24"/>
                <w:szCs w:val="24"/>
              </w:rPr>
            </w:pPr>
            <w:r w:rsidRPr="00DD2C41">
              <w:rPr>
                <w:sz w:val="24"/>
                <w:szCs w:val="24"/>
              </w:rPr>
              <w:t>0.049</w:t>
            </w:r>
          </w:p>
        </w:tc>
      </w:tr>
      <w:tr w:rsidR="00F676D3" w:rsidRPr="00DD2C41" w14:paraId="0C6CE0B9" w14:textId="77777777" w:rsidTr="00E64C9D">
        <w:tc>
          <w:tcPr>
            <w:tcW w:w="0" w:type="auto"/>
            <w:tcBorders>
              <w:top w:val="nil"/>
              <w:left w:val="nil"/>
              <w:bottom w:val="nil"/>
              <w:right w:val="nil"/>
            </w:tcBorders>
          </w:tcPr>
          <w:p w14:paraId="3FDFD09A" w14:textId="77777777" w:rsidR="00F676D3" w:rsidRPr="00C56E77" w:rsidRDefault="00F676D3" w:rsidP="00E64C9D">
            <w:pPr>
              <w:spacing w:line="240" w:lineRule="auto"/>
              <w:rPr>
                <w:rFonts w:eastAsia="Times New Roman"/>
                <w:color w:val="222222"/>
                <w:sz w:val="24"/>
                <w:szCs w:val="24"/>
              </w:rPr>
            </w:pPr>
            <w:r w:rsidRPr="00C56E77">
              <w:rPr>
                <w:rFonts w:eastAsia="Times New Roman"/>
                <w:color w:val="222222"/>
                <w:sz w:val="24"/>
                <w:szCs w:val="24"/>
              </w:rPr>
              <w:t>Anterior right</w:t>
            </w:r>
          </w:p>
        </w:tc>
        <w:tc>
          <w:tcPr>
            <w:tcW w:w="0" w:type="auto"/>
            <w:tcBorders>
              <w:top w:val="nil"/>
              <w:left w:val="nil"/>
              <w:bottom w:val="nil"/>
              <w:right w:val="nil"/>
            </w:tcBorders>
          </w:tcPr>
          <w:p w14:paraId="08527DB7"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5FAD79D2"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1D274ACD"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076D6854" w14:textId="77777777" w:rsidR="00F676D3" w:rsidRPr="00DD2C41" w:rsidRDefault="00F676D3" w:rsidP="00E64C9D">
            <w:pPr>
              <w:spacing w:line="240" w:lineRule="auto"/>
              <w:jc w:val="center"/>
              <w:rPr>
                <w:sz w:val="24"/>
                <w:szCs w:val="24"/>
              </w:rPr>
            </w:pPr>
          </w:p>
        </w:tc>
        <w:tc>
          <w:tcPr>
            <w:tcW w:w="0" w:type="auto"/>
            <w:tcBorders>
              <w:top w:val="nil"/>
              <w:left w:val="nil"/>
              <w:bottom w:val="nil"/>
              <w:right w:val="nil"/>
            </w:tcBorders>
          </w:tcPr>
          <w:p w14:paraId="0B48076E" w14:textId="77777777" w:rsidR="00F676D3" w:rsidRPr="00DD2C41" w:rsidRDefault="00F676D3" w:rsidP="00E64C9D">
            <w:pPr>
              <w:spacing w:line="240" w:lineRule="auto"/>
              <w:jc w:val="center"/>
              <w:rPr>
                <w:sz w:val="24"/>
                <w:szCs w:val="24"/>
              </w:rPr>
            </w:pPr>
            <w:r w:rsidRPr="00DD2C41">
              <w:rPr>
                <w:sz w:val="24"/>
                <w:szCs w:val="24"/>
              </w:rPr>
              <w:t>-.552</w:t>
            </w:r>
          </w:p>
        </w:tc>
        <w:tc>
          <w:tcPr>
            <w:tcW w:w="0" w:type="auto"/>
            <w:tcBorders>
              <w:top w:val="nil"/>
              <w:left w:val="nil"/>
              <w:bottom w:val="nil"/>
              <w:right w:val="nil"/>
            </w:tcBorders>
          </w:tcPr>
          <w:p w14:paraId="6551C12E" w14:textId="77777777" w:rsidR="00F676D3" w:rsidRPr="00DD2C41" w:rsidRDefault="00F676D3" w:rsidP="00E64C9D">
            <w:pPr>
              <w:spacing w:line="240" w:lineRule="auto"/>
              <w:jc w:val="center"/>
              <w:rPr>
                <w:sz w:val="24"/>
                <w:szCs w:val="24"/>
              </w:rPr>
            </w:pPr>
            <w:r w:rsidRPr="00DD2C41">
              <w:rPr>
                <w:sz w:val="24"/>
                <w:szCs w:val="24"/>
              </w:rPr>
              <w:t>0.049</w:t>
            </w:r>
          </w:p>
        </w:tc>
      </w:tr>
      <w:tr w:rsidR="00F676D3" w:rsidRPr="00DD2C41" w14:paraId="0FCEC03A" w14:textId="77777777" w:rsidTr="00E64C9D">
        <w:tc>
          <w:tcPr>
            <w:tcW w:w="0" w:type="auto"/>
            <w:tcBorders>
              <w:top w:val="nil"/>
              <w:left w:val="nil"/>
              <w:right w:val="nil"/>
            </w:tcBorders>
          </w:tcPr>
          <w:p w14:paraId="47F5D8F9" w14:textId="77777777" w:rsidR="00F676D3" w:rsidRPr="00C56E77" w:rsidRDefault="00F676D3" w:rsidP="00E64C9D">
            <w:pPr>
              <w:spacing w:line="240" w:lineRule="auto"/>
              <w:rPr>
                <w:rFonts w:eastAsia="Times New Roman"/>
                <w:color w:val="222222"/>
                <w:sz w:val="24"/>
                <w:szCs w:val="24"/>
              </w:rPr>
            </w:pPr>
            <w:r w:rsidRPr="00C56E77">
              <w:rPr>
                <w:rFonts w:eastAsia="Times New Roman"/>
                <w:color w:val="222222"/>
                <w:sz w:val="24"/>
                <w:szCs w:val="24"/>
              </w:rPr>
              <w:lastRenderedPageBreak/>
              <w:t>Central left</w:t>
            </w:r>
          </w:p>
        </w:tc>
        <w:tc>
          <w:tcPr>
            <w:tcW w:w="0" w:type="auto"/>
            <w:tcBorders>
              <w:top w:val="nil"/>
              <w:left w:val="nil"/>
              <w:right w:val="nil"/>
            </w:tcBorders>
          </w:tcPr>
          <w:p w14:paraId="3D919209" w14:textId="77777777" w:rsidR="00F676D3" w:rsidRPr="00DD2C41" w:rsidRDefault="00F676D3" w:rsidP="00E64C9D">
            <w:pPr>
              <w:spacing w:line="240" w:lineRule="auto"/>
              <w:jc w:val="center"/>
              <w:rPr>
                <w:sz w:val="24"/>
                <w:szCs w:val="24"/>
              </w:rPr>
            </w:pPr>
          </w:p>
        </w:tc>
        <w:tc>
          <w:tcPr>
            <w:tcW w:w="0" w:type="auto"/>
            <w:tcBorders>
              <w:top w:val="nil"/>
              <w:left w:val="nil"/>
              <w:right w:val="nil"/>
            </w:tcBorders>
          </w:tcPr>
          <w:p w14:paraId="149C4B59" w14:textId="77777777" w:rsidR="00F676D3" w:rsidRPr="00DD2C41" w:rsidRDefault="00F676D3" w:rsidP="00E64C9D">
            <w:pPr>
              <w:spacing w:line="240" w:lineRule="auto"/>
              <w:jc w:val="center"/>
              <w:rPr>
                <w:sz w:val="24"/>
                <w:szCs w:val="24"/>
              </w:rPr>
            </w:pPr>
          </w:p>
        </w:tc>
        <w:tc>
          <w:tcPr>
            <w:tcW w:w="0" w:type="auto"/>
            <w:tcBorders>
              <w:top w:val="nil"/>
              <w:left w:val="nil"/>
              <w:right w:val="nil"/>
            </w:tcBorders>
          </w:tcPr>
          <w:p w14:paraId="4B035445" w14:textId="77777777" w:rsidR="00F676D3" w:rsidRPr="00DD2C41" w:rsidRDefault="00F676D3" w:rsidP="00E64C9D">
            <w:pPr>
              <w:spacing w:line="240" w:lineRule="auto"/>
              <w:jc w:val="center"/>
              <w:rPr>
                <w:sz w:val="24"/>
                <w:szCs w:val="24"/>
              </w:rPr>
            </w:pPr>
          </w:p>
        </w:tc>
        <w:tc>
          <w:tcPr>
            <w:tcW w:w="0" w:type="auto"/>
            <w:tcBorders>
              <w:top w:val="nil"/>
              <w:left w:val="nil"/>
              <w:right w:val="nil"/>
            </w:tcBorders>
          </w:tcPr>
          <w:p w14:paraId="59C4CB15" w14:textId="77777777" w:rsidR="00F676D3" w:rsidRPr="00DD2C41" w:rsidRDefault="00F676D3" w:rsidP="00E64C9D">
            <w:pPr>
              <w:spacing w:line="240" w:lineRule="auto"/>
              <w:jc w:val="center"/>
              <w:rPr>
                <w:sz w:val="24"/>
                <w:szCs w:val="24"/>
              </w:rPr>
            </w:pPr>
          </w:p>
        </w:tc>
        <w:tc>
          <w:tcPr>
            <w:tcW w:w="0" w:type="auto"/>
            <w:tcBorders>
              <w:top w:val="nil"/>
              <w:left w:val="nil"/>
              <w:right w:val="nil"/>
            </w:tcBorders>
          </w:tcPr>
          <w:p w14:paraId="6DAFD3AC" w14:textId="77777777" w:rsidR="00F676D3" w:rsidRPr="00DD2C41" w:rsidRDefault="00F676D3" w:rsidP="00E64C9D">
            <w:pPr>
              <w:spacing w:line="240" w:lineRule="auto"/>
              <w:jc w:val="center"/>
              <w:rPr>
                <w:sz w:val="24"/>
                <w:szCs w:val="24"/>
              </w:rPr>
            </w:pPr>
            <w:r w:rsidRPr="00DD2C41">
              <w:rPr>
                <w:sz w:val="24"/>
                <w:szCs w:val="24"/>
              </w:rPr>
              <w:t>-.612</w:t>
            </w:r>
          </w:p>
        </w:tc>
        <w:tc>
          <w:tcPr>
            <w:tcW w:w="0" w:type="auto"/>
            <w:tcBorders>
              <w:top w:val="nil"/>
              <w:left w:val="nil"/>
              <w:right w:val="nil"/>
            </w:tcBorders>
          </w:tcPr>
          <w:p w14:paraId="0D584EAB" w14:textId="77777777" w:rsidR="00F676D3" w:rsidRPr="00DD2C41" w:rsidRDefault="00F676D3" w:rsidP="00E64C9D">
            <w:pPr>
              <w:spacing w:line="240" w:lineRule="auto"/>
              <w:jc w:val="center"/>
              <w:rPr>
                <w:sz w:val="24"/>
                <w:szCs w:val="24"/>
              </w:rPr>
            </w:pPr>
            <w:r w:rsidRPr="00DD2C41">
              <w:rPr>
                <w:sz w:val="24"/>
                <w:szCs w:val="24"/>
              </w:rPr>
              <w:t>0.030</w:t>
            </w:r>
          </w:p>
        </w:tc>
      </w:tr>
    </w:tbl>
    <w:p w14:paraId="09B13D33" w14:textId="77777777" w:rsidR="00F676D3" w:rsidRPr="00C56E77" w:rsidRDefault="00F676D3" w:rsidP="00F676D3">
      <w:pPr>
        <w:spacing w:line="240" w:lineRule="auto"/>
        <w:rPr>
          <w:sz w:val="24"/>
          <w:szCs w:val="24"/>
        </w:rPr>
      </w:pPr>
      <w:r w:rsidRPr="00C56E77">
        <w:rPr>
          <w:b/>
          <w:sz w:val="24"/>
          <w:szCs w:val="24"/>
        </w:rPr>
        <w:sym w:font="Symbol" w:char="F072"/>
      </w:r>
      <w:r w:rsidRPr="00C56E77">
        <w:rPr>
          <w:b/>
          <w:sz w:val="24"/>
          <w:szCs w:val="24"/>
        </w:rPr>
        <w:t xml:space="preserve"> </w:t>
      </w:r>
      <w:r w:rsidRPr="00C56E77">
        <w:rPr>
          <w:sz w:val="24"/>
          <w:szCs w:val="24"/>
        </w:rPr>
        <w:t>= Spearman’s Rho</w:t>
      </w:r>
    </w:p>
    <w:p w14:paraId="0C3C720F" w14:textId="77777777" w:rsidR="00F676D3" w:rsidRPr="00C56E77" w:rsidRDefault="00F676D3" w:rsidP="00DE2E63">
      <w:pPr>
        <w:spacing w:line="240" w:lineRule="auto"/>
        <w:rPr>
          <w:sz w:val="24"/>
          <w:szCs w:val="24"/>
          <w:lang w:val="en-US"/>
        </w:rPr>
      </w:pPr>
    </w:p>
    <w:p w14:paraId="30892A1A" w14:textId="6A4B3C1A" w:rsidR="00C82336" w:rsidRPr="00C56E77" w:rsidRDefault="003C5AB9" w:rsidP="00DE2E63">
      <w:pPr>
        <w:spacing w:line="240" w:lineRule="auto"/>
        <w:rPr>
          <w:sz w:val="24"/>
          <w:szCs w:val="24"/>
          <w:lang w:val="en-US"/>
        </w:rPr>
      </w:pPr>
      <w:r w:rsidRPr="00C56E77">
        <w:rPr>
          <w:sz w:val="24"/>
          <w:szCs w:val="24"/>
          <w:lang w:val="en-US"/>
        </w:rPr>
        <w:t>In the 0-3 minutes of the WCST analysis, negative correlations of the CRI were found with the AP of the Delta band in the areas: Medial Left (</w:t>
      </w:r>
      <w:r w:rsidR="00082377" w:rsidRPr="00C56E77">
        <w:rPr>
          <w:sz w:val="24"/>
          <w:szCs w:val="24"/>
          <w:lang w:val="en-US"/>
        </w:rPr>
        <w:t>Spearman’s rho [</w:t>
      </w:r>
      <w:proofErr w:type="spellStart"/>
      <w:r w:rsidR="002533D4" w:rsidRPr="00C56E77">
        <w:rPr>
          <w:sz w:val="24"/>
          <w:szCs w:val="24"/>
          <w:lang w:val="en-US"/>
        </w:rPr>
        <w:t>r</w:t>
      </w:r>
      <w:r w:rsidR="002533D4" w:rsidRPr="00C56E77">
        <w:rPr>
          <w:sz w:val="24"/>
          <w:szCs w:val="24"/>
          <w:vertAlign w:val="subscript"/>
          <w:lang w:val="en-US"/>
        </w:rPr>
        <w:t>s</w:t>
      </w:r>
      <w:proofErr w:type="spellEnd"/>
      <w:r w:rsidR="00082377" w:rsidRPr="00C56E77">
        <w:rPr>
          <w:sz w:val="24"/>
          <w:szCs w:val="24"/>
          <w:lang w:val="en-US"/>
        </w:rPr>
        <w:t xml:space="preserve">] </w:t>
      </w:r>
      <w:r w:rsidRPr="00C56E77">
        <w:rPr>
          <w:sz w:val="24"/>
          <w:szCs w:val="24"/>
          <w:lang w:val="en-US"/>
        </w:rPr>
        <w:t xml:space="preserve">= -.673, </w:t>
      </w:r>
      <w:r w:rsidR="00F826AF" w:rsidRPr="00C56E77">
        <w:rPr>
          <w:sz w:val="24"/>
          <w:szCs w:val="24"/>
          <w:lang w:val="en-US"/>
        </w:rPr>
        <w:t>p</w:t>
      </w:r>
      <w:r w:rsidRPr="00C56E77">
        <w:rPr>
          <w:sz w:val="24"/>
          <w:szCs w:val="24"/>
          <w:lang w:val="en-US"/>
        </w:rPr>
        <w:t xml:space="preserve"> = 0.017), and Left Posterior (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-.697, </w:t>
      </w:r>
      <w:r w:rsidR="00F826AF" w:rsidRPr="00C56E77">
        <w:rPr>
          <w:sz w:val="24"/>
          <w:szCs w:val="24"/>
          <w:lang w:val="en-US"/>
        </w:rPr>
        <w:t>p</w:t>
      </w:r>
      <w:r w:rsidRPr="00C56E77">
        <w:rPr>
          <w:sz w:val="24"/>
          <w:szCs w:val="24"/>
          <w:lang w:val="en-US"/>
        </w:rPr>
        <w:t xml:space="preserve"> = 0.013); with the AP of the Theta band in the areas: Medial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-.685, </w:t>
      </w:r>
      <w:r w:rsidR="00F826AF" w:rsidRPr="00C56E77">
        <w:rPr>
          <w:sz w:val="24"/>
          <w:szCs w:val="24"/>
          <w:lang w:val="en-US"/>
        </w:rPr>
        <w:t>p</w:t>
      </w:r>
      <w:r w:rsidRPr="00C56E77">
        <w:rPr>
          <w:sz w:val="24"/>
          <w:szCs w:val="24"/>
          <w:lang w:val="en-US"/>
        </w:rPr>
        <w:t xml:space="preserve"> = 0.014), Anterior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w:t>
      </w:r>
      <w:r w:rsidR="00F826AF" w:rsidRPr="00C56E77">
        <w:rPr>
          <w:sz w:val="24"/>
          <w:szCs w:val="24"/>
          <w:lang w:val="en-US"/>
        </w:rPr>
        <w:t>p</w:t>
      </w:r>
      <w:r w:rsidRPr="00C56E77">
        <w:rPr>
          <w:sz w:val="24"/>
          <w:szCs w:val="24"/>
          <w:lang w:val="en-US"/>
        </w:rPr>
        <w:t xml:space="preserve"> = 0.045), Left Posterior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-.624, </w:t>
      </w:r>
      <w:r w:rsidR="00F826AF" w:rsidRPr="00C56E77">
        <w:rPr>
          <w:sz w:val="24"/>
          <w:szCs w:val="24"/>
          <w:lang w:val="en-US"/>
        </w:rPr>
        <w:t>p</w:t>
      </w:r>
      <w:r w:rsidRPr="00C56E77">
        <w:rPr>
          <w:sz w:val="24"/>
          <w:szCs w:val="24"/>
          <w:lang w:val="en-US"/>
        </w:rPr>
        <w:t xml:space="preserve"> = 0.027), and left Central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w:t>
      </w:r>
      <w:r w:rsidR="00F826AF" w:rsidRPr="00C56E77">
        <w:rPr>
          <w:sz w:val="24"/>
          <w:szCs w:val="24"/>
          <w:lang w:val="en-US"/>
        </w:rPr>
        <w:t>p</w:t>
      </w:r>
      <w:r w:rsidRPr="00C56E77">
        <w:rPr>
          <w:sz w:val="24"/>
          <w:szCs w:val="24"/>
          <w:lang w:val="en-US"/>
        </w:rPr>
        <w:t xml:space="preserve"> = 0.045); and with the AP of the Beta band in the medial Left area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-.612, </w:t>
      </w:r>
      <w:r w:rsidR="00F826AF" w:rsidRPr="00C56E77">
        <w:rPr>
          <w:sz w:val="24"/>
          <w:szCs w:val="24"/>
          <w:lang w:val="en-US"/>
        </w:rPr>
        <w:t>p</w:t>
      </w:r>
      <w:r w:rsidRPr="00C56E77">
        <w:rPr>
          <w:sz w:val="24"/>
          <w:szCs w:val="24"/>
          <w:lang w:val="en-US"/>
        </w:rPr>
        <w:t xml:space="preserve"> = 0.030)</w:t>
      </w:r>
      <w:r w:rsidR="00F826AF" w:rsidRPr="00C56E77">
        <w:rPr>
          <w:sz w:val="24"/>
          <w:szCs w:val="24"/>
          <w:lang w:val="en-US"/>
        </w:rPr>
        <w:t>.</w:t>
      </w:r>
    </w:p>
    <w:p w14:paraId="4B69BB7C" w14:textId="13C9175A" w:rsidR="003C5AB9" w:rsidRPr="00C56E77" w:rsidRDefault="003C5AB9" w:rsidP="00DE2E63">
      <w:pPr>
        <w:spacing w:line="240" w:lineRule="auto"/>
        <w:rPr>
          <w:sz w:val="24"/>
          <w:szCs w:val="24"/>
          <w:lang w:val="en-US"/>
        </w:rPr>
      </w:pPr>
      <w:r w:rsidRPr="00C56E77">
        <w:rPr>
          <w:sz w:val="24"/>
          <w:szCs w:val="24"/>
          <w:lang w:val="en-US"/>
        </w:rPr>
        <w:t>In the 3 to 6 minutes of the WCST analysis, negative correlations of the CRI with the AP of the Delta band were found in the areas: Medial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w:t>
      </w:r>
      <w:r w:rsidR="00F826AF" w:rsidRPr="00C56E77">
        <w:rPr>
          <w:sz w:val="24"/>
          <w:szCs w:val="24"/>
          <w:lang w:val="en-US"/>
        </w:rPr>
        <w:t>p</w:t>
      </w:r>
      <w:r w:rsidRPr="00C56E77">
        <w:rPr>
          <w:sz w:val="24"/>
          <w:szCs w:val="24"/>
          <w:lang w:val="en-US"/>
        </w:rPr>
        <w:t xml:space="preserve"> = 0.045), Left posterior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-.697, </w:t>
      </w:r>
      <w:r w:rsidR="00F826AF" w:rsidRPr="00C56E77">
        <w:rPr>
          <w:sz w:val="24"/>
          <w:szCs w:val="24"/>
          <w:lang w:val="en-US"/>
        </w:rPr>
        <w:t>p</w:t>
      </w:r>
      <w:r w:rsidRPr="00C56E77">
        <w:rPr>
          <w:sz w:val="24"/>
          <w:szCs w:val="24"/>
          <w:lang w:val="en-US"/>
        </w:rPr>
        <w:t xml:space="preserve"> = 0.013), Central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-.552, </w:t>
      </w:r>
      <w:r w:rsidR="00F826AF" w:rsidRPr="00C56E77">
        <w:rPr>
          <w:sz w:val="24"/>
          <w:szCs w:val="24"/>
          <w:lang w:val="en-US"/>
        </w:rPr>
        <w:t>p</w:t>
      </w:r>
      <w:r w:rsidRPr="00C56E77">
        <w:rPr>
          <w:sz w:val="24"/>
          <w:szCs w:val="24"/>
          <w:lang w:val="en-US"/>
        </w:rPr>
        <w:t xml:space="preserve"> = 0.049) and Parieto-Occipital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-.552, </w:t>
      </w:r>
      <w:r w:rsidR="00F826AF" w:rsidRPr="00C56E77">
        <w:rPr>
          <w:sz w:val="24"/>
          <w:szCs w:val="24"/>
          <w:lang w:val="en-US"/>
        </w:rPr>
        <w:t>p</w:t>
      </w:r>
      <w:r w:rsidRPr="00C56E77">
        <w:rPr>
          <w:sz w:val="24"/>
          <w:szCs w:val="24"/>
          <w:lang w:val="en-US"/>
        </w:rPr>
        <w:t xml:space="preserve"> = 0.049); with the AP of the Theta band in the areas: Left side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-.612, </w:t>
      </w:r>
      <w:r w:rsidR="00F826AF" w:rsidRPr="00C56E77">
        <w:rPr>
          <w:sz w:val="24"/>
          <w:szCs w:val="24"/>
          <w:lang w:val="en-US"/>
        </w:rPr>
        <w:t>p</w:t>
      </w:r>
      <w:r w:rsidRPr="00C56E77">
        <w:rPr>
          <w:sz w:val="24"/>
          <w:szCs w:val="24"/>
          <w:lang w:val="en-US"/>
        </w:rPr>
        <w:t xml:space="preserve"> = 0.030), Medial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-.648, </w:t>
      </w:r>
      <w:r w:rsidR="00F826AF" w:rsidRPr="00C56E77">
        <w:rPr>
          <w:sz w:val="24"/>
          <w:szCs w:val="24"/>
          <w:lang w:val="en-US"/>
        </w:rPr>
        <w:t>p</w:t>
      </w:r>
      <w:r w:rsidRPr="00C56E77">
        <w:rPr>
          <w:sz w:val="24"/>
          <w:szCs w:val="24"/>
          <w:lang w:val="en-US"/>
        </w:rPr>
        <w:t xml:space="preserve"> = 0.021), Left posterior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-.648, </w:t>
      </w:r>
      <w:r w:rsidR="00F826AF" w:rsidRPr="00C56E77">
        <w:rPr>
          <w:sz w:val="24"/>
          <w:szCs w:val="24"/>
          <w:lang w:val="en-US"/>
        </w:rPr>
        <w:t>p</w:t>
      </w:r>
      <w:r w:rsidRPr="00C56E77">
        <w:rPr>
          <w:sz w:val="24"/>
          <w:szCs w:val="24"/>
          <w:lang w:val="en-US"/>
        </w:rPr>
        <w:t xml:space="preserve"> = 0.021), Central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-.624, </w:t>
      </w:r>
      <w:r w:rsidR="00F826AF" w:rsidRPr="00C56E77">
        <w:rPr>
          <w:sz w:val="24"/>
          <w:szCs w:val="24"/>
          <w:lang w:val="en-US"/>
        </w:rPr>
        <w:t>p</w:t>
      </w:r>
      <w:r w:rsidRPr="00C56E77">
        <w:rPr>
          <w:sz w:val="24"/>
          <w:szCs w:val="24"/>
          <w:lang w:val="en-US"/>
        </w:rPr>
        <w:t xml:space="preserve"> = 0.027) and Parieto-Occipital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-.588, </w:t>
      </w:r>
      <w:r w:rsidR="00F826AF" w:rsidRPr="00C56E77">
        <w:rPr>
          <w:sz w:val="24"/>
          <w:szCs w:val="24"/>
          <w:lang w:val="en-US"/>
        </w:rPr>
        <w:t>p</w:t>
      </w:r>
      <w:r w:rsidRPr="00C56E77">
        <w:rPr>
          <w:sz w:val="24"/>
          <w:szCs w:val="24"/>
          <w:lang w:val="en-US"/>
        </w:rPr>
        <w:t xml:space="preserve"> = 0.037);</w:t>
      </w:r>
      <w:r w:rsidR="00F826AF" w:rsidRPr="00C56E77">
        <w:rPr>
          <w:sz w:val="24"/>
          <w:szCs w:val="24"/>
          <w:lang w:val="en-US"/>
        </w:rPr>
        <w:t xml:space="preserve"> and</w:t>
      </w:r>
      <w:r w:rsidRPr="00C56E77">
        <w:rPr>
          <w:sz w:val="24"/>
          <w:szCs w:val="24"/>
          <w:lang w:val="en-US"/>
        </w:rPr>
        <w:t xml:space="preserve"> with the </w:t>
      </w:r>
      <w:r w:rsidR="00F826AF" w:rsidRPr="00C56E77">
        <w:rPr>
          <w:sz w:val="24"/>
          <w:szCs w:val="24"/>
          <w:lang w:val="en-US"/>
        </w:rPr>
        <w:t>AP</w:t>
      </w:r>
      <w:r w:rsidRPr="00C56E77">
        <w:rPr>
          <w:sz w:val="24"/>
          <w:szCs w:val="24"/>
          <w:lang w:val="en-US"/>
        </w:rPr>
        <w:t xml:space="preserve"> of the Alpha band in the areas: Medial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-.661, P = 0.019), Left Posterior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w:t>
      </w:r>
      <w:r w:rsidR="00F826AF" w:rsidRPr="00C56E77">
        <w:rPr>
          <w:sz w:val="24"/>
          <w:szCs w:val="24"/>
          <w:lang w:val="en-US"/>
        </w:rPr>
        <w:t>p</w:t>
      </w:r>
      <w:r w:rsidRPr="00C56E77">
        <w:rPr>
          <w:sz w:val="24"/>
          <w:szCs w:val="24"/>
          <w:lang w:val="en-US"/>
        </w:rPr>
        <w:t xml:space="preserve"> = 0.045) and Pariet</w:t>
      </w:r>
      <w:r w:rsidR="009853B8" w:rsidRPr="00C56E77">
        <w:rPr>
          <w:sz w:val="24"/>
          <w:szCs w:val="24"/>
          <w:lang w:val="en-US"/>
        </w:rPr>
        <w:t>o</w:t>
      </w:r>
      <w:r w:rsidRPr="00C56E77">
        <w:rPr>
          <w:sz w:val="24"/>
          <w:szCs w:val="24"/>
          <w:lang w:val="en-US"/>
        </w:rPr>
        <w:t>-Occipital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-.588, </w:t>
      </w:r>
      <w:r w:rsidR="00F826AF" w:rsidRPr="00C56E77">
        <w:rPr>
          <w:sz w:val="24"/>
          <w:szCs w:val="24"/>
          <w:lang w:val="en-US"/>
        </w:rPr>
        <w:t>p</w:t>
      </w:r>
      <w:r w:rsidRPr="00C56E77">
        <w:rPr>
          <w:sz w:val="24"/>
          <w:szCs w:val="24"/>
          <w:lang w:val="en-US"/>
        </w:rPr>
        <w:t xml:space="preserve"> = 0.037)</w:t>
      </w:r>
      <w:r w:rsidR="00F826AF" w:rsidRPr="00C56E77">
        <w:rPr>
          <w:sz w:val="24"/>
          <w:szCs w:val="24"/>
          <w:lang w:val="en-US"/>
        </w:rPr>
        <w:t>.</w:t>
      </w:r>
    </w:p>
    <w:p w14:paraId="20B473F0" w14:textId="6BE17441" w:rsidR="009853B8" w:rsidRPr="00C56E77" w:rsidRDefault="009853B8" w:rsidP="00DE2E63">
      <w:pPr>
        <w:spacing w:line="240" w:lineRule="auto"/>
        <w:rPr>
          <w:sz w:val="24"/>
          <w:szCs w:val="24"/>
          <w:lang w:val="en-US"/>
        </w:rPr>
      </w:pPr>
      <w:r w:rsidRPr="00C56E77">
        <w:rPr>
          <w:sz w:val="24"/>
          <w:szCs w:val="24"/>
          <w:lang w:val="en-US"/>
        </w:rPr>
        <w:t>In the 6 to 9 minutes of the WCST analysis, negative correlations of the CRI were found with the AP of the Delta band in the areas: Left side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p = 0.045), Medial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-.697, p = 0.013), Central line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-.636, p = 0.024), Left posterior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-.661, p = 0.019), Central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-.588, p = 0.037) and Parieto-Occipital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-.697, p = 0.013); with the AP of the Theta band in the following areas: Central line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p = 0.045) and Parieto-Occipital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-.564, p = 0.045); with the AP of the Alpha band in the areas: Medial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-.648, p = 0.021), Anterior Left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-.552, p = 0.049), Left Posterior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-.600, p = 0.033) and Parieto-Occipital (</w:t>
      </w:r>
      <w:proofErr w:type="spellStart"/>
      <w:r w:rsidR="002533D4" w:rsidRPr="00C56E77">
        <w:rPr>
          <w:sz w:val="24"/>
          <w:szCs w:val="24"/>
          <w:lang w:val="en-US"/>
        </w:rPr>
        <w:t>r</w:t>
      </w:r>
      <w:r w:rsidR="002533D4" w:rsidRPr="00C56E77">
        <w:rPr>
          <w:sz w:val="24"/>
          <w:szCs w:val="24"/>
          <w:vertAlign w:val="subscript"/>
          <w:lang w:val="en-US"/>
        </w:rPr>
        <w:t>s</w:t>
      </w:r>
      <w:proofErr w:type="spellEnd"/>
      <w:r w:rsidRPr="00C56E77">
        <w:rPr>
          <w:sz w:val="24"/>
          <w:szCs w:val="24"/>
          <w:lang w:val="en-US"/>
        </w:rPr>
        <w:t xml:space="preserve"> = -.588, p = 0.037); in all three bands, absolute power was lower in the participants with more cognitive reserve</w:t>
      </w:r>
      <w:r w:rsidR="005B293F" w:rsidRPr="00C56E77">
        <w:rPr>
          <w:sz w:val="24"/>
          <w:szCs w:val="24"/>
          <w:lang w:val="en-US"/>
        </w:rPr>
        <w:t>. Figure 1 show</w:t>
      </w:r>
      <w:r w:rsidR="00F676D3" w:rsidRPr="00C56E77">
        <w:rPr>
          <w:sz w:val="24"/>
          <w:szCs w:val="24"/>
          <w:lang w:val="en-US"/>
        </w:rPr>
        <w:t>s</w:t>
      </w:r>
      <w:r w:rsidR="005B293F" w:rsidRPr="00C56E77">
        <w:rPr>
          <w:sz w:val="24"/>
          <w:szCs w:val="24"/>
          <w:lang w:val="en-US"/>
        </w:rPr>
        <w:t xml:space="preserve"> the correlated areas for each frequency band</w:t>
      </w:r>
      <w:r w:rsidRPr="00C56E77">
        <w:rPr>
          <w:sz w:val="24"/>
          <w:szCs w:val="24"/>
          <w:lang w:val="en-US"/>
        </w:rPr>
        <w:t>.</w:t>
      </w:r>
    </w:p>
    <w:p w14:paraId="3B449041" w14:textId="4690342B" w:rsidR="00F676D3" w:rsidRPr="00C56E77" w:rsidRDefault="00DD2C41" w:rsidP="00F676D3">
      <w:pPr>
        <w:spacing w:line="240" w:lineRule="auto"/>
        <w:rPr>
          <w:sz w:val="24"/>
          <w:szCs w:val="24"/>
        </w:rPr>
      </w:pPr>
      <w:bookmarkStart w:id="1" w:name="_GoBack"/>
      <w:r w:rsidRPr="00DD2C41">
        <w:rPr>
          <w:noProof/>
          <w:sz w:val="24"/>
          <w:szCs w:val="24"/>
        </w:rPr>
        <w:lastRenderedPageBreak/>
        <w:drawing>
          <wp:inline distT="0" distB="0" distL="0" distR="0" wp14:anchorId="525FF6E9" wp14:editId="394D9515">
            <wp:extent cx="5603875" cy="6471285"/>
            <wp:effectExtent l="0" t="0" r="0" b="0"/>
            <wp:docPr id="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603875" cy="6471285"/>
                    </a:xfrm>
                    <a:prstGeom prst="rect">
                      <a:avLst/>
                    </a:prstGeom>
                    <a:noFill/>
                    <a:ln>
                      <a:noFill/>
                    </a:ln>
                  </pic:spPr>
                </pic:pic>
              </a:graphicData>
            </a:graphic>
          </wp:inline>
        </w:drawing>
      </w:r>
      <w:bookmarkEnd w:id="1"/>
    </w:p>
    <w:p w14:paraId="589B5718" w14:textId="77777777" w:rsidR="00F676D3" w:rsidRPr="00C56E77" w:rsidRDefault="00F676D3" w:rsidP="00F676D3">
      <w:pPr>
        <w:spacing w:line="240" w:lineRule="auto"/>
        <w:rPr>
          <w:sz w:val="24"/>
          <w:szCs w:val="24"/>
          <w:lang w:val="en-US"/>
        </w:rPr>
      </w:pPr>
      <w:r w:rsidRPr="00C56E77">
        <w:rPr>
          <w:sz w:val="24"/>
          <w:szCs w:val="24"/>
          <w:lang w:val="en-US"/>
        </w:rPr>
        <w:t>Figure 1. Correlated areas between the CRI and the absolute power of each frequency band during the three WCST conditions.</w:t>
      </w:r>
    </w:p>
    <w:p w14:paraId="42A219D3" w14:textId="77777777" w:rsidR="00F676D3" w:rsidRPr="00C56E77" w:rsidRDefault="00F676D3" w:rsidP="00DE2E63">
      <w:pPr>
        <w:spacing w:line="240" w:lineRule="auto"/>
        <w:rPr>
          <w:sz w:val="24"/>
          <w:szCs w:val="24"/>
          <w:lang w:val="en-US"/>
        </w:rPr>
      </w:pPr>
    </w:p>
    <w:p w14:paraId="45CBE992" w14:textId="4FDB6138" w:rsidR="006F0FE7" w:rsidRPr="00DD2C41" w:rsidRDefault="006F0FE7" w:rsidP="00DE2E63">
      <w:pPr>
        <w:spacing w:line="240" w:lineRule="auto"/>
        <w:rPr>
          <w:color w:val="000000"/>
          <w:sz w:val="24"/>
          <w:szCs w:val="24"/>
          <w:lang w:val="en-US"/>
        </w:rPr>
      </w:pPr>
      <w:r w:rsidRPr="00DD2C41">
        <w:rPr>
          <w:color w:val="000000"/>
          <w:sz w:val="24"/>
          <w:szCs w:val="24"/>
          <w:lang w:val="en-US"/>
        </w:rPr>
        <w:t xml:space="preserve">The GLM results showed that the AP of the Delta and Theta bands </w:t>
      </w:r>
      <w:r w:rsidR="00036837" w:rsidRPr="00DD2C41">
        <w:rPr>
          <w:color w:val="000000"/>
          <w:sz w:val="24"/>
          <w:szCs w:val="24"/>
          <w:lang w:val="en-US"/>
        </w:rPr>
        <w:t>changed through</w:t>
      </w:r>
      <w:r w:rsidRPr="00DD2C41">
        <w:rPr>
          <w:color w:val="000000"/>
          <w:sz w:val="24"/>
          <w:szCs w:val="24"/>
          <w:lang w:val="en-US"/>
        </w:rPr>
        <w:t xml:space="preserve"> the five conditions in all EEG areas</w:t>
      </w:r>
      <w:r w:rsidR="00D45CEF" w:rsidRPr="00DD2C41">
        <w:rPr>
          <w:color w:val="000000"/>
          <w:sz w:val="24"/>
          <w:szCs w:val="24"/>
          <w:lang w:val="en-US"/>
        </w:rPr>
        <w:t xml:space="preserve"> (Table 3)</w:t>
      </w:r>
      <w:r w:rsidRPr="00DD2C41">
        <w:rPr>
          <w:color w:val="000000"/>
          <w:sz w:val="24"/>
          <w:szCs w:val="24"/>
          <w:lang w:val="en-US"/>
        </w:rPr>
        <w:t xml:space="preserve">, regarding the alpha band the WCST </w:t>
      </w:r>
      <w:r w:rsidR="00AC37A4" w:rsidRPr="00DD2C41">
        <w:rPr>
          <w:color w:val="000000"/>
          <w:sz w:val="24"/>
          <w:szCs w:val="24"/>
          <w:lang w:val="en-US"/>
        </w:rPr>
        <w:t>increased</w:t>
      </w:r>
      <w:r w:rsidRPr="00DD2C41">
        <w:rPr>
          <w:color w:val="000000"/>
          <w:sz w:val="24"/>
          <w:szCs w:val="24"/>
          <w:lang w:val="en-US"/>
        </w:rPr>
        <w:t xml:space="preserve"> the </w:t>
      </w:r>
      <w:r w:rsidR="00D45CEF" w:rsidRPr="00DD2C41">
        <w:rPr>
          <w:color w:val="000000"/>
          <w:sz w:val="24"/>
          <w:szCs w:val="24"/>
          <w:lang w:val="en-US"/>
        </w:rPr>
        <w:t xml:space="preserve">AP </w:t>
      </w:r>
      <w:r w:rsidRPr="00DD2C41">
        <w:rPr>
          <w:color w:val="000000"/>
          <w:sz w:val="24"/>
          <w:szCs w:val="24"/>
          <w:lang w:val="en-US"/>
        </w:rPr>
        <w:t>in the</w:t>
      </w:r>
      <w:r w:rsidR="00D45CEF" w:rsidRPr="00DD2C41">
        <w:rPr>
          <w:color w:val="000000"/>
          <w:sz w:val="24"/>
          <w:szCs w:val="24"/>
          <w:lang w:val="en-US"/>
        </w:rPr>
        <w:t xml:space="preserve"> </w:t>
      </w:r>
      <w:r w:rsidRPr="00DD2C41">
        <w:rPr>
          <w:color w:val="000000"/>
          <w:sz w:val="24"/>
          <w:szCs w:val="24"/>
          <w:lang w:val="en-US"/>
        </w:rPr>
        <w:t xml:space="preserve">right </w:t>
      </w:r>
      <w:r w:rsidR="00D45CEF" w:rsidRPr="00DD2C41">
        <w:rPr>
          <w:color w:val="000000"/>
          <w:sz w:val="24"/>
          <w:szCs w:val="24"/>
          <w:lang w:val="en-US"/>
        </w:rPr>
        <w:t>side (F = 7.02, df = 1.290, p = 0.017)</w:t>
      </w:r>
      <w:r w:rsidRPr="00DD2C41">
        <w:rPr>
          <w:color w:val="000000"/>
          <w:sz w:val="24"/>
          <w:szCs w:val="24"/>
          <w:lang w:val="en-US"/>
        </w:rPr>
        <w:t xml:space="preserve">, anterior </w:t>
      </w:r>
      <w:r w:rsidR="00D45CEF" w:rsidRPr="00DD2C41">
        <w:rPr>
          <w:color w:val="000000"/>
          <w:sz w:val="24"/>
          <w:szCs w:val="24"/>
          <w:lang w:val="en-US"/>
        </w:rPr>
        <w:t xml:space="preserve">right (F = 6.546, df = 1.066, p = 0.028) </w:t>
      </w:r>
      <w:r w:rsidRPr="00DD2C41">
        <w:rPr>
          <w:color w:val="000000"/>
          <w:sz w:val="24"/>
          <w:szCs w:val="24"/>
          <w:lang w:val="en-US"/>
        </w:rPr>
        <w:t>and posterior</w:t>
      </w:r>
      <w:r w:rsidR="00D45CEF" w:rsidRPr="00DD2C41">
        <w:rPr>
          <w:color w:val="000000"/>
          <w:sz w:val="24"/>
          <w:szCs w:val="24"/>
          <w:lang w:val="en-US"/>
        </w:rPr>
        <w:t xml:space="preserve"> right (F = 4.968, df = 1.134, p = 0.046). No </w:t>
      </w:r>
      <w:r w:rsidR="00AC37A4" w:rsidRPr="00DD2C41">
        <w:rPr>
          <w:color w:val="000000"/>
          <w:sz w:val="24"/>
          <w:szCs w:val="24"/>
          <w:lang w:val="en-US"/>
        </w:rPr>
        <w:t>increments</w:t>
      </w:r>
      <w:r w:rsidR="00D45CEF" w:rsidRPr="00DD2C41">
        <w:rPr>
          <w:color w:val="000000"/>
          <w:sz w:val="24"/>
          <w:szCs w:val="24"/>
          <w:lang w:val="en-US"/>
        </w:rPr>
        <w:t xml:space="preserve"> were found in the Beta band.</w:t>
      </w:r>
    </w:p>
    <w:p w14:paraId="2E2D762A" w14:textId="211AF46A" w:rsidR="00F676D3" w:rsidRPr="00DD2C41" w:rsidRDefault="00F676D3" w:rsidP="00DE2E63">
      <w:pPr>
        <w:spacing w:line="240" w:lineRule="auto"/>
        <w:rPr>
          <w:color w:val="000000"/>
          <w:sz w:val="24"/>
          <w:szCs w:val="24"/>
          <w:lang w:val="en-US"/>
        </w:rPr>
      </w:pPr>
    </w:p>
    <w:p w14:paraId="24115DEF" w14:textId="77777777" w:rsidR="00F676D3" w:rsidRPr="00DD2C41" w:rsidRDefault="00F676D3" w:rsidP="00F676D3">
      <w:pPr>
        <w:spacing w:line="240" w:lineRule="auto"/>
        <w:rPr>
          <w:color w:val="000000"/>
          <w:sz w:val="24"/>
          <w:szCs w:val="24"/>
          <w:lang w:val="en-US"/>
        </w:rPr>
      </w:pPr>
      <w:r w:rsidRPr="00DD2C41">
        <w:rPr>
          <w:color w:val="000000"/>
          <w:sz w:val="24"/>
          <w:szCs w:val="24"/>
          <w:lang w:val="en-US"/>
        </w:rPr>
        <w:t>Table 3 GLM results of Delta and Theta bands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876"/>
        <w:gridCol w:w="917"/>
        <w:gridCol w:w="946"/>
        <w:gridCol w:w="1007"/>
        <w:gridCol w:w="850"/>
        <w:gridCol w:w="993"/>
        <w:gridCol w:w="992"/>
        <w:gridCol w:w="992"/>
      </w:tblGrid>
      <w:tr w:rsidR="00B4526F" w:rsidRPr="00DD2C41" w14:paraId="2614876A" w14:textId="77777777" w:rsidTr="00DD2C41">
        <w:tc>
          <w:tcPr>
            <w:tcW w:w="1641" w:type="dxa"/>
            <w:tcBorders>
              <w:top w:val="nil"/>
              <w:left w:val="nil"/>
              <w:bottom w:val="nil"/>
              <w:right w:val="nil"/>
            </w:tcBorders>
            <w:shd w:val="clear" w:color="auto" w:fill="auto"/>
          </w:tcPr>
          <w:p w14:paraId="494D6B59" w14:textId="77777777" w:rsidR="00F676D3" w:rsidRPr="00DD2C41" w:rsidRDefault="00F676D3" w:rsidP="00DD2C41">
            <w:pPr>
              <w:spacing w:after="0" w:line="240" w:lineRule="auto"/>
              <w:rPr>
                <w:color w:val="000000"/>
                <w:sz w:val="24"/>
                <w:szCs w:val="24"/>
                <w:lang w:val="en-US"/>
              </w:rPr>
            </w:pPr>
          </w:p>
        </w:tc>
        <w:tc>
          <w:tcPr>
            <w:tcW w:w="3746" w:type="dxa"/>
            <w:gridSpan w:val="4"/>
            <w:tcBorders>
              <w:left w:val="nil"/>
              <w:bottom w:val="single" w:sz="4" w:space="0" w:color="auto"/>
              <w:right w:val="nil"/>
            </w:tcBorders>
            <w:shd w:val="clear" w:color="auto" w:fill="auto"/>
          </w:tcPr>
          <w:p w14:paraId="3A1C00C9"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Delta</w:t>
            </w:r>
          </w:p>
        </w:tc>
        <w:tc>
          <w:tcPr>
            <w:tcW w:w="3827" w:type="dxa"/>
            <w:gridSpan w:val="4"/>
            <w:tcBorders>
              <w:left w:val="nil"/>
              <w:bottom w:val="single" w:sz="4" w:space="0" w:color="auto"/>
              <w:right w:val="nil"/>
            </w:tcBorders>
            <w:shd w:val="clear" w:color="auto" w:fill="auto"/>
          </w:tcPr>
          <w:p w14:paraId="5F56F57C"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Theta</w:t>
            </w:r>
          </w:p>
        </w:tc>
      </w:tr>
      <w:tr w:rsidR="00B4526F" w:rsidRPr="00DD2C41" w14:paraId="26CDEDBF" w14:textId="77777777" w:rsidTr="00DD2C41">
        <w:tc>
          <w:tcPr>
            <w:tcW w:w="1641" w:type="dxa"/>
            <w:tcBorders>
              <w:top w:val="nil"/>
              <w:left w:val="nil"/>
              <w:bottom w:val="single" w:sz="4" w:space="0" w:color="auto"/>
              <w:right w:val="nil"/>
            </w:tcBorders>
            <w:shd w:val="clear" w:color="auto" w:fill="auto"/>
          </w:tcPr>
          <w:p w14:paraId="7C9BC086" w14:textId="77777777" w:rsidR="00F676D3" w:rsidRPr="00DD2C41" w:rsidRDefault="00F676D3" w:rsidP="00DD2C41">
            <w:pPr>
              <w:spacing w:after="0" w:line="240" w:lineRule="auto"/>
              <w:rPr>
                <w:b/>
                <w:bCs/>
                <w:color w:val="000000"/>
                <w:sz w:val="24"/>
                <w:szCs w:val="24"/>
                <w:lang w:val="en-US"/>
              </w:rPr>
            </w:pPr>
            <w:r w:rsidRPr="00DD2C41">
              <w:rPr>
                <w:b/>
                <w:bCs/>
                <w:color w:val="000000"/>
                <w:sz w:val="24"/>
                <w:szCs w:val="24"/>
                <w:lang w:val="en-US"/>
              </w:rPr>
              <w:t>Area</w:t>
            </w:r>
          </w:p>
        </w:tc>
        <w:tc>
          <w:tcPr>
            <w:tcW w:w="876" w:type="dxa"/>
            <w:tcBorders>
              <w:left w:val="nil"/>
              <w:bottom w:val="single" w:sz="4" w:space="0" w:color="auto"/>
              <w:right w:val="nil"/>
            </w:tcBorders>
            <w:shd w:val="clear" w:color="auto" w:fill="auto"/>
          </w:tcPr>
          <w:p w14:paraId="7E35DEC5"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SS</w:t>
            </w:r>
          </w:p>
        </w:tc>
        <w:tc>
          <w:tcPr>
            <w:tcW w:w="917" w:type="dxa"/>
            <w:tcBorders>
              <w:left w:val="nil"/>
              <w:bottom w:val="single" w:sz="4" w:space="0" w:color="auto"/>
              <w:right w:val="nil"/>
            </w:tcBorders>
            <w:shd w:val="clear" w:color="auto" w:fill="auto"/>
          </w:tcPr>
          <w:p w14:paraId="73B022C6"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df</w:t>
            </w:r>
          </w:p>
        </w:tc>
        <w:tc>
          <w:tcPr>
            <w:tcW w:w="946" w:type="dxa"/>
            <w:tcBorders>
              <w:left w:val="nil"/>
              <w:bottom w:val="single" w:sz="4" w:space="0" w:color="auto"/>
              <w:right w:val="nil"/>
            </w:tcBorders>
            <w:shd w:val="clear" w:color="auto" w:fill="auto"/>
          </w:tcPr>
          <w:p w14:paraId="473305D5"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F</w:t>
            </w:r>
          </w:p>
        </w:tc>
        <w:tc>
          <w:tcPr>
            <w:tcW w:w="1007" w:type="dxa"/>
            <w:tcBorders>
              <w:left w:val="nil"/>
              <w:bottom w:val="single" w:sz="4" w:space="0" w:color="auto"/>
              <w:right w:val="nil"/>
            </w:tcBorders>
            <w:shd w:val="clear" w:color="auto" w:fill="auto"/>
          </w:tcPr>
          <w:p w14:paraId="0B73989F"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p</w:t>
            </w:r>
          </w:p>
        </w:tc>
        <w:tc>
          <w:tcPr>
            <w:tcW w:w="850" w:type="dxa"/>
            <w:tcBorders>
              <w:left w:val="nil"/>
              <w:bottom w:val="single" w:sz="4" w:space="0" w:color="auto"/>
              <w:right w:val="nil"/>
            </w:tcBorders>
            <w:shd w:val="clear" w:color="auto" w:fill="auto"/>
          </w:tcPr>
          <w:p w14:paraId="6CB2AFE0"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SS</w:t>
            </w:r>
          </w:p>
        </w:tc>
        <w:tc>
          <w:tcPr>
            <w:tcW w:w="993" w:type="dxa"/>
            <w:tcBorders>
              <w:left w:val="nil"/>
              <w:bottom w:val="single" w:sz="4" w:space="0" w:color="auto"/>
              <w:right w:val="nil"/>
            </w:tcBorders>
            <w:shd w:val="clear" w:color="auto" w:fill="auto"/>
          </w:tcPr>
          <w:p w14:paraId="1E121359"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df</w:t>
            </w:r>
          </w:p>
        </w:tc>
        <w:tc>
          <w:tcPr>
            <w:tcW w:w="992" w:type="dxa"/>
            <w:tcBorders>
              <w:left w:val="nil"/>
              <w:bottom w:val="single" w:sz="4" w:space="0" w:color="auto"/>
              <w:right w:val="nil"/>
            </w:tcBorders>
            <w:shd w:val="clear" w:color="auto" w:fill="auto"/>
          </w:tcPr>
          <w:p w14:paraId="367CF142"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F</w:t>
            </w:r>
          </w:p>
        </w:tc>
        <w:tc>
          <w:tcPr>
            <w:tcW w:w="992" w:type="dxa"/>
            <w:tcBorders>
              <w:left w:val="nil"/>
              <w:bottom w:val="single" w:sz="4" w:space="0" w:color="auto"/>
              <w:right w:val="nil"/>
            </w:tcBorders>
            <w:shd w:val="clear" w:color="auto" w:fill="auto"/>
          </w:tcPr>
          <w:p w14:paraId="72404618" w14:textId="77777777" w:rsidR="00F676D3" w:rsidRPr="00DD2C41" w:rsidRDefault="00F676D3" w:rsidP="00DD2C41">
            <w:pPr>
              <w:spacing w:after="0" w:line="240" w:lineRule="auto"/>
              <w:jc w:val="center"/>
              <w:rPr>
                <w:b/>
                <w:bCs/>
                <w:color w:val="000000"/>
                <w:sz w:val="24"/>
                <w:szCs w:val="24"/>
                <w:lang w:val="en-US"/>
              </w:rPr>
            </w:pPr>
            <w:r w:rsidRPr="00DD2C41">
              <w:rPr>
                <w:b/>
                <w:bCs/>
                <w:color w:val="000000"/>
                <w:sz w:val="24"/>
                <w:szCs w:val="24"/>
                <w:lang w:val="en-US"/>
              </w:rPr>
              <w:t>p</w:t>
            </w:r>
          </w:p>
        </w:tc>
      </w:tr>
      <w:tr w:rsidR="00B4526F" w:rsidRPr="00DD2C41" w14:paraId="2268FAA1" w14:textId="77777777" w:rsidTr="00DD2C41">
        <w:tc>
          <w:tcPr>
            <w:tcW w:w="1641" w:type="dxa"/>
            <w:tcBorders>
              <w:left w:val="nil"/>
              <w:bottom w:val="nil"/>
              <w:right w:val="nil"/>
            </w:tcBorders>
            <w:shd w:val="clear" w:color="auto" w:fill="auto"/>
          </w:tcPr>
          <w:p w14:paraId="452688EF"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Left side</w:t>
            </w:r>
          </w:p>
        </w:tc>
        <w:tc>
          <w:tcPr>
            <w:tcW w:w="876" w:type="dxa"/>
            <w:tcBorders>
              <w:left w:val="nil"/>
              <w:bottom w:val="nil"/>
              <w:right w:val="nil"/>
            </w:tcBorders>
            <w:shd w:val="clear" w:color="auto" w:fill="auto"/>
          </w:tcPr>
          <w:p w14:paraId="72601CC7" w14:textId="77777777" w:rsidR="00F676D3" w:rsidRPr="00DD2C41" w:rsidRDefault="00F676D3" w:rsidP="00DD2C41">
            <w:pPr>
              <w:spacing w:after="0" w:line="240" w:lineRule="auto"/>
              <w:jc w:val="center"/>
              <w:rPr>
                <w:color w:val="000000"/>
                <w:sz w:val="24"/>
                <w:szCs w:val="24"/>
                <w:lang w:val="en-US"/>
              </w:rPr>
            </w:pPr>
            <w:r w:rsidRPr="00DD2C41">
              <w:rPr>
                <w:sz w:val="24"/>
                <w:szCs w:val="24"/>
              </w:rPr>
              <w:t>14.519</w:t>
            </w:r>
          </w:p>
        </w:tc>
        <w:tc>
          <w:tcPr>
            <w:tcW w:w="917" w:type="dxa"/>
            <w:tcBorders>
              <w:left w:val="nil"/>
              <w:bottom w:val="nil"/>
              <w:right w:val="nil"/>
            </w:tcBorders>
            <w:shd w:val="clear" w:color="auto" w:fill="auto"/>
          </w:tcPr>
          <w:p w14:paraId="6C3CE3F8" w14:textId="77777777" w:rsidR="00F676D3" w:rsidRPr="00DD2C41" w:rsidRDefault="00F676D3" w:rsidP="00DD2C41">
            <w:pPr>
              <w:spacing w:after="0" w:line="240" w:lineRule="auto"/>
              <w:jc w:val="center"/>
              <w:rPr>
                <w:color w:val="000000"/>
                <w:sz w:val="24"/>
                <w:szCs w:val="24"/>
                <w:lang w:val="en-US"/>
              </w:rPr>
            </w:pPr>
            <w:r w:rsidRPr="00DD2C41">
              <w:rPr>
                <w:sz w:val="24"/>
                <w:szCs w:val="24"/>
              </w:rPr>
              <w:t>1.425</w:t>
            </w:r>
            <w:r w:rsidRPr="00DD2C41">
              <w:rPr>
                <w:color w:val="000000"/>
                <w:sz w:val="24"/>
                <w:szCs w:val="24"/>
                <w:vertAlign w:val="superscript"/>
                <w:lang w:val="en-US"/>
              </w:rPr>
              <w:t xml:space="preserve"> G</w:t>
            </w:r>
          </w:p>
        </w:tc>
        <w:tc>
          <w:tcPr>
            <w:tcW w:w="946" w:type="dxa"/>
            <w:tcBorders>
              <w:left w:val="nil"/>
              <w:bottom w:val="nil"/>
              <w:right w:val="nil"/>
            </w:tcBorders>
            <w:shd w:val="clear" w:color="auto" w:fill="auto"/>
          </w:tcPr>
          <w:p w14:paraId="77028DA9" w14:textId="77777777" w:rsidR="00F676D3" w:rsidRPr="00DD2C41" w:rsidRDefault="00F676D3" w:rsidP="00DD2C41">
            <w:pPr>
              <w:spacing w:after="0" w:line="240" w:lineRule="auto"/>
              <w:jc w:val="center"/>
              <w:rPr>
                <w:color w:val="000000"/>
                <w:sz w:val="24"/>
                <w:szCs w:val="24"/>
                <w:lang w:val="en-US"/>
              </w:rPr>
            </w:pPr>
            <w:r w:rsidRPr="00DD2C41">
              <w:rPr>
                <w:sz w:val="24"/>
                <w:szCs w:val="24"/>
              </w:rPr>
              <w:t>31.025</w:t>
            </w:r>
          </w:p>
        </w:tc>
        <w:tc>
          <w:tcPr>
            <w:tcW w:w="1007" w:type="dxa"/>
            <w:tcBorders>
              <w:left w:val="nil"/>
              <w:bottom w:val="nil"/>
              <w:right w:val="single" w:sz="4" w:space="0" w:color="auto"/>
            </w:tcBorders>
            <w:shd w:val="clear" w:color="auto" w:fill="auto"/>
          </w:tcPr>
          <w:p w14:paraId="3801943E"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left w:val="single" w:sz="4" w:space="0" w:color="auto"/>
              <w:bottom w:val="nil"/>
              <w:right w:val="nil"/>
            </w:tcBorders>
            <w:shd w:val="clear" w:color="auto" w:fill="auto"/>
          </w:tcPr>
          <w:p w14:paraId="2FA0CE24" w14:textId="77777777" w:rsidR="00F676D3" w:rsidRPr="00DD2C41" w:rsidRDefault="00F676D3" w:rsidP="00DD2C41">
            <w:pPr>
              <w:spacing w:after="0" w:line="240" w:lineRule="auto"/>
              <w:jc w:val="center"/>
              <w:rPr>
                <w:sz w:val="24"/>
                <w:szCs w:val="24"/>
              </w:rPr>
            </w:pPr>
            <w:r w:rsidRPr="00DD2C41">
              <w:rPr>
                <w:sz w:val="24"/>
                <w:szCs w:val="24"/>
              </w:rPr>
              <w:t>1.962</w:t>
            </w:r>
          </w:p>
        </w:tc>
        <w:tc>
          <w:tcPr>
            <w:tcW w:w="993" w:type="dxa"/>
            <w:tcBorders>
              <w:left w:val="nil"/>
              <w:bottom w:val="nil"/>
              <w:right w:val="nil"/>
            </w:tcBorders>
            <w:shd w:val="clear" w:color="auto" w:fill="auto"/>
          </w:tcPr>
          <w:p w14:paraId="4710F6B9" w14:textId="77777777" w:rsidR="00F676D3" w:rsidRPr="00DD2C41" w:rsidRDefault="00F676D3" w:rsidP="00DD2C41">
            <w:pPr>
              <w:spacing w:after="0" w:line="240" w:lineRule="auto"/>
              <w:jc w:val="center"/>
              <w:rPr>
                <w:sz w:val="24"/>
                <w:szCs w:val="24"/>
              </w:rPr>
            </w:pPr>
            <w:r w:rsidRPr="00DD2C41">
              <w:rPr>
                <w:sz w:val="24"/>
                <w:szCs w:val="24"/>
              </w:rPr>
              <w:t>1.991</w:t>
            </w:r>
            <w:r w:rsidRPr="00DD2C41">
              <w:rPr>
                <w:color w:val="000000"/>
                <w:sz w:val="24"/>
                <w:szCs w:val="24"/>
                <w:vertAlign w:val="superscript"/>
                <w:lang w:val="en-US"/>
              </w:rPr>
              <w:t xml:space="preserve"> G</w:t>
            </w:r>
          </w:p>
        </w:tc>
        <w:tc>
          <w:tcPr>
            <w:tcW w:w="992" w:type="dxa"/>
            <w:tcBorders>
              <w:left w:val="nil"/>
              <w:bottom w:val="nil"/>
              <w:right w:val="nil"/>
            </w:tcBorders>
            <w:shd w:val="clear" w:color="auto" w:fill="auto"/>
          </w:tcPr>
          <w:p w14:paraId="70D5E129" w14:textId="77777777" w:rsidR="00F676D3" w:rsidRPr="00DD2C41" w:rsidRDefault="00F676D3" w:rsidP="00DD2C41">
            <w:pPr>
              <w:spacing w:after="0" w:line="240" w:lineRule="auto"/>
              <w:jc w:val="center"/>
              <w:rPr>
                <w:sz w:val="24"/>
                <w:szCs w:val="24"/>
              </w:rPr>
            </w:pPr>
            <w:r w:rsidRPr="00DD2C41">
              <w:rPr>
                <w:sz w:val="24"/>
                <w:szCs w:val="24"/>
              </w:rPr>
              <w:t>27.312</w:t>
            </w:r>
          </w:p>
        </w:tc>
        <w:tc>
          <w:tcPr>
            <w:tcW w:w="992" w:type="dxa"/>
            <w:tcBorders>
              <w:left w:val="nil"/>
              <w:bottom w:val="nil"/>
              <w:right w:val="nil"/>
            </w:tcBorders>
            <w:shd w:val="clear" w:color="auto" w:fill="auto"/>
          </w:tcPr>
          <w:p w14:paraId="582BC672"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5EB787BB" w14:textId="77777777" w:rsidTr="00DD2C41">
        <w:tc>
          <w:tcPr>
            <w:tcW w:w="1641" w:type="dxa"/>
            <w:tcBorders>
              <w:top w:val="nil"/>
              <w:left w:val="nil"/>
              <w:bottom w:val="nil"/>
              <w:right w:val="nil"/>
            </w:tcBorders>
            <w:shd w:val="clear" w:color="auto" w:fill="auto"/>
          </w:tcPr>
          <w:p w14:paraId="3063A597"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Medial left</w:t>
            </w:r>
          </w:p>
        </w:tc>
        <w:tc>
          <w:tcPr>
            <w:tcW w:w="876" w:type="dxa"/>
            <w:tcBorders>
              <w:top w:val="nil"/>
              <w:left w:val="nil"/>
              <w:bottom w:val="nil"/>
              <w:right w:val="nil"/>
            </w:tcBorders>
            <w:shd w:val="clear" w:color="auto" w:fill="auto"/>
          </w:tcPr>
          <w:p w14:paraId="79D4670C" w14:textId="77777777" w:rsidR="00F676D3" w:rsidRPr="00DD2C41" w:rsidRDefault="00F676D3" w:rsidP="00DD2C41">
            <w:pPr>
              <w:spacing w:after="0" w:line="240" w:lineRule="auto"/>
              <w:jc w:val="center"/>
              <w:rPr>
                <w:color w:val="000000"/>
                <w:sz w:val="24"/>
                <w:szCs w:val="24"/>
                <w:lang w:val="en-US"/>
              </w:rPr>
            </w:pPr>
            <w:r w:rsidRPr="00DD2C41">
              <w:rPr>
                <w:sz w:val="24"/>
                <w:szCs w:val="24"/>
              </w:rPr>
              <w:t>21.858</w:t>
            </w:r>
          </w:p>
        </w:tc>
        <w:tc>
          <w:tcPr>
            <w:tcW w:w="917" w:type="dxa"/>
            <w:tcBorders>
              <w:top w:val="nil"/>
              <w:left w:val="nil"/>
              <w:bottom w:val="nil"/>
              <w:right w:val="nil"/>
            </w:tcBorders>
            <w:shd w:val="clear" w:color="auto" w:fill="auto"/>
          </w:tcPr>
          <w:p w14:paraId="6482255A" w14:textId="77777777" w:rsidR="00F676D3" w:rsidRPr="00DD2C41" w:rsidRDefault="00F676D3" w:rsidP="00DD2C41">
            <w:pPr>
              <w:spacing w:after="0" w:line="240" w:lineRule="auto"/>
              <w:jc w:val="center"/>
              <w:rPr>
                <w:color w:val="000000"/>
                <w:sz w:val="24"/>
                <w:szCs w:val="24"/>
                <w:lang w:val="en-US"/>
              </w:rPr>
            </w:pPr>
            <w:r w:rsidRPr="00DD2C41">
              <w:rPr>
                <w:sz w:val="24"/>
                <w:szCs w:val="24"/>
              </w:rPr>
              <w:t>1.511</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6FDFE068" w14:textId="77777777" w:rsidR="00F676D3" w:rsidRPr="00DD2C41" w:rsidRDefault="00F676D3" w:rsidP="00DD2C41">
            <w:pPr>
              <w:spacing w:after="0" w:line="240" w:lineRule="auto"/>
              <w:jc w:val="center"/>
              <w:rPr>
                <w:color w:val="000000"/>
                <w:sz w:val="24"/>
                <w:szCs w:val="24"/>
                <w:lang w:val="en-US"/>
              </w:rPr>
            </w:pPr>
            <w:r w:rsidRPr="00DD2C41">
              <w:rPr>
                <w:sz w:val="24"/>
                <w:szCs w:val="24"/>
              </w:rPr>
              <w:t>23.475</w:t>
            </w:r>
          </w:p>
        </w:tc>
        <w:tc>
          <w:tcPr>
            <w:tcW w:w="1007" w:type="dxa"/>
            <w:tcBorders>
              <w:top w:val="nil"/>
              <w:left w:val="nil"/>
              <w:bottom w:val="nil"/>
              <w:right w:val="single" w:sz="4" w:space="0" w:color="auto"/>
            </w:tcBorders>
            <w:shd w:val="clear" w:color="auto" w:fill="auto"/>
          </w:tcPr>
          <w:p w14:paraId="7AB0F980"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7260B04A" w14:textId="77777777" w:rsidR="00F676D3" w:rsidRPr="00DD2C41" w:rsidRDefault="00F676D3" w:rsidP="00DD2C41">
            <w:pPr>
              <w:spacing w:after="0" w:line="240" w:lineRule="auto"/>
              <w:jc w:val="center"/>
              <w:rPr>
                <w:sz w:val="24"/>
                <w:szCs w:val="24"/>
              </w:rPr>
            </w:pPr>
            <w:r w:rsidRPr="00DD2C41">
              <w:rPr>
                <w:sz w:val="24"/>
                <w:szCs w:val="24"/>
              </w:rPr>
              <w:t>4.653</w:t>
            </w:r>
          </w:p>
        </w:tc>
        <w:tc>
          <w:tcPr>
            <w:tcW w:w="993" w:type="dxa"/>
            <w:tcBorders>
              <w:top w:val="nil"/>
              <w:left w:val="nil"/>
              <w:bottom w:val="nil"/>
              <w:right w:val="nil"/>
            </w:tcBorders>
            <w:shd w:val="clear" w:color="auto" w:fill="auto"/>
          </w:tcPr>
          <w:p w14:paraId="0257EC6A" w14:textId="77777777" w:rsidR="00F676D3" w:rsidRPr="00DD2C41" w:rsidRDefault="00F676D3" w:rsidP="00DD2C41">
            <w:pPr>
              <w:spacing w:after="0" w:line="240" w:lineRule="auto"/>
              <w:jc w:val="center"/>
              <w:rPr>
                <w:sz w:val="24"/>
                <w:szCs w:val="24"/>
              </w:rPr>
            </w:pPr>
            <w:r w:rsidRPr="00DD2C41">
              <w:rPr>
                <w:sz w:val="24"/>
                <w:szCs w:val="24"/>
              </w:rPr>
              <w:t>1.739</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021556C8" w14:textId="77777777" w:rsidR="00F676D3" w:rsidRPr="00DD2C41" w:rsidRDefault="00F676D3" w:rsidP="00DD2C41">
            <w:pPr>
              <w:spacing w:after="0" w:line="240" w:lineRule="auto"/>
              <w:jc w:val="center"/>
              <w:rPr>
                <w:sz w:val="24"/>
                <w:szCs w:val="24"/>
              </w:rPr>
            </w:pPr>
            <w:r w:rsidRPr="00DD2C41">
              <w:rPr>
                <w:sz w:val="24"/>
                <w:szCs w:val="24"/>
              </w:rPr>
              <w:t>27.727</w:t>
            </w:r>
          </w:p>
        </w:tc>
        <w:tc>
          <w:tcPr>
            <w:tcW w:w="992" w:type="dxa"/>
            <w:tcBorders>
              <w:top w:val="nil"/>
              <w:left w:val="nil"/>
              <w:bottom w:val="nil"/>
              <w:right w:val="nil"/>
            </w:tcBorders>
            <w:shd w:val="clear" w:color="auto" w:fill="auto"/>
          </w:tcPr>
          <w:p w14:paraId="07AEF9F3"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2F0AE0DD" w14:textId="77777777" w:rsidTr="00DD2C41">
        <w:tc>
          <w:tcPr>
            <w:tcW w:w="1641" w:type="dxa"/>
            <w:tcBorders>
              <w:top w:val="nil"/>
              <w:left w:val="nil"/>
              <w:bottom w:val="nil"/>
              <w:right w:val="nil"/>
            </w:tcBorders>
            <w:shd w:val="clear" w:color="auto" w:fill="auto"/>
          </w:tcPr>
          <w:p w14:paraId="41DF0CCF"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Central line</w:t>
            </w:r>
          </w:p>
        </w:tc>
        <w:tc>
          <w:tcPr>
            <w:tcW w:w="876" w:type="dxa"/>
            <w:tcBorders>
              <w:top w:val="nil"/>
              <w:left w:val="nil"/>
              <w:bottom w:val="nil"/>
              <w:right w:val="nil"/>
            </w:tcBorders>
            <w:shd w:val="clear" w:color="auto" w:fill="auto"/>
          </w:tcPr>
          <w:p w14:paraId="24FB3CD7" w14:textId="77777777" w:rsidR="00F676D3" w:rsidRPr="00DD2C41" w:rsidRDefault="00F676D3" w:rsidP="00DD2C41">
            <w:pPr>
              <w:spacing w:after="0" w:line="240" w:lineRule="auto"/>
              <w:jc w:val="center"/>
              <w:rPr>
                <w:color w:val="000000"/>
                <w:sz w:val="24"/>
                <w:szCs w:val="24"/>
                <w:lang w:val="en-US"/>
              </w:rPr>
            </w:pPr>
            <w:r w:rsidRPr="00DD2C41">
              <w:rPr>
                <w:sz w:val="24"/>
                <w:szCs w:val="24"/>
              </w:rPr>
              <w:t>2.279</w:t>
            </w:r>
          </w:p>
        </w:tc>
        <w:tc>
          <w:tcPr>
            <w:tcW w:w="917" w:type="dxa"/>
            <w:tcBorders>
              <w:top w:val="nil"/>
              <w:left w:val="nil"/>
              <w:bottom w:val="nil"/>
              <w:right w:val="nil"/>
            </w:tcBorders>
            <w:shd w:val="clear" w:color="auto" w:fill="auto"/>
          </w:tcPr>
          <w:p w14:paraId="5559BD33" w14:textId="77777777" w:rsidR="00F676D3" w:rsidRPr="00DD2C41" w:rsidRDefault="00F676D3" w:rsidP="00DD2C41">
            <w:pPr>
              <w:spacing w:after="0" w:line="240" w:lineRule="auto"/>
              <w:jc w:val="center"/>
              <w:rPr>
                <w:color w:val="000000"/>
                <w:sz w:val="24"/>
                <w:szCs w:val="24"/>
                <w:lang w:val="en-US"/>
              </w:rPr>
            </w:pPr>
            <w:r w:rsidRPr="00DD2C41">
              <w:rPr>
                <w:sz w:val="24"/>
                <w:szCs w:val="24"/>
              </w:rPr>
              <w:t>1.329</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6EBC3719" w14:textId="77777777" w:rsidR="00F676D3" w:rsidRPr="00DD2C41" w:rsidRDefault="00F676D3" w:rsidP="00DD2C41">
            <w:pPr>
              <w:spacing w:after="0" w:line="240" w:lineRule="auto"/>
              <w:jc w:val="center"/>
              <w:rPr>
                <w:color w:val="000000"/>
                <w:sz w:val="24"/>
                <w:szCs w:val="24"/>
                <w:lang w:val="en-US"/>
              </w:rPr>
            </w:pPr>
            <w:r w:rsidRPr="00DD2C41">
              <w:rPr>
                <w:sz w:val="24"/>
                <w:szCs w:val="24"/>
              </w:rPr>
              <w:t>16.215</w:t>
            </w:r>
          </w:p>
        </w:tc>
        <w:tc>
          <w:tcPr>
            <w:tcW w:w="1007" w:type="dxa"/>
            <w:tcBorders>
              <w:top w:val="nil"/>
              <w:left w:val="nil"/>
              <w:bottom w:val="nil"/>
              <w:right w:val="single" w:sz="4" w:space="0" w:color="auto"/>
            </w:tcBorders>
            <w:shd w:val="clear" w:color="auto" w:fill="auto"/>
          </w:tcPr>
          <w:p w14:paraId="459AB7A9" w14:textId="77777777" w:rsidR="00F676D3" w:rsidRPr="00DD2C41" w:rsidRDefault="00F676D3" w:rsidP="00DD2C41">
            <w:pPr>
              <w:spacing w:after="0" w:line="240" w:lineRule="auto"/>
              <w:jc w:val="center"/>
              <w:rPr>
                <w:color w:val="000000"/>
                <w:sz w:val="24"/>
                <w:szCs w:val="24"/>
                <w:lang w:val="en-US"/>
              </w:rPr>
            </w:pPr>
            <w:r w:rsidRPr="00DD2C41">
              <w:rPr>
                <w:sz w:val="24"/>
                <w:szCs w:val="24"/>
              </w:rPr>
              <w:t>0.001</w:t>
            </w:r>
          </w:p>
        </w:tc>
        <w:tc>
          <w:tcPr>
            <w:tcW w:w="850" w:type="dxa"/>
            <w:tcBorders>
              <w:top w:val="nil"/>
              <w:left w:val="single" w:sz="4" w:space="0" w:color="auto"/>
              <w:bottom w:val="nil"/>
              <w:right w:val="nil"/>
            </w:tcBorders>
            <w:shd w:val="clear" w:color="auto" w:fill="auto"/>
          </w:tcPr>
          <w:p w14:paraId="5B84B8B7" w14:textId="77777777" w:rsidR="00F676D3" w:rsidRPr="00DD2C41" w:rsidRDefault="00F676D3" w:rsidP="00DD2C41">
            <w:pPr>
              <w:spacing w:after="0" w:line="240" w:lineRule="auto"/>
              <w:jc w:val="center"/>
              <w:rPr>
                <w:sz w:val="24"/>
                <w:szCs w:val="24"/>
              </w:rPr>
            </w:pPr>
            <w:r w:rsidRPr="00DD2C41">
              <w:rPr>
                <w:sz w:val="24"/>
                <w:szCs w:val="24"/>
              </w:rPr>
              <w:t>1.130</w:t>
            </w:r>
          </w:p>
        </w:tc>
        <w:tc>
          <w:tcPr>
            <w:tcW w:w="993" w:type="dxa"/>
            <w:tcBorders>
              <w:top w:val="nil"/>
              <w:left w:val="nil"/>
              <w:bottom w:val="nil"/>
              <w:right w:val="nil"/>
            </w:tcBorders>
            <w:shd w:val="clear" w:color="auto" w:fill="auto"/>
          </w:tcPr>
          <w:p w14:paraId="0DAF3B05" w14:textId="77777777" w:rsidR="00F676D3" w:rsidRPr="00DD2C41" w:rsidRDefault="00F676D3" w:rsidP="00DD2C41">
            <w:pPr>
              <w:spacing w:after="0" w:line="240" w:lineRule="auto"/>
              <w:jc w:val="center"/>
              <w:rPr>
                <w:sz w:val="24"/>
                <w:szCs w:val="24"/>
              </w:rPr>
            </w:pPr>
            <w:r w:rsidRPr="00DD2C41">
              <w:rPr>
                <w:sz w:val="24"/>
                <w:szCs w:val="24"/>
              </w:rPr>
              <w:t>1.301</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1677EFEF" w14:textId="77777777" w:rsidR="00F676D3" w:rsidRPr="00DD2C41" w:rsidRDefault="00F676D3" w:rsidP="00DD2C41">
            <w:pPr>
              <w:spacing w:after="0" w:line="240" w:lineRule="auto"/>
              <w:jc w:val="center"/>
              <w:rPr>
                <w:sz w:val="24"/>
                <w:szCs w:val="24"/>
              </w:rPr>
            </w:pPr>
            <w:r w:rsidRPr="00DD2C41">
              <w:rPr>
                <w:sz w:val="24"/>
                <w:szCs w:val="24"/>
              </w:rPr>
              <w:t>18.781</w:t>
            </w:r>
          </w:p>
        </w:tc>
        <w:tc>
          <w:tcPr>
            <w:tcW w:w="992" w:type="dxa"/>
            <w:tcBorders>
              <w:top w:val="nil"/>
              <w:left w:val="nil"/>
              <w:bottom w:val="nil"/>
              <w:right w:val="nil"/>
            </w:tcBorders>
            <w:shd w:val="clear" w:color="auto" w:fill="auto"/>
          </w:tcPr>
          <w:p w14:paraId="123C5162" w14:textId="77777777" w:rsidR="00F676D3" w:rsidRPr="00DD2C41" w:rsidRDefault="00F676D3" w:rsidP="00DD2C41">
            <w:pPr>
              <w:spacing w:after="0" w:line="240" w:lineRule="auto"/>
              <w:jc w:val="center"/>
              <w:rPr>
                <w:sz w:val="24"/>
                <w:szCs w:val="24"/>
              </w:rPr>
            </w:pPr>
            <w:r w:rsidRPr="00DD2C41">
              <w:rPr>
                <w:sz w:val="24"/>
                <w:szCs w:val="24"/>
              </w:rPr>
              <w:t>0.001</w:t>
            </w:r>
          </w:p>
        </w:tc>
      </w:tr>
      <w:tr w:rsidR="00B4526F" w:rsidRPr="00DD2C41" w14:paraId="1066604A" w14:textId="77777777" w:rsidTr="00DD2C41">
        <w:tc>
          <w:tcPr>
            <w:tcW w:w="1641" w:type="dxa"/>
            <w:tcBorders>
              <w:top w:val="nil"/>
              <w:left w:val="nil"/>
              <w:bottom w:val="nil"/>
              <w:right w:val="nil"/>
            </w:tcBorders>
            <w:shd w:val="clear" w:color="auto" w:fill="auto"/>
          </w:tcPr>
          <w:p w14:paraId="4F6143F8"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Medial right</w:t>
            </w:r>
          </w:p>
        </w:tc>
        <w:tc>
          <w:tcPr>
            <w:tcW w:w="876" w:type="dxa"/>
            <w:tcBorders>
              <w:top w:val="nil"/>
              <w:left w:val="nil"/>
              <w:bottom w:val="nil"/>
              <w:right w:val="nil"/>
            </w:tcBorders>
            <w:shd w:val="clear" w:color="auto" w:fill="auto"/>
          </w:tcPr>
          <w:p w14:paraId="61795815" w14:textId="77777777" w:rsidR="00F676D3" w:rsidRPr="00DD2C41" w:rsidRDefault="00F676D3" w:rsidP="00DD2C41">
            <w:pPr>
              <w:spacing w:after="0" w:line="240" w:lineRule="auto"/>
              <w:jc w:val="center"/>
              <w:rPr>
                <w:color w:val="000000"/>
                <w:sz w:val="24"/>
                <w:szCs w:val="24"/>
                <w:lang w:val="en-US"/>
              </w:rPr>
            </w:pPr>
            <w:r w:rsidRPr="00DD2C41">
              <w:rPr>
                <w:sz w:val="24"/>
                <w:szCs w:val="24"/>
              </w:rPr>
              <w:t>9.745</w:t>
            </w:r>
          </w:p>
        </w:tc>
        <w:tc>
          <w:tcPr>
            <w:tcW w:w="917" w:type="dxa"/>
            <w:tcBorders>
              <w:top w:val="nil"/>
              <w:left w:val="nil"/>
              <w:bottom w:val="nil"/>
              <w:right w:val="nil"/>
            </w:tcBorders>
            <w:shd w:val="clear" w:color="auto" w:fill="auto"/>
          </w:tcPr>
          <w:p w14:paraId="0735196A" w14:textId="77777777" w:rsidR="00F676D3" w:rsidRPr="00DD2C41" w:rsidRDefault="00F676D3" w:rsidP="00DD2C41">
            <w:pPr>
              <w:spacing w:after="0" w:line="240" w:lineRule="auto"/>
              <w:jc w:val="center"/>
              <w:rPr>
                <w:color w:val="000000"/>
                <w:sz w:val="24"/>
                <w:szCs w:val="24"/>
                <w:lang w:val="en-US"/>
              </w:rPr>
            </w:pPr>
            <w:r w:rsidRPr="00DD2C41">
              <w:rPr>
                <w:sz w:val="24"/>
                <w:szCs w:val="24"/>
              </w:rPr>
              <w:t>1.934</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1B1CADAF" w14:textId="77777777" w:rsidR="00F676D3" w:rsidRPr="00DD2C41" w:rsidRDefault="00F676D3" w:rsidP="00DD2C41">
            <w:pPr>
              <w:spacing w:after="0" w:line="240" w:lineRule="auto"/>
              <w:jc w:val="center"/>
              <w:rPr>
                <w:color w:val="000000"/>
                <w:sz w:val="24"/>
                <w:szCs w:val="24"/>
                <w:lang w:val="en-US"/>
              </w:rPr>
            </w:pPr>
            <w:r w:rsidRPr="00DD2C41">
              <w:rPr>
                <w:sz w:val="24"/>
                <w:szCs w:val="24"/>
              </w:rPr>
              <w:t>41.436</w:t>
            </w:r>
          </w:p>
        </w:tc>
        <w:tc>
          <w:tcPr>
            <w:tcW w:w="1007" w:type="dxa"/>
            <w:tcBorders>
              <w:top w:val="nil"/>
              <w:left w:val="nil"/>
              <w:bottom w:val="nil"/>
              <w:right w:val="single" w:sz="4" w:space="0" w:color="auto"/>
            </w:tcBorders>
            <w:shd w:val="clear" w:color="auto" w:fill="auto"/>
          </w:tcPr>
          <w:p w14:paraId="363FD290"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497DBCCC" w14:textId="77777777" w:rsidR="00F676D3" w:rsidRPr="00DD2C41" w:rsidRDefault="00F676D3" w:rsidP="00DD2C41">
            <w:pPr>
              <w:spacing w:after="0" w:line="240" w:lineRule="auto"/>
              <w:jc w:val="center"/>
              <w:rPr>
                <w:sz w:val="24"/>
                <w:szCs w:val="24"/>
              </w:rPr>
            </w:pPr>
            <w:r w:rsidRPr="00DD2C41">
              <w:rPr>
                <w:sz w:val="24"/>
                <w:szCs w:val="24"/>
              </w:rPr>
              <w:t>2.909</w:t>
            </w:r>
          </w:p>
        </w:tc>
        <w:tc>
          <w:tcPr>
            <w:tcW w:w="993" w:type="dxa"/>
            <w:tcBorders>
              <w:top w:val="nil"/>
              <w:left w:val="nil"/>
              <w:bottom w:val="nil"/>
              <w:right w:val="nil"/>
            </w:tcBorders>
            <w:shd w:val="clear" w:color="auto" w:fill="auto"/>
          </w:tcPr>
          <w:p w14:paraId="77C0B9D2" w14:textId="77777777" w:rsidR="00F676D3" w:rsidRPr="00DD2C41" w:rsidRDefault="00F676D3" w:rsidP="00DD2C41">
            <w:pPr>
              <w:spacing w:after="0" w:line="240" w:lineRule="auto"/>
              <w:jc w:val="center"/>
              <w:rPr>
                <w:sz w:val="24"/>
                <w:szCs w:val="24"/>
              </w:rPr>
            </w:pPr>
            <w:r w:rsidRPr="00DD2C41">
              <w:rPr>
                <w:sz w:val="24"/>
                <w:szCs w:val="24"/>
              </w:rPr>
              <w:t>1.789</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37A593B8" w14:textId="77777777" w:rsidR="00F676D3" w:rsidRPr="00DD2C41" w:rsidRDefault="00F676D3" w:rsidP="00DD2C41">
            <w:pPr>
              <w:spacing w:after="0" w:line="240" w:lineRule="auto"/>
              <w:jc w:val="center"/>
              <w:rPr>
                <w:sz w:val="24"/>
                <w:szCs w:val="24"/>
              </w:rPr>
            </w:pPr>
            <w:r w:rsidRPr="00DD2C41">
              <w:rPr>
                <w:sz w:val="24"/>
                <w:szCs w:val="24"/>
              </w:rPr>
              <w:t>25.009</w:t>
            </w:r>
          </w:p>
        </w:tc>
        <w:tc>
          <w:tcPr>
            <w:tcW w:w="992" w:type="dxa"/>
            <w:tcBorders>
              <w:top w:val="nil"/>
              <w:left w:val="nil"/>
              <w:bottom w:val="nil"/>
              <w:right w:val="nil"/>
            </w:tcBorders>
            <w:shd w:val="clear" w:color="auto" w:fill="auto"/>
          </w:tcPr>
          <w:p w14:paraId="6620B902"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6A4463C5" w14:textId="77777777" w:rsidTr="00DD2C41">
        <w:tc>
          <w:tcPr>
            <w:tcW w:w="1641" w:type="dxa"/>
            <w:tcBorders>
              <w:top w:val="nil"/>
              <w:left w:val="nil"/>
              <w:bottom w:val="nil"/>
              <w:right w:val="nil"/>
            </w:tcBorders>
            <w:shd w:val="clear" w:color="auto" w:fill="auto"/>
          </w:tcPr>
          <w:p w14:paraId="4288B333"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Right side</w:t>
            </w:r>
          </w:p>
        </w:tc>
        <w:tc>
          <w:tcPr>
            <w:tcW w:w="876" w:type="dxa"/>
            <w:tcBorders>
              <w:top w:val="nil"/>
              <w:left w:val="nil"/>
              <w:bottom w:val="nil"/>
              <w:right w:val="nil"/>
            </w:tcBorders>
            <w:shd w:val="clear" w:color="auto" w:fill="auto"/>
          </w:tcPr>
          <w:p w14:paraId="114F8DD6" w14:textId="77777777" w:rsidR="00F676D3" w:rsidRPr="00DD2C41" w:rsidRDefault="00F676D3" w:rsidP="00DD2C41">
            <w:pPr>
              <w:spacing w:after="0" w:line="240" w:lineRule="auto"/>
              <w:jc w:val="center"/>
              <w:rPr>
                <w:color w:val="000000"/>
                <w:sz w:val="24"/>
                <w:szCs w:val="24"/>
                <w:lang w:val="en-US"/>
              </w:rPr>
            </w:pPr>
            <w:r w:rsidRPr="00DD2C41">
              <w:rPr>
                <w:sz w:val="24"/>
                <w:szCs w:val="24"/>
              </w:rPr>
              <w:t>35.062</w:t>
            </w:r>
          </w:p>
        </w:tc>
        <w:tc>
          <w:tcPr>
            <w:tcW w:w="917" w:type="dxa"/>
            <w:tcBorders>
              <w:top w:val="nil"/>
              <w:left w:val="nil"/>
              <w:bottom w:val="nil"/>
              <w:right w:val="nil"/>
            </w:tcBorders>
            <w:shd w:val="clear" w:color="auto" w:fill="auto"/>
          </w:tcPr>
          <w:p w14:paraId="34010A35" w14:textId="77777777" w:rsidR="00F676D3" w:rsidRPr="00DD2C41" w:rsidRDefault="00F676D3" w:rsidP="00DD2C41">
            <w:pPr>
              <w:spacing w:after="0" w:line="240" w:lineRule="auto"/>
              <w:jc w:val="center"/>
              <w:rPr>
                <w:color w:val="000000"/>
                <w:sz w:val="24"/>
                <w:szCs w:val="24"/>
                <w:lang w:val="en-US"/>
              </w:rPr>
            </w:pPr>
            <w:r w:rsidRPr="00DD2C41">
              <w:rPr>
                <w:sz w:val="24"/>
                <w:szCs w:val="24"/>
              </w:rPr>
              <w:t>1.212</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26F16753" w14:textId="77777777" w:rsidR="00F676D3" w:rsidRPr="00DD2C41" w:rsidRDefault="00F676D3" w:rsidP="00DD2C41">
            <w:pPr>
              <w:spacing w:after="0" w:line="240" w:lineRule="auto"/>
              <w:jc w:val="center"/>
              <w:rPr>
                <w:color w:val="000000"/>
                <w:sz w:val="24"/>
                <w:szCs w:val="24"/>
                <w:lang w:val="en-US"/>
              </w:rPr>
            </w:pPr>
            <w:r w:rsidRPr="00DD2C41">
              <w:rPr>
                <w:sz w:val="24"/>
                <w:szCs w:val="24"/>
              </w:rPr>
              <w:t>21.792</w:t>
            </w:r>
          </w:p>
        </w:tc>
        <w:tc>
          <w:tcPr>
            <w:tcW w:w="1007" w:type="dxa"/>
            <w:tcBorders>
              <w:top w:val="nil"/>
              <w:left w:val="nil"/>
              <w:bottom w:val="nil"/>
              <w:right w:val="single" w:sz="4" w:space="0" w:color="auto"/>
            </w:tcBorders>
            <w:shd w:val="clear" w:color="auto" w:fill="auto"/>
          </w:tcPr>
          <w:p w14:paraId="1615AD5A"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58A81323" w14:textId="77777777" w:rsidR="00F676D3" w:rsidRPr="00DD2C41" w:rsidRDefault="00F676D3" w:rsidP="00DD2C41">
            <w:pPr>
              <w:spacing w:after="0" w:line="240" w:lineRule="auto"/>
              <w:jc w:val="center"/>
              <w:rPr>
                <w:sz w:val="24"/>
                <w:szCs w:val="24"/>
              </w:rPr>
            </w:pPr>
            <w:r w:rsidRPr="00DD2C41">
              <w:rPr>
                <w:sz w:val="24"/>
                <w:szCs w:val="24"/>
              </w:rPr>
              <w:t>4.544</w:t>
            </w:r>
          </w:p>
        </w:tc>
        <w:tc>
          <w:tcPr>
            <w:tcW w:w="993" w:type="dxa"/>
            <w:tcBorders>
              <w:top w:val="nil"/>
              <w:left w:val="nil"/>
              <w:bottom w:val="nil"/>
              <w:right w:val="nil"/>
            </w:tcBorders>
            <w:shd w:val="clear" w:color="auto" w:fill="auto"/>
          </w:tcPr>
          <w:p w14:paraId="42F2FD75" w14:textId="77777777" w:rsidR="00F676D3" w:rsidRPr="00DD2C41" w:rsidRDefault="00F676D3" w:rsidP="00DD2C41">
            <w:pPr>
              <w:spacing w:after="0" w:line="240" w:lineRule="auto"/>
              <w:jc w:val="center"/>
              <w:rPr>
                <w:sz w:val="24"/>
                <w:szCs w:val="24"/>
              </w:rPr>
            </w:pPr>
            <w:r w:rsidRPr="00DD2C41">
              <w:rPr>
                <w:sz w:val="24"/>
                <w:szCs w:val="24"/>
              </w:rPr>
              <w:t>1.782</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7EF23FE0" w14:textId="77777777" w:rsidR="00F676D3" w:rsidRPr="00DD2C41" w:rsidRDefault="00F676D3" w:rsidP="00DD2C41">
            <w:pPr>
              <w:spacing w:after="0" w:line="240" w:lineRule="auto"/>
              <w:jc w:val="center"/>
              <w:rPr>
                <w:sz w:val="24"/>
                <w:szCs w:val="24"/>
              </w:rPr>
            </w:pPr>
            <w:r w:rsidRPr="00DD2C41">
              <w:rPr>
                <w:sz w:val="24"/>
                <w:szCs w:val="24"/>
              </w:rPr>
              <w:t>30.234</w:t>
            </w:r>
          </w:p>
        </w:tc>
        <w:tc>
          <w:tcPr>
            <w:tcW w:w="992" w:type="dxa"/>
            <w:tcBorders>
              <w:top w:val="nil"/>
              <w:left w:val="nil"/>
              <w:bottom w:val="nil"/>
              <w:right w:val="nil"/>
            </w:tcBorders>
            <w:shd w:val="clear" w:color="auto" w:fill="auto"/>
          </w:tcPr>
          <w:p w14:paraId="2E89746E"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26A372E5" w14:textId="77777777" w:rsidTr="00DD2C41">
        <w:tc>
          <w:tcPr>
            <w:tcW w:w="1641" w:type="dxa"/>
            <w:tcBorders>
              <w:top w:val="nil"/>
              <w:left w:val="nil"/>
              <w:bottom w:val="nil"/>
              <w:right w:val="nil"/>
            </w:tcBorders>
            <w:shd w:val="clear" w:color="auto" w:fill="auto"/>
          </w:tcPr>
          <w:p w14:paraId="5CB4652A"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Anterior left</w:t>
            </w:r>
          </w:p>
        </w:tc>
        <w:tc>
          <w:tcPr>
            <w:tcW w:w="876" w:type="dxa"/>
            <w:tcBorders>
              <w:top w:val="nil"/>
              <w:left w:val="nil"/>
              <w:bottom w:val="nil"/>
              <w:right w:val="nil"/>
            </w:tcBorders>
            <w:shd w:val="clear" w:color="auto" w:fill="auto"/>
          </w:tcPr>
          <w:p w14:paraId="0F99EBFB" w14:textId="77777777" w:rsidR="00F676D3" w:rsidRPr="00DD2C41" w:rsidRDefault="00F676D3" w:rsidP="00DD2C41">
            <w:pPr>
              <w:spacing w:after="0" w:line="240" w:lineRule="auto"/>
              <w:jc w:val="center"/>
              <w:rPr>
                <w:color w:val="000000"/>
                <w:sz w:val="24"/>
                <w:szCs w:val="24"/>
                <w:lang w:val="en-US"/>
              </w:rPr>
            </w:pPr>
            <w:r w:rsidRPr="00DD2C41">
              <w:rPr>
                <w:sz w:val="24"/>
                <w:szCs w:val="24"/>
              </w:rPr>
              <w:t>72.841</w:t>
            </w:r>
          </w:p>
        </w:tc>
        <w:tc>
          <w:tcPr>
            <w:tcW w:w="917" w:type="dxa"/>
            <w:tcBorders>
              <w:top w:val="nil"/>
              <w:left w:val="nil"/>
              <w:bottom w:val="nil"/>
              <w:right w:val="nil"/>
            </w:tcBorders>
            <w:shd w:val="clear" w:color="auto" w:fill="auto"/>
          </w:tcPr>
          <w:p w14:paraId="1EFEA8FE" w14:textId="77777777" w:rsidR="00F676D3" w:rsidRPr="00DD2C41" w:rsidRDefault="00F676D3" w:rsidP="00DD2C41">
            <w:pPr>
              <w:spacing w:after="0" w:line="240" w:lineRule="auto"/>
              <w:jc w:val="center"/>
              <w:rPr>
                <w:color w:val="000000"/>
                <w:sz w:val="24"/>
                <w:szCs w:val="24"/>
                <w:lang w:val="en-US"/>
              </w:rPr>
            </w:pPr>
            <w:r w:rsidRPr="00DD2C41">
              <w:rPr>
                <w:sz w:val="24"/>
                <w:szCs w:val="24"/>
              </w:rPr>
              <w:t>1.243</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2AA5E394" w14:textId="77777777" w:rsidR="00F676D3" w:rsidRPr="00DD2C41" w:rsidRDefault="00F676D3" w:rsidP="00DD2C41">
            <w:pPr>
              <w:spacing w:after="0" w:line="240" w:lineRule="auto"/>
              <w:jc w:val="center"/>
              <w:rPr>
                <w:color w:val="000000"/>
                <w:sz w:val="24"/>
                <w:szCs w:val="24"/>
                <w:lang w:val="en-US"/>
              </w:rPr>
            </w:pPr>
            <w:r w:rsidRPr="00DD2C41">
              <w:rPr>
                <w:sz w:val="24"/>
                <w:szCs w:val="24"/>
              </w:rPr>
              <w:t>16.311</w:t>
            </w:r>
          </w:p>
        </w:tc>
        <w:tc>
          <w:tcPr>
            <w:tcW w:w="1007" w:type="dxa"/>
            <w:tcBorders>
              <w:top w:val="nil"/>
              <w:left w:val="nil"/>
              <w:bottom w:val="nil"/>
              <w:right w:val="single" w:sz="4" w:space="0" w:color="auto"/>
            </w:tcBorders>
            <w:shd w:val="clear" w:color="auto" w:fill="auto"/>
          </w:tcPr>
          <w:p w14:paraId="39186D4C" w14:textId="77777777" w:rsidR="00F676D3" w:rsidRPr="00DD2C41" w:rsidRDefault="00F676D3" w:rsidP="00DD2C41">
            <w:pPr>
              <w:spacing w:after="0" w:line="240" w:lineRule="auto"/>
              <w:jc w:val="center"/>
              <w:rPr>
                <w:color w:val="000000"/>
                <w:sz w:val="24"/>
                <w:szCs w:val="24"/>
                <w:lang w:val="en-US"/>
              </w:rPr>
            </w:pPr>
            <w:r w:rsidRPr="00DD2C41">
              <w:rPr>
                <w:sz w:val="24"/>
                <w:szCs w:val="24"/>
              </w:rPr>
              <w:t>0.001</w:t>
            </w:r>
          </w:p>
        </w:tc>
        <w:tc>
          <w:tcPr>
            <w:tcW w:w="850" w:type="dxa"/>
            <w:tcBorders>
              <w:top w:val="nil"/>
              <w:left w:val="single" w:sz="4" w:space="0" w:color="auto"/>
              <w:bottom w:val="nil"/>
              <w:right w:val="nil"/>
            </w:tcBorders>
            <w:shd w:val="clear" w:color="auto" w:fill="auto"/>
          </w:tcPr>
          <w:p w14:paraId="7925CFDA" w14:textId="77777777" w:rsidR="00F676D3" w:rsidRPr="00DD2C41" w:rsidRDefault="00F676D3" w:rsidP="00DD2C41">
            <w:pPr>
              <w:spacing w:after="0" w:line="240" w:lineRule="auto"/>
              <w:jc w:val="center"/>
              <w:rPr>
                <w:sz w:val="24"/>
                <w:szCs w:val="24"/>
              </w:rPr>
            </w:pPr>
            <w:r w:rsidRPr="00DD2C41">
              <w:rPr>
                <w:sz w:val="24"/>
                <w:szCs w:val="24"/>
              </w:rPr>
              <w:t>9.999</w:t>
            </w:r>
          </w:p>
        </w:tc>
        <w:tc>
          <w:tcPr>
            <w:tcW w:w="993" w:type="dxa"/>
            <w:tcBorders>
              <w:top w:val="nil"/>
              <w:left w:val="nil"/>
              <w:bottom w:val="nil"/>
              <w:right w:val="nil"/>
            </w:tcBorders>
            <w:shd w:val="clear" w:color="auto" w:fill="auto"/>
          </w:tcPr>
          <w:p w14:paraId="3AA3D6D5" w14:textId="77777777" w:rsidR="00F676D3" w:rsidRPr="00DD2C41" w:rsidRDefault="00F676D3" w:rsidP="00DD2C41">
            <w:pPr>
              <w:spacing w:after="0" w:line="240" w:lineRule="auto"/>
              <w:jc w:val="center"/>
              <w:rPr>
                <w:sz w:val="24"/>
                <w:szCs w:val="24"/>
              </w:rPr>
            </w:pPr>
            <w:r w:rsidRPr="00DD2C41">
              <w:rPr>
                <w:sz w:val="24"/>
                <w:szCs w:val="24"/>
              </w:rPr>
              <w:t>1.667</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3A756DF0" w14:textId="77777777" w:rsidR="00F676D3" w:rsidRPr="00DD2C41" w:rsidRDefault="00F676D3" w:rsidP="00DD2C41">
            <w:pPr>
              <w:spacing w:after="0" w:line="240" w:lineRule="auto"/>
              <w:jc w:val="center"/>
              <w:rPr>
                <w:sz w:val="24"/>
                <w:szCs w:val="24"/>
              </w:rPr>
            </w:pPr>
            <w:r w:rsidRPr="00DD2C41">
              <w:rPr>
                <w:sz w:val="24"/>
                <w:szCs w:val="24"/>
              </w:rPr>
              <w:t>19.764</w:t>
            </w:r>
          </w:p>
        </w:tc>
        <w:tc>
          <w:tcPr>
            <w:tcW w:w="992" w:type="dxa"/>
            <w:tcBorders>
              <w:top w:val="nil"/>
              <w:left w:val="nil"/>
              <w:bottom w:val="nil"/>
              <w:right w:val="nil"/>
            </w:tcBorders>
            <w:shd w:val="clear" w:color="auto" w:fill="auto"/>
          </w:tcPr>
          <w:p w14:paraId="460771BE"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14CEB30B" w14:textId="77777777" w:rsidTr="00DD2C41">
        <w:tc>
          <w:tcPr>
            <w:tcW w:w="1641" w:type="dxa"/>
            <w:tcBorders>
              <w:top w:val="nil"/>
              <w:left w:val="nil"/>
              <w:bottom w:val="nil"/>
              <w:right w:val="nil"/>
            </w:tcBorders>
            <w:shd w:val="clear" w:color="auto" w:fill="auto"/>
          </w:tcPr>
          <w:p w14:paraId="677B921B"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Anterior right</w:t>
            </w:r>
          </w:p>
        </w:tc>
        <w:tc>
          <w:tcPr>
            <w:tcW w:w="876" w:type="dxa"/>
            <w:tcBorders>
              <w:top w:val="nil"/>
              <w:left w:val="nil"/>
              <w:bottom w:val="nil"/>
              <w:right w:val="nil"/>
            </w:tcBorders>
            <w:shd w:val="clear" w:color="auto" w:fill="auto"/>
          </w:tcPr>
          <w:p w14:paraId="0AA10AA0" w14:textId="77777777" w:rsidR="00F676D3" w:rsidRPr="00DD2C41" w:rsidRDefault="00F676D3" w:rsidP="00DD2C41">
            <w:pPr>
              <w:spacing w:after="0" w:line="240" w:lineRule="auto"/>
              <w:jc w:val="center"/>
              <w:rPr>
                <w:color w:val="000000"/>
                <w:sz w:val="24"/>
                <w:szCs w:val="24"/>
                <w:lang w:val="en-US"/>
              </w:rPr>
            </w:pPr>
            <w:r w:rsidRPr="00DD2C41">
              <w:rPr>
                <w:sz w:val="24"/>
                <w:szCs w:val="24"/>
              </w:rPr>
              <w:t>39.973</w:t>
            </w:r>
          </w:p>
        </w:tc>
        <w:tc>
          <w:tcPr>
            <w:tcW w:w="917" w:type="dxa"/>
            <w:tcBorders>
              <w:top w:val="nil"/>
              <w:left w:val="nil"/>
              <w:bottom w:val="nil"/>
              <w:right w:val="nil"/>
            </w:tcBorders>
            <w:shd w:val="clear" w:color="auto" w:fill="auto"/>
          </w:tcPr>
          <w:p w14:paraId="5F21566B" w14:textId="77777777" w:rsidR="00F676D3" w:rsidRPr="00DD2C41" w:rsidRDefault="00F676D3" w:rsidP="00DD2C41">
            <w:pPr>
              <w:spacing w:after="0" w:line="240" w:lineRule="auto"/>
              <w:jc w:val="center"/>
              <w:rPr>
                <w:color w:val="000000"/>
                <w:sz w:val="24"/>
                <w:szCs w:val="24"/>
                <w:lang w:val="en-US"/>
              </w:rPr>
            </w:pPr>
            <w:r w:rsidRPr="00DD2C41">
              <w:rPr>
                <w:sz w:val="24"/>
                <w:szCs w:val="24"/>
              </w:rPr>
              <w:t>1.265</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1CFD2CDA" w14:textId="77777777" w:rsidR="00F676D3" w:rsidRPr="00DD2C41" w:rsidRDefault="00F676D3" w:rsidP="00DD2C41">
            <w:pPr>
              <w:spacing w:after="0" w:line="240" w:lineRule="auto"/>
              <w:jc w:val="center"/>
              <w:rPr>
                <w:color w:val="000000"/>
                <w:sz w:val="24"/>
                <w:szCs w:val="24"/>
                <w:lang w:val="en-US"/>
              </w:rPr>
            </w:pPr>
            <w:r w:rsidRPr="00DD2C41">
              <w:rPr>
                <w:sz w:val="24"/>
                <w:szCs w:val="24"/>
              </w:rPr>
              <w:t>24.951</w:t>
            </w:r>
          </w:p>
        </w:tc>
        <w:tc>
          <w:tcPr>
            <w:tcW w:w="1007" w:type="dxa"/>
            <w:tcBorders>
              <w:top w:val="nil"/>
              <w:left w:val="nil"/>
              <w:bottom w:val="nil"/>
              <w:right w:val="single" w:sz="4" w:space="0" w:color="auto"/>
            </w:tcBorders>
            <w:shd w:val="clear" w:color="auto" w:fill="auto"/>
          </w:tcPr>
          <w:p w14:paraId="37AE62D7"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38129C0F" w14:textId="77777777" w:rsidR="00F676D3" w:rsidRPr="00DD2C41" w:rsidRDefault="00F676D3" w:rsidP="00DD2C41">
            <w:pPr>
              <w:spacing w:after="0" w:line="240" w:lineRule="auto"/>
              <w:jc w:val="center"/>
              <w:rPr>
                <w:sz w:val="24"/>
                <w:szCs w:val="24"/>
              </w:rPr>
            </w:pPr>
            <w:r w:rsidRPr="00DD2C41">
              <w:rPr>
                <w:sz w:val="24"/>
                <w:szCs w:val="24"/>
              </w:rPr>
              <w:t>5.859</w:t>
            </w:r>
          </w:p>
        </w:tc>
        <w:tc>
          <w:tcPr>
            <w:tcW w:w="993" w:type="dxa"/>
            <w:tcBorders>
              <w:top w:val="nil"/>
              <w:left w:val="nil"/>
              <w:bottom w:val="nil"/>
              <w:right w:val="nil"/>
            </w:tcBorders>
            <w:shd w:val="clear" w:color="auto" w:fill="auto"/>
          </w:tcPr>
          <w:p w14:paraId="3CF9D001" w14:textId="77777777" w:rsidR="00F676D3" w:rsidRPr="00DD2C41" w:rsidRDefault="00F676D3" w:rsidP="00DD2C41">
            <w:pPr>
              <w:spacing w:after="0" w:line="240" w:lineRule="auto"/>
              <w:jc w:val="center"/>
              <w:rPr>
                <w:sz w:val="24"/>
                <w:szCs w:val="24"/>
              </w:rPr>
            </w:pPr>
            <w:r w:rsidRPr="00DD2C41">
              <w:rPr>
                <w:sz w:val="24"/>
                <w:szCs w:val="24"/>
              </w:rPr>
              <w:t>1.575</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56AD870F" w14:textId="77777777" w:rsidR="00F676D3" w:rsidRPr="00DD2C41" w:rsidRDefault="00F676D3" w:rsidP="00DD2C41">
            <w:pPr>
              <w:spacing w:after="0" w:line="240" w:lineRule="auto"/>
              <w:jc w:val="center"/>
              <w:rPr>
                <w:sz w:val="24"/>
                <w:szCs w:val="24"/>
              </w:rPr>
            </w:pPr>
            <w:r w:rsidRPr="00DD2C41">
              <w:rPr>
                <w:sz w:val="24"/>
                <w:szCs w:val="24"/>
              </w:rPr>
              <w:t>31.918</w:t>
            </w:r>
          </w:p>
        </w:tc>
        <w:tc>
          <w:tcPr>
            <w:tcW w:w="992" w:type="dxa"/>
            <w:tcBorders>
              <w:top w:val="nil"/>
              <w:left w:val="nil"/>
              <w:bottom w:val="nil"/>
              <w:right w:val="nil"/>
            </w:tcBorders>
            <w:shd w:val="clear" w:color="auto" w:fill="auto"/>
          </w:tcPr>
          <w:p w14:paraId="5A233C57"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194326E4" w14:textId="77777777" w:rsidTr="00DD2C41">
        <w:tc>
          <w:tcPr>
            <w:tcW w:w="1641" w:type="dxa"/>
            <w:tcBorders>
              <w:top w:val="nil"/>
              <w:left w:val="nil"/>
              <w:bottom w:val="nil"/>
              <w:right w:val="nil"/>
            </w:tcBorders>
            <w:shd w:val="clear" w:color="auto" w:fill="auto"/>
          </w:tcPr>
          <w:p w14:paraId="58B773E1"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Posterior left</w:t>
            </w:r>
          </w:p>
        </w:tc>
        <w:tc>
          <w:tcPr>
            <w:tcW w:w="876" w:type="dxa"/>
            <w:tcBorders>
              <w:top w:val="nil"/>
              <w:left w:val="nil"/>
              <w:bottom w:val="nil"/>
              <w:right w:val="nil"/>
            </w:tcBorders>
            <w:shd w:val="clear" w:color="auto" w:fill="auto"/>
          </w:tcPr>
          <w:p w14:paraId="10E55223" w14:textId="77777777" w:rsidR="00F676D3" w:rsidRPr="00DD2C41" w:rsidRDefault="00F676D3" w:rsidP="00DD2C41">
            <w:pPr>
              <w:spacing w:after="0" w:line="240" w:lineRule="auto"/>
              <w:jc w:val="center"/>
              <w:rPr>
                <w:color w:val="000000"/>
                <w:sz w:val="24"/>
                <w:szCs w:val="24"/>
                <w:lang w:val="en-US"/>
              </w:rPr>
            </w:pPr>
            <w:r w:rsidRPr="00DD2C41">
              <w:rPr>
                <w:sz w:val="24"/>
                <w:szCs w:val="24"/>
              </w:rPr>
              <w:t>5.839</w:t>
            </w:r>
          </w:p>
        </w:tc>
        <w:tc>
          <w:tcPr>
            <w:tcW w:w="917" w:type="dxa"/>
            <w:tcBorders>
              <w:top w:val="nil"/>
              <w:left w:val="nil"/>
              <w:bottom w:val="nil"/>
              <w:right w:val="nil"/>
            </w:tcBorders>
            <w:shd w:val="clear" w:color="auto" w:fill="auto"/>
          </w:tcPr>
          <w:p w14:paraId="488CC28F" w14:textId="77777777" w:rsidR="00F676D3" w:rsidRPr="00DD2C41" w:rsidRDefault="00F676D3" w:rsidP="00DD2C41">
            <w:pPr>
              <w:spacing w:after="0" w:line="240" w:lineRule="auto"/>
              <w:jc w:val="center"/>
              <w:rPr>
                <w:color w:val="000000"/>
                <w:sz w:val="24"/>
                <w:szCs w:val="24"/>
                <w:lang w:val="en-US"/>
              </w:rPr>
            </w:pPr>
            <w:r w:rsidRPr="00DD2C41">
              <w:rPr>
                <w:sz w:val="24"/>
                <w:szCs w:val="24"/>
              </w:rPr>
              <w:t>4</w:t>
            </w:r>
          </w:p>
        </w:tc>
        <w:tc>
          <w:tcPr>
            <w:tcW w:w="946" w:type="dxa"/>
            <w:tcBorders>
              <w:top w:val="nil"/>
              <w:left w:val="nil"/>
              <w:bottom w:val="nil"/>
              <w:right w:val="nil"/>
            </w:tcBorders>
            <w:shd w:val="clear" w:color="auto" w:fill="auto"/>
          </w:tcPr>
          <w:p w14:paraId="5B10CA7B" w14:textId="77777777" w:rsidR="00F676D3" w:rsidRPr="00DD2C41" w:rsidRDefault="00F676D3" w:rsidP="00DD2C41">
            <w:pPr>
              <w:spacing w:after="0" w:line="240" w:lineRule="auto"/>
              <w:jc w:val="center"/>
              <w:rPr>
                <w:color w:val="000000"/>
                <w:sz w:val="24"/>
                <w:szCs w:val="24"/>
                <w:lang w:val="en-US"/>
              </w:rPr>
            </w:pPr>
            <w:r w:rsidRPr="00DD2C41">
              <w:rPr>
                <w:sz w:val="24"/>
                <w:szCs w:val="24"/>
              </w:rPr>
              <w:t>47.741</w:t>
            </w:r>
          </w:p>
        </w:tc>
        <w:tc>
          <w:tcPr>
            <w:tcW w:w="1007" w:type="dxa"/>
            <w:tcBorders>
              <w:top w:val="nil"/>
              <w:left w:val="nil"/>
              <w:bottom w:val="nil"/>
              <w:right w:val="single" w:sz="4" w:space="0" w:color="auto"/>
            </w:tcBorders>
            <w:shd w:val="clear" w:color="auto" w:fill="auto"/>
          </w:tcPr>
          <w:p w14:paraId="2E34A50E"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34ACD1CB" w14:textId="77777777" w:rsidR="00F676D3" w:rsidRPr="00DD2C41" w:rsidRDefault="00F676D3" w:rsidP="00DD2C41">
            <w:pPr>
              <w:spacing w:after="0" w:line="240" w:lineRule="auto"/>
              <w:jc w:val="center"/>
              <w:rPr>
                <w:sz w:val="24"/>
                <w:szCs w:val="24"/>
              </w:rPr>
            </w:pPr>
            <w:r w:rsidRPr="00DD2C41">
              <w:rPr>
                <w:sz w:val="24"/>
                <w:szCs w:val="24"/>
              </w:rPr>
              <w:t>2.150</w:t>
            </w:r>
          </w:p>
        </w:tc>
        <w:tc>
          <w:tcPr>
            <w:tcW w:w="993" w:type="dxa"/>
            <w:tcBorders>
              <w:top w:val="nil"/>
              <w:left w:val="nil"/>
              <w:bottom w:val="nil"/>
              <w:right w:val="nil"/>
            </w:tcBorders>
            <w:shd w:val="clear" w:color="auto" w:fill="auto"/>
          </w:tcPr>
          <w:p w14:paraId="64F92C10" w14:textId="77777777" w:rsidR="00F676D3" w:rsidRPr="00DD2C41" w:rsidRDefault="00F676D3" w:rsidP="00DD2C41">
            <w:pPr>
              <w:spacing w:after="0" w:line="240" w:lineRule="auto"/>
              <w:jc w:val="center"/>
              <w:rPr>
                <w:sz w:val="24"/>
                <w:szCs w:val="24"/>
              </w:rPr>
            </w:pPr>
            <w:r w:rsidRPr="00DD2C41">
              <w:rPr>
                <w:sz w:val="24"/>
                <w:szCs w:val="24"/>
              </w:rPr>
              <w:t>1.783</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461C616A" w14:textId="77777777" w:rsidR="00F676D3" w:rsidRPr="00DD2C41" w:rsidRDefault="00F676D3" w:rsidP="00DD2C41">
            <w:pPr>
              <w:spacing w:after="0" w:line="240" w:lineRule="auto"/>
              <w:jc w:val="center"/>
              <w:rPr>
                <w:sz w:val="24"/>
                <w:szCs w:val="24"/>
              </w:rPr>
            </w:pPr>
            <w:r w:rsidRPr="00DD2C41">
              <w:rPr>
                <w:sz w:val="24"/>
                <w:szCs w:val="24"/>
              </w:rPr>
              <w:t>20.663</w:t>
            </w:r>
          </w:p>
        </w:tc>
        <w:tc>
          <w:tcPr>
            <w:tcW w:w="992" w:type="dxa"/>
            <w:tcBorders>
              <w:top w:val="nil"/>
              <w:left w:val="nil"/>
              <w:bottom w:val="nil"/>
              <w:right w:val="nil"/>
            </w:tcBorders>
            <w:shd w:val="clear" w:color="auto" w:fill="auto"/>
          </w:tcPr>
          <w:p w14:paraId="49D20629"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47083C60" w14:textId="77777777" w:rsidTr="00DD2C41">
        <w:tc>
          <w:tcPr>
            <w:tcW w:w="1641" w:type="dxa"/>
            <w:tcBorders>
              <w:top w:val="nil"/>
              <w:left w:val="nil"/>
              <w:bottom w:val="nil"/>
              <w:right w:val="nil"/>
            </w:tcBorders>
            <w:shd w:val="clear" w:color="auto" w:fill="auto"/>
          </w:tcPr>
          <w:p w14:paraId="4037C40E"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Posterior right</w:t>
            </w:r>
          </w:p>
        </w:tc>
        <w:tc>
          <w:tcPr>
            <w:tcW w:w="876" w:type="dxa"/>
            <w:tcBorders>
              <w:top w:val="nil"/>
              <w:left w:val="nil"/>
              <w:bottom w:val="nil"/>
              <w:right w:val="nil"/>
            </w:tcBorders>
            <w:shd w:val="clear" w:color="auto" w:fill="auto"/>
          </w:tcPr>
          <w:p w14:paraId="36693503" w14:textId="77777777" w:rsidR="00F676D3" w:rsidRPr="00DD2C41" w:rsidRDefault="00F676D3" w:rsidP="00DD2C41">
            <w:pPr>
              <w:spacing w:after="0" w:line="240" w:lineRule="auto"/>
              <w:jc w:val="center"/>
              <w:rPr>
                <w:color w:val="000000"/>
                <w:sz w:val="24"/>
                <w:szCs w:val="24"/>
                <w:lang w:val="en-US"/>
              </w:rPr>
            </w:pPr>
            <w:r w:rsidRPr="00DD2C41">
              <w:rPr>
                <w:sz w:val="24"/>
                <w:szCs w:val="24"/>
              </w:rPr>
              <w:t>9.539</w:t>
            </w:r>
          </w:p>
        </w:tc>
        <w:tc>
          <w:tcPr>
            <w:tcW w:w="917" w:type="dxa"/>
            <w:tcBorders>
              <w:top w:val="nil"/>
              <w:left w:val="nil"/>
              <w:bottom w:val="nil"/>
              <w:right w:val="nil"/>
            </w:tcBorders>
            <w:shd w:val="clear" w:color="auto" w:fill="auto"/>
          </w:tcPr>
          <w:p w14:paraId="7D238B74" w14:textId="77777777" w:rsidR="00F676D3" w:rsidRPr="00DD2C41" w:rsidRDefault="00F676D3" w:rsidP="00DD2C41">
            <w:pPr>
              <w:spacing w:after="0" w:line="240" w:lineRule="auto"/>
              <w:jc w:val="center"/>
              <w:rPr>
                <w:color w:val="000000"/>
                <w:sz w:val="24"/>
                <w:szCs w:val="24"/>
                <w:lang w:val="en-US"/>
              </w:rPr>
            </w:pPr>
            <w:r w:rsidRPr="00DD2C41">
              <w:rPr>
                <w:sz w:val="24"/>
                <w:szCs w:val="24"/>
              </w:rPr>
              <w:t>1.481</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57A9D966" w14:textId="77777777" w:rsidR="00F676D3" w:rsidRPr="00DD2C41" w:rsidRDefault="00F676D3" w:rsidP="00DD2C41">
            <w:pPr>
              <w:spacing w:after="0" w:line="240" w:lineRule="auto"/>
              <w:jc w:val="center"/>
              <w:rPr>
                <w:color w:val="000000"/>
                <w:sz w:val="24"/>
                <w:szCs w:val="24"/>
                <w:lang w:val="en-US"/>
              </w:rPr>
            </w:pPr>
            <w:r w:rsidRPr="00DD2C41">
              <w:rPr>
                <w:sz w:val="24"/>
                <w:szCs w:val="24"/>
              </w:rPr>
              <w:t>34.061</w:t>
            </w:r>
          </w:p>
        </w:tc>
        <w:tc>
          <w:tcPr>
            <w:tcW w:w="1007" w:type="dxa"/>
            <w:tcBorders>
              <w:top w:val="nil"/>
              <w:left w:val="nil"/>
              <w:bottom w:val="nil"/>
              <w:right w:val="single" w:sz="4" w:space="0" w:color="auto"/>
            </w:tcBorders>
            <w:shd w:val="clear" w:color="auto" w:fill="auto"/>
          </w:tcPr>
          <w:p w14:paraId="2A060C6D"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45177A6E" w14:textId="77777777" w:rsidR="00F676D3" w:rsidRPr="00DD2C41" w:rsidRDefault="00F676D3" w:rsidP="00DD2C41">
            <w:pPr>
              <w:spacing w:after="0" w:line="240" w:lineRule="auto"/>
              <w:jc w:val="center"/>
              <w:rPr>
                <w:sz w:val="24"/>
                <w:szCs w:val="24"/>
              </w:rPr>
            </w:pPr>
            <w:r w:rsidRPr="00DD2C41">
              <w:rPr>
                <w:sz w:val="24"/>
                <w:szCs w:val="24"/>
              </w:rPr>
              <w:t>2.577</w:t>
            </w:r>
          </w:p>
        </w:tc>
        <w:tc>
          <w:tcPr>
            <w:tcW w:w="993" w:type="dxa"/>
            <w:tcBorders>
              <w:top w:val="nil"/>
              <w:left w:val="nil"/>
              <w:bottom w:val="nil"/>
              <w:right w:val="nil"/>
            </w:tcBorders>
            <w:shd w:val="clear" w:color="auto" w:fill="auto"/>
          </w:tcPr>
          <w:p w14:paraId="30C096B8" w14:textId="77777777" w:rsidR="00F676D3" w:rsidRPr="00DD2C41" w:rsidRDefault="00F676D3" w:rsidP="00DD2C41">
            <w:pPr>
              <w:spacing w:after="0" w:line="240" w:lineRule="auto"/>
              <w:jc w:val="center"/>
              <w:rPr>
                <w:sz w:val="24"/>
                <w:szCs w:val="24"/>
              </w:rPr>
            </w:pPr>
            <w:r w:rsidRPr="00DD2C41">
              <w:rPr>
                <w:sz w:val="24"/>
                <w:szCs w:val="24"/>
              </w:rPr>
              <w:t>1.758</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6762D2A1" w14:textId="77777777" w:rsidR="00F676D3" w:rsidRPr="00DD2C41" w:rsidRDefault="00F676D3" w:rsidP="00DD2C41">
            <w:pPr>
              <w:spacing w:after="0" w:line="240" w:lineRule="auto"/>
              <w:jc w:val="center"/>
              <w:rPr>
                <w:sz w:val="24"/>
                <w:szCs w:val="24"/>
              </w:rPr>
            </w:pPr>
            <w:r w:rsidRPr="00DD2C41">
              <w:rPr>
                <w:sz w:val="24"/>
                <w:szCs w:val="24"/>
              </w:rPr>
              <w:t>25.514</w:t>
            </w:r>
          </w:p>
        </w:tc>
        <w:tc>
          <w:tcPr>
            <w:tcW w:w="992" w:type="dxa"/>
            <w:tcBorders>
              <w:top w:val="nil"/>
              <w:left w:val="nil"/>
              <w:bottom w:val="nil"/>
              <w:right w:val="nil"/>
            </w:tcBorders>
            <w:shd w:val="clear" w:color="auto" w:fill="auto"/>
          </w:tcPr>
          <w:p w14:paraId="553756C2"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2D96539E" w14:textId="77777777" w:rsidTr="00DD2C41">
        <w:tc>
          <w:tcPr>
            <w:tcW w:w="1641" w:type="dxa"/>
            <w:tcBorders>
              <w:top w:val="nil"/>
              <w:left w:val="nil"/>
              <w:bottom w:val="nil"/>
              <w:right w:val="nil"/>
            </w:tcBorders>
            <w:shd w:val="clear" w:color="auto" w:fill="auto"/>
          </w:tcPr>
          <w:p w14:paraId="2200F7EF"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Central left</w:t>
            </w:r>
          </w:p>
        </w:tc>
        <w:tc>
          <w:tcPr>
            <w:tcW w:w="876" w:type="dxa"/>
            <w:tcBorders>
              <w:top w:val="nil"/>
              <w:left w:val="nil"/>
              <w:bottom w:val="nil"/>
              <w:right w:val="nil"/>
            </w:tcBorders>
            <w:shd w:val="clear" w:color="auto" w:fill="auto"/>
          </w:tcPr>
          <w:p w14:paraId="1A344320" w14:textId="77777777" w:rsidR="00F676D3" w:rsidRPr="00DD2C41" w:rsidRDefault="00F676D3" w:rsidP="00DD2C41">
            <w:pPr>
              <w:spacing w:after="0" w:line="240" w:lineRule="auto"/>
              <w:jc w:val="center"/>
              <w:rPr>
                <w:color w:val="000000"/>
                <w:sz w:val="24"/>
                <w:szCs w:val="24"/>
                <w:lang w:val="en-US"/>
              </w:rPr>
            </w:pPr>
            <w:r w:rsidRPr="00DD2C41">
              <w:rPr>
                <w:sz w:val="24"/>
                <w:szCs w:val="24"/>
              </w:rPr>
              <w:t>7.127</w:t>
            </w:r>
          </w:p>
        </w:tc>
        <w:tc>
          <w:tcPr>
            <w:tcW w:w="917" w:type="dxa"/>
            <w:tcBorders>
              <w:top w:val="nil"/>
              <w:left w:val="nil"/>
              <w:bottom w:val="nil"/>
              <w:right w:val="nil"/>
            </w:tcBorders>
            <w:shd w:val="clear" w:color="auto" w:fill="auto"/>
          </w:tcPr>
          <w:p w14:paraId="61FFD80C" w14:textId="77777777" w:rsidR="00F676D3" w:rsidRPr="00DD2C41" w:rsidRDefault="00F676D3" w:rsidP="00DD2C41">
            <w:pPr>
              <w:spacing w:after="0" w:line="240" w:lineRule="auto"/>
              <w:jc w:val="center"/>
              <w:rPr>
                <w:color w:val="000000"/>
                <w:sz w:val="24"/>
                <w:szCs w:val="24"/>
                <w:lang w:val="en-US"/>
              </w:rPr>
            </w:pPr>
            <w:r w:rsidRPr="00DD2C41">
              <w:rPr>
                <w:sz w:val="24"/>
                <w:szCs w:val="24"/>
              </w:rPr>
              <w:t>1.375</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2F1031C2" w14:textId="77777777" w:rsidR="00F676D3" w:rsidRPr="00DD2C41" w:rsidRDefault="00F676D3" w:rsidP="00DD2C41">
            <w:pPr>
              <w:spacing w:after="0" w:line="240" w:lineRule="auto"/>
              <w:jc w:val="center"/>
              <w:rPr>
                <w:color w:val="000000"/>
                <w:sz w:val="24"/>
                <w:szCs w:val="24"/>
                <w:lang w:val="en-US"/>
              </w:rPr>
            </w:pPr>
            <w:r w:rsidRPr="00DD2C41">
              <w:rPr>
                <w:sz w:val="24"/>
                <w:szCs w:val="24"/>
              </w:rPr>
              <w:t>23.815</w:t>
            </w:r>
          </w:p>
        </w:tc>
        <w:tc>
          <w:tcPr>
            <w:tcW w:w="1007" w:type="dxa"/>
            <w:tcBorders>
              <w:top w:val="nil"/>
              <w:left w:val="nil"/>
              <w:bottom w:val="nil"/>
              <w:right w:val="single" w:sz="4" w:space="0" w:color="auto"/>
            </w:tcBorders>
            <w:shd w:val="clear" w:color="auto" w:fill="auto"/>
          </w:tcPr>
          <w:p w14:paraId="1B519A73"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bottom w:val="nil"/>
              <w:right w:val="nil"/>
            </w:tcBorders>
            <w:shd w:val="clear" w:color="auto" w:fill="auto"/>
          </w:tcPr>
          <w:p w14:paraId="249EDF62" w14:textId="77777777" w:rsidR="00F676D3" w:rsidRPr="00DD2C41" w:rsidRDefault="00F676D3" w:rsidP="00DD2C41">
            <w:pPr>
              <w:spacing w:after="0" w:line="240" w:lineRule="auto"/>
              <w:jc w:val="center"/>
              <w:rPr>
                <w:sz w:val="24"/>
                <w:szCs w:val="24"/>
              </w:rPr>
            </w:pPr>
            <w:r w:rsidRPr="00DD2C41">
              <w:rPr>
                <w:sz w:val="24"/>
                <w:szCs w:val="24"/>
              </w:rPr>
              <w:t>0.750</w:t>
            </w:r>
          </w:p>
        </w:tc>
        <w:tc>
          <w:tcPr>
            <w:tcW w:w="993" w:type="dxa"/>
            <w:tcBorders>
              <w:top w:val="nil"/>
              <w:left w:val="nil"/>
              <w:bottom w:val="nil"/>
              <w:right w:val="nil"/>
            </w:tcBorders>
            <w:shd w:val="clear" w:color="auto" w:fill="auto"/>
          </w:tcPr>
          <w:p w14:paraId="7DEC6F84" w14:textId="77777777" w:rsidR="00F676D3" w:rsidRPr="00DD2C41" w:rsidRDefault="00F676D3" w:rsidP="00DD2C41">
            <w:pPr>
              <w:spacing w:after="0" w:line="240" w:lineRule="auto"/>
              <w:jc w:val="center"/>
              <w:rPr>
                <w:sz w:val="24"/>
                <w:szCs w:val="24"/>
              </w:rPr>
            </w:pPr>
            <w:r w:rsidRPr="00DD2C41">
              <w:rPr>
                <w:sz w:val="24"/>
                <w:szCs w:val="24"/>
              </w:rPr>
              <w:t>4</w:t>
            </w:r>
          </w:p>
        </w:tc>
        <w:tc>
          <w:tcPr>
            <w:tcW w:w="992" w:type="dxa"/>
            <w:tcBorders>
              <w:top w:val="nil"/>
              <w:left w:val="nil"/>
              <w:bottom w:val="nil"/>
              <w:right w:val="nil"/>
            </w:tcBorders>
            <w:shd w:val="clear" w:color="auto" w:fill="auto"/>
          </w:tcPr>
          <w:p w14:paraId="727F0EA4" w14:textId="77777777" w:rsidR="00F676D3" w:rsidRPr="00DD2C41" w:rsidRDefault="00F676D3" w:rsidP="00DD2C41">
            <w:pPr>
              <w:spacing w:after="0" w:line="240" w:lineRule="auto"/>
              <w:jc w:val="center"/>
              <w:rPr>
                <w:sz w:val="24"/>
                <w:szCs w:val="24"/>
              </w:rPr>
            </w:pPr>
            <w:r w:rsidRPr="00DD2C41">
              <w:rPr>
                <w:sz w:val="24"/>
                <w:szCs w:val="24"/>
              </w:rPr>
              <w:t>31.278</w:t>
            </w:r>
          </w:p>
        </w:tc>
        <w:tc>
          <w:tcPr>
            <w:tcW w:w="992" w:type="dxa"/>
            <w:tcBorders>
              <w:top w:val="nil"/>
              <w:left w:val="nil"/>
              <w:bottom w:val="nil"/>
              <w:right w:val="nil"/>
            </w:tcBorders>
            <w:shd w:val="clear" w:color="auto" w:fill="auto"/>
          </w:tcPr>
          <w:p w14:paraId="0F6194CE"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7A91CA6C" w14:textId="77777777" w:rsidTr="00DD2C41">
        <w:tc>
          <w:tcPr>
            <w:tcW w:w="1641" w:type="dxa"/>
            <w:tcBorders>
              <w:top w:val="nil"/>
              <w:left w:val="nil"/>
              <w:bottom w:val="nil"/>
              <w:right w:val="nil"/>
            </w:tcBorders>
            <w:shd w:val="clear" w:color="auto" w:fill="auto"/>
          </w:tcPr>
          <w:p w14:paraId="7B129163" w14:textId="77777777" w:rsidR="00F676D3" w:rsidRPr="00DD2C41" w:rsidRDefault="00F676D3" w:rsidP="00DD2C41">
            <w:pPr>
              <w:spacing w:after="0" w:line="240" w:lineRule="auto"/>
              <w:rPr>
                <w:color w:val="000000"/>
                <w:sz w:val="24"/>
                <w:szCs w:val="24"/>
                <w:lang w:val="en-US"/>
              </w:rPr>
            </w:pPr>
            <w:r w:rsidRPr="00DD2C41">
              <w:rPr>
                <w:color w:val="000000"/>
                <w:sz w:val="24"/>
                <w:szCs w:val="24"/>
                <w:lang w:val="en-US"/>
              </w:rPr>
              <w:t>Central right</w:t>
            </w:r>
          </w:p>
        </w:tc>
        <w:tc>
          <w:tcPr>
            <w:tcW w:w="876" w:type="dxa"/>
            <w:tcBorders>
              <w:top w:val="nil"/>
              <w:left w:val="nil"/>
              <w:bottom w:val="nil"/>
              <w:right w:val="nil"/>
            </w:tcBorders>
            <w:shd w:val="clear" w:color="auto" w:fill="auto"/>
          </w:tcPr>
          <w:p w14:paraId="12607DA0" w14:textId="77777777" w:rsidR="00F676D3" w:rsidRPr="00DD2C41" w:rsidRDefault="00F676D3" w:rsidP="00DD2C41">
            <w:pPr>
              <w:spacing w:after="0" w:line="240" w:lineRule="auto"/>
              <w:jc w:val="center"/>
              <w:rPr>
                <w:color w:val="000000"/>
                <w:sz w:val="24"/>
                <w:szCs w:val="24"/>
                <w:lang w:val="en-US"/>
              </w:rPr>
            </w:pPr>
            <w:r w:rsidRPr="00DD2C41">
              <w:rPr>
                <w:sz w:val="24"/>
                <w:szCs w:val="24"/>
              </w:rPr>
              <w:t>9.884</w:t>
            </w:r>
          </w:p>
        </w:tc>
        <w:tc>
          <w:tcPr>
            <w:tcW w:w="917" w:type="dxa"/>
            <w:tcBorders>
              <w:top w:val="nil"/>
              <w:left w:val="nil"/>
              <w:bottom w:val="nil"/>
              <w:right w:val="nil"/>
            </w:tcBorders>
            <w:shd w:val="clear" w:color="auto" w:fill="auto"/>
          </w:tcPr>
          <w:p w14:paraId="1AC023F1" w14:textId="77777777" w:rsidR="00F676D3" w:rsidRPr="00DD2C41" w:rsidRDefault="00F676D3" w:rsidP="00DD2C41">
            <w:pPr>
              <w:spacing w:after="0" w:line="240" w:lineRule="auto"/>
              <w:jc w:val="center"/>
              <w:rPr>
                <w:color w:val="000000"/>
                <w:sz w:val="24"/>
                <w:szCs w:val="24"/>
                <w:lang w:val="en-US"/>
              </w:rPr>
            </w:pPr>
            <w:r w:rsidRPr="00DD2C41">
              <w:rPr>
                <w:sz w:val="24"/>
                <w:szCs w:val="24"/>
              </w:rPr>
              <w:t>1.350</w:t>
            </w:r>
            <w:r w:rsidRPr="00DD2C41">
              <w:rPr>
                <w:color w:val="000000"/>
                <w:sz w:val="24"/>
                <w:szCs w:val="24"/>
                <w:vertAlign w:val="superscript"/>
                <w:lang w:val="en-US"/>
              </w:rPr>
              <w:t xml:space="preserve"> G</w:t>
            </w:r>
          </w:p>
        </w:tc>
        <w:tc>
          <w:tcPr>
            <w:tcW w:w="946" w:type="dxa"/>
            <w:tcBorders>
              <w:top w:val="nil"/>
              <w:left w:val="nil"/>
              <w:bottom w:val="nil"/>
              <w:right w:val="nil"/>
            </w:tcBorders>
            <w:shd w:val="clear" w:color="auto" w:fill="auto"/>
          </w:tcPr>
          <w:p w14:paraId="582F8C99" w14:textId="77777777" w:rsidR="00F676D3" w:rsidRPr="00DD2C41" w:rsidRDefault="00F676D3" w:rsidP="00DD2C41">
            <w:pPr>
              <w:spacing w:after="0" w:line="240" w:lineRule="auto"/>
              <w:jc w:val="center"/>
              <w:rPr>
                <w:color w:val="000000"/>
                <w:sz w:val="24"/>
                <w:szCs w:val="24"/>
                <w:lang w:val="en-US"/>
              </w:rPr>
            </w:pPr>
            <w:r w:rsidRPr="00DD2C41">
              <w:rPr>
                <w:sz w:val="24"/>
                <w:szCs w:val="24"/>
              </w:rPr>
              <w:t>16.765</w:t>
            </w:r>
          </w:p>
        </w:tc>
        <w:tc>
          <w:tcPr>
            <w:tcW w:w="1007" w:type="dxa"/>
            <w:tcBorders>
              <w:top w:val="nil"/>
              <w:left w:val="nil"/>
              <w:bottom w:val="nil"/>
              <w:right w:val="single" w:sz="4" w:space="0" w:color="auto"/>
            </w:tcBorders>
            <w:shd w:val="clear" w:color="auto" w:fill="auto"/>
          </w:tcPr>
          <w:p w14:paraId="33319E54" w14:textId="77777777" w:rsidR="00F676D3" w:rsidRPr="00DD2C41" w:rsidRDefault="00F676D3" w:rsidP="00DD2C41">
            <w:pPr>
              <w:spacing w:after="0" w:line="240" w:lineRule="auto"/>
              <w:jc w:val="center"/>
              <w:rPr>
                <w:color w:val="000000"/>
                <w:sz w:val="24"/>
                <w:szCs w:val="24"/>
                <w:lang w:val="en-US"/>
              </w:rPr>
            </w:pPr>
            <w:r w:rsidRPr="00DD2C41">
              <w:rPr>
                <w:sz w:val="24"/>
                <w:szCs w:val="24"/>
              </w:rPr>
              <w:t>0.001</w:t>
            </w:r>
          </w:p>
        </w:tc>
        <w:tc>
          <w:tcPr>
            <w:tcW w:w="850" w:type="dxa"/>
            <w:tcBorders>
              <w:top w:val="nil"/>
              <w:left w:val="single" w:sz="4" w:space="0" w:color="auto"/>
              <w:bottom w:val="nil"/>
              <w:right w:val="nil"/>
            </w:tcBorders>
            <w:shd w:val="clear" w:color="auto" w:fill="auto"/>
          </w:tcPr>
          <w:p w14:paraId="1193C0B4" w14:textId="77777777" w:rsidR="00F676D3" w:rsidRPr="00DD2C41" w:rsidRDefault="00F676D3" w:rsidP="00DD2C41">
            <w:pPr>
              <w:spacing w:after="0" w:line="240" w:lineRule="auto"/>
              <w:jc w:val="center"/>
              <w:rPr>
                <w:sz w:val="24"/>
                <w:szCs w:val="24"/>
              </w:rPr>
            </w:pPr>
            <w:r w:rsidRPr="00DD2C41">
              <w:rPr>
                <w:sz w:val="24"/>
                <w:szCs w:val="24"/>
              </w:rPr>
              <w:t>1.468</w:t>
            </w:r>
          </w:p>
        </w:tc>
        <w:tc>
          <w:tcPr>
            <w:tcW w:w="993" w:type="dxa"/>
            <w:tcBorders>
              <w:top w:val="nil"/>
              <w:left w:val="nil"/>
              <w:bottom w:val="nil"/>
              <w:right w:val="nil"/>
            </w:tcBorders>
            <w:shd w:val="clear" w:color="auto" w:fill="auto"/>
          </w:tcPr>
          <w:p w14:paraId="6C54781A" w14:textId="77777777" w:rsidR="00F676D3" w:rsidRPr="00DD2C41" w:rsidRDefault="00F676D3" w:rsidP="00DD2C41">
            <w:pPr>
              <w:spacing w:after="0" w:line="240" w:lineRule="auto"/>
              <w:jc w:val="center"/>
              <w:rPr>
                <w:sz w:val="24"/>
                <w:szCs w:val="24"/>
              </w:rPr>
            </w:pPr>
            <w:r w:rsidRPr="00DD2C41">
              <w:rPr>
                <w:sz w:val="24"/>
                <w:szCs w:val="24"/>
              </w:rPr>
              <w:t>1.537</w:t>
            </w:r>
            <w:r w:rsidRPr="00DD2C41">
              <w:rPr>
                <w:color w:val="000000"/>
                <w:sz w:val="24"/>
                <w:szCs w:val="24"/>
                <w:vertAlign w:val="superscript"/>
                <w:lang w:val="en-US"/>
              </w:rPr>
              <w:t xml:space="preserve"> G</w:t>
            </w:r>
          </w:p>
        </w:tc>
        <w:tc>
          <w:tcPr>
            <w:tcW w:w="992" w:type="dxa"/>
            <w:tcBorders>
              <w:top w:val="nil"/>
              <w:left w:val="nil"/>
              <w:bottom w:val="nil"/>
              <w:right w:val="nil"/>
            </w:tcBorders>
            <w:shd w:val="clear" w:color="auto" w:fill="auto"/>
          </w:tcPr>
          <w:p w14:paraId="7F907EEB" w14:textId="77777777" w:rsidR="00F676D3" w:rsidRPr="00DD2C41" w:rsidRDefault="00F676D3" w:rsidP="00DD2C41">
            <w:pPr>
              <w:spacing w:after="0" w:line="240" w:lineRule="auto"/>
              <w:jc w:val="center"/>
              <w:rPr>
                <w:sz w:val="24"/>
                <w:szCs w:val="24"/>
              </w:rPr>
            </w:pPr>
            <w:r w:rsidRPr="00DD2C41">
              <w:rPr>
                <w:sz w:val="24"/>
                <w:szCs w:val="24"/>
              </w:rPr>
              <w:t>17.648</w:t>
            </w:r>
          </w:p>
        </w:tc>
        <w:tc>
          <w:tcPr>
            <w:tcW w:w="992" w:type="dxa"/>
            <w:tcBorders>
              <w:top w:val="nil"/>
              <w:left w:val="nil"/>
              <w:bottom w:val="nil"/>
              <w:right w:val="nil"/>
            </w:tcBorders>
            <w:shd w:val="clear" w:color="auto" w:fill="auto"/>
          </w:tcPr>
          <w:p w14:paraId="6561F8C7" w14:textId="77777777" w:rsidR="00F676D3" w:rsidRPr="00DD2C41" w:rsidRDefault="00F676D3" w:rsidP="00DD2C41">
            <w:pPr>
              <w:spacing w:after="0" w:line="240" w:lineRule="auto"/>
              <w:jc w:val="center"/>
              <w:rPr>
                <w:sz w:val="24"/>
                <w:szCs w:val="24"/>
              </w:rPr>
            </w:pPr>
            <w:r w:rsidRPr="00DD2C41">
              <w:rPr>
                <w:sz w:val="24"/>
                <w:szCs w:val="24"/>
              </w:rPr>
              <w:t>&lt; 0.001</w:t>
            </w:r>
          </w:p>
        </w:tc>
      </w:tr>
      <w:tr w:rsidR="00B4526F" w:rsidRPr="00DD2C41" w14:paraId="197B53FC" w14:textId="77777777" w:rsidTr="00DD2C41">
        <w:tc>
          <w:tcPr>
            <w:tcW w:w="1641" w:type="dxa"/>
            <w:tcBorders>
              <w:top w:val="nil"/>
              <w:left w:val="nil"/>
              <w:right w:val="nil"/>
            </w:tcBorders>
            <w:shd w:val="clear" w:color="auto" w:fill="auto"/>
          </w:tcPr>
          <w:p w14:paraId="460F9329" w14:textId="50DCD94A" w:rsidR="00F676D3" w:rsidRPr="00DD2C41" w:rsidRDefault="00F676D3" w:rsidP="00DD2C41">
            <w:pPr>
              <w:spacing w:after="0" w:line="240" w:lineRule="auto"/>
              <w:rPr>
                <w:color w:val="000000"/>
                <w:sz w:val="24"/>
                <w:szCs w:val="24"/>
                <w:lang w:val="en-US"/>
              </w:rPr>
            </w:pPr>
            <w:r w:rsidRPr="00DD2C41">
              <w:rPr>
                <w:color w:val="000000"/>
                <w:sz w:val="24"/>
                <w:szCs w:val="24"/>
                <w:lang w:val="en-US"/>
              </w:rPr>
              <w:t>Parieto</w:t>
            </w:r>
            <w:r w:rsidR="00C56E77" w:rsidRPr="00DD2C41">
              <w:rPr>
                <w:color w:val="000000"/>
                <w:sz w:val="24"/>
                <w:szCs w:val="24"/>
                <w:lang w:val="en-US"/>
              </w:rPr>
              <w:t>-</w:t>
            </w:r>
            <w:r w:rsidRPr="00DD2C41">
              <w:rPr>
                <w:color w:val="000000"/>
                <w:sz w:val="24"/>
                <w:szCs w:val="24"/>
                <w:lang w:val="en-US"/>
              </w:rPr>
              <w:t>Occipital</w:t>
            </w:r>
          </w:p>
        </w:tc>
        <w:tc>
          <w:tcPr>
            <w:tcW w:w="876" w:type="dxa"/>
            <w:tcBorders>
              <w:top w:val="nil"/>
              <w:left w:val="nil"/>
              <w:right w:val="nil"/>
            </w:tcBorders>
            <w:shd w:val="clear" w:color="auto" w:fill="auto"/>
          </w:tcPr>
          <w:p w14:paraId="5E8D6488" w14:textId="77777777" w:rsidR="00F676D3" w:rsidRPr="00DD2C41" w:rsidRDefault="00F676D3" w:rsidP="00DD2C41">
            <w:pPr>
              <w:spacing w:after="0" w:line="240" w:lineRule="auto"/>
              <w:jc w:val="center"/>
              <w:rPr>
                <w:color w:val="000000"/>
                <w:sz w:val="24"/>
                <w:szCs w:val="24"/>
                <w:lang w:val="en-US"/>
              </w:rPr>
            </w:pPr>
            <w:r w:rsidRPr="00DD2C41">
              <w:rPr>
                <w:sz w:val="24"/>
                <w:szCs w:val="24"/>
              </w:rPr>
              <w:t>9.750</w:t>
            </w:r>
          </w:p>
        </w:tc>
        <w:tc>
          <w:tcPr>
            <w:tcW w:w="917" w:type="dxa"/>
            <w:tcBorders>
              <w:top w:val="nil"/>
              <w:left w:val="nil"/>
              <w:right w:val="nil"/>
            </w:tcBorders>
            <w:shd w:val="clear" w:color="auto" w:fill="auto"/>
          </w:tcPr>
          <w:p w14:paraId="7156B109" w14:textId="77777777" w:rsidR="00F676D3" w:rsidRPr="00DD2C41" w:rsidRDefault="00F676D3" w:rsidP="00DD2C41">
            <w:pPr>
              <w:spacing w:after="0" w:line="240" w:lineRule="auto"/>
              <w:jc w:val="center"/>
              <w:rPr>
                <w:color w:val="000000"/>
                <w:sz w:val="24"/>
                <w:szCs w:val="24"/>
                <w:lang w:val="en-US"/>
              </w:rPr>
            </w:pPr>
            <w:r w:rsidRPr="00DD2C41">
              <w:rPr>
                <w:sz w:val="24"/>
                <w:szCs w:val="24"/>
              </w:rPr>
              <w:t>4</w:t>
            </w:r>
          </w:p>
        </w:tc>
        <w:tc>
          <w:tcPr>
            <w:tcW w:w="946" w:type="dxa"/>
            <w:tcBorders>
              <w:top w:val="nil"/>
              <w:left w:val="nil"/>
              <w:right w:val="nil"/>
            </w:tcBorders>
            <w:shd w:val="clear" w:color="auto" w:fill="auto"/>
          </w:tcPr>
          <w:p w14:paraId="25D29B3C" w14:textId="77777777" w:rsidR="00F676D3" w:rsidRPr="00DD2C41" w:rsidRDefault="00F676D3" w:rsidP="00DD2C41">
            <w:pPr>
              <w:spacing w:after="0" w:line="240" w:lineRule="auto"/>
              <w:jc w:val="center"/>
              <w:rPr>
                <w:color w:val="000000"/>
                <w:sz w:val="24"/>
                <w:szCs w:val="24"/>
                <w:lang w:val="en-US"/>
              </w:rPr>
            </w:pPr>
            <w:r w:rsidRPr="00DD2C41">
              <w:rPr>
                <w:sz w:val="24"/>
                <w:szCs w:val="24"/>
              </w:rPr>
              <w:t>38.333</w:t>
            </w:r>
          </w:p>
        </w:tc>
        <w:tc>
          <w:tcPr>
            <w:tcW w:w="1007" w:type="dxa"/>
            <w:tcBorders>
              <w:top w:val="nil"/>
              <w:left w:val="nil"/>
              <w:right w:val="single" w:sz="4" w:space="0" w:color="auto"/>
            </w:tcBorders>
            <w:shd w:val="clear" w:color="auto" w:fill="auto"/>
          </w:tcPr>
          <w:p w14:paraId="1B9A151B" w14:textId="77777777" w:rsidR="00F676D3" w:rsidRPr="00DD2C41" w:rsidRDefault="00F676D3" w:rsidP="00DD2C41">
            <w:pPr>
              <w:spacing w:after="0" w:line="240" w:lineRule="auto"/>
              <w:jc w:val="center"/>
              <w:rPr>
                <w:color w:val="000000"/>
                <w:sz w:val="24"/>
                <w:szCs w:val="24"/>
                <w:lang w:val="en-US"/>
              </w:rPr>
            </w:pPr>
            <w:r w:rsidRPr="00DD2C41">
              <w:rPr>
                <w:sz w:val="24"/>
                <w:szCs w:val="24"/>
              </w:rPr>
              <w:t>&lt; 0.001</w:t>
            </w:r>
          </w:p>
        </w:tc>
        <w:tc>
          <w:tcPr>
            <w:tcW w:w="850" w:type="dxa"/>
            <w:tcBorders>
              <w:top w:val="nil"/>
              <w:left w:val="single" w:sz="4" w:space="0" w:color="auto"/>
              <w:right w:val="nil"/>
            </w:tcBorders>
            <w:shd w:val="clear" w:color="auto" w:fill="auto"/>
          </w:tcPr>
          <w:p w14:paraId="01286B27" w14:textId="77777777" w:rsidR="00F676D3" w:rsidRPr="00DD2C41" w:rsidRDefault="00F676D3" w:rsidP="00DD2C41">
            <w:pPr>
              <w:spacing w:after="0" w:line="240" w:lineRule="auto"/>
              <w:jc w:val="center"/>
              <w:rPr>
                <w:sz w:val="24"/>
                <w:szCs w:val="24"/>
              </w:rPr>
            </w:pPr>
            <w:r w:rsidRPr="00DD2C41">
              <w:rPr>
                <w:sz w:val="24"/>
                <w:szCs w:val="24"/>
              </w:rPr>
              <w:t>5.452</w:t>
            </w:r>
          </w:p>
        </w:tc>
        <w:tc>
          <w:tcPr>
            <w:tcW w:w="993" w:type="dxa"/>
            <w:tcBorders>
              <w:top w:val="nil"/>
              <w:left w:val="nil"/>
              <w:right w:val="nil"/>
            </w:tcBorders>
            <w:shd w:val="clear" w:color="auto" w:fill="auto"/>
          </w:tcPr>
          <w:p w14:paraId="06A36F71" w14:textId="77777777" w:rsidR="00F676D3" w:rsidRPr="00DD2C41" w:rsidRDefault="00F676D3" w:rsidP="00DD2C41">
            <w:pPr>
              <w:spacing w:after="0" w:line="240" w:lineRule="auto"/>
              <w:jc w:val="center"/>
              <w:rPr>
                <w:sz w:val="24"/>
                <w:szCs w:val="24"/>
              </w:rPr>
            </w:pPr>
            <w:r w:rsidRPr="00DD2C41">
              <w:rPr>
                <w:sz w:val="24"/>
                <w:szCs w:val="24"/>
              </w:rPr>
              <w:t>1.528</w:t>
            </w:r>
            <w:r w:rsidRPr="00DD2C41">
              <w:rPr>
                <w:color w:val="000000"/>
                <w:sz w:val="24"/>
                <w:szCs w:val="24"/>
                <w:vertAlign w:val="superscript"/>
                <w:lang w:val="en-US"/>
              </w:rPr>
              <w:t xml:space="preserve"> G</w:t>
            </w:r>
          </w:p>
        </w:tc>
        <w:tc>
          <w:tcPr>
            <w:tcW w:w="992" w:type="dxa"/>
            <w:tcBorders>
              <w:top w:val="nil"/>
              <w:left w:val="nil"/>
              <w:right w:val="nil"/>
            </w:tcBorders>
            <w:shd w:val="clear" w:color="auto" w:fill="auto"/>
          </w:tcPr>
          <w:p w14:paraId="46F70556" w14:textId="77777777" w:rsidR="00F676D3" w:rsidRPr="00DD2C41" w:rsidRDefault="00F676D3" w:rsidP="00DD2C41">
            <w:pPr>
              <w:spacing w:after="0" w:line="240" w:lineRule="auto"/>
              <w:jc w:val="center"/>
              <w:rPr>
                <w:sz w:val="24"/>
                <w:szCs w:val="24"/>
              </w:rPr>
            </w:pPr>
            <w:r w:rsidRPr="00DD2C41">
              <w:rPr>
                <w:sz w:val="24"/>
                <w:szCs w:val="24"/>
              </w:rPr>
              <w:t>21.195</w:t>
            </w:r>
          </w:p>
        </w:tc>
        <w:tc>
          <w:tcPr>
            <w:tcW w:w="992" w:type="dxa"/>
            <w:tcBorders>
              <w:top w:val="nil"/>
              <w:left w:val="nil"/>
              <w:right w:val="nil"/>
            </w:tcBorders>
            <w:shd w:val="clear" w:color="auto" w:fill="auto"/>
          </w:tcPr>
          <w:p w14:paraId="0D949DED" w14:textId="77777777" w:rsidR="00F676D3" w:rsidRPr="00DD2C41" w:rsidRDefault="00F676D3" w:rsidP="00DD2C41">
            <w:pPr>
              <w:spacing w:after="0" w:line="240" w:lineRule="auto"/>
              <w:jc w:val="center"/>
              <w:rPr>
                <w:sz w:val="24"/>
                <w:szCs w:val="24"/>
              </w:rPr>
            </w:pPr>
            <w:r w:rsidRPr="00DD2C41">
              <w:rPr>
                <w:sz w:val="24"/>
                <w:szCs w:val="24"/>
              </w:rPr>
              <w:t>&lt; 0.001</w:t>
            </w:r>
          </w:p>
        </w:tc>
      </w:tr>
    </w:tbl>
    <w:p w14:paraId="2B519795" w14:textId="77777777" w:rsidR="00F676D3" w:rsidRPr="00DD2C41" w:rsidRDefault="00F676D3" w:rsidP="00F676D3">
      <w:pPr>
        <w:spacing w:line="240" w:lineRule="auto"/>
        <w:rPr>
          <w:color w:val="000000"/>
          <w:sz w:val="24"/>
          <w:szCs w:val="24"/>
          <w:lang w:val="en-US"/>
        </w:rPr>
      </w:pPr>
      <w:r w:rsidRPr="00DD2C41">
        <w:rPr>
          <w:color w:val="000000"/>
          <w:sz w:val="24"/>
          <w:szCs w:val="24"/>
          <w:lang w:val="en-US"/>
        </w:rPr>
        <w:t xml:space="preserve">SS = Sum of squares, df = degrees of freedom, </w:t>
      </w:r>
      <w:r w:rsidRPr="00DD2C41">
        <w:rPr>
          <w:color w:val="000000"/>
          <w:sz w:val="24"/>
          <w:szCs w:val="24"/>
          <w:vertAlign w:val="superscript"/>
          <w:lang w:val="en-US"/>
        </w:rPr>
        <w:t>G</w:t>
      </w:r>
      <w:r w:rsidRPr="00DD2C41">
        <w:rPr>
          <w:color w:val="000000"/>
          <w:sz w:val="24"/>
          <w:szCs w:val="24"/>
          <w:lang w:val="en-US"/>
        </w:rPr>
        <w:t xml:space="preserve"> = Greenhouse-</w:t>
      </w:r>
      <w:proofErr w:type="spellStart"/>
      <w:r w:rsidRPr="00DD2C41">
        <w:rPr>
          <w:color w:val="000000"/>
          <w:sz w:val="24"/>
          <w:szCs w:val="24"/>
          <w:lang w:val="en-US"/>
        </w:rPr>
        <w:t>Geisser</w:t>
      </w:r>
      <w:proofErr w:type="spellEnd"/>
      <w:r w:rsidRPr="00DD2C41">
        <w:rPr>
          <w:color w:val="000000"/>
          <w:sz w:val="24"/>
          <w:szCs w:val="24"/>
          <w:lang w:val="en-US"/>
        </w:rPr>
        <w:t xml:space="preserve"> correction</w:t>
      </w:r>
    </w:p>
    <w:p w14:paraId="221F411B" w14:textId="77777777" w:rsidR="00F676D3" w:rsidRPr="00DD2C41" w:rsidRDefault="00F676D3" w:rsidP="00DE2E63">
      <w:pPr>
        <w:spacing w:line="240" w:lineRule="auto"/>
        <w:rPr>
          <w:color w:val="000000"/>
          <w:sz w:val="24"/>
          <w:szCs w:val="24"/>
          <w:lang w:val="en-US"/>
        </w:rPr>
      </w:pPr>
    </w:p>
    <w:p w14:paraId="094767EE" w14:textId="3863807F" w:rsidR="00381AB2" w:rsidRPr="00DD2C41" w:rsidRDefault="008428F3" w:rsidP="00DE2E63">
      <w:pPr>
        <w:spacing w:line="240" w:lineRule="auto"/>
        <w:rPr>
          <w:color w:val="000000"/>
          <w:sz w:val="24"/>
          <w:szCs w:val="24"/>
          <w:lang w:val="en-US"/>
        </w:rPr>
      </w:pPr>
      <w:r w:rsidRPr="00DD2C41">
        <w:rPr>
          <w:color w:val="000000"/>
          <w:sz w:val="24"/>
          <w:szCs w:val="24"/>
          <w:lang w:val="en-US"/>
        </w:rPr>
        <w:t xml:space="preserve">The increments in AP according to the CR level showed a </w:t>
      </w:r>
      <w:r w:rsidR="00AC37A4" w:rsidRPr="00DD2C41">
        <w:rPr>
          <w:color w:val="000000"/>
          <w:sz w:val="24"/>
          <w:szCs w:val="24"/>
          <w:lang w:val="en-US"/>
        </w:rPr>
        <w:t xml:space="preserve">similar </w:t>
      </w:r>
      <w:r w:rsidRPr="00DD2C41">
        <w:rPr>
          <w:color w:val="000000"/>
          <w:sz w:val="24"/>
          <w:szCs w:val="24"/>
          <w:lang w:val="en-US"/>
        </w:rPr>
        <w:t xml:space="preserve">pattern in all the </w:t>
      </w:r>
      <w:r w:rsidR="00FE7E9B" w:rsidRPr="00DD2C41">
        <w:rPr>
          <w:color w:val="000000"/>
          <w:sz w:val="24"/>
          <w:szCs w:val="24"/>
          <w:lang w:val="en-US"/>
        </w:rPr>
        <w:t xml:space="preserve">registered EEG </w:t>
      </w:r>
      <w:r w:rsidRPr="00DD2C41">
        <w:rPr>
          <w:color w:val="000000"/>
          <w:sz w:val="24"/>
          <w:szCs w:val="24"/>
          <w:lang w:val="en-US"/>
        </w:rPr>
        <w:t>areas for the delta and theta bands, in this pattern the low CR group had more AP than the other two groups, however</w:t>
      </w:r>
      <w:r w:rsidR="00FE7E9B" w:rsidRPr="00DD2C41">
        <w:rPr>
          <w:color w:val="000000"/>
          <w:sz w:val="24"/>
          <w:szCs w:val="24"/>
          <w:lang w:val="en-US"/>
        </w:rPr>
        <w:t xml:space="preserve"> </w:t>
      </w:r>
      <w:r w:rsidRPr="00DD2C41">
        <w:rPr>
          <w:color w:val="000000"/>
          <w:sz w:val="24"/>
          <w:szCs w:val="24"/>
          <w:lang w:val="en-US"/>
        </w:rPr>
        <w:t xml:space="preserve">when comparing the </w:t>
      </w:r>
      <w:r w:rsidR="00FE7E9B" w:rsidRPr="00DD2C41">
        <w:rPr>
          <w:color w:val="000000"/>
          <w:sz w:val="24"/>
          <w:szCs w:val="24"/>
          <w:lang w:val="en-US"/>
        </w:rPr>
        <w:t xml:space="preserve">AP </w:t>
      </w:r>
      <w:r w:rsidRPr="00DD2C41">
        <w:rPr>
          <w:color w:val="000000"/>
          <w:sz w:val="24"/>
          <w:szCs w:val="24"/>
          <w:lang w:val="en-US"/>
        </w:rPr>
        <w:t xml:space="preserve">increments from </w:t>
      </w:r>
      <w:r w:rsidR="00AC37A4" w:rsidRPr="00DD2C41">
        <w:rPr>
          <w:color w:val="000000"/>
          <w:sz w:val="24"/>
          <w:szCs w:val="24"/>
          <w:lang w:val="en-US"/>
        </w:rPr>
        <w:t xml:space="preserve">the </w:t>
      </w:r>
      <w:r w:rsidRPr="00DD2C41">
        <w:rPr>
          <w:color w:val="000000"/>
          <w:sz w:val="24"/>
          <w:szCs w:val="24"/>
          <w:lang w:val="en-US"/>
        </w:rPr>
        <w:t>E</w:t>
      </w:r>
      <w:r w:rsidR="002E1D6D" w:rsidRPr="00DD2C41">
        <w:rPr>
          <w:color w:val="000000"/>
          <w:sz w:val="24"/>
          <w:szCs w:val="24"/>
          <w:lang w:val="en-US"/>
        </w:rPr>
        <w:t>O</w:t>
      </w:r>
      <w:r w:rsidRPr="00DD2C41">
        <w:rPr>
          <w:color w:val="000000"/>
          <w:sz w:val="24"/>
          <w:szCs w:val="24"/>
          <w:lang w:val="en-US"/>
        </w:rPr>
        <w:t xml:space="preserve"> condition to each </w:t>
      </w:r>
      <w:r w:rsidR="002E1D6D" w:rsidRPr="00DD2C41">
        <w:rPr>
          <w:color w:val="000000"/>
          <w:sz w:val="24"/>
          <w:szCs w:val="24"/>
          <w:lang w:val="en-US"/>
        </w:rPr>
        <w:t xml:space="preserve">of the </w:t>
      </w:r>
      <w:r w:rsidRPr="00DD2C41">
        <w:rPr>
          <w:color w:val="000000"/>
          <w:sz w:val="24"/>
          <w:szCs w:val="24"/>
          <w:lang w:val="en-US"/>
        </w:rPr>
        <w:t xml:space="preserve">WCST conditions </w:t>
      </w:r>
      <w:r w:rsidR="002E1D6D" w:rsidRPr="00DD2C41">
        <w:rPr>
          <w:color w:val="000000"/>
          <w:sz w:val="24"/>
          <w:szCs w:val="24"/>
          <w:lang w:val="en-US"/>
        </w:rPr>
        <w:t>between groups</w:t>
      </w:r>
      <w:r w:rsidRPr="00DD2C41">
        <w:rPr>
          <w:color w:val="000000"/>
          <w:sz w:val="24"/>
          <w:szCs w:val="24"/>
          <w:lang w:val="en-US"/>
        </w:rPr>
        <w:t xml:space="preserve"> only two </w:t>
      </w:r>
      <w:r w:rsidR="00FE7E9B" w:rsidRPr="00DD2C41">
        <w:rPr>
          <w:color w:val="000000"/>
          <w:sz w:val="24"/>
          <w:szCs w:val="24"/>
          <w:lang w:val="en-US"/>
        </w:rPr>
        <w:t xml:space="preserve">statistical </w:t>
      </w:r>
      <w:r w:rsidRPr="00DD2C41">
        <w:rPr>
          <w:color w:val="000000"/>
          <w:sz w:val="24"/>
          <w:szCs w:val="24"/>
          <w:lang w:val="en-US"/>
        </w:rPr>
        <w:t>differences were found, for the delta band</w:t>
      </w:r>
      <w:r w:rsidR="00FE7E9B" w:rsidRPr="00DD2C41">
        <w:rPr>
          <w:color w:val="000000"/>
          <w:sz w:val="24"/>
          <w:szCs w:val="24"/>
          <w:lang w:val="en-US"/>
        </w:rPr>
        <w:t>,</w:t>
      </w:r>
      <w:r w:rsidRPr="00DD2C41">
        <w:rPr>
          <w:color w:val="000000"/>
          <w:sz w:val="24"/>
          <w:szCs w:val="24"/>
          <w:lang w:val="en-US"/>
        </w:rPr>
        <w:t xml:space="preserve"> increments in AP were different between the CR levels (F</w:t>
      </w:r>
      <w:r w:rsidRPr="00DD2C41">
        <w:rPr>
          <w:color w:val="000000"/>
          <w:sz w:val="24"/>
          <w:szCs w:val="24"/>
          <w:vertAlign w:val="subscript"/>
          <w:lang w:val="en-US"/>
        </w:rPr>
        <w:t>2,7</w:t>
      </w:r>
      <w:r w:rsidRPr="00DD2C41">
        <w:rPr>
          <w:color w:val="000000"/>
          <w:sz w:val="24"/>
          <w:szCs w:val="24"/>
          <w:lang w:val="en-US"/>
        </w:rPr>
        <w:t xml:space="preserve"> = 6.01, p = 0.03)</w:t>
      </w:r>
      <w:r w:rsidR="00F57592" w:rsidRPr="00DD2C41">
        <w:rPr>
          <w:color w:val="000000"/>
          <w:sz w:val="24"/>
          <w:szCs w:val="24"/>
          <w:lang w:val="en-US"/>
        </w:rPr>
        <w:t xml:space="preserve"> in the parieto-occipital area (Figure 2)</w:t>
      </w:r>
      <w:r w:rsidRPr="00DD2C41">
        <w:rPr>
          <w:color w:val="000000"/>
          <w:sz w:val="24"/>
          <w:szCs w:val="24"/>
          <w:lang w:val="en-US"/>
        </w:rPr>
        <w:t xml:space="preserve">, the post-hoc </w:t>
      </w:r>
      <w:r w:rsidR="00FE7E9B" w:rsidRPr="00DD2C41">
        <w:rPr>
          <w:color w:val="000000"/>
          <w:sz w:val="24"/>
          <w:szCs w:val="24"/>
          <w:lang w:val="en-US"/>
        </w:rPr>
        <w:t xml:space="preserve">analysis </w:t>
      </w:r>
      <w:r w:rsidRPr="00DD2C41">
        <w:rPr>
          <w:color w:val="000000"/>
          <w:sz w:val="24"/>
          <w:szCs w:val="24"/>
          <w:lang w:val="en-US"/>
        </w:rPr>
        <w:t>showed that the low CR group had more AP than the medium CR group (mean difference: 0.737 µ</w:t>
      </w:r>
      <w:r w:rsidRPr="00DD2C41">
        <w:rPr>
          <w:color w:val="000000"/>
          <w:sz w:val="24"/>
          <w:szCs w:val="24"/>
          <w:vertAlign w:val="superscript"/>
          <w:lang w:val="en-US"/>
        </w:rPr>
        <w:t>2</w:t>
      </w:r>
      <w:r w:rsidRPr="00DD2C41">
        <w:rPr>
          <w:color w:val="000000"/>
          <w:sz w:val="24"/>
          <w:szCs w:val="24"/>
          <w:lang w:val="en-US"/>
        </w:rPr>
        <w:t>)</w:t>
      </w:r>
      <w:r w:rsidR="00F57592" w:rsidRPr="00DD2C41">
        <w:rPr>
          <w:color w:val="000000"/>
          <w:sz w:val="24"/>
          <w:szCs w:val="24"/>
          <w:lang w:val="en-US"/>
        </w:rPr>
        <w:t xml:space="preserve"> in the WCST 6 to 9 minutes condition, for the theta band the difference was found in the medial left area (</w:t>
      </w:r>
      <w:r w:rsidR="00F57592" w:rsidRPr="00C56E77">
        <w:rPr>
          <w:sz w:val="24"/>
          <w:szCs w:val="24"/>
          <w:lang w:val="en-US"/>
        </w:rPr>
        <w:t>F</w:t>
      </w:r>
      <w:r w:rsidR="00F57592" w:rsidRPr="00C56E77">
        <w:rPr>
          <w:sz w:val="24"/>
          <w:szCs w:val="24"/>
          <w:vertAlign w:val="subscript"/>
          <w:lang w:val="en-US"/>
        </w:rPr>
        <w:t>2,7</w:t>
      </w:r>
      <w:r w:rsidR="00F57592" w:rsidRPr="00C56E77">
        <w:rPr>
          <w:sz w:val="24"/>
          <w:szCs w:val="24"/>
          <w:lang w:val="en-US"/>
        </w:rPr>
        <w:t xml:space="preserve"> = 4.810, p = 0.048), </w:t>
      </w:r>
      <w:r w:rsidR="00F57592" w:rsidRPr="00DD2C41">
        <w:rPr>
          <w:color w:val="000000"/>
          <w:sz w:val="24"/>
          <w:szCs w:val="24"/>
          <w:lang w:val="en-US"/>
        </w:rPr>
        <w:t>the post-hoc</w:t>
      </w:r>
      <w:r w:rsidR="00FE7E9B" w:rsidRPr="00DD2C41">
        <w:rPr>
          <w:color w:val="000000"/>
          <w:sz w:val="24"/>
          <w:szCs w:val="24"/>
          <w:lang w:val="en-US"/>
        </w:rPr>
        <w:t xml:space="preserve"> analysis</w:t>
      </w:r>
      <w:r w:rsidR="00F57592" w:rsidRPr="00DD2C41">
        <w:rPr>
          <w:color w:val="000000"/>
          <w:sz w:val="24"/>
          <w:szCs w:val="24"/>
          <w:lang w:val="en-US"/>
        </w:rPr>
        <w:t xml:space="preserve"> showed that the low CR group had more AP than the high CR group (mean difference: 0.729 µ</w:t>
      </w:r>
      <w:r w:rsidR="00F57592" w:rsidRPr="00DD2C41">
        <w:rPr>
          <w:color w:val="000000"/>
          <w:sz w:val="24"/>
          <w:szCs w:val="24"/>
          <w:vertAlign w:val="superscript"/>
          <w:lang w:val="en-US"/>
        </w:rPr>
        <w:t>2</w:t>
      </w:r>
      <w:r w:rsidR="00F57592" w:rsidRPr="00DD2C41">
        <w:rPr>
          <w:color w:val="000000"/>
          <w:sz w:val="24"/>
          <w:szCs w:val="24"/>
          <w:lang w:val="en-US"/>
        </w:rPr>
        <w:t>) in the WCST 3 to 6 minutes condition (Figure 3).</w:t>
      </w:r>
    </w:p>
    <w:p w14:paraId="5C454EA5" w14:textId="69E6E6DB" w:rsidR="00F676D3" w:rsidRPr="00DD2C41" w:rsidRDefault="00F676D3" w:rsidP="00DE2E63">
      <w:pPr>
        <w:spacing w:line="240" w:lineRule="auto"/>
        <w:rPr>
          <w:color w:val="000000"/>
          <w:sz w:val="24"/>
          <w:szCs w:val="24"/>
          <w:lang w:val="en-US"/>
        </w:rPr>
      </w:pPr>
    </w:p>
    <w:p w14:paraId="5D8BD499" w14:textId="22F3A22F" w:rsidR="00F676D3" w:rsidRPr="00C56E77" w:rsidRDefault="00DD2C41" w:rsidP="00F676D3">
      <w:pPr>
        <w:spacing w:line="240" w:lineRule="auto"/>
        <w:rPr>
          <w:b/>
          <w:bCs/>
          <w:color w:val="FF0000"/>
          <w:sz w:val="24"/>
          <w:szCs w:val="24"/>
        </w:rPr>
      </w:pPr>
      <w:r w:rsidRPr="00DD2C41">
        <w:rPr>
          <w:b/>
          <w:noProof/>
          <w:color w:val="FF0000"/>
          <w:sz w:val="24"/>
          <w:szCs w:val="24"/>
        </w:rPr>
        <w:lastRenderedPageBreak/>
        <w:drawing>
          <wp:inline distT="0" distB="0" distL="0" distR="0" wp14:anchorId="277086E4" wp14:editId="5AB32B4F">
            <wp:extent cx="4501515" cy="4009390"/>
            <wp:effectExtent l="0" t="0" r="0" b="0"/>
            <wp:docPr id="4"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
                    <pic:cNvPicPr>
                      <a:picLocks/>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01515" cy="4009390"/>
                    </a:xfrm>
                    <a:prstGeom prst="rect">
                      <a:avLst/>
                    </a:prstGeom>
                    <a:noFill/>
                    <a:ln>
                      <a:noFill/>
                    </a:ln>
                  </pic:spPr>
                </pic:pic>
              </a:graphicData>
            </a:graphic>
          </wp:inline>
        </w:drawing>
      </w:r>
    </w:p>
    <w:p w14:paraId="5F6B911B" w14:textId="77777777" w:rsidR="00F676D3" w:rsidRPr="00DD2C41" w:rsidRDefault="00F676D3" w:rsidP="00F676D3">
      <w:pPr>
        <w:spacing w:line="240" w:lineRule="auto"/>
        <w:rPr>
          <w:color w:val="000000"/>
          <w:sz w:val="24"/>
          <w:szCs w:val="24"/>
          <w:lang w:val="en-US"/>
        </w:rPr>
      </w:pPr>
      <w:r w:rsidRPr="00DD2C41">
        <w:rPr>
          <w:color w:val="000000"/>
          <w:sz w:val="24"/>
          <w:szCs w:val="24"/>
          <w:lang w:val="en-US"/>
        </w:rPr>
        <w:t>Figure 2. Absolute power increments of the delta band in the parieto-occipital area according to the cognitive reserve level. The dots correspond to the mean AP for each group. EC = Eyes-closed, EO = Eyes-open, WCST = Wisconsin Card Sorting Test.</w:t>
      </w:r>
    </w:p>
    <w:p w14:paraId="112F94B2" w14:textId="77777777" w:rsidR="00F676D3" w:rsidRPr="00C56E77" w:rsidRDefault="00F676D3" w:rsidP="00F676D3">
      <w:pPr>
        <w:spacing w:line="240" w:lineRule="auto"/>
        <w:rPr>
          <w:b/>
          <w:bCs/>
          <w:color w:val="FF0000"/>
          <w:sz w:val="24"/>
          <w:szCs w:val="24"/>
          <w:lang w:val="en-US"/>
        </w:rPr>
      </w:pPr>
    </w:p>
    <w:p w14:paraId="6968354C" w14:textId="3368247C" w:rsidR="00F676D3" w:rsidRPr="00C56E77" w:rsidRDefault="00DD2C41" w:rsidP="00F676D3">
      <w:pPr>
        <w:spacing w:line="240" w:lineRule="auto"/>
        <w:rPr>
          <w:b/>
          <w:bCs/>
          <w:color w:val="FF0000"/>
          <w:sz w:val="24"/>
          <w:szCs w:val="24"/>
        </w:rPr>
      </w:pPr>
      <w:r w:rsidRPr="00DD2C41">
        <w:rPr>
          <w:b/>
          <w:noProof/>
          <w:color w:val="FF0000"/>
          <w:sz w:val="24"/>
          <w:szCs w:val="24"/>
        </w:rPr>
        <w:lastRenderedPageBreak/>
        <w:drawing>
          <wp:inline distT="0" distB="0" distL="0" distR="0" wp14:anchorId="4E29C49A" wp14:editId="44DB087B">
            <wp:extent cx="4478020" cy="4001770"/>
            <wp:effectExtent l="0" t="0" r="0" b="0"/>
            <wp:docPr id="3"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
                    <pic:cNvPicPr>
                      <a:picLocks/>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478020" cy="4001770"/>
                    </a:xfrm>
                    <a:prstGeom prst="rect">
                      <a:avLst/>
                    </a:prstGeom>
                    <a:noFill/>
                    <a:ln>
                      <a:noFill/>
                    </a:ln>
                  </pic:spPr>
                </pic:pic>
              </a:graphicData>
            </a:graphic>
          </wp:inline>
        </w:drawing>
      </w:r>
    </w:p>
    <w:p w14:paraId="3EE39353" w14:textId="77777777" w:rsidR="00F676D3" w:rsidRPr="00DD2C41" w:rsidRDefault="00F676D3" w:rsidP="00F676D3">
      <w:pPr>
        <w:spacing w:line="240" w:lineRule="auto"/>
        <w:rPr>
          <w:color w:val="000000"/>
          <w:sz w:val="24"/>
          <w:szCs w:val="24"/>
          <w:lang w:val="en-US"/>
        </w:rPr>
      </w:pPr>
      <w:r w:rsidRPr="00DD2C41">
        <w:rPr>
          <w:color w:val="000000"/>
          <w:sz w:val="24"/>
          <w:szCs w:val="24"/>
          <w:lang w:val="en-US"/>
        </w:rPr>
        <w:t>Figure 3. Absolute power increments of the theta band in the medial left area according to the cognitive reserve level. The dots correspond to the mean AP for each group. EC = Eyes-closed, EO = Eyes-open, WCST = Wisconsin Card Sorting Test.</w:t>
      </w:r>
    </w:p>
    <w:p w14:paraId="5A33545F" w14:textId="77777777" w:rsidR="00F676D3" w:rsidRPr="00DD2C41" w:rsidRDefault="00F676D3" w:rsidP="00DE2E63">
      <w:pPr>
        <w:spacing w:line="240" w:lineRule="auto"/>
        <w:rPr>
          <w:color w:val="000000"/>
          <w:sz w:val="24"/>
          <w:szCs w:val="24"/>
          <w:lang w:val="en-US"/>
        </w:rPr>
      </w:pPr>
    </w:p>
    <w:p w14:paraId="2292A4B7" w14:textId="4888B2FA" w:rsidR="009F4E8D" w:rsidRPr="00DD2C41" w:rsidRDefault="009F4E8D" w:rsidP="00DE2E63">
      <w:pPr>
        <w:spacing w:line="240" w:lineRule="auto"/>
        <w:rPr>
          <w:b/>
          <w:bCs/>
          <w:color w:val="000000"/>
          <w:sz w:val="24"/>
          <w:szCs w:val="24"/>
          <w:lang w:val="en-US"/>
        </w:rPr>
      </w:pPr>
      <w:r w:rsidRPr="00DD2C41">
        <w:rPr>
          <w:b/>
          <w:bCs/>
          <w:color w:val="000000"/>
          <w:sz w:val="24"/>
          <w:szCs w:val="24"/>
          <w:lang w:val="en-US"/>
        </w:rPr>
        <w:t>Discussion</w:t>
      </w:r>
    </w:p>
    <w:p w14:paraId="3F470AEB" w14:textId="2EB74E17" w:rsidR="009F4E8D" w:rsidRPr="00DD2C41" w:rsidRDefault="009F4E8D" w:rsidP="00DE2E63">
      <w:pPr>
        <w:spacing w:line="240" w:lineRule="auto"/>
        <w:rPr>
          <w:color w:val="000000"/>
          <w:sz w:val="24"/>
          <w:szCs w:val="24"/>
          <w:lang w:val="en-US"/>
        </w:rPr>
      </w:pPr>
      <w:r w:rsidRPr="00DD2C41">
        <w:rPr>
          <w:color w:val="000000"/>
          <w:sz w:val="24"/>
          <w:szCs w:val="24"/>
          <w:lang w:val="en-US"/>
        </w:rPr>
        <w:t xml:space="preserve">This study was conducted to examine the relationship between </w:t>
      </w:r>
      <w:r w:rsidR="007F0E56" w:rsidRPr="00DD2C41">
        <w:rPr>
          <w:color w:val="000000"/>
          <w:sz w:val="24"/>
          <w:szCs w:val="24"/>
          <w:lang w:val="en-US"/>
        </w:rPr>
        <w:t>cognitive reserve</w:t>
      </w:r>
      <w:r w:rsidR="006D5A8D" w:rsidRPr="00DD2C41">
        <w:rPr>
          <w:color w:val="000000"/>
          <w:sz w:val="24"/>
          <w:szCs w:val="24"/>
          <w:lang w:val="en-US"/>
        </w:rPr>
        <w:t xml:space="preserve"> (CR)</w:t>
      </w:r>
      <w:r w:rsidRPr="00DD2C41">
        <w:rPr>
          <w:color w:val="000000"/>
          <w:sz w:val="24"/>
          <w:szCs w:val="24"/>
          <w:lang w:val="en-US"/>
        </w:rPr>
        <w:t xml:space="preserve"> and </w:t>
      </w:r>
      <w:r w:rsidR="007F0E56" w:rsidRPr="00DD2C41">
        <w:rPr>
          <w:color w:val="000000"/>
          <w:sz w:val="24"/>
          <w:szCs w:val="24"/>
          <w:lang w:val="en-US"/>
        </w:rPr>
        <w:t>absolute power</w:t>
      </w:r>
      <w:r w:rsidR="006D5A8D" w:rsidRPr="00DD2C41">
        <w:rPr>
          <w:color w:val="000000"/>
          <w:sz w:val="24"/>
          <w:szCs w:val="24"/>
          <w:lang w:val="en-US"/>
        </w:rPr>
        <w:t xml:space="preserve"> (AP)</w:t>
      </w:r>
      <w:r w:rsidRPr="00DD2C41">
        <w:rPr>
          <w:color w:val="000000"/>
          <w:sz w:val="24"/>
          <w:szCs w:val="24"/>
          <w:lang w:val="en-US"/>
        </w:rPr>
        <w:t xml:space="preserve"> of the EEG registered during a task of executive functions</w:t>
      </w:r>
      <w:r w:rsidR="006F7F6C" w:rsidRPr="00DD2C41">
        <w:rPr>
          <w:color w:val="000000"/>
          <w:sz w:val="24"/>
          <w:szCs w:val="24"/>
          <w:lang w:val="en-US"/>
        </w:rPr>
        <w:t xml:space="preserve"> in healthy older adults</w:t>
      </w:r>
      <w:r w:rsidRPr="00DD2C41">
        <w:rPr>
          <w:color w:val="000000"/>
          <w:sz w:val="24"/>
          <w:szCs w:val="24"/>
          <w:lang w:val="en-US"/>
        </w:rPr>
        <w:t xml:space="preserve">. </w:t>
      </w:r>
      <w:r w:rsidR="004D28F5" w:rsidRPr="00DD2C41">
        <w:rPr>
          <w:color w:val="000000"/>
          <w:sz w:val="24"/>
          <w:szCs w:val="24"/>
          <w:lang w:val="en-US"/>
        </w:rPr>
        <w:t>Next, we discuss how our results relate to prior literature, offer an interpretation of the observed relationships, describe the limitations of our study and outline future lines of research to consider.</w:t>
      </w:r>
    </w:p>
    <w:p w14:paraId="493BA3D8" w14:textId="3E971896" w:rsidR="00CC4AB6" w:rsidRPr="00DD2C41" w:rsidRDefault="00CC4AB6" w:rsidP="00DE2E63">
      <w:pPr>
        <w:spacing w:line="240" w:lineRule="auto"/>
        <w:rPr>
          <w:color w:val="000000"/>
          <w:sz w:val="24"/>
          <w:szCs w:val="24"/>
          <w:lang w:val="en-US"/>
        </w:rPr>
      </w:pPr>
      <w:r w:rsidRPr="00DD2C41">
        <w:rPr>
          <w:color w:val="000000"/>
          <w:sz w:val="24"/>
          <w:szCs w:val="24"/>
          <w:lang w:val="en-US"/>
        </w:rPr>
        <w:t>In contrast to what is reported by other authors</w:t>
      </w:r>
      <w:r w:rsidR="00E77932" w:rsidRPr="00DD2C41">
        <w:rPr>
          <w:color w:val="000000"/>
          <w:sz w:val="24"/>
          <w:szCs w:val="24"/>
          <w:lang w:val="en-US"/>
        </w:rPr>
        <w:t xml:space="preserve"> </w:t>
      </w:r>
      <w:r w:rsidR="00E77932" w:rsidRPr="00DD2C41">
        <w:rPr>
          <w:color w:val="000000"/>
          <w:sz w:val="24"/>
          <w:szCs w:val="24"/>
          <w:lang w:val="en-US"/>
        </w:rPr>
        <w:fldChar w:fldCharType="begin" w:fldLock="1"/>
      </w:r>
      <w:r w:rsidR="00E77932" w:rsidRPr="00DD2C41">
        <w:rPr>
          <w:color w:val="000000"/>
          <w:sz w:val="24"/>
          <w:szCs w:val="24"/>
          <w:lang w:val="en-US"/>
        </w:rPr>
        <w:instrText>ADDIN CSL_CITATION {"citationItems":[{"id":"ITEM-1","itemData":{"DOI":"10.1016/j.clinph.2007.07.028","ISSN":"13882457","abstract":"Objective: Recent work has attempted to clarify the energetics of physiological responding and behaviour by refining and separating the operational definitions of \"arousal\" and \"activation\", which have different effects on physiological responding and behaviour. At the EEG level, we relate the former to widespread activity, and the latter to task-specific topographically-focussed activity reflecting regional processing. This study aimed to investigate this further in terms of differences in EEG activity between eyes-closed and eyes-open resting conditions. Methods: EEG activity was recorded from 28 university students during both eyes-closed and eyes-open resting conditions, Fourier transformed to provide estimates for absolute power in the delta, theta, alpha and beta bands, and analysed in 9 regions across the scalp. Skin conductance level was also measured as an indicator of arousal level. Results: Across the eyes-closed conditions, skin conductance levels were negatively correlated with mean alpha levels. Skin conductance levels increased significantly from eyes-closed to eyes-open conditions. Reductions were found in across-scalp mean absolute delta, theta, alpha and beta from the eyes-closed to eyes-open condition. Topographic changes were also evident in all bands except for alpha, with reduced lateral frontal delta and posterior theta, and decreased posterior/increased frontal beta in the eyes-open condition. In particular, the topographic beta effects indicate that the across-scalp reduction arose from focal reductions rather than global changes. Conclusions: The obtained results confirm the use of mean alpha level as a measure of resting-state arousal under eyes-closed and eyes-open conditions. The focal nature of EEG effects in the other bands suggests that these reflect cortical processing of visual input, producing differences in activation between eyes-closed and eyes-open resting conditions, rather than just the simple increase in arousal level shown in alpha. Significance: This study demonstrates that the eyes-closed and eyes-open conditions provide EEG measures differing in topography as well as power levels. These differences should be recognised when evaluating EEG research, and considered when choosing eyes-open or eyes-closed baseline conditions for different paradigms. © 2007 International Federation of Clinical Neurophysiology.","author":[{"dropping-particle":"","family":"Barry","given":"Robert J.","non-dropping-particle":"","parse-names":false,"suffix":""},{"dropping-particle":"","family":"Clarke","given":"Adam R.","non-dropping-particle":"","parse-names":false,"suffix":""},{"dropping-particle":"","family":"Johnstone","given":"Stuart J.","non-dropping-particle":"","parse-names":false,"suffix":""},{"dropping-particle":"","family":"Magee","given":"Christopher A.","non-dropping-particle":"","parse-names":false,"suffix":""},{"dropping-particle":"","family":"Rushby","given":"Jacqueline A.","non-dropping-particle":"","parse-names":false,"suffix":""}],"container-title":"Clinical Neurophysiology","id":"ITEM-1","issue":"12","issued":{"date-parts":[["2007"]]},"page":"2765-2773","title":"EEG differences between eyes-closed and eyes-open resting conditions","type":"article-journal","volume":"118"},"uris":["http://www.mendeley.com/documents/?uuid=6070aca2-d501-4f0a-9e5a-b2d76a9448b1"]},{"id":"ITEM-2","itemData":{"DOI":"10.1016/j.biopsycho.2017.09.010","ISSN":"18736246","abstract":"In young adults and children, the eyes-closed (EC) resting state is one of low EEG arousal, with the change to eyes-open (EO) primarily involving an increase in arousal. We used this arousal perspective to interpret EC/EO differences in healthy young and older adults. EEG was recorded from 20 young (Mage = 20.4 years) and 20 gender-matched older (Mage = 68.2 years) right-handed adults during two 3 min resting conditions; EC then EO. Older participants displayed less delta and theta, some reduction in alpha, and increased beta. Global activity in all bands reduced with opening the eyes, but did not differ with age, indicating that the energetics of EEG reactivity is maintained in healthy ageing. However, older adults had more focal changes than young adults, particularly in beta, suggesting the mobilisation of additional localised resources. This maintained reactivity, and heightened focal activity, may underlie preserved performance levels in healthy ageing.","author":[{"dropping-particle":"","family":"Barry","given":"Robert J.","non-dropping-particle":"","parse-names":false,"suffix":""},{"dropping-particle":"","family":"Blasio","given":"Frances M.","non-dropping-particle":"De","parse-names":false,"suffix":""}],"container-title":"Biological Psychology","id":"ITEM-2","issue":"September","issued":{"date-parts":[["2017"]]},"page":"293-304","publisher":"Elsevier","title":"EEG differences between eyes-closed and eyes-open resting remain in healthy ageing","type":"article-journal","volume":"129"},"uris":["http://www.mendeley.com/documents/?uuid=12ab36fb-bced-404e-a570-d015a757092b"]}],"mendeley":{"formattedCitation":"(Barry, Clarke, Johnstone, Magee, &amp; Rushby, 2007; Barry &amp; De Blasio, 2017)","plainTextFormattedCitation":"(Barry, Clarke, Johnstone, Magee, &amp; Rushby, 2007; Barry &amp; De Blasio, 2017)","previouslyFormattedCitation":"(Barry, Clarke, Johnstone, Magee, &amp; Rushby, 2007; Barry &amp; De Blasio, 2017)"},"properties":{"noteIndex":0},"schema":"https://github.com/citation-style-language/schema/raw/master/csl-citation.json"}</w:instrText>
      </w:r>
      <w:r w:rsidR="00E77932" w:rsidRPr="00DD2C41">
        <w:rPr>
          <w:color w:val="000000"/>
          <w:sz w:val="24"/>
          <w:szCs w:val="24"/>
          <w:lang w:val="en-US"/>
        </w:rPr>
        <w:fldChar w:fldCharType="separate"/>
      </w:r>
      <w:r w:rsidR="00E77932" w:rsidRPr="00DD2C41">
        <w:rPr>
          <w:noProof/>
          <w:color w:val="000000"/>
          <w:sz w:val="24"/>
          <w:szCs w:val="24"/>
          <w:lang w:val="en-US"/>
        </w:rPr>
        <w:t>(Barry, Clarke, Johnstone, Magee, &amp; Rushby, 2007; Barry &amp; De Blasio, 2017)</w:t>
      </w:r>
      <w:r w:rsidR="00E77932" w:rsidRPr="00DD2C41">
        <w:rPr>
          <w:color w:val="000000"/>
          <w:sz w:val="24"/>
          <w:szCs w:val="24"/>
          <w:lang w:val="en-US"/>
        </w:rPr>
        <w:fldChar w:fldCharType="end"/>
      </w:r>
      <w:r w:rsidR="00E77932" w:rsidRPr="00DD2C41">
        <w:rPr>
          <w:color w:val="000000"/>
          <w:sz w:val="24"/>
          <w:szCs w:val="24"/>
          <w:lang w:val="en-US"/>
        </w:rPr>
        <w:t>.</w:t>
      </w:r>
      <w:r w:rsidRPr="00DD2C41">
        <w:rPr>
          <w:color w:val="000000"/>
          <w:sz w:val="24"/>
          <w:szCs w:val="24"/>
          <w:lang w:val="en-US"/>
        </w:rPr>
        <w:t xml:space="preserve"> </w:t>
      </w:r>
      <w:r w:rsidR="00637315" w:rsidRPr="00DD2C41">
        <w:rPr>
          <w:color w:val="000000"/>
          <w:sz w:val="24"/>
          <w:szCs w:val="24"/>
          <w:lang w:val="en-US"/>
        </w:rPr>
        <w:t>N</w:t>
      </w:r>
      <w:r w:rsidRPr="00DD2C41">
        <w:rPr>
          <w:color w:val="000000"/>
          <w:sz w:val="24"/>
          <w:szCs w:val="24"/>
          <w:lang w:val="en-US"/>
        </w:rPr>
        <w:t>o differences were found between the basal conditions of eyes-closed and eyes-open in the delta and theta bands, where an effect of the cognitive task and cognitive reserve was observed, nonetheless we agree with the mentioned authors regarding the importance of using different baseline conditions (EO or EC) depending on the type of task that participants carry out, where the eyes-open condition is more appropriate for cognitive and visual tasks like the one used in this research.</w:t>
      </w:r>
    </w:p>
    <w:p w14:paraId="136BB613" w14:textId="19ED9DAC" w:rsidR="002C06FF" w:rsidRPr="00DD2C41" w:rsidRDefault="006D5A8D" w:rsidP="00DE2E63">
      <w:pPr>
        <w:spacing w:line="240" w:lineRule="auto"/>
        <w:rPr>
          <w:i/>
          <w:iCs/>
          <w:color w:val="000000"/>
          <w:sz w:val="24"/>
          <w:szCs w:val="24"/>
          <w:lang w:val="en-US"/>
        </w:rPr>
      </w:pPr>
      <w:r w:rsidRPr="00DD2C41">
        <w:rPr>
          <w:color w:val="000000"/>
          <w:sz w:val="24"/>
          <w:szCs w:val="24"/>
          <w:lang w:val="en-US"/>
        </w:rPr>
        <w:t>W</w:t>
      </w:r>
      <w:r w:rsidR="00F965C7" w:rsidRPr="00DD2C41">
        <w:rPr>
          <w:color w:val="000000"/>
          <w:sz w:val="24"/>
          <w:szCs w:val="24"/>
          <w:lang w:val="en-US"/>
        </w:rPr>
        <w:t xml:space="preserve">e found negative correlations between </w:t>
      </w:r>
      <w:r w:rsidRPr="00DD2C41">
        <w:rPr>
          <w:color w:val="000000"/>
          <w:sz w:val="24"/>
          <w:szCs w:val="24"/>
          <w:lang w:val="en-US"/>
        </w:rPr>
        <w:t>CR and AP</w:t>
      </w:r>
      <w:r w:rsidR="00F965C7" w:rsidRPr="00DD2C41">
        <w:rPr>
          <w:color w:val="000000"/>
          <w:sz w:val="24"/>
          <w:szCs w:val="24"/>
          <w:lang w:val="en-US"/>
        </w:rPr>
        <w:t xml:space="preserve"> at all the EEG conditions, the associations were more numerous for the slow EEG bands delta and theta</w:t>
      </w:r>
      <w:r w:rsidR="004C2944" w:rsidRPr="00DD2C41">
        <w:rPr>
          <w:color w:val="000000"/>
          <w:sz w:val="24"/>
          <w:szCs w:val="24"/>
          <w:lang w:val="en-US"/>
        </w:rPr>
        <w:t xml:space="preserve">, therefore, we </w:t>
      </w:r>
      <w:r w:rsidR="004C2944" w:rsidRPr="00DD2C41">
        <w:rPr>
          <w:color w:val="000000"/>
          <w:sz w:val="24"/>
          <w:szCs w:val="24"/>
          <w:lang w:val="en-US"/>
        </w:rPr>
        <w:lastRenderedPageBreak/>
        <w:t>believe that slow EEG bands are more sensitive to CR</w:t>
      </w:r>
      <w:r w:rsidR="00F965C7" w:rsidRPr="00DD2C41">
        <w:rPr>
          <w:color w:val="000000"/>
          <w:sz w:val="24"/>
          <w:szCs w:val="24"/>
          <w:lang w:val="en-US"/>
        </w:rPr>
        <w:t>. In previous research the increments in theta band have been described as a possible biomarker of cognitive aging in patients with mild cognitive impairment and dementia</w:t>
      </w:r>
      <w:r w:rsidR="00E77932" w:rsidRPr="00DD2C41">
        <w:rPr>
          <w:color w:val="000000"/>
          <w:sz w:val="24"/>
          <w:szCs w:val="24"/>
          <w:lang w:val="en-US"/>
        </w:rPr>
        <w:t xml:space="preserve"> </w:t>
      </w:r>
      <w:r w:rsidR="00E77932" w:rsidRPr="00DD2C41">
        <w:rPr>
          <w:color w:val="000000"/>
          <w:sz w:val="24"/>
          <w:szCs w:val="24"/>
          <w:lang w:val="en-US"/>
        </w:rPr>
        <w:fldChar w:fldCharType="begin" w:fldLock="1"/>
      </w:r>
      <w:r w:rsidR="00E77932" w:rsidRPr="00DD2C41">
        <w:rPr>
          <w:color w:val="000000"/>
          <w:sz w:val="24"/>
          <w:szCs w:val="24"/>
          <w:lang w:val="en-US"/>
        </w:rPr>
        <w:instrText>ADDIN CSL_CITATION {"citationItems":[{"id":"ITEM-1","itemData":{"ISSN":"0893-0341","PMID":"11882748","abstract":"The aim of this study was to investigate spectral EEG theta-power during perceptive-cognitive demands in age-homogeneous groups of subjects with mild cognitive impairment (MCI), mild dementia (MDE), and a healthy control (CO) group. The present study includes 51 subjects (23 males, 28 females). We used the scales of the CDR (clinical dementia rating) to assign the subjects to the different groups. EEG data were collected during 10 minutes rest condition with eyes closed and during haptic perception test. The quality of the haptic reproductions differed significantly between CO and MCI, as well as between CO and MDE. The statistical comparison between EEG theta-power under rest condition and theta-power during haptic tasks revealed a significant decrease in theta-power during haptic tasks in all three groups over parieto-occipital regions. During haptic tasks, the theta-power was significantly different between CO and MDE over occipital regions and over parieto-temporal regions. A significant difference between CO and MCI was only revealed over right occipital regions (O2). Spectral theta-power during haptic tasks is a suitable measure to distinguish healthy subjects (CO) from patients with MCI respectively MDE. The results show that haptic tasks are sensitive to early perceptive-cognitive and functional deficits in patients with MCI.","author":[{"dropping-particle":"","family":"Grunwald","given":"Martin","non-dropping-particle":"","parse-names":false,"suffix":""},{"dropping-particle":"","family":"Busse","given":"Frank","non-dropping-particle":"","parse-names":false,"suffix":""},{"dropping-particle":"","family":"Hensel","given":"Anke","non-dropping-particle":"","parse-names":false,"suffix":""},{"dropping-particle":"","family":"Riedel-Heller","given":"Steffi","non-dropping-particle":"","parse-names":false,"suffix":""},{"dropping-particle":"","family":"Kruggel","given":"Frithjof","non-dropping-particle":"","parse-names":false,"suffix":""},{"dropping-particle":"","family":"Arendt","given":"Thomas","non-dropping-particle":"","parse-names":false,"suffix":""},{"dropping-particle":"","family":"Wolf","given":"Hendrike","non-dropping-particle":"","parse-names":false,"suffix":""},{"dropping-particle":"","family":"Gertz","given":"Herman-Josef","non-dropping-particle":"","parse-names":false,"suffix":""}],"container-title":"Alzheimer disease and associated disorders","id":"ITEM-1","issue":"1","issued":{"date-parts":[["2002"]]},"page":"40-8","title":"Theta-power differences in patients with mild cognitive impairment under rest condition and during haptic tasks.","type":"article-journal","volume":"16"},"uris":["http://www.mendeley.com/documents/?uuid=717da90c-850c-4257-b377-20948b81a54d"]},{"id":"ITEM-2","itemData":{"DOI":"10.1111/j.1469-8986.2010.01173.x","ISSN":"00485772","author":[{"dropping-particle":"","family":"Finnigan","given":"Simon","non-dropping-particle":"","parse-names":false,"suffix":""},{"dropping-particle":"","family":"Robertson","given":"Ian H.","non-dropping-particle":"","parse-names":false,"suffix":""}],"container-title":"Psychophysiology","id":"ITEM-2","issue":"8","issued":{"date-parts":[["2011","8"]]},"page":"1083-1087","title":"Resting EEG theta power correlates with cognitive performance in healthy older adults","type":"article-journal","volume":"48"},"uris":["http://www.mendeley.com/documents/?uuid=31597a12-d399-446e-9549-1dc25b6caeb5"]}],"mendeley":{"formattedCitation":"(Finnigan &amp; Robertson, 2011; Grunwald et al., 2002)","plainTextFormattedCitation":"(Finnigan &amp; Robertson, 2011; Grunwald et al., 2002)","previouslyFormattedCitation":"(Finnigan &amp; Robertson, 2011; Grunwald et al., 2002)"},"properties":{"noteIndex":0},"schema":"https://github.com/citation-style-language/schema/raw/master/csl-citation.json"}</w:instrText>
      </w:r>
      <w:r w:rsidR="00E77932" w:rsidRPr="00DD2C41">
        <w:rPr>
          <w:color w:val="000000"/>
          <w:sz w:val="24"/>
          <w:szCs w:val="24"/>
          <w:lang w:val="en-US"/>
        </w:rPr>
        <w:fldChar w:fldCharType="separate"/>
      </w:r>
      <w:r w:rsidR="00E77932" w:rsidRPr="00DD2C41">
        <w:rPr>
          <w:noProof/>
          <w:color w:val="000000"/>
          <w:sz w:val="24"/>
          <w:szCs w:val="24"/>
          <w:lang w:val="en-US"/>
        </w:rPr>
        <w:t>(Finnigan &amp; Robertson, 2011; Grunwald et al., 2002)</w:t>
      </w:r>
      <w:r w:rsidR="00E77932" w:rsidRPr="00DD2C41">
        <w:rPr>
          <w:color w:val="000000"/>
          <w:sz w:val="24"/>
          <w:szCs w:val="24"/>
          <w:lang w:val="en-US"/>
        </w:rPr>
        <w:fldChar w:fldCharType="end"/>
      </w:r>
      <w:r w:rsidR="00737D38" w:rsidRPr="00DD2C41">
        <w:rPr>
          <w:color w:val="000000"/>
          <w:sz w:val="24"/>
          <w:szCs w:val="24"/>
          <w:lang w:val="en-US"/>
        </w:rPr>
        <w:t>,</w:t>
      </w:r>
      <w:r w:rsidR="002C06FF" w:rsidRPr="00DD2C41">
        <w:rPr>
          <w:i/>
          <w:iCs/>
          <w:color w:val="000000"/>
          <w:sz w:val="24"/>
          <w:szCs w:val="24"/>
          <w:lang w:val="en-US"/>
        </w:rPr>
        <w:t xml:space="preserve"> </w:t>
      </w:r>
      <w:r w:rsidR="002C06FF" w:rsidRPr="00DD2C41">
        <w:rPr>
          <w:color w:val="000000"/>
          <w:sz w:val="24"/>
          <w:szCs w:val="24"/>
          <w:lang w:val="en-US"/>
        </w:rPr>
        <w:t xml:space="preserve">the negative correlation between </w:t>
      </w:r>
      <w:r w:rsidR="00F965C7" w:rsidRPr="00DD2C41">
        <w:rPr>
          <w:color w:val="000000"/>
          <w:sz w:val="24"/>
          <w:szCs w:val="24"/>
          <w:lang w:val="en-US"/>
        </w:rPr>
        <w:t>CR and AP</w:t>
      </w:r>
      <w:r w:rsidR="002C06FF" w:rsidRPr="00DD2C41">
        <w:rPr>
          <w:color w:val="000000"/>
          <w:sz w:val="24"/>
          <w:szCs w:val="24"/>
          <w:lang w:val="en-US"/>
        </w:rPr>
        <w:t xml:space="preserve"> of the Theta band found in this </w:t>
      </w:r>
      <w:r w:rsidR="00F965C7" w:rsidRPr="00DD2C41">
        <w:rPr>
          <w:color w:val="000000"/>
          <w:sz w:val="24"/>
          <w:szCs w:val="24"/>
          <w:lang w:val="en-US"/>
        </w:rPr>
        <w:t>research</w:t>
      </w:r>
      <w:r w:rsidR="002C06FF" w:rsidRPr="00DD2C41">
        <w:rPr>
          <w:color w:val="000000"/>
          <w:sz w:val="24"/>
          <w:szCs w:val="24"/>
          <w:lang w:val="en-US"/>
        </w:rPr>
        <w:t xml:space="preserve"> could </w:t>
      </w:r>
      <w:r w:rsidR="00F965C7" w:rsidRPr="00DD2C41">
        <w:rPr>
          <w:color w:val="000000"/>
          <w:sz w:val="24"/>
          <w:szCs w:val="24"/>
          <w:lang w:val="en-US"/>
        </w:rPr>
        <w:t xml:space="preserve">be </w:t>
      </w:r>
      <w:r w:rsidR="002C06FF" w:rsidRPr="00DD2C41">
        <w:rPr>
          <w:color w:val="000000"/>
          <w:sz w:val="24"/>
          <w:szCs w:val="24"/>
          <w:lang w:val="en-US"/>
        </w:rPr>
        <w:t>show</w:t>
      </w:r>
      <w:r w:rsidR="00F965C7" w:rsidRPr="00DD2C41">
        <w:rPr>
          <w:color w:val="000000"/>
          <w:sz w:val="24"/>
          <w:szCs w:val="24"/>
          <w:lang w:val="en-US"/>
        </w:rPr>
        <w:t>ing</w:t>
      </w:r>
      <w:r w:rsidR="002C06FF" w:rsidRPr="00DD2C41">
        <w:rPr>
          <w:color w:val="000000"/>
          <w:sz w:val="24"/>
          <w:szCs w:val="24"/>
          <w:lang w:val="en-US"/>
        </w:rPr>
        <w:t xml:space="preserve"> the neuroprotective effect of the cognitive reserve, this is because the participants with greater cognitive reserve had lower absolute power in the delta and theta bands, however, we still need to investigate </w:t>
      </w:r>
      <w:r w:rsidR="00F965C7" w:rsidRPr="00DD2C41">
        <w:rPr>
          <w:color w:val="000000"/>
          <w:sz w:val="24"/>
          <w:szCs w:val="24"/>
          <w:lang w:val="en-US"/>
        </w:rPr>
        <w:t xml:space="preserve">in </w:t>
      </w:r>
      <w:r w:rsidR="002C06FF" w:rsidRPr="00DD2C41">
        <w:rPr>
          <w:color w:val="000000"/>
          <w:sz w:val="24"/>
          <w:szCs w:val="24"/>
          <w:lang w:val="en-US"/>
        </w:rPr>
        <w:t>depth the effect of the cognitive reserve on the brain electrical activity recorded at rest</w:t>
      </w:r>
      <w:r w:rsidR="00F965C7" w:rsidRPr="00DD2C41">
        <w:rPr>
          <w:color w:val="000000"/>
          <w:sz w:val="24"/>
          <w:szCs w:val="24"/>
          <w:lang w:val="en-US"/>
        </w:rPr>
        <w:t>ing states</w:t>
      </w:r>
      <w:r w:rsidR="002C06FF" w:rsidRPr="00DD2C41">
        <w:rPr>
          <w:color w:val="000000"/>
          <w:sz w:val="24"/>
          <w:szCs w:val="24"/>
          <w:lang w:val="en-US"/>
        </w:rPr>
        <w:t>.</w:t>
      </w:r>
    </w:p>
    <w:p w14:paraId="24D9942C" w14:textId="06734D07" w:rsidR="002C06FF" w:rsidRPr="00DD2C41" w:rsidRDefault="002C06FF" w:rsidP="00DE2E63">
      <w:pPr>
        <w:spacing w:line="240" w:lineRule="auto"/>
        <w:rPr>
          <w:color w:val="000000"/>
          <w:sz w:val="24"/>
          <w:szCs w:val="24"/>
          <w:lang w:val="en-US"/>
        </w:rPr>
      </w:pPr>
      <w:r w:rsidRPr="00DD2C41">
        <w:rPr>
          <w:color w:val="000000"/>
          <w:sz w:val="24"/>
          <w:szCs w:val="24"/>
          <w:lang w:val="en-US"/>
        </w:rPr>
        <w:t xml:space="preserve">During the </w:t>
      </w:r>
      <w:r w:rsidR="00F965C7" w:rsidRPr="00DD2C41">
        <w:rPr>
          <w:color w:val="000000"/>
          <w:sz w:val="24"/>
          <w:szCs w:val="24"/>
          <w:lang w:val="en-US"/>
        </w:rPr>
        <w:t>WCST</w:t>
      </w:r>
      <w:r w:rsidRPr="00DD2C41">
        <w:rPr>
          <w:color w:val="000000"/>
          <w:sz w:val="24"/>
          <w:szCs w:val="24"/>
          <w:lang w:val="en-US"/>
        </w:rPr>
        <w:t xml:space="preserve"> conditions, </w:t>
      </w:r>
      <w:r w:rsidR="00F965C7" w:rsidRPr="00DD2C41">
        <w:rPr>
          <w:color w:val="000000"/>
          <w:sz w:val="24"/>
          <w:szCs w:val="24"/>
          <w:lang w:val="en-US"/>
        </w:rPr>
        <w:t>negative</w:t>
      </w:r>
      <w:r w:rsidRPr="00DD2C41">
        <w:rPr>
          <w:color w:val="000000"/>
          <w:sz w:val="24"/>
          <w:szCs w:val="24"/>
          <w:lang w:val="en-US"/>
        </w:rPr>
        <w:t xml:space="preserve"> correlations </w:t>
      </w:r>
      <w:r w:rsidR="00104795" w:rsidRPr="00DD2C41">
        <w:rPr>
          <w:color w:val="000000"/>
          <w:sz w:val="24"/>
          <w:szCs w:val="24"/>
          <w:lang w:val="en-US"/>
        </w:rPr>
        <w:t xml:space="preserve">were found </w:t>
      </w:r>
      <w:r w:rsidR="00F965C7" w:rsidRPr="00DD2C41">
        <w:rPr>
          <w:color w:val="000000"/>
          <w:sz w:val="24"/>
          <w:szCs w:val="24"/>
          <w:lang w:val="en-US"/>
        </w:rPr>
        <w:t>between</w:t>
      </w:r>
      <w:r w:rsidRPr="00DD2C41">
        <w:rPr>
          <w:color w:val="000000"/>
          <w:sz w:val="24"/>
          <w:szCs w:val="24"/>
          <w:lang w:val="en-US"/>
        </w:rPr>
        <w:t xml:space="preserve"> the </w:t>
      </w:r>
      <w:r w:rsidR="00F965C7" w:rsidRPr="00DD2C41">
        <w:rPr>
          <w:color w:val="000000"/>
          <w:sz w:val="24"/>
          <w:szCs w:val="24"/>
          <w:lang w:val="en-US"/>
        </w:rPr>
        <w:t>CR</w:t>
      </w:r>
      <w:r w:rsidRPr="00DD2C41">
        <w:rPr>
          <w:color w:val="000000"/>
          <w:sz w:val="24"/>
          <w:szCs w:val="24"/>
          <w:lang w:val="en-US"/>
        </w:rPr>
        <w:t xml:space="preserve"> </w:t>
      </w:r>
      <w:r w:rsidR="00F965C7" w:rsidRPr="00DD2C41">
        <w:rPr>
          <w:color w:val="000000"/>
          <w:sz w:val="24"/>
          <w:szCs w:val="24"/>
          <w:lang w:val="en-US"/>
        </w:rPr>
        <w:t>and</w:t>
      </w:r>
      <w:r w:rsidRPr="00DD2C41">
        <w:rPr>
          <w:color w:val="000000"/>
          <w:sz w:val="24"/>
          <w:szCs w:val="24"/>
          <w:lang w:val="en-US"/>
        </w:rPr>
        <w:t xml:space="preserve"> the </w:t>
      </w:r>
      <w:r w:rsidR="00F965C7" w:rsidRPr="00DD2C41">
        <w:rPr>
          <w:color w:val="000000"/>
          <w:sz w:val="24"/>
          <w:szCs w:val="24"/>
          <w:lang w:val="en-US"/>
        </w:rPr>
        <w:t>AP</w:t>
      </w:r>
      <w:r w:rsidRPr="00DD2C41">
        <w:rPr>
          <w:color w:val="000000"/>
          <w:sz w:val="24"/>
          <w:szCs w:val="24"/>
          <w:lang w:val="en-US"/>
        </w:rPr>
        <w:t xml:space="preserve"> of the slow bands </w:t>
      </w:r>
      <w:r w:rsidR="00F965C7" w:rsidRPr="00DD2C41">
        <w:rPr>
          <w:color w:val="000000"/>
          <w:sz w:val="24"/>
          <w:szCs w:val="24"/>
          <w:lang w:val="en-US"/>
        </w:rPr>
        <w:t>d</w:t>
      </w:r>
      <w:r w:rsidRPr="00DD2C41">
        <w:rPr>
          <w:color w:val="000000"/>
          <w:sz w:val="24"/>
          <w:szCs w:val="24"/>
          <w:lang w:val="en-US"/>
        </w:rPr>
        <w:t xml:space="preserve">elta, </w:t>
      </w:r>
      <w:r w:rsidR="00F965C7" w:rsidRPr="00DD2C41">
        <w:rPr>
          <w:color w:val="000000"/>
          <w:sz w:val="24"/>
          <w:szCs w:val="24"/>
          <w:lang w:val="en-US"/>
        </w:rPr>
        <w:t>t</w:t>
      </w:r>
      <w:r w:rsidRPr="00DD2C41">
        <w:rPr>
          <w:color w:val="000000"/>
          <w:sz w:val="24"/>
          <w:szCs w:val="24"/>
          <w:lang w:val="en-US"/>
        </w:rPr>
        <w:t xml:space="preserve">heta and </w:t>
      </w:r>
      <w:r w:rsidR="00F965C7" w:rsidRPr="00DD2C41">
        <w:rPr>
          <w:color w:val="000000"/>
          <w:sz w:val="24"/>
          <w:szCs w:val="24"/>
          <w:lang w:val="en-US"/>
        </w:rPr>
        <w:t xml:space="preserve">also </w:t>
      </w:r>
      <w:r w:rsidRPr="00DD2C41">
        <w:rPr>
          <w:color w:val="000000"/>
          <w:sz w:val="24"/>
          <w:szCs w:val="24"/>
          <w:lang w:val="en-US"/>
        </w:rPr>
        <w:t xml:space="preserve">with the Alpha band, </w:t>
      </w:r>
      <w:r w:rsidR="00112987" w:rsidRPr="00DD2C41">
        <w:rPr>
          <w:color w:val="000000"/>
          <w:sz w:val="24"/>
          <w:szCs w:val="24"/>
          <w:lang w:val="en-US"/>
        </w:rPr>
        <w:t>this EEG</w:t>
      </w:r>
      <w:r w:rsidR="00F965C7" w:rsidRPr="00DD2C41">
        <w:rPr>
          <w:color w:val="000000"/>
          <w:sz w:val="24"/>
          <w:szCs w:val="24"/>
          <w:lang w:val="en-US"/>
        </w:rPr>
        <w:t xml:space="preserve"> bands </w:t>
      </w:r>
      <w:r w:rsidRPr="00DD2C41">
        <w:rPr>
          <w:color w:val="000000"/>
          <w:sz w:val="24"/>
          <w:szCs w:val="24"/>
          <w:lang w:val="en-US"/>
        </w:rPr>
        <w:t>are related to cognitive processes such as focused attention, mental calculation and concentration</w:t>
      </w:r>
      <w:r w:rsidR="00E77932" w:rsidRPr="00DD2C41">
        <w:rPr>
          <w:color w:val="000000"/>
          <w:sz w:val="24"/>
          <w:szCs w:val="24"/>
          <w:lang w:val="en-US"/>
        </w:rPr>
        <w:t xml:space="preserve"> </w:t>
      </w:r>
      <w:r w:rsidR="00E77932" w:rsidRPr="00DD2C41">
        <w:rPr>
          <w:color w:val="000000"/>
          <w:sz w:val="24"/>
          <w:szCs w:val="24"/>
          <w:lang w:val="en-US"/>
        </w:rPr>
        <w:fldChar w:fldCharType="begin" w:fldLock="1"/>
      </w:r>
      <w:r w:rsidR="00E77932" w:rsidRPr="00DD2C41">
        <w:rPr>
          <w:color w:val="000000"/>
          <w:sz w:val="24"/>
          <w:szCs w:val="24"/>
          <w:lang w:val="en-US"/>
        </w:rPr>
        <w:instrText>ADDIN CSL_CITATION {"citationItems":[{"id":"ITEM-1","itemData":{"DOI":"10.1016/S0304-3940(01)02094-8","ISSN":"03043940","abstract":"EEG spectral power and coherence estimates in the individually defined delta, theta, alpha-1, alpha-2, and alpha-3 bands were used to identify and characterize brain regions involved in meditative states, in which focused internalized attention gives rise to emotionally positive 'blissful' experience. Blissful state was accompanied by increased anterior frontal and midline theta synchronization as well as enhanced theta long-distant connectivity between prefrontal and posterior association cortex with distinct 'center of gravity' in the left prefrontal region (AF3 site). Subjective scores of emotional experience significantly correlated with theta, whereas scores of internalized attention with both theta and alpha lower synchronization. Our results propose selective associations of theta and alpha oscillating networks activity with states of internalized attention and positive emotional experience. © 2001 Elsevier Science Ireland Ltd. All rights reserved.","author":[{"dropping-particle":"","family":"Aftanas","given":"L. I.","non-dropping-particle":"","parse-names":false,"suffix":""},{"dropping-particle":"","family":"Golocheikine","given":"S. A.","non-dropping-particle":"","parse-names":false,"suffix":""}],"container-title":"Neuroscience Letters","id":"ITEM-1","issue":"1","issued":{"date-parts":[["2001"]]},"page":"57-60","title":"Human anterior and frontal midline theta and lower alpha reflect emotionally positive state and internalized attention: High-resolution EEG investigation of meditation","type":"article-journal","volume":"310"},"uris":["http://www.mendeley.com/documents/?uuid=f4956b8e-ab8b-40c1-b2d5-b2e6a82bcc8c"]}],"mendeley":{"formattedCitation":"(Aftanas &amp; Golocheikine, 2001)","plainTextFormattedCitation":"(Aftanas &amp; Golocheikine, 2001)","previouslyFormattedCitation":"(Aftanas &amp; Golocheikine, 2001)"},"properties":{"noteIndex":0},"schema":"https://github.com/citation-style-language/schema/raw/master/csl-citation.json"}</w:instrText>
      </w:r>
      <w:r w:rsidR="00E77932" w:rsidRPr="00DD2C41">
        <w:rPr>
          <w:color w:val="000000"/>
          <w:sz w:val="24"/>
          <w:szCs w:val="24"/>
          <w:lang w:val="en-US"/>
        </w:rPr>
        <w:fldChar w:fldCharType="separate"/>
      </w:r>
      <w:r w:rsidR="00E77932" w:rsidRPr="00DD2C41">
        <w:rPr>
          <w:noProof/>
          <w:color w:val="000000"/>
          <w:sz w:val="24"/>
          <w:szCs w:val="24"/>
          <w:lang w:val="en-US"/>
        </w:rPr>
        <w:t>(Aftanas &amp; Golocheikine, 2001)</w:t>
      </w:r>
      <w:r w:rsidR="00E77932" w:rsidRPr="00DD2C41">
        <w:rPr>
          <w:color w:val="000000"/>
          <w:sz w:val="24"/>
          <w:szCs w:val="24"/>
          <w:lang w:val="en-US"/>
        </w:rPr>
        <w:fldChar w:fldCharType="end"/>
      </w:r>
      <w:r w:rsidR="00E77932" w:rsidRPr="00DD2C41">
        <w:rPr>
          <w:color w:val="000000"/>
          <w:sz w:val="24"/>
          <w:szCs w:val="24"/>
          <w:lang w:val="en-US"/>
        </w:rPr>
        <w:t>,</w:t>
      </w:r>
      <w:r w:rsidRPr="00DD2C41">
        <w:rPr>
          <w:color w:val="000000"/>
          <w:sz w:val="24"/>
          <w:szCs w:val="24"/>
          <w:lang w:val="en-US"/>
        </w:rPr>
        <w:t xml:space="preserve"> it has been theorized that theta band recorded during cognitive tasks, r</w:t>
      </w:r>
      <w:r w:rsidR="00FF78D2" w:rsidRPr="00DD2C41">
        <w:rPr>
          <w:color w:val="000000"/>
          <w:sz w:val="24"/>
          <w:szCs w:val="24"/>
          <w:lang w:val="en-US"/>
        </w:rPr>
        <w:t>eflects</w:t>
      </w:r>
      <w:r w:rsidRPr="00DD2C41">
        <w:rPr>
          <w:color w:val="000000"/>
          <w:sz w:val="24"/>
          <w:szCs w:val="24"/>
          <w:lang w:val="en-US"/>
        </w:rPr>
        <w:t xml:space="preserve"> the effect of more general processes of attention and cognitive control</w:t>
      </w:r>
      <w:r w:rsidR="00737D38" w:rsidRPr="00DD2C41">
        <w:rPr>
          <w:color w:val="000000"/>
          <w:sz w:val="24"/>
          <w:szCs w:val="24"/>
          <w:lang w:val="en-US"/>
        </w:rPr>
        <w:t xml:space="preserve"> </w:t>
      </w:r>
      <w:r w:rsidR="00E77932" w:rsidRPr="00DD2C41">
        <w:rPr>
          <w:color w:val="000000"/>
          <w:sz w:val="24"/>
          <w:szCs w:val="24"/>
          <w:lang w:val="en-US"/>
        </w:rPr>
        <w:fldChar w:fldCharType="begin" w:fldLock="1"/>
      </w:r>
      <w:r w:rsidR="00E77932" w:rsidRPr="00DD2C41">
        <w:rPr>
          <w:color w:val="000000"/>
          <w:sz w:val="24"/>
          <w:szCs w:val="24"/>
          <w:lang w:val="en-US"/>
        </w:rPr>
        <w:instrText>ADDIN CSL_CITATION {"citationItems":[{"id":"ITEM-1","itemData":{"DOI":"10.1016/j.tics.2012.10.007","ISSN":"13646613","abstract":"Alpha-band oscillations are the dominant oscillations in the human brain and recent evidence suggests that they have an inhibitory function. Nonetheless, there is little doubt that alpha-band oscillations also play an active role in information processing. In this article, I suggest that alpha-band oscillations have two roles (inhibition and timing) that are closely linked to two fundamental functions of attention (suppression and selection), which enable controlled knowledge access and semantic orientation (the ability to be consciously oriented in time, space, and context). As such, alpha-band oscillations reflect one of the most basic cognitive processes and can also be shown to play a key role in the coalescence of brain activity in different frequencies. © 2012 Elsevier Ltd.","author":[{"dropping-particle":"","family":"Klimesch","given":"Wolfgang","non-dropping-particle":"","parse-names":false,"suffix":""}],"container-title":"Trends in Cognitive Sciences","id":"ITEM-1","issue":"12","issued":{"date-parts":[["2012"]]},"page":"606-617","publisher":"Elsevier Ltd","title":"Alpha-band oscillations, attention, and controlled access to stored information","type":"article-journal","volume":"16"},"uris":["http://www.mendeley.com/documents/?uuid=8c53db41-609c-48dc-915a-cc54ead57d16"]}],"mendeley":{"formattedCitation":"(Klimesch, 2012)","plainTextFormattedCitation":"(Klimesch, 2012)","previouslyFormattedCitation":"(Klimesch, 2012)"},"properties":{"noteIndex":0},"schema":"https://github.com/citation-style-language/schema/raw/master/csl-citation.json"}</w:instrText>
      </w:r>
      <w:r w:rsidR="00E77932" w:rsidRPr="00DD2C41">
        <w:rPr>
          <w:color w:val="000000"/>
          <w:sz w:val="24"/>
          <w:szCs w:val="24"/>
          <w:lang w:val="en-US"/>
        </w:rPr>
        <w:fldChar w:fldCharType="separate"/>
      </w:r>
      <w:r w:rsidR="00E77932" w:rsidRPr="00DD2C41">
        <w:rPr>
          <w:noProof/>
          <w:color w:val="000000"/>
          <w:sz w:val="24"/>
          <w:szCs w:val="24"/>
          <w:lang w:val="en-US"/>
        </w:rPr>
        <w:t>(Klimesch, 2012)</w:t>
      </w:r>
      <w:r w:rsidR="00E77932" w:rsidRPr="00DD2C41">
        <w:rPr>
          <w:color w:val="000000"/>
          <w:sz w:val="24"/>
          <w:szCs w:val="24"/>
          <w:lang w:val="en-US"/>
        </w:rPr>
        <w:fldChar w:fldCharType="end"/>
      </w:r>
      <w:r w:rsidR="00737D38" w:rsidRPr="00DD2C41">
        <w:rPr>
          <w:color w:val="000000"/>
          <w:sz w:val="24"/>
          <w:szCs w:val="24"/>
          <w:lang w:val="en-US"/>
        </w:rPr>
        <w:t>,</w:t>
      </w:r>
      <w:r w:rsidR="00FF78D2" w:rsidRPr="00DD2C41">
        <w:rPr>
          <w:color w:val="000000"/>
          <w:sz w:val="24"/>
          <w:szCs w:val="24"/>
          <w:lang w:val="en-US"/>
        </w:rPr>
        <w:t xml:space="preserve"> </w:t>
      </w:r>
      <w:r w:rsidRPr="00DD2C41">
        <w:rPr>
          <w:color w:val="000000"/>
          <w:sz w:val="24"/>
          <w:szCs w:val="24"/>
          <w:lang w:val="en-US"/>
        </w:rPr>
        <w:t xml:space="preserve">and its function at </w:t>
      </w:r>
      <w:r w:rsidR="00FF78D2" w:rsidRPr="00DD2C41">
        <w:rPr>
          <w:color w:val="000000"/>
          <w:sz w:val="24"/>
          <w:szCs w:val="24"/>
          <w:lang w:val="en-US"/>
        </w:rPr>
        <w:t>a</w:t>
      </w:r>
      <w:r w:rsidRPr="00DD2C41">
        <w:rPr>
          <w:color w:val="000000"/>
          <w:sz w:val="24"/>
          <w:szCs w:val="24"/>
          <w:lang w:val="en-US"/>
        </w:rPr>
        <w:t xml:space="preserve"> neurophysiological level is the integration of different brain structures such as the </w:t>
      </w:r>
      <w:r w:rsidR="00FF78D2" w:rsidRPr="00DD2C41">
        <w:rPr>
          <w:color w:val="000000"/>
          <w:sz w:val="24"/>
          <w:szCs w:val="24"/>
          <w:lang w:val="en-US"/>
        </w:rPr>
        <w:t>hippocampus</w:t>
      </w:r>
      <w:r w:rsidRPr="00DD2C41">
        <w:rPr>
          <w:color w:val="000000"/>
          <w:sz w:val="24"/>
          <w:szCs w:val="24"/>
          <w:lang w:val="en-US"/>
        </w:rPr>
        <w:t xml:space="preserve">, the </w:t>
      </w:r>
      <w:r w:rsidR="00FF78D2" w:rsidRPr="00DD2C41">
        <w:rPr>
          <w:color w:val="000000"/>
          <w:sz w:val="24"/>
          <w:szCs w:val="24"/>
          <w:lang w:val="en-US"/>
        </w:rPr>
        <w:t>medial temporal</w:t>
      </w:r>
      <w:r w:rsidRPr="00DD2C41">
        <w:rPr>
          <w:color w:val="000000"/>
          <w:sz w:val="24"/>
          <w:szCs w:val="24"/>
          <w:lang w:val="en-US"/>
        </w:rPr>
        <w:t xml:space="preserve"> cortex and </w:t>
      </w:r>
      <w:r w:rsidR="00FF78D2" w:rsidRPr="00DD2C41">
        <w:rPr>
          <w:color w:val="000000"/>
          <w:sz w:val="24"/>
          <w:szCs w:val="24"/>
          <w:lang w:val="en-US"/>
        </w:rPr>
        <w:t xml:space="preserve">different areas of </w:t>
      </w:r>
      <w:r w:rsidRPr="00DD2C41">
        <w:rPr>
          <w:color w:val="000000"/>
          <w:sz w:val="24"/>
          <w:szCs w:val="24"/>
          <w:lang w:val="en-US"/>
        </w:rPr>
        <w:t>the neocortex in neurocognitive networks for cognitive processing</w:t>
      </w:r>
      <w:r w:rsidR="00E77932" w:rsidRPr="00DD2C41">
        <w:rPr>
          <w:color w:val="000000"/>
          <w:sz w:val="24"/>
          <w:szCs w:val="24"/>
          <w:lang w:val="en-US"/>
        </w:rPr>
        <w:t xml:space="preserve"> </w:t>
      </w:r>
      <w:r w:rsidR="00E77932" w:rsidRPr="00DD2C41">
        <w:rPr>
          <w:color w:val="000000"/>
          <w:sz w:val="24"/>
          <w:szCs w:val="24"/>
          <w:lang w:val="en-US"/>
        </w:rPr>
        <w:fldChar w:fldCharType="begin" w:fldLock="1"/>
      </w:r>
      <w:r w:rsidR="00032712" w:rsidRPr="00DD2C41">
        <w:rPr>
          <w:color w:val="000000"/>
          <w:sz w:val="24"/>
          <w:szCs w:val="24"/>
          <w:lang w:val="en-US"/>
        </w:rPr>
        <w:instrText>ADDIN CSL_CITATION {"citationItems":[{"id":"ITEM-1","itemData":{"DOI":"10.1016/S0165-0173(98)00056-3","ISSN":"01650173","abstract":"Evidence is presented that EEG oscillations in the alpha and theta band reflect cognitive and memory performance in particular. Good performance is related to two types of EEG phenomena (i) a tonic increase in alpha but a decrease in theta power, and (ii) a large phasic (event-related) decrease in alpha but increase in theta, depending on the type of memory demands. Because alpha frequency shows large interindividual differences which are related to age and memory performance, this double dissociation between alpha vs. theta and tonic vs. phasic changes can be observed only if fixed frequency bands are abandoned. It is suggested to adjust the frequency windows of alpha and theta for each subject by using individual alpha frequency as an anchor point. Based on this procedure, a consistent interpretation of a variety of findings is made possible. As an example, in a similar way as brain volume does, upper alpha power increases (but theta power decreases) from early childhood to adulthood, whereas the opposite holds true for the late part of the lifespan. Alpha power is lowered and theta power enhanced in subjects with a variety of different neurological disorders. Furthermore, after sustained wakefulness and during the transition from waking to sleeping when the ability to respond to external stimuli ceases, upper alpha power decreases, whereas theta increases. Event-related changes indicate that the extent of upper alpha desynchronization is positively correlated with (semantic) long-term memory performance, whereas theta synchronization is positively correlated with the ability to encode new information. The reviewed findings are interpreted on the basis of brain oscillations. It is suggested that the encoding of new information is reflected by theta oscillations in hippocampo-cortical feedback loops, whereas search and retrieval processes in (semantic) long-term memory are reflected by upper alpha oscillations in thalamo-cortical feedback loops.","author":[{"dropping-particle":"","family":"Klimesch","given":"Wolfgang","non-dropping-particle":"","parse-names":false,"suffix":""}],"container-title":"Brain Research Reviews","id":"ITEM-1","issue":"2-3","issued":{"date-parts":[["1999"]]},"page":"169-195","title":"EEG alpha and theta oscillations reflect cognitive and memory performance: a rKlimesch, W. (1999). EEG alpha and theta oscillations reflect cognitive and memory performance: a review and analysis. Brain Research Reviews, 29(2-3), 169–195. doi:10.1016/S016","type":"article-journal","volume":"29"},"uris":["http://www.mendeley.com/documents/?uuid=d1fed4c2-d64c-45e8-959d-6871e5ffeb5a"]},{"id":"ITEM-2","itemData":{"DOI":"10.1016/j.ijpsycho.2007.05.008","ISSN":"01678760","abstract":"The effects of healthy cognitive aging on electroencephalographic (EEG) theta (4.9-6.8 Hz) power were examined during performance of a modified Sternberg, S., 1966. High-speed scanning in human memory. Science 153, 652-654.) word recognition task. In a sample of fourteen young (mean age 21.9 years, range = 18-27) and fourteen older (mean age 68.4 years, range = 60-80) participants, theta power was found to be significantly lower in older adults during both the retention and recognition intervals. This theta power difference was greatest at the fronto-central midline electrode and occurred in parallel with a small, non-significant decrease in recognition accuracy in the older sample. A significant decrease in older adults' mean theta power was also observed in resting EEG, however, it was of substantially smaller magnitude than the task-related theta difference. It is proposed that a neurophysiological measure(s), such as task-specific frontal midline theta (fmθ) power, may be a more sensitive marker of cognitive aging than task performance measures. Furthermore, as recent research indicates that fmθ is generated primarily in the anterior cingulate cortex, the current findings support evidence that the function of brain networks incorporating this structure may be affected in cognitive aging. © 2007 Elsevier B.V. All rights reserved.","author":[{"dropping-particle":"","family":"Cummins","given":"Tarrant D.R.","non-dropping-particle":"","parse-names":false,"suffix":""},{"dropping-particle":"","family":"Finnigan","given":"Simon","non-dropping-particle":"","parse-names":false,"suffix":""}],"container-title":"International Journal of Psychophysiology","id":"ITEM-2","issue":"1","issued":{"date-parts":[["2007"]]},"page":"10-17","title":"Theta power is reduced in healthy cognitive aging","type":"article-journal","volume":"66"},"uris":["http://www.mendeley.com/documents/?uuid=4a02fadd-e1e4-48b8-a0a2-71651fc25cea"]},{"id":"ITEM-3","itemData":{"DOI":"10.1016/j.ijpsycho.2008.06.002","ISSN":"01678760","abstract":"Amnestic mild cognitive impairment (aMCI) is classified primarily via substantial episodic memory deficits in the absence of a dementia diagnosis. To investigate the potential neurophysiological correlates of such deficits we compared QEEG power between 12 participants with aMCI and 12 healthy matched controls. EEG was acquired during performance of a modified Sternberg word recognition task with low and high memory load conditions. While recognition accuracy of aMCI participants was lower than that of controls, this difference was not significant. Nevertheless the aMCI group demonstrated significantly lower theta power at a number of electrode sites and significant correlations were observed between power at these sites and neuropsychological assessment scores. Furthermore in the aMCI sample only, theta power was significantly lower under high versus low memory load. Given current interpretations of the neural generator(s), as well as the role(s), of theta oscillations in cognitive processes, the present data indicate that aMCI may be associated with disruptions in the operation of neurocognitive networks (e.g., MTL-neocortical), particularly under high cognitive load. © 2008 Elsevier B.V. All rights reserved.","author":[{"dropping-particle":"","family":"Cummins","given":"Tarrant D R","non-dropping-particle":"","parse-names":false,"suffix":""},{"dropping-particle":"","family":"Broughton","given":"Megan","non-dropping-particle":"","parse-names":false,"suffix":""},{"dropping-particle":"","family":"Finnigan","given":"Simon","non-dropping-particle":"","parse-names":false,"suffix":""}],"container-title":"International Journal of Psychophysiology","id":"ITEM-3","issue":"1","issued":{"date-parts":[["2008"]]},"page":"75-81","title":"Theta oscillations are affected by amnestic mild cognitive impairment and cognitive load","type":"article-journal","volume":"70"},"uris":["http://www.mendeley.com/documents/?uuid=1a32fa6c-c11d-49e6-b3b8-35a9e3d13bcb"]}],"mendeley":{"formattedCitation":"(Cummins, Broughton, &amp; Finnigan, 2008; Cummins &amp; Finnigan, 2007; Klimesch, 1999)","plainTextFormattedCitation":"(Cummins, Broughton, &amp; Finnigan, 2008; Cummins &amp; Finnigan, 2007; Klimesch, 1999)","previouslyFormattedCitation":"(Cummins, Broughton, &amp; Finnigan, 2008; Cummins &amp; Finnigan, 2007; Klimesch, 1999)"},"properties":{"noteIndex":0},"schema":"https://github.com/citation-style-language/schema/raw/master/csl-citation.json"}</w:instrText>
      </w:r>
      <w:r w:rsidR="00E77932" w:rsidRPr="00DD2C41">
        <w:rPr>
          <w:color w:val="000000"/>
          <w:sz w:val="24"/>
          <w:szCs w:val="24"/>
          <w:lang w:val="en-US"/>
        </w:rPr>
        <w:fldChar w:fldCharType="separate"/>
      </w:r>
      <w:r w:rsidR="00E77932" w:rsidRPr="00DD2C41">
        <w:rPr>
          <w:noProof/>
          <w:color w:val="000000"/>
          <w:sz w:val="24"/>
          <w:szCs w:val="24"/>
          <w:lang w:val="en-US"/>
        </w:rPr>
        <w:t>(Cummins, Broughton, &amp; Finnigan, 2008; Cummins &amp; Finnigan, 2007; Klimesch, 1999)</w:t>
      </w:r>
      <w:r w:rsidR="00E77932" w:rsidRPr="00DD2C41">
        <w:rPr>
          <w:color w:val="000000"/>
          <w:sz w:val="24"/>
          <w:szCs w:val="24"/>
          <w:lang w:val="en-US"/>
        </w:rPr>
        <w:fldChar w:fldCharType="end"/>
      </w:r>
      <w:r w:rsidR="00737D38" w:rsidRPr="00DD2C41">
        <w:rPr>
          <w:color w:val="000000"/>
          <w:sz w:val="24"/>
          <w:szCs w:val="24"/>
          <w:lang w:val="en-US"/>
        </w:rPr>
        <w:t>,</w:t>
      </w:r>
      <w:r w:rsidRPr="00DD2C41">
        <w:rPr>
          <w:color w:val="000000"/>
          <w:sz w:val="24"/>
          <w:szCs w:val="24"/>
          <w:lang w:val="en-US"/>
        </w:rPr>
        <w:t xml:space="preserve"> </w:t>
      </w:r>
      <w:r w:rsidR="00FF78D2" w:rsidRPr="00DD2C41">
        <w:rPr>
          <w:color w:val="000000"/>
          <w:sz w:val="24"/>
          <w:szCs w:val="24"/>
          <w:lang w:val="en-US"/>
        </w:rPr>
        <w:t>t</w:t>
      </w:r>
      <w:r w:rsidRPr="00DD2C41">
        <w:rPr>
          <w:color w:val="000000"/>
          <w:sz w:val="24"/>
          <w:szCs w:val="24"/>
          <w:lang w:val="en-US"/>
        </w:rPr>
        <w:t xml:space="preserve">he correlation of </w:t>
      </w:r>
      <w:r w:rsidR="00FF78D2" w:rsidRPr="00DD2C41">
        <w:rPr>
          <w:color w:val="000000"/>
          <w:sz w:val="24"/>
          <w:szCs w:val="24"/>
          <w:lang w:val="en-US"/>
        </w:rPr>
        <w:t xml:space="preserve">CR </w:t>
      </w:r>
      <w:r w:rsidRPr="00DD2C41">
        <w:rPr>
          <w:color w:val="000000"/>
          <w:sz w:val="24"/>
          <w:szCs w:val="24"/>
          <w:lang w:val="en-US"/>
        </w:rPr>
        <w:t>with these bands may be reflecting the recruitment of additional networks and neuronal areas to meet the cognitive demands of the task of executive functions.</w:t>
      </w:r>
    </w:p>
    <w:p w14:paraId="4B18708E" w14:textId="1B2C5AAA" w:rsidR="00222C53" w:rsidRPr="00C56E77" w:rsidRDefault="002C06FF" w:rsidP="00DE2E63">
      <w:pPr>
        <w:spacing w:line="240" w:lineRule="auto"/>
        <w:rPr>
          <w:color w:val="FF0000"/>
          <w:sz w:val="24"/>
          <w:szCs w:val="24"/>
          <w:lang w:val="en-US"/>
        </w:rPr>
      </w:pPr>
      <w:r w:rsidRPr="00DD2C41">
        <w:rPr>
          <w:color w:val="000000"/>
          <w:sz w:val="24"/>
          <w:szCs w:val="24"/>
          <w:lang w:val="en-US"/>
        </w:rPr>
        <w:t>In the graphic analysis it was shown that there are</w:t>
      </w:r>
      <w:r w:rsidR="00FF78D2" w:rsidRPr="00DD2C41">
        <w:rPr>
          <w:color w:val="000000"/>
          <w:sz w:val="24"/>
          <w:szCs w:val="24"/>
          <w:lang w:val="en-US"/>
        </w:rPr>
        <w:t xml:space="preserve"> descriptive</w:t>
      </w:r>
      <w:r w:rsidRPr="00DD2C41">
        <w:rPr>
          <w:color w:val="000000"/>
          <w:sz w:val="24"/>
          <w:szCs w:val="24"/>
          <w:lang w:val="en-US"/>
        </w:rPr>
        <w:t xml:space="preserve"> differences in the magnitude of </w:t>
      </w:r>
      <w:r w:rsidR="00FF78D2" w:rsidRPr="00DD2C41">
        <w:rPr>
          <w:color w:val="000000"/>
          <w:sz w:val="24"/>
          <w:szCs w:val="24"/>
          <w:lang w:val="en-US"/>
        </w:rPr>
        <w:t>A</w:t>
      </w:r>
      <w:r w:rsidRPr="00DD2C41">
        <w:rPr>
          <w:color w:val="000000"/>
          <w:sz w:val="24"/>
          <w:szCs w:val="24"/>
          <w:lang w:val="en-US"/>
        </w:rPr>
        <w:t xml:space="preserve">P </w:t>
      </w:r>
      <w:r w:rsidR="00FF78D2" w:rsidRPr="00DD2C41">
        <w:rPr>
          <w:color w:val="000000"/>
          <w:sz w:val="24"/>
          <w:szCs w:val="24"/>
          <w:lang w:val="en-US"/>
        </w:rPr>
        <w:t>according to</w:t>
      </w:r>
      <w:r w:rsidRPr="00DD2C41">
        <w:rPr>
          <w:color w:val="000000"/>
          <w:sz w:val="24"/>
          <w:szCs w:val="24"/>
          <w:lang w:val="en-US"/>
        </w:rPr>
        <w:t xml:space="preserve"> the level of CR</w:t>
      </w:r>
      <w:r w:rsidR="009C7B3A" w:rsidRPr="00DD2C41">
        <w:rPr>
          <w:color w:val="000000"/>
          <w:sz w:val="24"/>
          <w:szCs w:val="24"/>
          <w:lang w:val="en-US"/>
        </w:rPr>
        <w:t>, suggesting an effect of CR on AP</w:t>
      </w:r>
      <w:r w:rsidRPr="00DD2C41">
        <w:rPr>
          <w:color w:val="000000"/>
          <w:sz w:val="24"/>
          <w:szCs w:val="24"/>
          <w:lang w:val="en-US"/>
        </w:rPr>
        <w:t xml:space="preserve">, </w:t>
      </w:r>
      <w:r w:rsidR="00FF78D2" w:rsidRPr="00DD2C41">
        <w:rPr>
          <w:color w:val="000000"/>
          <w:sz w:val="24"/>
          <w:szCs w:val="24"/>
          <w:lang w:val="en-US"/>
        </w:rPr>
        <w:t xml:space="preserve">this </w:t>
      </w:r>
      <w:r w:rsidRPr="00DD2C41">
        <w:rPr>
          <w:color w:val="000000"/>
          <w:sz w:val="24"/>
          <w:szCs w:val="24"/>
          <w:lang w:val="en-US"/>
        </w:rPr>
        <w:t xml:space="preserve">finding </w:t>
      </w:r>
      <w:r w:rsidR="00FF78D2" w:rsidRPr="00DD2C41">
        <w:rPr>
          <w:color w:val="000000"/>
          <w:sz w:val="24"/>
          <w:szCs w:val="24"/>
          <w:lang w:val="en-US"/>
        </w:rPr>
        <w:t xml:space="preserve">could indicate </w:t>
      </w:r>
      <w:r w:rsidRPr="00DD2C41">
        <w:rPr>
          <w:color w:val="000000"/>
          <w:sz w:val="24"/>
          <w:szCs w:val="24"/>
          <w:lang w:val="en-US"/>
        </w:rPr>
        <w:t xml:space="preserve">that the neural networks of the participants with less cognitive reserve are less efficient </w:t>
      </w:r>
      <w:r w:rsidR="00FF78D2" w:rsidRPr="00DD2C41">
        <w:rPr>
          <w:color w:val="000000"/>
          <w:sz w:val="24"/>
          <w:szCs w:val="24"/>
          <w:lang w:val="en-US"/>
        </w:rPr>
        <w:t>a</w:t>
      </w:r>
      <w:r w:rsidRPr="00DD2C41">
        <w:rPr>
          <w:color w:val="000000"/>
          <w:sz w:val="24"/>
          <w:szCs w:val="24"/>
          <w:lang w:val="en-US"/>
        </w:rPr>
        <w:t xml:space="preserve">ccording to the model of neuronal activity associated with cognitive tasks proposed by </w:t>
      </w:r>
      <w:proofErr w:type="spellStart"/>
      <w:r w:rsidRPr="00DD2C41">
        <w:rPr>
          <w:color w:val="000000"/>
          <w:sz w:val="24"/>
          <w:szCs w:val="24"/>
          <w:lang w:val="en-US"/>
        </w:rPr>
        <w:t>Steffener</w:t>
      </w:r>
      <w:proofErr w:type="spellEnd"/>
      <w:r w:rsidRPr="00DD2C41">
        <w:rPr>
          <w:color w:val="000000"/>
          <w:sz w:val="24"/>
          <w:szCs w:val="24"/>
          <w:lang w:val="en-US"/>
        </w:rPr>
        <w:t xml:space="preserve"> and Stern</w:t>
      </w:r>
      <w:r w:rsidR="00032712" w:rsidRPr="00DD2C41">
        <w:rPr>
          <w:color w:val="000000"/>
          <w:sz w:val="24"/>
          <w:szCs w:val="24"/>
          <w:lang w:val="en-US"/>
        </w:rPr>
        <w:t xml:space="preserve"> </w:t>
      </w:r>
      <w:r w:rsidR="00032712" w:rsidRPr="00DD2C41">
        <w:rPr>
          <w:color w:val="000000"/>
          <w:sz w:val="24"/>
          <w:szCs w:val="24"/>
          <w:lang w:val="en-US"/>
        </w:rPr>
        <w:fldChar w:fldCharType="begin" w:fldLock="1"/>
      </w:r>
      <w:r w:rsidR="00032712" w:rsidRPr="00DD2C41">
        <w:rPr>
          <w:color w:val="000000"/>
          <w:sz w:val="24"/>
          <w:szCs w:val="24"/>
          <w:lang w:val="en-US"/>
        </w:rPr>
        <w:instrText>ADDIN CSL_CITATION {"citationItems":[{"id":"ITEM-1","itemData":{"DOI":"10.1016/j.bbadis.2011.09.012","ISSN":"09254439","author":[{"dropping-particle":"","family":"Steffener","given":"Jason","non-dropping-particle":"","parse-names":false,"suffix":""},{"dropping-particle":"","family":"Stern","given":"Yaakov","non-dropping-particle":"","parse-names":false,"suffix":""}],"container-title":"Biochimica et Biophysica Acta (BBA) - Molecular Basis of Disease","id":"ITEM-1","issue":"3","issued":{"date-parts":[["2012","3"]]},"page":"467-473","title":"Exploring the neural basis of cognitive reserve in aging","type":"article-journal","volume":"1822"},"uris":["http://www.mendeley.com/documents/?uuid=cdf6d902-7e58-446e-8655-2ffb216bd740"]}],"mendeley":{"formattedCitation":"(Steffener &amp; Stern, 2012b)","plainTextFormattedCitation":"(Steffener &amp; Stern, 2012b)","previouslyFormattedCitation":"(Steffener &amp; Stern, 2012b)"},"properties":{"noteIndex":0},"schema":"https://github.com/citation-style-language/schema/raw/master/csl-citation.json"}</w:instrText>
      </w:r>
      <w:r w:rsidR="00032712" w:rsidRPr="00DD2C41">
        <w:rPr>
          <w:color w:val="000000"/>
          <w:sz w:val="24"/>
          <w:szCs w:val="24"/>
          <w:lang w:val="en-US"/>
        </w:rPr>
        <w:fldChar w:fldCharType="separate"/>
      </w:r>
      <w:r w:rsidR="00032712" w:rsidRPr="00DD2C41">
        <w:rPr>
          <w:noProof/>
          <w:color w:val="000000"/>
          <w:sz w:val="24"/>
          <w:szCs w:val="24"/>
          <w:lang w:val="en-US"/>
        </w:rPr>
        <w:t>(Steffener &amp; Stern, 2012b)</w:t>
      </w:r>
      <w:r w:rsidR="00032712" w:rsidRPr="00DD2C41">
        <w:rPr>
          <w:color w:val="000000"/>
          <w:sz w:val="24"/>
          <w:szCs w:val="24"/>
          <w:lang w:val="en-US"/>
        </w:rPr>
        <w:fldChar w:fldCharType="end"/>
      </w:r>
      <w:r w:rsidR="00737D38" w:rsidRPr="00DD2C41">
        <w:rPr>
          <w:color w:val="000000"/>
          <w:sz w:val="24"/>
          <w:szCs w:val="24"/>
          <w:lang w:val="en-US"/>
        </w:rPr>
        <w:t>,</w:t>
      </w:r>
      <w:r w:rsidRPr="00C56E77">
        <w:rPr>
          <w:color w:val="FF0000"/>
          <w:sz w:val="24"/>
          <w:szCs w:val="24"/>
          <w:lang w:val="en-US"/>
        </w:rPr>
        <w:t xml:space="preserve"> </w:t>
      </w:r>
      <w:r w:rsidRPr="00DD2C41">
        <w:rPr>
          <w:color w:val="000000"/>
          <w:sz w:val="24"/>
          <w:szCs w:val="24"/>
          <w:lang w:val="en-US"/>
        </w:rPr>
        <w:t xml:space="preserve">these results are </w:t>
      </w:r>
      <w:r w:rsidR="00FF78D2" w:rsidRPr="00DD2C41">
        <w:rPr>
          <w:color w:val="000000"/>
          <w:sz w:val="24"/>
          <w:szCs w:val="24"/>
          <w:lang w:val="en-US"/>
        </w:rPr>
        <w:t>similar to</w:t>
      </w:r>
      <w:r w:rsidRPr="00DD2C41">
        <w:rPr>
          <w:color w:val="000000"/>
          <w:sz w:val="24"/>
          <w:szCs w:val="24"/>
          <w:lang w:val="en-US"/>
        </w:rPr>
        <w:t xml:space="preserve"> those reported by other authors</w:t>
      </w:r>
      <w:r w:rsidR="00032712" w:rsidRPr="00DD2C41">
        <w:rPr>
          <w:color w:val="000000"/>
          <w:sz w:val="24"/>
          <w:szCs w:val="24"/>
          <w:lang w:val="en-US"/>
        </w:rPr>
        <w:t xml:space="preserve"> </w:t>
      </w:r>
      <w:r w:rsidR="00032712" w:rsidRPr="00DD2C41">
        <w:rPr>
          <w:color w:val="000000"/>
          <w:sz w:val="24"/>
          <w:szCs w:val="24"/>
          <w:lang w:val="en-US"/>
        </w:rPr>
        <w:fldChar w:fldCharType="begin" w:fldLock="1"/>
      </w:r>
      <w:r w:rsidR="00032712" w:rsidRPr="00DD2C41">
        <w:rPr>
          <w:color w:val="000000"/>
          <w:sz w:val="24"/>
          <w:szCs w:val="24"/>
          <w:lang w:val="en-US"/>
        </w:rPr>
        <w:instrText>ADDIN CSL_CITATION {"citationItems":[{"id":"ITEM-1","itemData":{"DOI":"10.3389/fnagi.2014.00125","ISSN":"16634365","abstract":"The proportion of elderly people in the population has increased rapidly in the last century and consequently \"healthy aging\" is expected to become a critical area of research in neuroscience. Evidence reveals how healthy aging depends on three main behavioral factors: social lifestyle, cognitive activity, and physical activity. In this study, we focused on the role of cognitive activity, concentrating specifically on educational and occupational attainment factors, which were considered two of the main pillars of cognitive reserve (CR). Twenty-one subjects with similar rates of social lifestyle, physical and cognitive activity were selected from a sample of 55 healthy adults. These subjects were divided into two groups according to their level of CR; one group comprised subjects with high CR (9 members) and the other one contained those with low CR (12 members). To evaluate the cortical brain connectivity network, all participants were recorded by Magnetoencephalography (MEG) while they performed a memory task (modified version of the Sternberg's Task). We then applied two algorithms [Phase Locking Value (PLV) and Phase Lag Index (PLI)] to study the dynamics of functional connectivity. In response to the same task, the subjects with lower CR presented higher functional connectivity than those with higher CR. These results may indicate that participants with low CR needed a greater \"effort\" than those with high CR to achieve the same level of cognitive performance. Therefore, we conclude that CR contributes to the modulation of the functional connectivity patterns of the aging brain. © 2014 López, Aurtenetxe, Pereda, Cuesta, Castellanos, Bruña, Niso, Maestú and Bajo.","author":[{"dropping-particle":"","family":"López","given":"María E.","non-dropping-particle":"","parse-names":false,"suffix":""},{"dropping-particle":"","family":"Aurtenetxe","given":"Sara","non-dropping-particle":"","parse-names":false,"suffix":""},{"dropping-particle":"","family":"Pereda","given":"Ernesto","non-dropping-particle":"","parse-names":false,"suffix":""},{"dropping-particle":"","family":"Cuesta","given":"Pablo","non-dropping-particle":"","parse-names":false,"suffix":""},{"dropping-particle":"","family":"Castellanos","given":"Nazareth P.","non-dropping-particle":"","parse-names":false,"suffix":""},{"dropping-particle":"","family":"Bruña","given":"Ricardo","non-dropping-particle":"","parse-names":false,"suffix":""},{"dropping-particle":"","family":"Niso","given":"Guiomar","non-dropping-particle":"","parse-names":false,"suffix":""},{"dropping-particle":"","family":"Maestú","given":"Fernando","non-dropping-particle":"","parse-names":false,"suffix":""},{"dropping-particle":"","family":"Bajo","given":"Ricardo","non-dropping-particle":"","parse-names":false,"suffix":""}],"container-title":"Frontiers in Aging Neuroscience","id":"ITEM-1","issue":"JUN","issued":{"date-parts":[["2014"]]},"page":"1-9","title":"Cognitive reserve is associated with the functional organization of the brain in healthy aging: A MEG study","type":"article-journal","volume":"6"},"uris":["http://www.mendeley.com/documents/?uuid=cfcf9a30-5dea-49e3-a71d-14b84655c6b2"]}],"mendeley":{"formattedCitation":"(López et al., 2014)","plainTextFormattedCitation":"(López et al., 2014)","previouslyFormattedCitation":"(López et al., 2014)"},"properties":{"noteIndex":0},"schema":"https://github.com/citation-style-language/schema/raw/master/csl-citation.json"}</w:instrText>
      </w:r>
      <w:r w:rsidR="00032712" w:rsidRPr="00DD2C41">
        <w:rPr>
          <w:color w:val="000000"/>
          <w:sz w:val="24"/>
          <w:szCs w:val="24"/>
          <w:lang w:val="en-US"/>
        </w:rPr>
        <w:fldChar w:fldCharType="separate"/>
      </w:r>
      <w:r w:rsidR="00032712" w:rsidRPr="00DD2C41">
        <w:rPr>
          <w:noProof/>
          <w:color w:val="000000"/>
          <w:sz w:val="24"/>
          <w:szCs w:val="24"/>
          <w:lang w:val="en-US"/>
        </w:rPr>
        <w:t>(López et al., 2014)</w:t>
      </w:r>
      <w:r w:rsidR="00032712" w:rsidRPr="00DD2C41">
        <w:rPr>
          <w:color w:val="000000"/>
          <w:sz w:val="24"/>
          <w:szCs w:val="24"/>
          <w:lang w:val="en-US"/>
        </w:rPr>
        <w:fldChar w:fldCharType="end"/>
      </w:r>
      <w:r w:rsidR="00737D38" w:rsidRPr="00DD2C41">
        <w:rPr>
          <w:color w:val="000000"/>
          <w:sz w:val="24"/>
          <w:szCs w:val="24"/>
          <w:lang w:val="en-US"/>
        </w:rPr>
        <w:t>,</w:t>
      </w:r>
      <w:r w:rsidRPr="00C56E77">
        <w:rPr>
          <w:color w:val="FF0000"/>
          <w:sz w:val="24"/>
          <w:szCs w:val="24"/>
          <w:lang w:val="en-US"/>
        </w:rPr>
        <w:t xml:space="preserve"> </w:t>
      </w:r>
      <w:r w:rsidRPr="00DD2C41">
        <w:rPr>
          <w:color w:val="000000"/>
          <w:sz w:val="24"/>
          <w:szCs w:val="24"/>
          <w:lang w:val="en-US"/>
        </w:rPr>
        <w:t>who with magnetoencephalography recorded brain activity of healthy older adults while performing a memory task and found that participants with less cognitive reserve had greater functional connectivity than those with more cognitive reserve</w:t>
      </w:r>
      <w:r w:rsidR="00656CBB" w:rsidRPr="00DD2C41">
        <w:rPr>
          <w:color w:val="000000"/>
          <w:sz w:val="24"/>
          <w:szCs w:val="24"/>
          <w:lang w:val="en-US"/>
        </w:rPr>
        <w:t xml:space="preserve">; </w:t>
      </w:r>
      <w:r w:rsidR="00222C53" w:rsidRPr="00DD2C41">
        <w:rPr>
          <w:color w:val="000000"/>
          <w:sz w:val="24"/>
          <w:szCs w:val="24"/>
          <w:lang w:val="en-US"/>
        </w:rPr>
        <w:t>this findings support the proposed hypothesis tha</w:t>
      </w:r>
      <w:r w:rsidR="004D2068" w:rsidRPr="00DD2C41">
        <w:rPr>
          <w:color w:val="000000"/>
          <w:sz w:val="24"/>
          <w:szCs w:val="24"/>
          <w:lang w:val="en-US"/>
        </w:rPr>
        <w:t>t the brain electrical activity of high CR persons will be more efficient and that this effect can be observed in the theta band.</w:t>
      </w:r>
    </w:p>
    <w:p w14:paraId="3AD697B6" w14:textId="2CE7ADE2" w:rsidR="00CA01CE" w:rsidRPr="00DD2C41" w:rsidRDefault="002C06FF" w:rsidP="00DE2E63">
      <w:pPr>
        <w:spacing w:line="240" w:lineRule="auto"/>
        <w:rPr>
          <w:color w:val="000000"/>
          <w:sz w:val="24"/>
          <w:szCs w:val="24"/>
          <w:lang w:val="en-US"/>
        </w:rPr>
      </w:pPr>
      <w:r w:rsidRPr="00DD2C41">
        <w:rPr>
          <w:color w:val="000000"/>
          <w:sz w:val="24"/>
          <w:szCs w:val="24"/>
          <w:lang w:val="en-US"/>
        </w:rPr>
        <w:t xml:space="preserve">The increases in </w:t>
      </w:r>
      <w:r w:rsidR="00FF78D2" w:rsidRPr="00DD2C41">
        <w:rPr>
          <w:color w:val="000000"/>
          <w:sz w:val="24"/>
          <w:szCs w:val="24"/>
          <w:lang w:val="en-US"/>
        </w:rPr>
        <w:t>A</w:t>
      </w:r>
      <w:r w:rsidRPr="00DD2C41">
        <w:rPr>
          <w:color w:val="000000"/>
          <w:sz w:val="24"/>
          <w:szCs w:val="24"/>
          <w:lang w:val="en-US"/>
        </w:rPr>
        <w:t xml:space="preserve">P in the delta and theta bands </w:t>
      </w:r>
      <w:r w:rsidR="00FF78D2" w:rsidRPr="00DD2C41">
        <w:rPr>
          <w:color w:val="000000"/>
          <w:sz w:val="24"/>
          <w:szCs w:val="24"/>
          <w:lang w:val="en-US"/>
        </w:rPr>
        <w:t>at the WCST</w:t>
      </w:r>
      <w:r w:rsidRPr="00DD2C41">
        <w:rPr>
          <w:color w:val="000000"/>
          <w:sz w:val="24"/>
          <w:szCs w:val="24"/>
          <w:lang w:val="en-US"/>
        </w:rPr>
        <w:t xml:space="preserve"> conditions allowed us to confirm that cognitive processing requires greater synchronization of brain electrical activity, this result is consistent with previous research that also found increases in </w:t>
      </w:r>
      <w:r w:rsidR="00FF78D2" w:rsidRPr="00DD2C41">
        <w:rPr>
          <w:color w:val="000000"/>
          <w:sz w:val="24"/>
          <w:szCs w:val="24"/>
          <w:lang w:val="en-US"/>
        </w:rPr>
        <w:t>A</w:t>
      </w:r>
      <w:r w:rsidRPr="00DD2C41">
        <w:rPr>
          <w:color w:val="000000"/>
          <w:sz w:val="24"/>
          <w:szCs w:val="24"/>
          <w:lang w:val="en-US"/>
        </w:rPr>
        <w:t>P of the theta band when passing from a basal condition to the WCST solution</w:t>
      </w:r>
      <w:r w:rsidR="00032712" w:rsidRPr="00DD2C41">
        <w:rPr>
          <w:color w:val="000000"/>
          <w:sz w:val="24"/>
          <w:szCs w:val="24"/>
          <w:lang w:val="en-US"/>
        </w:rPr>
        <w:t xml:space="preserve"> </w:t>
      </w:r>
      <w:r w:rsidR="00032712" w:rsidRPr="00DD2C41">
        <w:rPr>
          <w:color w:val="000000"/>
          <w:sz w:val="24"/>
          <w:szCs w:val="24"/>
          <w:lang w:val="en-US"/>
        </w:rPr>
        <w:fldChar w:fldCharType="begin" w:fldLock="1"/>
      </w:r>
      <w:r w:rsidR="00032712" w:rsidRPr="00DD2C41">
        <w:rPr>
          <w:color w:val="000000"/>
          <w:sz w:val="24"/>
          <w:szCs w:val="24"/>
          <w:lang w:val="en-US"/>
        </w:rPr>
        <w:instrText>ADDIN CSL_CITATION {"citationItems":[{"id":"ITEM-1","itemData":{"DOI":"10.14814/phy2.12390","ISSN":"2051817X","abstract":"Body and brain undergo several changes with aging. One of the domains in which these changes are more remarkable relates with cognitive performance. In the present work, electroencephalogram (EEG) markers (power spectral density and spectral coherence) of age-related cognitive decline were sought whilst the subjects performed the Wisconsin Card Sorting Test (WCST). Con- sidering the expected age-related cognitive deficits, WCST was applied to young, mid-age and elderly participants, and the theta and alpha frequency bands were analyzed. From the results herein presented, higher theta and alpha power were found to be associated with a good performance in the WCST of younger subjects. Additionally, higher theta and alpha coherence were also associated with good performance and were shown to decline with age and a decrease in alpha peak frequency seems to be associated with aging. Additionally, inter-hemispheric long-range coherences and parietal theta power were identified as age-independent EEG correlates of cognitive perfor- mance. In summary, these data reveals age-dependent as well as age-indepen- dent EEG correlates of cognitive performance that contribute to the understanding of brain aging and related cognitive deficits","author":[{"dropping-particle":"","family":"Dias","given":"Nuno S.","non-dropping-particle":"","parse-names":false,"suffix":""},{"dropping-particle":"","family":"Ferreira","given":"Daniela","non-dropping-particle":"","parse-names":false,"suffix":""},{"dropping-particle":"","family":"Reis","given":"Joana","non-dropping-particle":"","parse-names":false,"suffix":""},{"dropping-particle":"","family":"Jacinto","given":"Luís R.","non-dropping-particle":"","parse-names":false,"suffix":""},{"dropping-particle":"","family":"Fernandes","given":"Luís","non-dropping-particle":"","parse-names":false,"suffix":""},{"dropping-particle":"","family":"Pinho","given":"Francisco","non-dropping-particle":"","parse-names":false,"suffix":""},{"dropping-particle":"","family":"Festa","given":"Joana","non-dropping-particle":"","parse-names":false,"suffix":""},{"dropping-particle":"","family":"Pereira","given":"Mariana","non-dropping-particle":"","parse-names":false,"suffix":""},{"dropping-particle":"","family":"Afonso","given":"Nuno","non-dropping-particle":"","parse-names":false,"suffix":""},{"dropping-particle":"","family":"Santos","given":"Nadine C.","non-dropping-particle":"","parse-names":false,"suffix":""},{"dropping-particle":"","family":"Cerqueira","given":"João J.","non-dropping-particle":"","parse-names":false,"suffix":""},{"dropping-particle":"","family":"Sousa","given":"Nuno","non-dropping-particle":"","parse-names":false,"suffix":""}],"container-title":"Physiological Reports","id":"ITEM-1","issue":"7","issued":{"date-parts":[["2015"]]},"page":"1-15","title":"Age effects on EEG correlates of the Wisconsin card sorting test","type":"article-journal","volume":"3"},"uris":["http://www.mendeley.com/documents/?uuid=3b24d727-ff99-483e-a2d9-4182b704e3d5"]}],"mendeley":{"formattedCitation":"(Dias et al., 2015)","plainTextFormattedCitation":"(Dias et al., 2015)","previouslyFormattedCitation":"(Dias et al., 2015)"},"properties":{"noteIndex":0},"schema":"https://github.com/citation-style-language/schema/raw/master/csl-citation.json"}</w:instrText>
      </w:r>
      <w:r w:rsidR="00032712" w:rsidRPr="00DD2C41">
        <w:rPr>
          <w:color w:val="000000"/>
          <w:sz w:val="24"/>
          <w:szCs w:val="24"/>
          <w:lang w:val="en-US"/>
        </w:rPr>
        <w:fldChar w:fldCharType="separate"/>
      </w:r>
      <w:r w:rsidR="00032712" w:rsidRPr="00DD2C41">
        <w:rPr>
          <w:noProof/>
          <w:color w:val="000000"/>
          <w:sz w:val="24"/>
          <w:szCs w:val="24"/>
          <w:lang w:val="en-US"/>
        </w:rPr>
        <w:t>(Dias et al., 2015)</w:t>
      </w:r>
      <w:r w:rsidR="00032712" w:rsidRPr="00DD2C41">
        <w:rPr>
          <w:color w:val="000000"/>
          <w:sz w:val="24"/>
          <w:szCs w:val="24"/>
          <w:lang w:val="en-US"/>
        </w:rPr>
        <w:fldChar w:fldCharType="end"/>
      </w:r>
      <w:r w:rsidR="00032712" w:rsidRPr="00DD2C41">
        <w:rPr>
          <w:color w:val="000000"/>
          <w:sz w:val="24"/>
          <w:szCs w:val="24"/>
          <w:lang w:val="en-US"/>
        </w:rPr>
        <w:t>,</w:t>
      </w:r>
      <w:r w:rsidRPr="00C56E77">
        <w:rPr>
          <w:color w:val="FF0000"/>
          <w:sz w:val="24"/>
          <w:szCs w:val="24"/>
          <w:lang w:val="en-US"/>
        </w:rPr>
        <w:t xml:space="preserve"> </w:t>
      </w:r>
      <w:r w:rsidRPr="00DD2C41">
        <w:rPr>
          <w:color w:val="000000"/>
          <w:sz w:val="24"/>
          <w:szCs w:val="24"/>
          <w:lang w:val="en-US"/>
        </w:rPr>
        <w:t>the incre</w:t>
      </w:r>
      <w:r w:rsidR="00FF78D2" w:rsidRPr="00DD2C41">
        <w:rPr>
          <w:color w:val="000000"/>
          <w:sz w:val="24"/>
          <w:szCs w:val="24"/>
          <w:lang w:val="en-US"/>
        </w:rPr>
        <w:t>ment in</w:t>
      </w:r>
      <w:r w:rsidRPr="00DD2C41">
        <w:rPr>
          <w:color w:val="000000"/>
          <w:sz w:val="24"/>
          <w:szCs w:val="24"/>
          <w:lang w:val="en-US"/>
        </w:rPr>
        <w:t xml:space="preserve"> this slow band is considered to reflect the recruitment of the working memory process necessary for the solution of the WCST, specifically the increases observed in the </w:t>
      </w:r>
      <w:r w:rsidR="00FF78D2" w:rsidRPr="00DD2C41">
        <w:rPr>
          <w:color w:val="000000"/>
          <w:sz w:val="24"/>
          <w:szCs w:val="24"/>
          <w:lang w:val="en-US"/>
        </w:rPr>
        <w:t>A</w:t>
      </w:r>
      <w:r w:rsidRPr="00DD2C41">
        <w:rPr>
          <w:color w:val="000000"/>
          <w:sz w:val="24"/>
          <w:szCs w:val="24"/>
          <w:lang w:val="en-US"/>
        </w:rPr>
        <w:t>P of the theta band in the left hemisphere in temporal, parietal and occipital areas, could be associated with the role that this activity has in the recovery and coding of the memory process necessary for the WCST solution</w:t>
      </w:r>
      <w:r w:rsidR="00FF78D2" w:rsidRPr="00DD2C41">
        <w:rPr>
          <w:color w:val="000000"/>
          <w:sz w:val="24"/>
          <w:szCs w:val="24"/>
          <w:lang w:val="en-US"/>
        </w:rPr>
        <w:t>,</w:t>
      </w:r>
      <w:r w:rsidRPr="00DD2C41">
        <w:rPr>
          <w:color w:val="000000"/>
          <w:sz w:val="24"/>
          <w:szCs w:val="24"/>
          <w:lang w:val="en-US"/>
        </w:rPr>
        <w:t xml:space="preserve"> </w:t>
      </w:r>
      <w:r w:rsidR="00FF78D2" w:rsidRPr="00DD2C41">
        <w:rPr>
          <w:color w:val="000000"/>
          <w:sz w:val="24"/>
          <w:szCs w:val="24"/>
          <w:lang w:val="en-US"/>
        </w:rPr>
        <w:t>a</w:t>
      </w:r>
      <w:r w:rsidRPr="00DD2C41">
        <w:rPr>
          <w:color w:val="000000"/>
          <w:sz w:val="24"/>
          <w:szCs w:val="24"/>
          <w:lang w:val="en-US"/>
        </w:rPr>
        <w:t>long the same lines, it has been described that the oscillations of the theta band are dependent on cognitive tasks, both for spatial processing and for working memory</w:t>
      </w:r>
      <w:r w:rsidR="00032712" w:rsidRPr="00DD2C41">
        <w:rPr>
          <w:color w:val="000000"/>
          <w:sz w:val="24"/>
          <w:szCs w:val="24"/>
          <w:lang w:val="en-US"/>
        </w:rPr>
        <w:t xml:space="preserve"> </w:t>
      </w:r>
      <w:r w:rsidR="00032712" w:rsidRPr="00DD2C41">
        <w:rPr>
          <w:color w:val="000000"/>
          <w:sz w:val="24"/>
          <w:szCs w:val="24"/>
          <w:lang w:val="en-US"/>
        </w:rPr>
        <w:fldChar w:fldCharType="begin" w:fldLock="1"/>
      </w:r>
      <w:r w:rsidR="00032712" w:rsidRPr="00DD2C41">
        <w:rPr>
          <w:color w:val="000000"/>
          <w:sz w:val="24"/>
          <w:szCs w:val="24"/>
          <w:lang w:val="en-US"/>
        </w:rPr>
        <w:instrText>ADDIN CSL_CITATION {"citationItems":[{"id":"ITEM-1","itemData":{"DOI":"10.1016/j.ijpsycho.2010.12.002","ISSN":"01678760","abstract":"The present study examines theta oscillations (electroencephalographic (EEG) activity with a frequency of 4-8. Hz) in male and female young adults during spatial navigation in virtual environments. Twenty-seven participants (13 males and 14 females) performed a spatial navigation task in a virtual maze where they had to find the shortest ways between landmarks. Absolute theta band power and event-related desynchronisation/synchronisation (ERD/ERS) in the theta frequency band was used to analyze the EEG data. Processing of spatial cues or landmarks induced cortical theta activity compared to a baseline condition, confirming the hypothesis that theta oscillations reflect sensorimotor integration. The sensorimotor integration hypothesis proposes that theta oscillations coordinate sensory information with a motor plan to direct wayfinding behaviour to known goal locations. No sex differences were found in spatial performance. However, female participants showed a stronger increase in theta oscillations during processing of landmarks as navigational aids compared to a baseline condition than men. Additionally, a higher theta power was associated with an increased navigation performance in women, whereas an increase in theta power was associated with a decreased navigation performance in men. These results might indicate a stronger sensorimotor integration in females than in males. Possible explanations for the emerged sex differences in cortical theta activity are discussed. © 2010 Elsevier B.V.","author":[{"dropping-particle":"","family":"Kober","given":"Silvia Erika","non-dropping-particle":"","parse-names":false,"suffix":""},{"dropping-particle":"","family":"Neuper","given":"Christa","non-dropping-particle":"","parse-names":false,"suffix":""}],"container-title":"International Journal of Psychophysiology","id":"ITEM-1","issue":"3","issued":{"date-parts":[["2011"]]},"page":"347-355","publisher":"Elsevier B.V.","title":"Sex differences in human EEG theta oscillations during spatial navigation in virtual reality","type":"article-journal","volume":"79"},"uris":["http://www.mendeley.com/documents/?uuid=d1a9baf0-a0f4-4d2e-9ebe-dae6d39470b0"]}],"mendeley":{"formattedCitation":"(Kober &amp; Neuper, 2011)","plainTextFormattedCitation":"(Kober &amp; Neuper, 2011)","previouslyFormattedCitation":"(Kober &amp; Neuper, 2011)"},"properties":{"noteIndex":0},"schema":"https://github.com/citation-style-language/schema/raw/master/csl-citation.json"}</w:instrText>
      </w:r>
      <w:r w:rsidR="00032712" w:rsidRPr="00DD2C41">
        <w:rPr>
          <w:color w:val="000000"/>
          <w:sz w:val="24"/>
          <w:szCs w:val="24"/>
          <w:lang w:val="en-US"/>
        </w:rPr>
        <w:fldChar w:fldCharType="separate"/>
      </w:r>
      <w:r w:rsidR="00032712" w:rsidRPr="00DD2C41">
        <w:rPr>
          <w:noProof/>
          <w:color w:val="000000"/>
          <w:sz w:val="24"/>
          <w:szCs w:val="24"/>
          <w:lang w:val="en-US"/>
        </w:rPr>
        <w:t>(Kober &amp; Neuper, 2011)</w:t>
      </w:r>
      <w:r w:rsidR="00032712" w:rsidRPr="00DD2C41">
        <w:rPr>
          <w:color w:val="000000"/>
          <w:sz w:val="24"/>
          <w:szCs w:val="24"/>
          <w:lang w:val="en-US"/>
        </w:rPr>
        <w:fldChar w:fldCharType="end"/>
      </w:r>
      <w:r w:rsidR="00032712" w:rsidRPr="00DD2C41">
        <w:rPr>
          <w:color w:val="000000"/>
          <w:sz w:val="24"/>
          <w:szCs w:val="24"/>
          <w:lang w:val="en-US"/>
        </w:rPr>
        <w:t>.</w:t>
      </w:r>
    </w:p>
    <w:p w14:paraId="3B4627EF" w14:textId="7C86D24E" w:rsidR="002C06FF" w:rsidRPr="00DD2C41" w:rsidRDefault="00CA01CE" w:rsidP="00DE2E63">
      <w:pPr>
        <w:spacing w:line="240" w:lineRule="auto"/>
        <w:rPr>
          <w:color w:val="000000"/>
          <w:sz w:val="24"/>
          <w:szCs w:val="24"/>
          <w:lang w:val="en-US"/>
        </w:rPr>
      </w:pPr>
      <w:r w:rsidRPr="00DD2C41">
        <w:rPr>
          <w:color w:val="000000"/>
          <w:sz w:val="24"/>
          <w:szCs w:val="24"/>
          <w:lang w:val="en-US"/>
        </w:rPr>
        <w:t>T</w:t>
      </w:r>
      <w:r w:rsidR="002C06FF" w:rsidRPr="00DD2C41">
        <w:rPr>
          <w:color w:val="000000"/>
          <w:sz w:val="24"/>
          <w:szCs w:val="24"/>
          <w:lang w:val="en-US"/>
        </w:rPr>
        <w:t>he synchronization of the oscillations of the theta band has been associated with the effect of cognitive processing exerted by the prefrontal cortex in the parietal and temporal regions</w:t>
      </w:r>
      <w:r w:rsidRPr="00DD2C41">
        <w:rPr>
          <w:color w:val="000000"/>
          <w:sz w:val="24"/>
          <w:szCs w:val="24"/>
          <w:lang w:val="en-US"/>
        </w:rPr>
        <w:t xml:space="preserve"> which</w:t>
      </w:r>
      <w:r w:rsidR="002C06FF" w:rsidRPr="00DD2C41">
        <w:rPr>
          <w:color w:val="000000"/>
          <w:sz w:val="24"/>
          <w:szCs w:val="24"/>
          <w:lang w:val="en-US"/>
        </w:rPr>
        <w:t xml:space="preserve"> allows the maintenance of information in working memory</w:t>
      </w:r>
      <w:r w:rsidR="00032712" w:rsidRPr="00DD2C41">
        <w:rPr>
          <w:color w:val="000000"/>
          <w:sz w:val="24"/>
          <w:szCs w:val="24"/>
          <w:lang w:val="en-US"/>
        </w:rPr>
        <w:t xml:space="preserve"> </w:t>
      </w:r>
      <w:r w:rsidR="00032712" w:rsidRPr="00DD2C41">
        <w:rPr>
          <w:color w:val="000000"/>
          <w:sz w:val="24"/>
          <w:szCs w:val="24"/>
          <w:lang w:val="en-US"/>
        </w:rPr>
        <w:fldChar w:fldCharType="begin" w:fldLock="1"/>
      </w:r>
      <w:r w:rsidR="00737D38" w:rsidRPr="00DD2C41">
        <w:rPr>
          <w:color w:val="000000"/>
          <w:sz w:val="24"/>
          <w:szCs w:val="24"/>
          <w:lang w:val="en-US"/>
        </w:rPr>
        <w:instrText>ADDIN CSL_CITATION {"citationItems":[{"id":"ITEM-1","itemData":{"DOI":"10.1016/j.neubiorev.2009.12.006","ISSN":"01497634","abstract":"Neural correlates of control mechanisms in human working memory are discussed at two levels in this review: (i) at 'item level', where in multi-item working memory information needs to be organized into sequential memory representations, and (ii) at a 'process level', indicating the integration and control of a variety of cognitive functions involved in working memory, independent of item representations per se. It will be discussed that at both levels electroencephalographic theta activity is responsible for control of working memory functions. On item level, exact phase coding, e.g., approached by coupling between theta and gamma oscillations or phase resetting of theta frequency, is suggested to integrate information into working memory representations. At process level interregional theta synchronization is discussed to integrate brain structures necessary for working memory. When discussing the specificity of theta activity for control of working memory processes it will be suggested that theta oscillations might play an important general integrative role in organization of brain activity. And as working memory often involves a variety of cognitive processes which need to be coordinated there is particular need for an integrative brain mechanism like theta activity as suggested in this review. © 2009 Elsevier Ltd.","author":[{"dropping-particle":"","family":"Sauseng","given":"Paul","non-dropping-particle":"","parse-names":false,"suffix":""},{"dropping-particle":"","family":"Griesmayr","given":"Birgit","non-dropping-particle":"","parse-names":false,"suffix":""},{"dropping-particle":"","family":"Freunberger","given":"Roman","non-dropping-particle":"","parse-names":false,"suffix":""},{"dropping-particle":"","family":"Klimesch","given":"Wolfgang","non-dropping-particle":"","parse-names":false,"suffix":""}],"container-title":"Neuroscience and Biobehavioral Reviews","id":"ITEM-1","issue":"7","issued":{"date-parts":[["2010"]]},"page":"1015-1022","publisher":"Elsevier Ltd","title":"Control mechanisms in working memory: A possible function of EEG theta oscillations","type":"article-journal","volume":"34"},"uris":["http://www.mendeley.com/documents/?uuid=6be4a626-220b-4cf4-b7b9-fcb7299eef30"]},{"id":"ITEM-2","itemData":{"DOI":"10.1038/nrn2979","ISSN":"1471-003X","author":[{"dropping-particle":"","family":"Fell","given":"Juergen","non-dropping-particle":"","parse-names":false,"suffix":""},{"dropping-particle":"","family":"Axmacher","given":"Nikolai","non-dropping-particle":"","parse-names":false,"suffix":""}],"container-title":"Nature Reviews Neuroscience","id":"ITEM-2","issue":"2","issued":{"date-parts":[["2011","2","20"]]},"page":"105-118","title":"The role of phase synchronization in memory processes","type":"article-journal","volume":"12"},"uris":["http://www.mendeley.com/documents/?uuid=b3a5693e-0ab5-44d4-a04d-100f7af5ad8c"]}],"mendeley":{"formattedCitation":"(Fell &amp; Axmacher, 2011; Sauseng, Griesmayr, Freunberger, &amp; Klimesch, 2010)","plainTextFormattedCitation":"(Fell &amp; Axmacher, 2011; Sauseng, Griesmayr, Freunberger, &amp; Klimesch, 2010)","previouslyFormattedCitation":"(Fell &amp; Axmacher, 2011; Sauseng, Griesmayr, Freunberger, &amp; Klimesch, 2010)"},"properties":{"noteIndex":0},"schema":"https://github.com/citation-style-language/schema/raw/master/csl-citation.json"}</w:instrText>
      </w:r>
      <w:r w:rsidR="00032712" w:rsidRPr="00DD2C41">
        <w:rPr>
          <w:color w:val="000000"/>
          <w:sz w:val="24"/>
          <w:szCs w:val="24"/>
          <w:lang w:val="en-US"/>
        </w:rPr>
        <w:fldChar w:fldCharType="separate"/>
      </w:r>
      <w:r w:rsidR="00032712" w:rsidRPr="00DD2C41">
        <w:rPr>
          <w:noProof/>
          <w:color w:val="000000"/>
          <w:sz w:val="24"/>
          <w:szCs w:val="24"/>
          <w:lang w:val="en-US"/>
        </w:rPr>
        <w:t xml:space="preserve">(Fell &amp; Axmacher, 2011; </w:t>
      </w:r>
      <w:r w:rsidR="00032712" w:rsidRPr="00DD2C41">
        <w:rPr>
          <w:noProof/>
          <w:color w:val="000000"/>
          <w:sz w:val="24"/>
          <w:szCs w:val="24"/>
          <w:lang w:val="en-US"/>
        </w:rPr>
        <w:lastRenderedPageBreak/>
        <w:t>Sauseng, Griesmayr, Freunberger, &amp; Klimesch, 2010)</w:t>
      </w:r>
      <w:r w:rsidR="00032712" w:rsidRPr="00DD2C41">
        <w:rPr>
          <w:color w:val="000000"/>
          <w:sz w:val="24"/>
          <w:szCs w:val="24"/>
          <w:lang w:val="en-US"/>
        </w:rPr>
        <w:fldChar w:fldCharType="end"/>
      </w:r>
      <w:r w:rsidR="00032712" w:rsidRPr="00DD2C41">
        <w:rPr>
          <w:color w:val="000000"/>
          <w:sz w:val="24"/>
          <w:szCs w:val="24"/>
          <w:lang w:val="en-US"/>
        </w:rPr>
        <w:t>,</w:t>
      </w:r>
      <w:r w:rsidR="002C06FF" w:rsidRPr="00DD2C41">
        <w:rPr>
          <w:color w:val="000000"/>
          <w:sz w:val="24"/>
          <w:szCs w:val="24"/>
          <w:lang w:val="en-US"/>
        </w:rPr>
        <w:t xml:space="preserve"> this effect is observable through the WCST, since this task requires several cognitive processes for its solution and these processes have a different time of action, at the beginning of the task the participant must use the language and long-term memory to be able to identify the categories necessary to solve the test and assign them a name, in this phase mainly occipital, temporal and parietal areas are recruited; in the middle </w:t>
      </w:r>
      <w:r w:rsidRPr="00DD2C41">
        <w:rPr>
          <w:color w:val="000000"/>
          <w:sz w:val="24"/>
          <w:szCs w:val="24"/>
          <w:lang w:val="en-US"/>
        </w:rPr>
        <w:t xml:space="preserve">of the task </w:t>
      </w:r>
      <w:r w:rsidR="002C06FF" w:rsidRPr="00DD2C41">
        <w:rPr>
          <w:color w:val="000000"/>
          <w:sz w:val="24"/>
          <w:szCs w:val="24"/>
          <w:lang w:val="en-US"/>
        </w:rPr>
        <w:t xml:space="preserve">the participant must start to run the test and through feedback generate possible ways of solving the task, this phase requires working memory and attention, processes that are associated with temporal and prefrontal areas; at the end of the task, when the solution rules have already been learned, the participant must keep them during their execution and be attentive to the feedback stimuli that indicate category changes; so the execution in this phase occurs mainly in prefrontal areas; </w:t>
      </w:r>
      <w:r w:rsidRPr="00DD2C41">
        <w:rPr>
          <w:color w:val="000000"/>
          <w:sz w:val="24"/>
          <w:szCs w:val="24"/>
          <w:lang w:val="en-US"/>
        </w:rPr>
        <w:t>t</w:t>
      </w:r>
      <w:r w:rsidR="002C06FF" w:rsidRPr="00DD2C41">
        <w:rPr>
          <w:color w:val="000000"/>
          <w:sz w:val="24"/>
          <w:szCs w:val="24"/>
          <w:lang w:val="en-US"/>
        </w:rPr>
        <w:t>herefore, the WCST favors the neurophysiological observation of</w:t>
      </w:r>
      <w:r w:rsidR="007020FE" w:rsidRPr="00DD2C41">
        <w:rPr>
          <w:color w:val="000000"/>
          <w:sz w:val="24"/>
          <w:szCs w:val="24"/>
          <w:lang w:val="en-US"/>
        </w:rPr>
        <w:t xml:space="preserve"> d</w:t>
      </w:r>
      <w:r w:rsidR="002C06FF" w:rsidRPr="00DD2C41">
        <w:rPr>
          <w:color w:val="000000"/>
          <w:sz w:val="24"/>
          <w:szCs w:val="24"/>
          <w:lang w:val="en-US"/>
        </w:rPr>
        <w:t xml:space="preserve">ifferent cognitive processes and their association with CR </w:t>
      </w:r>
      <w:r w:rsidR="001338F4" w:rsidRPr="00DD2C41">
        <w:rPr>
          <w:color w:val="000000"/>
          <w:sz w:val="24"/>
          <w:szCs w:val="24"/>
          <w:lang w:val="en-US"/>
        </w:rPr>
        <w:t>could</w:t>
      </w:r>
      <w:r w:rsidR="002C06FF" w:rsidRPr="00DD2C41">
        <w:rPr>
          <w:color w:val="000000"/>
          <w:sz w:val="24"/>
          <w:szCs w:val="24"/>
          <w:lang w:val="en-US"/>
        </w:rPr>
        <w:t xml:space="preserve"> be mediated by the mechanism of recruitment of neural networks, the difference in the number of correlations found for each segment of the WCST</w:t>
      </w:r>
      <w:r w:rsidR="001338F4" w:rsidRPr="00DD2C41">
        <w:rPr>
          <w:color w:val="000000"/>
          <w:sz w:val="24"/>
          <w:szCs w:val="24"/>
          <w:lang w:val="en-US"/>
        </w:rPr>
        <w:t xml:space="preserve"> </w:t>
      </w:r>
      <w:r w:rsidR="0000217A" w:rsidRPr="00DD2C41">
        <w:rPr>
          <w:color w:val="000000"/>
          <w:sz w:val="24"/>
          <w:szCs w:val="24"/>
          <w:lang w:val="en-US"/>
        </w:rPr>
        <w:t xml:space="preserve">may </w:t>
      </w:r>
      <w:r w:rsidR="002C06FF" w:rsidRPr="00DD2C41">
        <w:rPr>
          <w:color w:val="000000"/>
          <w:sz w:val="24"/>
          <w:szCs w:val="24"/>
          <w:lang w:val="en-US"/>
        </w:rPr>
        <w:t>indicate that depending on the time segment analyzed</w:t>
      </w:r>
      <w:r w:rsidR="001338F4" w:rsidRPr="00DD2C41">
        <w:rPr>
          <w:color w:val="000000"/>
          <w:sz w:val="24"/>
          <w:szCs w:val="24"/>
          <w:lang w:val="en-US"/>
        </w:rPr>
        <w:t xml:space="preserve"> </w:t>
      </w:r>
      <w:r w:rsidR="002C06FF" w:rsidRPr="00DD2C41">
        <w:rPr>
          <w:color w:val="000000"/>
          <w:sz w:val="24"/>
          <w:szCs w:val="24"/>
          <w:lang w:val="en-US"/>
        </w:rPr>
        <w:t xml:space="preserve">the </w:t>
      </w:r>
      <w:r w:rsidR="0000217A" w:rsidRPr="00DD2C41">
        <w:rPr>
          <w:color w:val="000000"/>
          <w:sz w:val="24"/>
          <w:szCs w:val="24"/>
          <w:lang w:val="en-US"/>
        </w:rPr>
        <w:t>effects of cognitive processing can</w:t>
      </w:r>
      <w:r w:rsidR="002C06FF" w:rsidRPr="00DD2C41">
        <w:rPr>
          <w:color w:val="000000"/>
          <w:sz w:val="24"/>
          <w:szCs w:val="24"/>
          <w:lang w:val="en-US"/>
        </w:rPr>
        <w:t xml:space="preserve"> be observed in different frequency bands.</w:t>
      </w:r>
    </w:p>
    <w:p w14:paraId="5397A255" w14:textId="086DDE57" w:rsidR="00CC4AB6" w:rsidRPr="00DD2C41" w:rsidRDefault="00A4241B" w:rsidP="00DE2E63">
      <w:pPr>
        <w:spacing w:line="240" w:lineRule="auto"/>
        <w:rPr>
          <w:color w:val="000000"/>
          <w:sz w:val="24"/>
          <w:szCs w:val="24"/>
          <w:lang w:val="en-US"/>
        </w:rPr>
      </w:pPr>
      <w:r w:rsidRPr="00DD2C41">
        <w:rPr>
          <w:color w:val="000000"/>
          <w:sz w:val="24"/>
          <w:szCs w:val="24"/>
          <w:lang w:val="en-US"/>
        </w:rPr>
        <w:t>This research provides evidence about the neurofunctional dynamics of CR studied with electroencephalography</w:t>
      </w:r>
      <w:r w:rsidR="007D6831" w:rsidRPr="00DD2C41">
        <w:rPr>
          <w:color w:val="000000"/>
          <w:sz w:val="24"/>
          <w:szCs w:val="24"/>
          <w:lang w:val="en-US"/>
        </w:rPr>
        <w:t>.</w:t>
      </w:r>
      <w:r w:rsidRPr="00DD2C41">
        <w:rPr>
          <w:color w:val="000000"/>
          <w:sz w:val="24"/>
          <w:szCs w:val="24"/>
          <w:lang w:val="en-US"/>
        </w:rPr>
        <w:t xml:space="preserve"> </w:t>
      </w:r>
      <w:r w:rsidR="007D6831" w:rsidRPr="00DD2C41">
        <w:rPr>
          <w:color w:val="000000"/>
          <w:sz w:val="24"/>
          <w:szCs w:val="24"/>
          <w:lang w:val="en-US"/>
        </w:rPr>
        <w:t>W</w:t>
      </w:r>
      <w:r w:rsidRPr="00DD2C41">
        <w:rPr>
          <w:color w:val="000000"/>
          <w:sz w:val="24"/>
          <w:szCs w:val="24"/>
          <w:lang w:val="en-US"/>
        </w:rPr>
        <w:t xml:space="preserve">e found a subtle effect and </w:t>
      </w:r>
      <w:r w:rsidR="0065170A" w:rsidRPr="00DD2C41">
        <w:rPr>
          <w:color w:val="000000"/>
          <w:sz w:val="24"/>
          <w:szCs w:val="24"/>
          <w:lang w:val="en-US"/>
        </w:rPr>
        <w:t xml:space="preserve">negative </w:t>
      </w:r>
      <w:r w:rsidRPr="00DD2C41">
        <w:rPr>
          <w:color w:val="000000"/>
          <w:sz w:val="24"/>
          <w:szCs w:val="24"/>
          <w:lang w:val="en-US"/>
        </w:rPr>
        <w:t>correlation</w:t>
      </w:r>
      <w:r w:rsidR="0065170A" w:rsidRPr="00DD2C41">
        <w:rPr>
          <w:color w:val="000000"/>
          <w:sz w:val="24"/>
          <w:szCs w:val="24"/>
          <w:lang w:val="en-US"/>
        </w:rPr>
        <w:t>s</w:t>
      </w:r>
      <w:r w:rsidRPr="00DD2C41">
        <w:rPr>
          <w:color w:val="000000"/>
          <w:sz w:val="24"/>
          <w:szCs w:val="24"/>
          <w:lang w:val="en-US"/>
        </w:rPr>
        <w:t xml:space="preserve"> between CR and AP of the EEG of healthy older adults, </w:t>
      </w:r>
      <w:r w:rsidR="00403A5C" w:rsidRPr="00DD2C41">
        <w:rPr>
          <w:color w:val="000000"/>
          <w:sz w:val="24"/>
          <w:szCs w:val="24"/>
          <w:lang w:val="en-US"/>
        </w:rPr>
        <w:t>showing that low CR implies less efficient task related activation</w:t>
      </w:r>
      <w:r w:rsidRPr="00DD2C41">
        <w:rPr>
          <w:color w:val="000000"/>
          <w:sz w:val="24"/>
          <w:szCs w:val="24"/>
          <w:lang w:val="en-US"/>
        </w:rPr>
        <w:t xml:space="preserve">, it was also found that </w:t>
      </w:r>
      <w:r w:rsidR="0065170A" w:rsidRPr="00DD2C41">
        <w:rPr>
          <w:color w:val="000000"/>
          <w:sz w:val="24"/>
          <w:szCs w:val="24"/>
          <w:lang w:val="en-US"/>
        </w:rPr>
        <w:t xml:space="preserve">the EEG registered during </w:t>
      </w:r>
      <w:r w:rsidRPr="00DD2C41">
        <w:rPr>
          <w:color w:val="000000"/>
          <w:sz w:val="24"/>
          <w:szCs w:val="24"/>
          <w:lang w:val="en-US"/>
        </w:rPr>
        <w:t xml:space="preserve">cognitively demanding tasks </w:t>
      </w:r>
      <w:r w:rsidR="0065170A" w:rsidRPr="00DD2C41">
        <w:rPr>
          <w:color w:val="000000"/>
          <w:sz w:val="24"/>
          <w:szCs w:val="24"/>
          <w:lang w:val="en-US"/>
        </w:rPr>
        <w:t xml:space="preserve">is </w:t>
      </w:r>
      <w:r w:rsidRPr="00DD2C41">
        <w:rPr>
          <w:color w:val="000000"/>
          <w:sz w:val="24"/>
          <w:szCs w:val="24"/>
          <w:lang w:val="en-US"/>
        </w:rPr>
        <w:t>useful to demonstrate the effect of CR</w:t>
      </w:r>
      <w:r w:rsidR="0065170A" w:rsidRPr="00DD2C41">
        <w:rPr>
          <w:color w:val="000000"/>
          <w:sz w:val="24"/>
          <w:szCs w:val="24"/>
          <w:lang w:val="en-US"/>
        </w:rPr>
        <w:t xml:space="preserve"> on brain dynamics</w:t>
      </w:r>
      <w:r w:rsidRPr="00DD2C41">
        <w:rPr>
          <w:color w:val="000000"/>
          <w:sz w:val="24"/>
          <w:szCs w:val="24"/>
          <w:lang w:val="en-US"/>
        </w:rPr>
        <w:t>.</w:t>
      </w:r>
    </w:p>
    <w:p w14:paraId="0ED870F7" w14:textId="1226CA2D" w:rsidR="00C31707" w:rsidRPr="00DD2C41" w:rsidRDefault="00C31707" w:rsidP="00DE2E63">
      <w:pPr>
        <w:spacing w:line="240" w:lineRule="auto"/>
        <w:rPr>
          <w:b/>
          <w:bCs/>
          <w:color w:val="000000"/>
          <w:sz w:val="24"/>
          <w:szCs w:val="24"/>
          <w:lang w:val="en-US"/>
        </w:rPr>
      </w:pPr>
      <w:r w:rsidRPr="00DD2C41">
        <w:rPr>
          <w:b/>
          <w:bCs/>
          <w:color w:val="000000"/>
          <w:sz w:val="24"/>
          <w:szCs w:val="24"/>
          <w:lang w:val="en-US"/>
        </w:rPr>
        <w:t>Limitations</w:t>
      </w:r>
    </w:p>
    <w:p w14:paraId="7526EE45" w14:textId="62434F5E" w:rsidR="00A51FB1" w:rsidRPr="00DD2C41" w:rsidRDefault="00A51FB1" w:rsidP="00DE2E63">
      <w:pPr>
        <w:spacing w:line="240" w:lineRule="auto"/>
        <w:rPr>
          <w:color w:val="000000"/>
          <w:sz w:val="24"/>
          <w:szCs w:val="24"/>
          <w:lang w:val="en-US"/>
        </w:rPr>
      </w:pPr>
      <w:r w:rsidRPr="00DD2C41">
        <w:rPr>
          <w:color w:val="000000"/>
          <w:sz w:val="24"/>
          <w:szCs w:val="24"/>
          <w:lang w:val="en-US"/>
        </w:rPr>
        <w:t xml:space="preserve">Among the limitations of the research is the small sample size, </w:t>
      </w:r>
      <w:r w:rsidRPr="00DD2C41">
        <w:rPr>
          <w:color w:val="000000"/>
          <w:sz w:val="24"/>
          <w:szCs w:val="24"/>
          <w:lang w:val="en"/>
        </w:rPr>
        <w:t>this limitation could be mediated by the comorbidity of diseases in aging making difficult to gather cognitively healthy old adults</w:t>
      </w:r>
      <w:r w:rsidRPr="00DD2C41">
        <w:rPr>
          <w:color w:val="000000"/>
          <w:sz w:val="24"/>
          <w:szCs w:val="24"/>
          <w:lang w:val="en-US"/>
        </w:rPr>
        <w:t>, and therefore the size of the groups for each level of cognitive reserve</w:t>
      </w:r>
      <w:r w:rsidR="001338F4" w:rsidRPr="00DD2C41">
        <w:rPr>
          <w:color w:val="000000"/>
          <w:sz w:val="24"/>
          <w:szCs w:val="24"/>
          <w:lang w:val="en-US"/>
        </w:rPr>
        <w:t xml:space="preserve"> is also small</w:t>
      </w:r>
      <w:r w:rsidRPr="00DD2C41">
        <w:rPr>
          <w:color w:val="000000"/>
          <w:sz w:val="24"/>
          <w:szCs w:val="24"/>
          <w:lang w:val="en-US"/>
        </w:rPr>
        <w:t>, however, we consider that the effect of the cognitive reserve observed in the absolute power increments, could be replicated in a larger sample. Another limitation is that a minimum knowledge about how to use a computer is required for the solution of the computerized WCST so that participants with low educational levels or without previous experience are at a disadvantage</w:t>
      </w:r>
      <w:r w:rsidR="00284E40" w:rsidRPr="00DD2C41">
        <w:rPr>
          <w:color w:val="000000"/>
          <w:sz w:val="24"/>
          <w:szCs w:val="24"/>
          <w:lang w:val="en-US"/>
        </w:rPr>
        <w:t>, using the traditional version of the WCST could solve this problem, however, synchronization with the EEG equipment would be lost.</w:t>
      </w:r>
    </w:p>
    <w:p w14:paraId="4B48A8FB" w14:textId="77777777" w:rsidR="000D6ADD" w:rsidRPr="00DD2C41" w:rsidRDefault="000D6ADD" w:rsidP="00DE2E63">
      <w:pPr>
        <w:spacing w:line="240" w:lineRule="auto"/>
        <w:rPr>
          <w:color w:val="000000"/>
          <w:sz w:val="24"/>
          <w:szCs w:val="24"/>
          <w:lang w:val="en-US"/>
        </w:rPr>
      </w:pPr>
    </w:p>
    <w:p w14:paraId="0E7D31B1" w14:textId="386FD234" w:rsidR="00C31707" w:rsidRPr="00DD2C41" w:rsidRDefault="00C31707" w:rsidP="00DE2E63">
      <w:pPr>
        <w:spacing w:line="240" w:lineRule="auto"/>
        <w:rPr>
          <w:b/>
          <w:bCs/>
          <w:color w:val="000000"/>
          <w:sz w:val="24"/>
          <w:szCs w:val="24"/>
          <w:lang w:val="en-US"/>
        </w:rPr>
      </w:pPr>
      <w:r w:rsidRPr="00DD2C41">
        <w:rPr>
          <w:b/>
          <w:bCs/>
          <w:color w:val="000000"/>
          <w:sz w:val="24"/>
          <w:szCs w:val="24"/>
          <w:lang w:val="en-US"/>
        </w:rPr>
        <w:t>Future research</w:t>
      </w:r>
    </w:p>
    <w:p w14:paraId="34DFF998" w14:textId="2F8D7823" w:rsidR="00284E40" w:rsidRPr="00DD2C41" w:rsidRDefault="00284E40" w:rsidP="00DE2E63">
      <w:pPr>
        <w:spacing w:line="240" w:lineRule="auto"/>
        <w:rPr>
          <w:color w:val="000000"/>
          <w:sz w:val="24"/>
          <w:szCs w:val="24"/>
          <w:lang w:val="en-US"/>
        </w:rPr>
      </w:pPr>
      <w:r w:rsidRPr="00DD2C41">
        <w:rPr>
          <w:color w:val="000000"/>
          <w:sz w:val="24"/>
          <w:szCs w:val="24"/>
          <w:lang w:val="en-US"/>
        </w:rPr>
        <w:t xml:space="preserve">Subsequent investigations should analyze the effect of </w:t>
      </w:r>
      <w:r w:rsidR="002727D0" w:rsidRPr="00DD2C41">
        <w:rPr>
          <w:color w:val="000000"/>
          <w:sz w:val="24"/>
          <w:szCs w:val="24"/>
          <w:lang w:val="en-US"/>
        </w:rPr>
        <w:t>cognitive</w:t>
      </w:r>
      <w:r w:rsidRPr="00DD2C41">
        <w:rPr>
          <w:color w:val="000000"/>
          <w:sz w:val="24"/>
          <w:szCs w:val="24"/>
          <w:lang w:val="en-US"/>
        </w:rPr>
        <w:t xml:space="preserve"> reserve in the other quantitative EEG measures, specifically the electroencephalographic coherence should be studied given its functional correlation with the cognitive reserve theory</w:t>
      </w:r>
      <w:r w:rsidR="004F4A0B" w:rsidRPr="00DD2C41">
        <w:rPr>
          <w:color w:val="000000"/>
          <w:sz w:val="24"/>
          <w:szCs w:val="24"/>
          <w:lang w:val="en-US"/>
        </w:rPr>
        <w:t>.</w:t>
      </w:r>
    </w:p>
    <w:p w14:paraId="6146A0F8" w14:textId="77777777" w:rsidR="00104795" w:rsidRPr="00DD2C41" w:rsidRDefault="00104795" w:rsidP="00DE2E63">
      <w:pPr>
        <w:spacing w:line="240" w:lineRule="auto"/>
        <w:rPr>
          <w:color w:val="000000"/>
          <w:sz w:val="24"/>
          <w:szCs w:val="24"/>
          <w:lang w:val="en-US"/>
        </w:rPr>
      </w:pPr>
    </w:p>
    <w:p w14:paraId="045A553E" w14:textId="486274F0" w:rsidR="002C06FF" w:rsidRPr="00DD2C41" w:rsidRDefault="002C06FF" w:rsidP="00DE2E63">
      <w:pPr>
        <w:spacing w:line="240" w:lineRule="auto"/>
        <w:rPr>
          <w:b/>
          <w:bCs/>
          <w:color w:val="000000"/>
          <w:sz w:val="24"/>
          <w:szCs w:val="24"/>
          <w:lang w:val="en-US"/>
        </w:rPr>
      </w:pPr>
      <w:r w:rsidRPr="00DD2C41">
        <w:rPr>
          <w:b/>
          <w:bCs/>
          <w:color w:val="000000"/>
          <w:sz w:val="24"/>
          <w:szCs w:val="24"/>
          <w:lang w:val="en-US"/>
        </w:rPr>
        <w:t>Conclusions</w:t>
      </w:r>
    </w:p>
    <w:p w14:paraId="042CE73E" w14:textId="00C41C14" w:rsidR="002C06FF" w:rsidRPr="00DD2C41" w:rsidRDefault="00523C10" w:rsidP="00DE2E63">
      <w:pPr>
        <w:spacing w:line="240" w:lineRule="auto"/>
        <w:rPr>
          <w:color w:val="000000"/>
          <w:sz w:val="24"/>
          <w:szCs w:val="24"/>
          <w:lang w:val="en-US"/>
        </w:rPr>
      </w:pPr>
      <w:r w:rsidRPr="00DD2C41">
        <w:rPr>
          <w:color w:val="000000"/>
          <w:sz w:val="24"/>
          <w:szCs w:val="24"/>
          <w:lang w:val="en-US"/>
        </w:rPr>
        <w:t>C</w:t>
      </w:r>
      <w:r w:rsidR="002C06FF" w:rsidRPr="00DD2C41">
        <w:rPr>
          <w:color w:val="000000"/>
          <w:sz w:val="24"/>
          <w:szCs w:val="24"/>
          <w:lang w:val="en-US"/>
        </w:rPr>
        <w:t>ognitive reserve is negatively correlated with the absolute power of the Delta and Theta bands recorded during cognition.</w:t>
      </w:r>
      <w:r w:rsidR="00BF7E49" w:rsidRPr="00DD2C41">
        <w:rPr>
          <w:color w:val="000000"/>
          <w:sz w:val="24"/>
          <w:szCs w:val="24"/>
          <w:lang w:val="en-US"/>
        </w:rPr>
        <w:t xml:space="preserve"> Delta and Theta </w:t>
      </w:r>
      <w:r w:rsidR="002C06FF" w:rsidRPr="00DD2C41">
        <w:rPr>
          <w:color w:val="000000"/>
          <w:sz w:val="24"/>
          <w:szCs w:val="24"/>
          <w:lang w:val="en-US"/>
        </w:rPr>
        <w:t xml:space="preserve">frequency bands </w:t>
      </w:r>
      <w:r w:rsidR="00BF7E49" w:rsidRPr="00DD2C41">
        <w:rPr>
          <w:color w:val="000000"/>
          <w:sz w:val="24"/>
          <w:szCs w:val="24"/>
          <w:lang w:val="en-US"/>
        </w:rPr>
        <w:t xml:space="preserve">are the </w:t>
      </w:r>
      <w:r w:rsidR="002C06FF" w:rsidRPr="00DD2C41">
        <w:rPr>
          <w:color w:val="000000"/>
          <w:sz w:val="24"/>
          <w:szCs w:val="24"/>
          <w:lang w:val="en-US"/>
        </w:rPr>
        <w:t xml:space="preserve">most sensitive to the effect of cognitive reserve and this effect is observed mainly in areas of the left </w:t>
      </w:r>
      <w:r w:rsidR="002C06FF" w:rsidRPr="00DD2C41">
        <w:rPr>
          <w:color w:val="000000"/>
          <w:sz w:val="24"/>
          <w:szCs w:val="24"/>
          <w:lang w:val="en-US"/>
        </w:rPr>
        <w:lastRenderedPageBreak/>
        <w:t>hemisphere.</w:t>
      </w:r>
      <w:r w:rsidR="00BF7E49" w:rsidRPr="00DD2C41">
        <w:rPr>
          <w:color w:val="000000"/>
          <w:sz w:val="24"/>
          <w:szCs w:val="24"/>
          <w:lang w:val="en-US"/>
        </w:rPr>
        <w:t xml:space="preserve"> </w:t>
      </w:r>
      <w:r w:rsidR="002C06FF" w:rsidRPr="00DD2C41">
        <w:rPr>
          <w:color w:val="000000"/>
          <w:sz w:val="24"/>
          <w:szCs w:val="24"/>
          <w:lang w:val="en-US"/>
        </w:rPr>
        <w:t xml:space="preserve">Executive functions require greater synchronization of absolute power in the Delta and Theta bands compared to the </w:t>
      </w:r>
      <w:r w:rsidR="00BF7E49" w:rsidRPr="00DD2C41">
        <w:rPr>
          <w:color w:val="000000"/>
          <w:sz w:val="24"/>
          <w:szCs w:val="24"/>
          <w:lang w:val="en-US"/>
        </w:rPr>
        <w:t xml:space="preserve">basal </w:t>
      </w:r>
      <w:r w:rsidR="002C06FF" w:rsidRPr="00DD2C41">
        <w:rPr>
          <w:color w:val="000000"/>
          <w:sz w:val="24"/>
          <w:szCs w:val="24"/>
          <w:lang w:val="en-US"/>
        </w:rPr>
        <w:t xml:space="preserve">resting activity of </w:t>
      </w:r>
      <w:r w:rsidR="00BF7E49" w:rsidRPr="00DD2C41">
        <w:rPr>
          <w:color w:val="000000"/>
          <w:sz w:val="24"/>
          <w:szCs w:val="24"/>
          <w:lang w:val="en-US"/>
        </w:rPr>
        <w:t>eyes</w:t>
      </w:r>
      <w:r w:rsidR="001338F4" w:rsidRPr="00DD2C41">
        <w:rPr>
          <w:color w:val="000000"/>
          <w:sz w:val="24"/>
          <w:szCs w:val="24"/>
          <w:lang w:val="en-US"/>
        </w:rPr>
        <w:t>-</w:t>
      </w:r>
      <w:r w:rsidR="002C06FF" w:rsidRPr="00DD2C41">
        <w:rPr>
          <w:color w:val="000000"/>
          <w:sz w:val="24"/>
          <w:szCs w:val="24"/>
          <w:lang w:val="en-US"/>
        </w:rPr>
        <w:t>closed and eyes</w:t>
      </w:r>
      <w:r w:rsidR="001338F4" w:rsidRPr="00DD2C41">
        <w:rPr>
          <w:color w:val="000000"/>
          <w:sz w:val="24"/>
          <w:szCs w:val="24"/>
          <w:lang w:val="en-US"/>
        </w:rPr>
        <w:t>-</w:t>
      </w:r>
      <w:r w:rsidR="00BF7E49" w:rsidRPr="00DD2C41">
        <w:rPr>
          <w:color w:val="000000"/>
          <w:sz w:val="24"/>
          <w:szCs w:val="24"/>
          <w:lang w:val="en-US"/>
        </w:rPr>
        <w:t>open</w:t>
      </w:r>
      <w:r w:rsidR="002C06FF" w:rsidRPr="00DD2C41">
        <w:rPr>
          <w:color w:val="000000"/>
          <w:sz w:val="24"/>
          <w:szCs w:val="24"/>
          <w:lang w:val="en-US"/>
        </w:rPr>
        <w:t>.</w:t>
      </w:r>
      <w:r w:rsidR="00BF7E49" w:rsidRPr="00DD2C41">
        <w:rPr>
          <w:color w:val="000000"/>
          <w:sz w:val="24"/>
          <w:szCs w:val="24"/>
          <w:lang w:val="en-US"/>
        </w:rPr>
        <w:t xml:space="preserve"> </w:t>
      </w:r>
      <w:r w:rsidR="002C06FF" w:rsidRPr="00DD2C41">
        <w:rPr>
          <w:color w:val="000000"/>
          <w:sz w:val="24"/>
          <w:szCs w:val="24"/>
          <w:lang w:val="en-US"/>
        </w:rPr>
        <w:t>The absolute power was not statistically different depending on the level of cognitive reserve, however, at descriptive level a pattern is observed in which older adults with more cognitive reserve require</w:t>
      </w:r>
      <w:r w:rsidR="00BF7E49" w:rsidRPr="00DD2C41">
        <w:rPr>
          <w:color w:val="000000"/>
          <w:sz w:val="24"/>
          <w:szCs w:val="24"/>
          <w:lang w:val="en-US"/>
        </w:rPr>
        <w:t xml:space="preserve"> consistently less AP</w:t>
      </w:r>
      <w:r w:rsidR="002C06FF" w:rsidRPr="00DD2C41">
        <w:rPr>
          <w:color w:val="000000"/>
          <w:sz w:val="24"/>
          <w:szCs w:val="24"/>
          <w:lang w:val="en-US"/>
        </w:rPr>
        <w:t xml:space="preserve"> compared to those with lower cognitive reserve when </w:t>
      </w:r>
      <w:r w:rsidR="00BF7E49" w:rsidRPr="00DD2C41">
        <w:rPr>
          <w:color w:val="000000"/>
          <w:sz w:val="24"/>
          <w:szCs w:val="24"/>
          <w:lang w:val="en-US"/>
        </w:rPr>
        <w:t>solving</w:t>
      </w:r>
      <w:r w:rsidR="002C06FF" w:rsidRPr="00DD2C41">
        <w:rPr>
          <w:color w:val="000000"/>
          <w:sz w:val="24"/>
          <w:szCs w:val="24"/>
          <w:lang w:val="en-US"/>
        </w:rPr>
        <w:t xml:space="preserve"> the Wisconsin Card Sorting Test.</w:t>
      </w:r>
    </w:p>
    <w:p w14:paraId="47A6ADAB" w14:textId="77777777" w:rsidR="00A9247F" w:rsidRPr="00DD2C41" w:rsidRDefault="00A9247F" w:rsidP="00DE2E63">
      <w:pPr>
        <w:spacing w:line="240" w:lineRule="auto"/>
        <w:rPr>
          <w:b/>
          <w:bCs/>
          <w:color w:val="000000"/>
          <w:sz w:val="24"/>
          <w:szCs w:val="24"/>
          <w:lang w:val="en-US"/>
        </w:rPr>
      </w:pPr>
    </w:p>
    <w:p w14:paraId="26B1DAF5" w14:textId="691CC190" w:rsidR="00C31707" w:rsidRPr="00DD2C41" w:rsidRDefault="000C7007" w:rsidP="00DE2E63">
      <w:pPr>
        <w:spacing w:line="240" w:lineRule="auto"/>
        <w:rPr>
          <w:b/>
          <w:bCs/>
          <w:color w:val="000000"/>
          <w:sz w:val="24"/>
          <w:szCs w:val="24"/>
          <w:lang w:val="en-US"/>
        </w:rPr>
      </w:pPr>
      <w:r w:rsidRPr="00DD2C41">
        <w:rPr>
          <w:b/>
          <w:bCs/>
          <w:color w:val="000000"/>
          <w:sz w:val="24"/>
          <w:szCs w:val="24"/>
          <w:lang w:val="en-US"/>
        </w:rPr>
        <w:t>DECLARATION OF CONFLICTS OF INTEREST</w:t>
      </w:r>
    </w:p>
    <w:p w14:paraId="0B94B670" w14:textId="31A0A1FB" w:rsidR="00C31707" w:rsidRPr="00DD2C41" w:rsidRDefault="00C31707" w:rsidP="00DE2E63">
      <w:pPr>
        <w:spacing w:line="240" w:lineRule="auto"/>
        <w:rPr>
          <w:color w:val="000000"/>
          <w:sz w:val="24"/>
          <w:szCs w:val="24"/>
          <w:lang w:val="en-US"/>
        </w:rPr>
      </w:pPr>
      <w:r w:rsidRPr="00DD2C41">
        <w:rPr>
          <w:color w:val="000000"/>
          <w:sz w:val="24"/>
          <w:szCs w:val="24"/>
          <w:lang w:val="en-US"/>
        </w:rPr>
        <w:t>The authors declare that in this study, there are no relevant conflicts of interest.</w:t>
      </w:r>
    </w:p>
    <w:p w14:paraId="23D70066" w14:textId="77777777" w:rsidR="000C7007" w:rsidRPr="00DD2C41" w:rsidRDefault="000C7007" w:rsidP="00DE2E63">
      <w:pPr>
        <w:spacing w:line="240" w:lineRule="auto"/>
        <w:rPr>
          <w:color w:val="000000"/>
          <w:sz w:val="24"/>
          <w:szCs w:val="24"/>
          <w:lang w:val="en-US"/>
        </w:rPr>
      </w:pPr>
    </w:p>
    <w:p w14:paraId="46EE6F1C" w14:textId="675AA85E" w:rsidR="00C31707" w:rsidRPr="00DD2C41" w:rsidRDefault="00C56E77" w:rsidP="00DE2E63">
      <w:pPr>
        <w:spacing w:line="240" w:lineRule="auto"/>
        <w:rPr>
          <w:b/>
          <w:bCs/>
          <w:color w:val="000000"/>
          <w:sz w:val="24"/>
          <w:szCs w:val="24"/>
          <w:lang w:val="en-US"/>
        </w:rPr>
      </w:pPr>
      <w:r w:rsidRPr="00DD2C41">
        <w:rPr>
          <w:b/>
          <w:bCs/>
          <w:color w:val="000000"/>
          <w:sz w:val="24"/>
          <w:szCs w:val="24"/>
          <w:lang w:val="en-US"/>
        </w:rPr>
        <w:t>ACKNOWLEDGMENT</w:t>
      </w:r>
    </w:p>
    <w:p w14:paraId="63A3F0F9" w14:textId="651D97DB" w:rsidR="002727D0" w:rsidRPr="00DD2C41" w:rsidRDefault="00C31707" w:rsidP="00DE2E63">
      <w:pPr>
        <w:spacing w:line="240" w:lineRule="auto"/>
        <w:rPr>
          <w:color w:val="000000"/>
          <w:sz w:val="24"/>
          <w:szCs w:val="24"/>
          <w:lang w:val="en-US"/>
        </w:rPr>
      </w:pPr>
      <w:r w:rsidRPr="00DD2C41">
        <w:rPr>
          <w:color w:val="000000"/>
          <w:sz w:val="24"/>
          <w:szCs w:val="24"/>
          <w:lang w:val="en-US"/>
        </w:rPr>
        <w:t xml:space="preserve">CONACYT </w:t>
      </w:r>
      <w:r w:rsidR="007B4250" w:rsidRPr="00DD2C41">
        <w:rPr>
          <w:color w:val="000000"/>
          <w:sz w:val="24"/>
          <w:szCs w:val="24"/>
          <w:lang w:val="en-US"/>
        </w:rPr>
        <w:t xml:space="preserve">for </w:t>
      </w:r>
      <w:r w:rsidRPr="00DD2C41">
        <w:rPr>
          <w:color w:val="000000"/>
          <w:sz w:val="24"/>
          <w:szCs w:val="24"/>
          <w:lang w:val="en-US"/>
        </w:rPr>
        <w:t>the scholarship</w:t>
      </w:r>
      <w:r w:rsidR="00EC2045" w:rsidRPr="00DD2C41">
        <w:rPr>
          <w:color w:val="000000"/>
          <w:sz w:val="24"/>
          <w:szCs w:val="24"/>
          <w:lang w:val="en-US"/>
        </w:rPr>
        <w:t xml:space="preserve">: 473722 </w:t>
      </w:r>
      <w:r w:rsidRPr="00DD2C41">
        <w:rPr>
          <w:color w:val="000000"/>
          <w:sz w:val="24"/>
          <w:szCs w:val="24"/>
          <w:lang w:val="en-US"/>
        </w:rPr>
        <w:t>for the master's degree from which this research was derived</w:t>
      </w:r>
      <w:r w:rsidR="00EC2045" w:rsidRPr="00DD2C41">
        <w:rPr>
          <w:color w:val="000000"/>
          <w:sz w:val="24"/>
          <w:szCs w:val="24"/>
          <w:lang w:val="en-US"/>
        </w:rPr>
        <w:t>.</w:t>
      </w:r>
    </w:p>
    <w:p w14:paraId="3B57A87E" w14:textId="77777777" w:rsidR="00C56E77" w:rsidRPr="00DD2C41" w:rsidRDefault="00C56E77" w:rsidP="00DE2E63">
      <w:pPr>
        <w:spacing w:line="240" w:lineRule="auto"/>
        <w:rPr>
          <w:color w:val="000000"/>
          <w:sz w:val="24"/>
          <w:szCs w:val="24"/>
          <w:lang w:val="en-US"/>
        </w:rPr>
      </w:pPr>
    </w:p>
    <w:p w14:paraId="4357FD11" w14:textId="2A4B7751" w:rsidR="006B50E4" w:rsidRPr="00DD2C41" w:rsidRDefault="006B50E4" w:rsidP="00DE2E63">
      <w:pPr>
        <w:spacing w:line="240" w:lineRule="auto"/>
        <w:rPr>
          <w:b/>
          <w:bCs/>
          <w:color w:val="000000"/>
          <w:sz w:val="24"/>
          <w:szCs w:val="24"/>
          <w:lang w:val="en-US"/>
        </w:rPr>
      </w:pPr>
      <w:r w:rsidRPr="00DD2C41">
        <w:rPr>
          <w:b/>
          <w:bCs/>
          <w:color w:val="000000"/>
          <w:sz w:val="24"/>
          <w:szCs w:val="24"/>
          <w:lang w:val="en-US"/>
        </w:rPr>
        <w:t>References</w:t>
      </w:r>
    </w:p>
    <w:p w14:paraId="24A9C2C6" w14:textId="4F91F57D" w:rsidR="00737D38" w:rsidRPr="00DD2C41" w:rsidRDefault="00685225" w:rsidP="00737D38">
      <w:pPr>
        <w:widowControl w:val="0"/>
        <w:autoSpaceDE w:val="0"/>
        <w:autoSpaceDN w:val="0"/>
        <w:adjustRightInd w:val="0"/>
        <w:spacing w:line="240" w:lineRule="auto"/>
        <w:ind w:left="480" w:hanging="480"/>
        <w:rPr>
          <w:noProof/>
          <w:sz w:val="24"/>
          <w:szCs w:val="24"/>
          <w:lang w:val="en-US"/>
        </w:rPr>
      </w:pPr>
      <w:r w:rsidRPr="00C56E77">
        <w:rPr>
          <w:rFonts w:eastAsia="Times New Roman"/>
          <w:color w:val="E9711C"/>
          <w:sz w:val="24"/>
          <w:szCs w:val="24"/>
          <w:u w:val="single"/>
          <w:lang w:val="en-US" w:eastAsia="es-ES_tradnl"/>
        </w:rPr>
        <w:fldChar w:fldCharType="begin" w:fldLock="1"/>
      </w:r>
      <w:r w:rsidRPr="00C56E77">
        <w:rPr>
          <w:rFonts w:eastAsia="Times New Roman"/>
          <w:color w:val="E9711C"/>
          <w:sz w:val="24"/>
          <w:szCs w:val="24"/>
          <w:u w:val="single"/>
          <w:lang w:val="en-US" w:eastAsia="es-ES_tradnl"/>
        </w:rPr>
        <w:instrText xml:space="preserve">ADDIN Mendeley Bibliography CSL_BIBLIOGRAPHY </w:instrText>
      </w:r>
      <w:r w:rsidRPr="00C56E77">
        <w:rPr>
          <w:rFonts w:eastAsia="Times New Roman"/>
          <w:color w:val="E9711C"/>
          <w:sz w:val="24"/>
          <w:szCs w:val="24"/>
          <w:u w:val="single"/>
          <w:lang w:val="en-US" w:eastAsia="es-ES_tradnl"/>
        </w:rPr>
        <w:fldChar w:fldCharType="separate"/>
      </w:r>
      <w:r w:rsidR="00737D38" w:rsidRPr="00DD2C41">
        <w:rPr>
          <w:noProof/>
          <w:sz w:val="24"/>
          <w:szCs w:val="24"/>
          <w:lang w:val="en-US"/>
        </w:rPr>
        <w:t xml:space="preserve">Aftanas, L. I., &amp; Golocheikine, S. A. (2001). Human anterior and frontal midline theta and lower alpha reflect emotionally positive state and internalized attention: High-resolution EEG investigation of meditation. </w:t>
      </w:r>
      <w:r w:rsidR="00737D38" w:rsidRPr="00DD2C41">
        <w:rPr>
          <w:i/>
          <w:iCs/>
          <w:noProof/>
          <w:sz w:val="24"/>
          <w:szCs w:val="24"/>
          <w:lang w:val="en-US"/>
        </w:rPr>
        <w:t>Neuroscience Letters</w:t>
      </w:r>
      <w:r w:rsidR="00737D38" w:rsidRPr="00DD2C41">
        <w:rPr>
          <w:noProof/>
          <w:sz w:val="24"/>
          <w:szCs w:val="24"/>
          <w:lang w:val="en-US"/>
        </w:rPr>
        <w:t xml:space="preserve">, </w:t>
      </w:r>
      <w:r w:rsidR="00737D38" w:rsidRPr="00DD2C41">
        <w:rPr>
          <w:i/>
          <w:iCs/>
          <w:noProof/>
          <w:sz w:val="24"/>
          <w:szCs w:val="24"/>
          <w:lang w:val="en-US"/>
        </w:rPr>
        <w:t>310</w:t>
      </w:r>
      <w:r w:rsidR="00737D38" w:rsidRPr="00DD2C41">
        <w:rPr>
          <w:noProof/>
          <w:sz w:val="24"/>
          <w:szCs w:val="24"/>
          <w:lang w:val="en-US"/>
        </w:rPr>
        <w:t>(1), 57–60. https://doi.org/10.1016/S0304-3940(01)02094-8</w:t>
      </w:r>
    </w:p>
    <w:p w14:paraId="1FA1DCB4"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Barry, R. J., Clarke, A. R., Johnstone, S. J., Magee, C. A., &amp; Rushby, J. A. (2007). EEG differences between eyes-closed and eyes-open resting conditions. </w:t>
      </w:r>
      <w:r w:rsidRPr="00DD2C41">
        <w:rPr>
          <w:i/>
          <w:iCs/>
          <w:noProof/>
          <w:sz w:val="24"/>
          <w:szCs w:val="24"/>
          <w:lang w:val="en-US"/>
        </w:rPr>
        <w:t>Clinical Neurophysiology</w:t>
      </w:r>
      <w:r w:rsidRPr="00DD2C41">
        <w:rPr>
          <w:noProof/>
          <w:sz w:val="24"/>
          <w:szCs w:val="24"/>
          <w:lang w:val="en-US"/>
        </w:rPr>
        <w:t xml:space="preserve">, </w:t>
      </w:r>
      <w:r w:rsidRPr="00DD2C41">
        <w:rPr>
          <w:i/>
          <w:iCs/>
          <w:noProof/>
          <w:sz w:val="24"/>
          <w:szCs w:val="24"/>
          <w:lang w:val="en-US"/>
        </w:rPr>
        <w:t>118</w:t>
      </w:r>
      <w:r w:rsidRPr="00DD2C41">
        <w:rPr>
          <w:noProof/>
          <w:sz w:val="24"/>
          <w:szCs w:val="24"/>
          <w:lang w:val="en-US"/>
        </w:rPr>
        <w:t>(12), 2765–2773. https://doi.org/10.1016/j.clinph.2007.07.028</w:t>
      </w:r>
    </w:p>
    <w:p w14:paraId="1F9CB6C4"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Barry, R. J., &amp; De Blasio, F. M. (2017). EEG differences between eyes-closed and eyes-open resting remain in healthy ageing. </w:t>
      </w:r>
      <w:r w:rsidRPr="00DD2C41">
        <w:rPr>
          <w:i/>
          <w:iCs/>
          <w:noProof/>
          <w:sz w:val="24"/>
          <w:szCs w:val="24"/>
          <w:lang w:val="en-US"/>
        </w:rPr>
        <w:t>Biological Psychology</w:t>
      </w:r>
      <w:r w:rsidRPr="00DD2C41">
        <w:rPr>
          <w:noProof/>
          <w:sz w:val="24"/>
          <w:szCs w:val="24"/>
          <w:lang w:val="en-US"/>
        </w:rPr>
        <w:t xml:space="preserve">, </w:t>
      </w:r>
      <w:r w:rsidRPr="00DD2C41">
        <w:rPr>
          <w:i/>
          <w:iCs/>
          <w:noProof/>
          <w:sz w:val="24"/>
          <w:szCs w:val="24"/>
          <w:lang w:val="en-US"/>
        </w:rPr>
        <w:t>129</w:t>
      </w:r>
      <w:r w:rsidRPr="00DD2C41">
        <w:rPr>
          <w:noProof/>
          <w:sz w:val="24"/>
          <w:szCs w:val="24"/>
          <w:lang w:val="en-US"/>
        </w:rPr>
        <w:t>(September), 293–304. https://doi.org/10.1016/j.biopsycho.2017.09.010</w:t>
      </w:r>
    </w:p>
    <w:p w14:paraId="5A1C3AB8"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Cummins, T. D. R., Broughton, M., &amp; Finnigan, S. (2008). Theta oscillations are affected by amnestic mild cognitive impairment and cognitive load. </w:t>
      </w:r>
      <w:r w:rsidRPr="00DD2C41">
        <w:rPr>
          <w:i/>
          <w:iCs/>
          <w:noProof/>
          <w:sz w:val="24"/>
          <w:szCs w:val="24"/>
          <w:lang w:val="en-US"/>
        </w:rPr>
        <w:t>International Journal of Psychophysiology</w:t>
      </w:r>
      <w:r w:rsidRPr="00DD2C41">
        <w:rPr>
          <w:noProof/>
          <w:sz w:val="24"/>
          <w:szCs w:val="24"/>
          <w:lang w:val="en-US"/>
        </w:rPr>
        <w:t xml:space="preserve">, </w:t>
      </w:r>
      <w:r w:rsidRPr="00DD2C41">
        <w:rPr>
          <w:i/>
          <w:iCs/>
          <w:noProof/>
          <w:sz w:val="24"/>
          <w:szCs w:val="24"/>
          <w:lang w:val="en-US"/>
        </w:rPr>
        <w:t>70</w:t>
      </w:r>
      <w:r w:rsidRPr="00DD2C41">
        <w:rPr>
          <w:noProof/>
          <w:sz w:val="24"/>
          <w:szCs w:val="24"/>
          <w:lang w:val="en-US"/>
        </w:rPr>
        <w:t>(1), 75–81. https://doi.org/10.1016/j.ijpsycho.2008.06.002</w:t>
      </w:r>
    </w:p>
    <w:p w14:paraId="0805838F"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Cummins, T. D. R., &amp; Finnigan, S. (2007). Theta power is reduced in healthy cognitive aging. </w:t>
      </w:r>
      <w:r w:rsidRPr="00DD2C41">
        <w:rPr>
          <w:i/>
          <w:iCs/>
          <w:noProof/>
          <w:sz w:val="24"/>
          <w:szCs w:val="24"/>
          <w:lang w:val="en-US"/>
        </w:rPr>
        <w:t>International Journal of Psychophysiology</w:t>
      </w:r>
      <w:r w:rsidRPr="00DD2C41">
        <w:rPr>
          <w:noProof/>
          <w:sz w:val="24"/>
          <w:szCs w:val="24"/>
          <w:lang w:val="en-US"/>
        </w:rPr>
        <w:t xml:space="preserve">, </w:t>
      </w:r>
      <w:r w:rsidRPr="00DD2C41">
        <w:rPr>
          <w:i/>
          <w:iCs/>
          <w:noProof/>
          <w:sz w:val="24"/>
          <w:szCs w:val="24"/>
          <w:lang w:val="en-US"/>
        </w:rPr>
        <w:t>66</w:t>
      </w:r>
      <w:r w:rsidRPr="00DD2C41">
        <w:rPr>
          <w:noProof/>
          <w:sz w:val="24"/>
          <w:szCs w:val="24"/>
          <w:lang w:val="en-US"/>
        </w:rPr>
        <w:t>(1), 10–17. https://doi.org/10.1016/j.ijpsycho.2007.05.008</w:t>
      </w:r>
    </w:p>
    <w:p w14:paraId="5694A8D7"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Dias, N. S., Ferreira, D., Reis, J., Jacinto, L. R., Fernandes, L., Pinho, F., … Sousa, N. (2015). Age effects on EEG correlates of the Wisconsin card sorting test. </w:t>
      </w:r>
      <w:r w:rsidRPr="00DD2C41">
        <w:rPr>
          <w:i/>
          <w:iCs/>
          <w:noProof/>
          <w:sz w:val="24"/>
          <w:szCs w:val="24"/>
          <w:lang w:val="en-US"/>
        </w:rPr>
        <w:t>Physiological Reports</w:t>
      </w:r>
      <w:r w:rsidRPr="00DD2C41">
        <w:rPr>
          <w:noProof/>
          <w:sz w:val="24"/>
          <w:szCs w:val="24"/>
          <w:lang w:val="en-US"/>
        </w:rPr>
        <w:t xml:space="preserve">, </w:t>
      </w:r>
      <w:r w:rsidRPr="00DD2C41">
        <w:rPr>
          <w:i/>
          <w:iCs/>
          <w:noProof/>
          <w:sz w:val="24"/>
          <w:szCs w:val="24"/>
          <w:lang w:val="en-US"/>
        </w:rPr>
        <w:t>3</w:t>
      </w:r>
      <w:r w:rsidRPr="00DD2C41">
        <w:rPr>
          <w:noProof/>
          <w:sz w:val="24"/>
          <w:szCs w:val="24"/>
          <w:lang w:val="en-US"/>
        </w:rPr>
        <w:t>(7), 1–15. https://doi.org/10.14814/phy2.12390</w:t>
      </w:r>
    </w:p>
    <w:p w14:paraId="201E1A2C"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Fell, J., &amp; Axmacher, N. (2011). The role of phase synchronization in memory processes. </w:t>
      </w:r>
      <w:r w:rsidRPr="00DD2C41">
        <w:rPr>
          <w:i/>
          <w:iCs/>
          <w:noProof/>
          <w:sz w:val="24"/>
          <w:szCs w:val="24"/>
          <w:lang w:val="en-US"/>
        </w:rPr>
        <w:t>Nature Reviews Neuroscience</w:t>
      </w:r>
      <w:r w:rsidRPr="00DD2C41">
        <w:rPr>
          <w:noProof/>
          <w:sz w:val="24"/>
          <w:szCs w:val="24"/>
          <w:lang w:val="en-US"/>
        </w:rPr>
        <w:t xml:space="preserve">, </w:t>
      </w:r>
      <w:r w:rsidRPr="00DD2C41">
        <w:rPr>
          <w:i/>
          <w:iCs/>
          <w:noProof/>
          <w:sz w:val="24"/>
          <w:szCs w:val="24"/>
          <w:lang w:val="en-US"/>
        </w:rPr>
        <w:t>12</w:t>
      </w:r>
      <w:r w:rsidRPr="00DD2C41">
        <w:rPr>
          <w:noProof/>
          <w:sz w:val="24"/>
          <w:szCs w:val="24"/>
          <w:lang w:val="en-US"/>
        </w:rPr>
        <w:t>(2), 105–118. https://doi.org/10.1038/nrn2979</w:t>
      </w:r>
    </w:p>
    <w:p w14:paraId="3DDECA33"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Finnigan, S., &amp; Robertson, I. H. (2011). Resting EEG theta power correlates with cognitive </w:t>
      </w:r>
      <w:r w:rsidRPr="00DD2C41">
        <w:rPr>
          <w:noProof/>
          <w:sz w:val="24"/>
          <w:szCs w:val="24"/>
          <w:lang w:val="en-US"/>
        </w:rPr>
        <w:lastRenderedPageBreak/>
        <w:t xml:space="preserve">performance in healthy older adults. </w:t>
      </w:r>
      <w:r w:rsidRPr="00DD2C41">
        <w:rPr>
          <w:i/>
          <w:iCs/>
          <w:noProof/>
          <w:sz w:val="24"/>
          <w:szCs w:val="24"/>
          <w:lang w:val="en-US"/>
        </w:rPr>
        <w:t>Psychophysiology</w:t>
      </w:r>
      <w:r w:rsidRPr="00DD2C41">
        <w:rPr>
          <w:noProof/>
          <w:sz w:val="24"/>
          <w:szCs w:val="24"/>
          <w:lang w:val="en-US"/>
        </w:rPr>
        <w:t xml:space="preserve">, </w:t>
      </w:r>
      <w:r w:rsidRPr="00DD2C41">
        <w:rPr>
          <w:i/>
          <w:iCs/>
          <w:noProof/>
          <w:sz w:val="24"/>
          <w:szCs w:val="24"/>
          <w:lang w:val="en-US"/>
        </w:rPr>
        <w:t>48</w:t>
      </w:r>
      <w:r w:rsidRPr="00DD2C41">
        <w:rPr>
          <w:noProof/>
          <w:sz w:val="24"/>
          <w:szCs w:val="24"/>
          <w:lang w:val="en-US"/>
        </w:rPr>
        <w:t>(8), 1083–1087. https://doi.org/10.1111/j.1469-8986.2010.01173.x</w:t>
      </w:r>
    </w:p>
    <w:p w14:paraId="26FFD38E"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Folstein MF, Folstein SE, M. P. (1975). Mini-mental state. A grading the cognitive state of patiens for the clinician. </w:t>
      </w:r>
      <w:r w:rsidRPr="00DD2C41">
        <w:rPr>
          <w:i/>
          <w:iCs/>
          <w:noProof/>
          <w:sz w:val="24"/>
          <w:szCs w:val="24"/>
          <w:lang w:val="en-US"/>
        </w:rPr>
        <w:t>J Psychiatr Res</w:t>
      </w:r>
      <w:r w:rsidRPr="00DD2C41">
        <w:rPr>
          <w:noProof/>
          <w:sz w:val="24"/>
          <w:szCs w:val="24"/>
          <w:lang w:val="en-US"/>
        </w:rPr>
        <w:t xml:space="preserve">, </w:t>
      </w:r>
      <w:r w:rsidRPr="00DD2C41">
        <w:rPr>
          <w:i/>
          <w:iCs/>
          <w:noProof/>
          <w:sz w:val="24"/>
          <w:szCs w:val="24"/>
          <w:lang w:val="en-US"/>
        </w:rPr>
        <w:t>12</w:t>
      </w:r>
      <w:r w:rsidRPr="00DD2C41">
        <w:rPr>
          <w:noProof/>
          <w:sz w:val="24"/>
          <w:szCs w:val="24"/>
          <w:lang w:val="en-US"/>
        </w:rPr>
        <w:t>, 189–198.</w:t>
      </w:r>
    </w:p>
    <w:p w14:paraId="3F63BDEF"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Franzmeier, N., Caballero, M. Á. A., Taylor, A. N. W., Simon-Vermot, L., Buerger, K., Ertl-Wagner, B., … Ewers, M. (2017). Resting-state global functional connectivity as a biomarker of cognitive reserve in mild cognitive impairment. </w:t>
      </w:r>
      <w:r w:rsidRPr="00DD2C41">
        <w:rPr>
          <w:i/>
          <w:iCs/>
          <w:noProof/>
          <w:sz w:val="24"/>
          <w:szCs w:val="24"/>
          <w:lang w:val="en-US"/>
        </w:rPr>
        <w:t>Brain Imaging and Behavior</w:t>
      </w:r>
      <w:r w:rsidRPr="00DD2C41">
        <w:rPr>
          <w:noProof/>
          <w:sz w:val="24"/>
          <w:szCs w:val="24"/>
          <w:lang w:val="en-US"/>
        </w:rPr>
        <w:t xml:space="preserve">, </w:t>
      </w:r>
      <w:r w:rsidRPr="00DD2C41">
        <w:rPr>
          <w:i/>
          <w:iCs/>
          <w:noProof/>
          <w:sz w:val="24"/>
          <w:szCs w:val="24"/>
          <w:lang w:val="en-US"/>
        </w:rPr>
        <w:t>11</w:t>
      </w:r>
      <w:r w:rsidRPr="00DD2C41">
        <w:rPr>
          <w:noProof/>
          <w:sz w:val="24"/>
          <w:szCs w:val="24"/>
          <w:lang w:val="en-US"/>
        </w:rPr>
        <w:t>(2), 368–382. https://doi.org/10.1007/s11682-016-9599-1</w:t>
      </w:r>
    </w:p>
    <w:p w14:paraId="707A615F" w14:textId="77777777" w:rsidR="00737D38" w:rsidRPr="00DD2C41" w:rsidRDefault="00737D38" w:rsidP="00737D38">
      <w:pPr>
        <w:widowControl w:val="0"/>
        <w:autoSpaceDE w:val="0"/>
        <w:autoSpaceDN w:val="0"/>
        <w:adjustRightInd w:val="0"/>
        <w:spacing w:line="240" w:lineRule="auto"/>
        <w:ind w:left="480" w:hanging="480"/>
        <w:rPr>
          <w:noProof/>
          <w:sz w:val="24"/>
          <w:szCs w:val="24"/>
          <w:lang w:val="en-US"/>
        </w:rPr>
      </w:pPr>
      <w:r w:rsidRPr="00DD2C41">
        <w:rPr>
          <w:noProof/>
          <w:sz w:val="24"/>
          <w:szCs w:val="24"/>
          <w:lang w:val="en-US"/>
        </w:rPr>
        <w:t xml:space="preserve">Grunwald, M., Busse, F., Hensel, A., Riedel-Heller, S., Kruggel, F., Arendt, T., … Gertz, H.-J. (2002). Theta-power differences in patients with mild cognitive impairment under rest condition and during haptic tasks. </w:t>
      </w:r>
      <w:r w:rsidRPr="00DD2C41">
        <w:rPr>
          <w:i/>
          <w:iCs/>
          <w:noProof/>
          <w:sz w:val="24"/>
          <w:szCs w:val="24"/>
          <w:lang w:val="en-US"/>
        </w:rPr>
        <w:t>Alzheimer Disease and Associated Disorders</w:t>
      </w:r>
      <w:r w:rsidRPr="00DD2C41">
        <w:rPr>
          <w:noProof/>
          <w:sz w:val="24"/>
          <w:szCs w:val="24"/>
          <w:lang w:val="en-US"/>
        </w:rPr>
        <w:t xml:space="preserve">, </w:t>
      </w:r>
      <w:r w:rsidRPr="00DD2C41">
        <w:rPr>
          <w:i/>
          <w:iCs/>
          <w:noProof/>
          <w:sz w:val="24"/>
          <w:szCs w:val="24"/>
          <w:lang w:val="en-US"/>
        </w:rPr>
        <w:t>16</w:t>
      </w:r>
      <w:r w:rsidRPr="00DD2C41">
        <w:rPr>
          <w:noProof/>
          <w:sz w:val="24"/>
          <w:szCs w:val="24"/>
          <w:lang w:val="en-US"/>
        </w:rPr>
        <w:t>(1), 40–48. Retrieved from http://www.ncbi.nlm.nih.gov/pubmed/11882748</w:t>
      </w:r>
    </w:p>
    <w:p w14:paraId="21F67AC4"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C56E77">
        <w:rPr>
          <w:noProof/>
          <w:sz w:val="24"/>
          <w:szCs w:val="24"/>
          <w:lang w:val="es-ES_tradnl"/>
        </w:rPr>
        <w:t xml:space="preserve">INEGI. (2012). Sistema nacional de clasificación de ocupaciones. </w:t>
      </w:r>
      <w:r w:rsidRPr="00B4526F">
        <w:rPr>
          <w:noProof/>
          <w:sz w:val="24"/>
          <w:szCs w:val="24"/>
          <w:lang w:val="en-US"/>
        </w:rPr>
        <w:t xml:space="preserve">In </w:t>
      </w:r>
      <w:r w:rsidRPr="00B4526F">
        <w:rPr>
          <w:i/>
          <w:iCs/>
          <w:noProof/>
          <w:sz w:val="24"/>
          <w:szCs w:val="24"/>
          <w:lang w:val="en-US"/>
        </w:rPr>
        <w:t>Sinco</w:t>
      </w:r>
      <w:r w:rsidRPr="00B4526F">
        <w:rPr>
          <w:noProof/>
          <w:sz w:val="24"/>
          <w:szCs w:val="24"/>
          <w:lang w:val="en-US"/>
        </w:rPr>
        <w:t>.</w:t>
      </w:r>
    </w:p>
    <w:p w14:paraId="07D0716C"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Klimesch, W. (1999). EEG alpha and theta oscillations reflect cognitive and memory performance: a rKlimesch, W. (1999). EEG alpha and theta oscillations reflect cognitive and memory performance: a review and analysis. Brain Research Reviews, 29(2-3), 169–195. doi:10.1016/S016. </w:t>
      </w:r>
      <w:r w:rsidRPr="00B4526F">
        <w:rPr>
          <w:i/>
          <w:iCs/>
          <w:noProof/>
          <w:sz w:val="24"/>
          <w:szCs w:val="24"/>
          <w:lang w:val="en-US"/>
        </w:rPr>
        <w:t>Brain Research Reviews</w:t>
      </w:r>
      <w:r w:rsidRPr="00B4526F">
        <w:rPr>
          <w:noProof/>
          <w:sz w:val="24"/>
          <w:szCs w:val="24"/>
          <w:lang w:val="en-US"/>
        </w:rPr>
        <w:t xml:space="preserve">, </w:t>
      </w:r>
      <w:r w:rsidRPr="00B4526F">
        <w:rPr>
          <w:i/>
          <w:iCs/>
          <w:noProof/>
          <w:sz w:val="24"/>
          <w:szCs w:val="24"/>
          <w:lang w:val="en-US"/>
        </w:rPr>
        <w:t>29</w:t>
      </w:r>
      <w:r w:rsidRPr="00B4526F">
        <w:rPr>
          <w:noProof/>
          <w:sz w:val="24"/>
          <w:szCs w:val="24"/>
          <w:lang w:val="en-US"/>
        </w:rPr>
        <w:t>(2–3), 169–195. https://doi.org/10.1016/S0165-0173(98)00056-3</w:t>
      </w:r>
    </w:p>
    <w:p w14:paraId="629BE2E5"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Klimesch, W. (2012). Alpha-band oscillations, attention, and controlled access to stored information. </w:t>
      </w:r>
      <w:r w:rsidRPr="00B4526F">
        <w:rPr>
          <w:i/>
          <w:iCs/>
          <w:noProof/>
          <w:sz w:val="24"/>
          <w:szCs w:val="24"/>
          <w:lang w:val="en-US"/>
        </w:rPr>
        <w:t>Trends in Cognitive Sciences</w:t>
      </w:r>
      <w:r w:rsidRPr="00B4526F">
        <w:rPr>
          <w:noProof/>
          <w:sz w:val="24"/>
          <w:szCs w:val="24"/>
          <w:lang w:val="en-US"/>
        </w:rPr>
        <w:t xml:space="preserve">, </w:t>
      </w:r>
      <w:r w:rsidRPr="00B4526F">
        <w:rPr>
          <w:i/>
          <w:iCs/>
          <w:noProof/>
          <w:sz w:val="24"/>
          <w:szCs w:val="24"/>
          <w:lang w:val="en-US"/>
        </w:rPr>
        <w:t>16</w:t>
      </w:r>
      <w:r w:rsidRPr="00B4526F">
        <w:rPr>
          <w:noProof/>
          <w:sz w:val="24"/>
          <w:szCs w:val="24"/>
          <w:lang w:val="en-US"/>
        </w:rPr>
        <w:t>(12), 606–617. https://doi.org/10.1016/j.tics.2012.10.007</w:t>
      </w:r>
    </w:p>
    <w:p w14:paraId="115C60E8"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Kober, S. E., &amp; Neuper, C. (2011). Sex differences in human EEG theta oscillations during spatial navigation in virtual reality. </w:t>
      </w:r>
      <w:r w:rsidRPr="00B4526F">
        <w:rPr>
          <w:i/>
          <w:iCs/>
          <w:noProof/>
          <w:sz w:val="24"/>
          <w:szCs w:val="24"/>
          <w:lang w:val="en-US"/>
        </w:rPr>
        <w:t>International Journal of Psychophysiology</w:t>
      </w:r>
      <w:r w:rsidRPr="00B4526F">
        <w:rPr>
          <w:noProof/>
          <w:sz w:val="24"/>
          <w:szCs w:val="24"/>
          <w:lang w:val="en-US"/>
        </w:rPr>
        <w:t xml:space="preserve">, </w:t>
      </w:r>
      <w:r w:rsidRPr="00B4526F">
        <w:rPr>
          <w:i/>
          <w:iCs/>
          <w:noProof/>
          <w:sz w:val="24"/>
          <w:szCs w:val="24"/>
          <w:lang w:val="en-US"/>
        </w:rPr>
        <w:t>79</w:t>
      </w:r>
      <w:r w:rsidRPr="00B4526F">
        <w:rPr>
          <w:noProof/>
          <w:sz w:val="24"/>
          <w:szCs w:val="24"/>
          <w:lang w:val="en-US"/>
        </w:rPr>
        <w:t>(3), 347–355. https://doi.org/10.1016/j.ijpsycho.2010.12.002</w:t>
      </w:r>
    </w:p>
    <w:p w14:paraId="1FFE6579" w14:textId="77777777" w:rsidR="00737D38" w:rsidRPr="00C56E77" w:rsidRDefault="00737D38" w:rsidP="00737D38">
      <w:pPr>
        <w:widowControl w:val="0"/>
        <w:autoSpaceDE w:val="0"/>
        <w:autoSpaceDN w:val="0"/>
        <w:adjustRightInd w:val="0"/>
        <w:spacing w:line="240" w:lineRule="auto"/>
        <w:ind w:left="480" w:hanging="480"/>
        <w:rPr>
          <w:noProof/>
          <w:sz w:val="24"/>
          <w:szCs w:val="24"/>
          <w:lang w:val="es-ES_tradnl"/>
        </w:rPr>
      </w:pPr>
      <w:r w:rsidRPr="00B4526F">
        <w:rPr>
          <w:noProof/>
          <w:sz w:val="24"/>
          <w:szCs w:val="24"/>
          <w:lang w:val="en-US"/>
        </w:rPr>
        <w:t xml:space="preserve">Lojo-Seoane, C., Facal, D., &amp; Juncos-Rabadán, O. (2012). </w:t>
      </w:r>
      <w:r w:rsidRPr="00C56E77">
        <w:rPr>
          <w:noProof/>
          <w:sz w:val="24"/>
          <w:szCs w:val="24"/>
          <w:lang w:val="es-ES_tradnl"/>
        </w:rPr>
        <w:t xml:space="preserve">¿Previene la actividad intelectual el deterioro cognitivo? Relaciones entre reserva cognitiva y deterioro cognitivo ligero. </w:t>
      </w:r>
      <w:r w:rsidRPr="00C56E77">
        <w:rPr>
          <w:i/>
          <w:iCs/>
          <w:noProof/>
          <w:sz w:val="24"/>
          <w:szCs w:val="24"/>
          <w:lang w:val="es-ES_tradnl"/>
        </w:rPr>
        <w:t>Revista Espanola de Geriatria y Gerontologia</w:t>
      </w:r>
      <w:r w:rsidRPr="00C56E77">
        <w:rPr>
          <w:noProof/>
          <w:sz w:val="24"/>
          <w:szCs w:val="24"/>
          <w:lang w:val="es-ES_tradnl"/>
        </w:rPr>
        <w:t xml:space="preserve">, </w:t>
      </w:r>
      <w:r w:rsidRPr="00C56E77">
        <w:rPr>
          <w:i/>
          <w:iCs/>
          <w:noProof/>
          <w:sz w:val="24"/>
          <w:szCs w:val="24"/>
          <w:lang w:val="es-ES_tradnl"/>
        </w:rPr>
        <w:t>47</w:t>
      </w:r>
      <w:r w:rsidRPr="00C56E77">
        <w:rPr>
          <w:noProof/>
          <w:sz w:val="24"/>
          <w:szCs w:val="24"/>
          <w:lang w:val="es-ES_tradnl"/>
        </w:rPr>
        <w:t>(6), 270–278. https://doi.org/10.1016/j.regg.2012.02.006</w:t>
      </w:r>
    </w:p>
    <w:p w14:paraId="7D87877A"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C56E77">
        <w:rPr>
          <w:noProof/>
          <w:sz w:val="24"/>
          <w:szCs w:val="24"/>
          <w:lang w:val="es-ES_tradnl"/>
        </w:rPr>
        <w:t xml:space="preserve">López, M. E., Aurtenetxe, S., Pereda, E., Cuesta, P., Castellanos, N. P., Bruña, R., … </w:t>
      </w:r>
      <w:r w:rsidRPr="00B4526F">
        <w:rPr>
          <w:noProof/>
          <w:sz w:val="24"/>
          <w:szCs w:val="24"/>
          <w:lang w:val="en-US"/>
        </w:rPr>
        <w:t xml:space="preserve">Bajo, R. (2014). Cognitive reserve is associated with the functional organization of the brain in healthy aging: A MEG study. </w:t>
      </w:r>
      <w:r w:rsidRPr="00B4526F">
        <w:rPr>
          <w:i/>
          <w:iCs/>
          <w:noProof/>
          <w:sz w:val="24"/>
          <w:szCs w:val="24"/>
          <w:lang w:val="en-US"/>
        </w:rPr>
        <w:t>Frontiers in Aging Neuroscience</w:t>
      </w:r>
      <w:r w:rsidRPr="00B4526F">
        <w:rPr>
          <w:noProof/>
          <w:sz w:val="24"/>
          <w:szCs w:val="24"/>
          <w:lang w:val="en-US"/>
        </w:rPr>
        <w:t xml:space="preserve">, </w:t>
      </w:r>
      <w:r w:rsidRPr="00B4526F">
        <w:rPr>
          <w:i/>
          <w:iCs/>
          <w:noProof/>
          <w:sz w:val="24"/>
          <w:szCs w:val="24"/>
          <w:lang w:val="en-US"/>
        </w:rPr>
        <w:t>6</w:t>
      </w:r>
      <w:r w:rsidRPr="00B4526F">
        <w:rPr>
          <w:noProof/>
          <w:sz w:val="24"/>
          <w:szCs w:val="24"/>
          <w:lang w:val="en-US"/>
        </w:rPr>
        <w:t>(JUN), 1–9. https://doi.org/10.3389/fnagi.2014.00125</w:t>
      </w:r>
    </w:p>
    <w:p w14:paraId="5365602F"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Nithianantharajah, J., &amp; Hannan, A. J. (2009). The neurobiology of brain and cognitive reserve: Mental and physical activity as modulators of brain disorders. </w:t>
      </w:r>
      <w:r w:rsidRPr="00B4526F">
        <w:rPr>
          <w:i/>
          <w:iCs/>
          <w:noProof/>
          <w:sz w:val="24"/>
          <w:szCs w:val="24"/>
          <w:lang w:val="en-US"/>
        </w:rPr>
        <w:t>Progress in Neurobiology</w:t>
      </w:r>
      <w:r w:rsidRPr="00B4526F">
        <w:rPr>
          <w:noProof/>
          <w:sz w:val="24"/>
          <w:szCs w:val="24"/>
          <w:lang w:val="en-US"/>
        </w:rPr>
        <w:t xml:space="preserve">, </w:t>
      </w:r>
      <w:r w:rsidRPr="00B4526F">
        <w:rPr>
          <w:i/>
          <w:iCs/>
          <w:noProof/>
          <w:sz w:val="24"/>
          <w:szCs w:val="24"/>
          <w:lang w:val="en-US"/>
        </w:rPr>
        <w:t>89</w:t>
      </w:r>
      <w:r w:rsidRPr="00B4526F">
        <w:rPr>
          <w:noProof/>
          <w:sz w:val="24"/>
          <w:szCs w:val="24"/>
          <w:lang w:val="en-US"/>
        </w:rPr>
        <w:t>(4), 369–382. https://doi.org/10.1016/j.pneurobio.2009.10.001</w:t>
      </w:r>
    </w:p>
    <w:p w14:paraId="7327D77E"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Reed, B. R., Schneider, J. a, Bennett, D. a, &amp; Mungas, D. (2011). Education in Building Reserve. </w:t>
      </w:r>
      <w:r w:rsidRPr="00B4526F">
        <w:rPr>
          <w:i/>
          <w:iCs/>
          <w:noProof/>
          <w:sz w:val="24"/>
          <w:szCs w:val="24"/>
          <w:lang w:val="en-US"/>
        </w:rPr>
        <w:t>J Int Neuropsychol Soc</w:t>
      </w:r>
      <w:r w:rsidRPr="00B4526F">
        <w:rPr>
          <w:noProof/>
          <w:sz w:val="24"/>
          <w:szCs w:val="24"/>
          <w:lang w:val="en-US"/>
        </w:rPr>
        <w:t xml:space="preserve">, </w:t>
      </w:r>
      <w:r w:rsidRPr="00B4526F">
        <w:rPr>
          <w:i/>
          <w:iCs/>
          <w:noProof/>
          <w:sz w:val="24"/>
          <w:szCs w:val="24"/>
          <w:lang w:val="en-US"/>
        </w:rPr>
        <w:t>17</w:t>
      </w:r>
      <w:r w:rsidRPr="00B4526F">
        <w:rPr>
          <w:noProof/>
          <w:sz w:val="24"/>
          <w:szCs w:val="24"/>
          <w:lang w:val="en-US"/>
        </w:rPr>
        <w:t>(4), 615–624. https://doi.org/10.1017/S1355617711000014.Cognitive</w:t>
      </w:r>
    </w:p>
    <w:p w14:paraId="5A82F69B"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Sauseng, P., Griesmayr, B., Freunberger, R., &amp; Klimesch, W. (2010). Control mechanisms </w:t>
      </w:r>
      <w:r w:rsidRPr="00B4526F">
        <w:rPr>
          <w:noProof/>
          <w:sz w:val="24"/>
          <w:szCs w:val="24"/>
          <w:lang w:val="en-US"/>
        </w:rPr>
        <w:lastRenderedPageBreak/>
        <w:t xml:space="preserve">in working memory: A possible function of EEG theta oscillations. </w:t>
      </w:r>
      <w:r w:rsidRPr="00B4526F">
        <w:rPr>
          <w:i/>
          <w:iCs/>
          <w:noProof/>
          <w:sz w:val="24"/>
          <w:szCs w:val="24"/>
          <w:lang w:val="en-US"/>
        </w:rPr>
        <w:t>Neuroscience and Biobehavioral Reviews</w:t>
      </w:r>
      <w:r w:rsidRPr="00B4526F">
        <w:rPr>
          <w:noProof/>
          <w:sz w:val="24"/>
          <w:szCs w:val="24"/>
          <w:lang w:val="en-US"/>
        </w:rPr>
        <w:t xml:space="preserve">, </w:t>
      </w:r>
      <w:r w:rsidRPr="00B4526F">
        <w:rPr>
          <w:i/>
          <w:iCs/>
          <w:noProof/>
          <w:sz w:val="24"/>
          <w:szCs w:val="24"/>
          <w:lang w:val="en-US"/>
        </w:rPr>
        <w:t>34</w:t>
      </w:r>
      <w:r w:rsidRPr="00B4526F">
        <w:rPr>
          <w:noProof/>
          <w:sz w:val="24"/>
          <w:szCs w:val="24"/>
          <w:lang w:val="en-US"/>
        </w:rPr>
        <w:t>(7), 1015–1022. https://doi.org/10.1016/j.neubiorev.2009.12.006</w:t>
      </w:r>
    </w:p>
    <w:p w14:paraId="6D3B7FA2"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Steffener, J., &amp; Stern, Y. (2012a). Exploring the neural basis of cognitive reserve in aging. </w:t>
      </w:r>
      <w:r w:rsidRPr="00B4526F">
        <w:rPr>
          <w:i/>
          <w:iCs/>
          <w:noProof/>
          <w:sz w:val="24"/>
          <w:szCs w:val="24"/>
          <w:lang w:val="en-US"/>
        </w:rPr>
        <w:t>Biochimica et Biophysica Acta - Molecular Basis of Disease</w:t>
      </w:r>
      <w:r w:rsidRPr="00B4526F">
        <w:rPr>
          <w:noProof/>
          <w:sz w:val="24"/>
          <w:szCs w:val="24"/>
          <w:lang w:val="en-US"/>
        </w:rPr>
        <w:t xml:space="preserve">, </w:t>
      </w:r>
      <w:r w:rsidRPr="00B4526F">
        <w:rPr>
          <w:i/>
          <w:iCs/>
          <w:noProof/>
          <w:sz w:val="24"/>
          <w:szCs w:val="24"/>
          <w:lang w:val="en-US"/>
        </w:rPr>
        <w:t>1822</w:t>
      </w:r>
      <w:r w:rsidRPr="00B4526F">
        <w:rPr>
          <w:noProof/>
          <w:sz w:val="24"/>
          <w:szCs w:val="24"/>
          <w:lang w:val="en-US"/>
        </w:rPr>
        <w:t>(3), 467–473. https://doi.org/10.1016/j.bbadis.2011.09.012</w:t>
      </w:r>
    </w:p>
    <w:p w14:paraId="1E9C5633"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Steffener, J., &amp; Stern, Y. (2012b). Exploring the neural basis of cognitive reserve in aging. </w:t>
      </w:r>
      <w:r w:rsidRPr="00B4526F">
        <w:rPr>
          <w:i/>
          <w:iCs/>
          <w:noProof/>
          <w:sz w:val="24"/>
          <w:szCs w:val="24"/>
          <w:lang w:val="en-US"/>
        </w:rPr>
        <w:t>Biochimica et Biophysica Acta (BBA) - Molecular Basis of Disease</w:t>
      </w:r>
      <w:r w:rsidRPr="00B4526F">
        <w:rPr>
          <w:noProof/>
          <w:sz w:val="24"/>
          <w:szCs w:val="24"/>
          <w:lang w:val="en-US"/>
        </w:rPr>
        <w:t xml:space="preserve">, </w:t>
      </w:r>
      <w:r w:rsidRPr="00B4526F">
        <w:rPr>
          <w:i/>
          <w:iCs/>
          <w:noProof/>
          <w:sz w:val="24"/>
          <w:szCs w:val="24"/>
          <w:lang w:val="en-US"/>
        </w:rPr>
        <w:t>1822</w:t>
      </w:r>
      <w:r w:rsidRPr="00B4526F">
        <w:rPr>
          <w:noProof/>
          <w:sz w:val="24"/>
          <w:szCs w:val="24"/>
          <w:lang w:val="en-US"/>
        </w:rPr>
        <w:t>(3), 467–473. https://doi.org/10.1016/j.bbadis.2011.09.012</w:t>
      </w:r>
    </w:p>
    <w:p w14:paraId="6EA3AF2D"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 xml:space="preserve">Stern, Y. (2002). What is cognitive reserve? Theory and research application of the reserve concept. </w:t>
      </w:r>
      <w:r w:rsidRPr="00B4526F">
        <w:rPr>
          <w:i/>
          <w:iCs/>
          <w:noProof/>
          <w:sz w:val="24"/>
          <w:szCs w:val="24"/>
          <w:lang w:val="en-US"/>
        </w:rPr>
        <w:t>Journal of the International Neuropsychological Society</w:t>
      </w:r>
      <w:r w:rsidRPr="00B4526F">
        <w:rPr>
          <w:noProof/>
          <w:sz w:val="24"/>
          <w:szCs w:val="24"/>
          <w:lang w:val="en-US"/>
        </w:rPr>
        <w:t xml:space="preserve">, </w:t>
      </w:r>
      <w:r w:rsidRPr="00B4526F">
        <w:rPr>
          <w:i/>
          <w:iCs/>
          <w:noProof/>
          <w:sz w:val="24"/>
          <w:szCs w:val="24"/>
          <w:lang w:val="en-US"/>
        </w:rPr>
        <w:t>8</w:t>
      </w:r>
      <w:r w:rsidRPr="00B4526F">
        <w:rPr>
          <w:noProof/>
          <w:sz w:val="24"/>
          <w:szCs w:val="24"/>
          <w:lang w:val="en-US"/>
        </w:rPr>
        <w:t>(3), 448–460. https://doi.org/10.1017/S1355617702813248</w:t>
      </w:r>
    </w:p>
    <w:p w14:paraId="18844A96" w14:textId="77777777" w:rsidR="00737D38" w:rsidRPr="00B4526F" w:rsidRDefault="00737D38" w:rsidP="00737D38">
      <w:pPr>
        <w:widowControl w:val="0"/>
        <w:autoSpaceDE w:val="0"/>
        <w:autoSpaceDN w:val="0"/>
        <w:adjustRightInd w:val="0"/>
        <w:spacing w:line="240" w:lineRule="auto"/>
        <w:ind w:left="480" w:hanging="480"/>
        <w:rPr>
          <w:noProof/>
          <w:sz w:val="24"/>
          <w:szCs w:val="24"/>
          <w:lang w:val="en-US"/>
        </w:rPr>
      </w:pPr>
      <w:r w:rsidRPr="00B4526F">
        <w:rPr>
          <w:noProof/>
          <w:sz w:val="24"/>
          <w:szCs w:val="24"/>
          <w:lang w:val="en-US"/>
        </w:rPr>
        <w:t>Stern, Y. (2009). Cognitive reserve</w:t>
      </w:r>
      <w:r w:rsidRPr="00B4526F">
        <w:rPr>
          <w:rFonts w:ascii="Segoe UI Symbol" w:hAnsi="Segoe UI Symbol" w:cs="Segoe UI Symbol"/>
          <w:noProof/>
          <w:sz w:val="24"/>
          <w:szCs w:val="24"/>
          <w:lang w:val="en-US"/>
        </w:rPr>
        <w:t>☆</w:t>
      </w:r>
      <w:r w:rsidRPr="00B4526F">
        <w:rPr>
          <w:noProof/>
          <w:sz w:val="24"/>
          <w:szCs w:val="24"/>
          <w:lang w:val="en-US"/>
        </w:rPr>
        <w:t xml:space="preserve">. </w:t>
      </w:r>
      <w:r w:rsidRPr="00B4526F">
        <w:rPr>
          <w:i/>
          <w:iCs/>
          <w:noProof/>
          <w:sz w:val="24"/>
          <w:szCs w:val="24"/>
          <w:lang w:val="en-US"/>
        </w:rPr>
        <w:t>Neuropsychologia</w:t>
      </w:r>
      <w:r w:rsidRPr="00B4526F">
        <w:rPr>
          <w:noProof/>
          <w:sz w:val="24"/>
          <w:szCs w:val="24"/>
          <w:lang w:val="en-US"/>
        </w:rPr>
        <w:t xml:space="preserve">, </w:t>
      </w:r>
      <w:r w:rsidRPr="00B4526F">
        <w:rPr>
          <w:i/>
          <w:iCs/>
          <w:noProof/>
          <w:sz w:val="24"/>
          <w:szCs w:val="24"/>
          <w:lang w:val="en-US"/>
        </w:rPr>
        <w:t>47</w:t>
      </w:r>
      <w:r w:rsidRPr="00B4526F">
        <w:rPr>
          <w:noProof/>
          <w:sz w:val="24"/>
          <w:szCs w:val="24"/>
          <w:lang w:val="en-US"/>
        </w:rPr>
        <w:t>(10), 2015–2028. https://doi.org/10.1016/j.neuropsychologia.2009.03.004</w:t>
      </w:r>
    </w:p>
    <w:p w14:paraId="262E0C13" w14:textId="77777777" w:rsidR="00737D38" w:rsidRPr="00C56E77" w:rsidRDefault="00737D38" w:rsidP="00737D38">
      <w:pPr>
        <w:widowControl w:val="0"/>
        <w:autoSpaceDE w:val="0"/>
        <w:autoSpaceDN w:val="0"/>
        <w:adjustRightInd w:val="0"/>
        <w:spacing w:line="240" w:lineRule="auto"/>
        <w:ind w:left="480" w:hanging="480"/>
        <w:rPr>
          <w:noProof/>
          <w:sz w:val="24"/>
          <w:szCs w:val="24"/>
        </w:rPr>
      </w:pPr>
      <w:r w:rsidRPr="00B4526F">
        <w:rPr>
          <w:noProof/>
          <w:sz w:val="24"/>
          <w:szCs w:val="24"/>
          <w:lang w:val="en-US"/>
        </w:rPr>
        <w:t xml:space="preserve">Stern, Y. (2017). An approach to studying the neural correlates of reserve. </w:t>
      </w:r>
      <w:r w:rsidRPr="00C56E77">
        <w:rPr>
          <w:i/>
          <w:iCs/>
          <w:noProof/>
          <w:sz w:val="24"/>
          <w:szCs w:val="24"/>
          <w:lang w:val="es-ES_tradnl"/>
        </w:rPr>
        <w:t>Brain Imaging and Behavior</w:t>
      </w:r>
      <w:r w:rsidRPr="00C56E77">
        <w:rPr>
          <w:noProof/>
          <w:sz w:val="24"/>
          <w:szCs w:val="24"/>
          <w:lang w:val="es-ES_tradnl"/>
        </w:rPr>
        <w:t xml:space="preserve">, </w:t>
      </w:r>
      <w:r w:rsidRPr="00C56E77">
        <w:rPr>
          <w:i/>
          <w:iCs/>
          <w:noProof/>
          <w:sz w:val="24"/>
          <w:szCs w:val="24"/>
          <w:lang w:val="es-ES_tradnl"/>
        </w:rPr>
        <w:t>11</w:t>
      </w:r>
      <w:r w:rsidRPr="00C56E77">
        <w:rPr>
          <w:noProof/>
          <w:sz w:val="24"/>
          <w:szCs w:val="24"/>
          <w:lang w:val="es-ES_tradnl"/>
        </w:rPr>
        <w:t>(2), 410–416. https://doi.org/10.1007/s11682-016-9566-x</w:t>
      </w:r>
    </w:p>
    <w:p w14:paraId="6E128A76" w14:textId="5B3EE542" w:rsidR="005B293F" w:rsidRPr="00C56E77" w:rsidRDefault="00685225" w:rsidP="00737D38">
      <w:pPr>
        <w:widowControl w:val="0"/>
        <w:autoSpaceDE w:val="0"/>
        <w:autoSpaceDN w:val="0"/>
        <w:adjustRightInd w:val="0"/>
        <w:spacing w:line="240" w:lineRule="auto"/>
        <w:ind w:left="480" w:hanging="480"/>
        <w:rPr>
          <w:rFonts w:eastAsia="Times New Roman"/>
          <w:color w:val="E9711C"/>
          <w:sz w:val="24"/>
          <w:szCs w:val="24"/>
          <w:u w:val="single"/>
          <w:lang w:val="en-US" w:eastAsia="es-ES_tradnl"/>
        </w:rPr>
      </w:pPr>
      <w:r w:rsidRPr="00C56E77">
        <w:rPr>
          <w:rFonts w:eastAsia="Times New Roman"/>
          <w:color w:val="E9711C"/>
          <w:sz w:val="24"/>
          <w:szCs w:val="24"/>
          <w:u w:val="single"/>
          <w:lang w:val="en-US" w:eastAsia="es-ES_tradnl"/>
        </w:rPr>
        <w:fldChar w:fldCharType="end"/>
      </w:r>
    </w:p>
    <w:p w14:paraId="093C575F" w14:textId="50C98F23" w:rsidR="009152EC" w:rsidRPr="00C56E77" w:rsidRDefault="009152EC" w:rsidP="00DE2E63">
      <w:pPr>
        <w:spacing w:line="240" w:lineRule="auto"/>
        <w:rPr>
          <w:rFonts w:eastAsia="Times New Roman"/>
          <w:color w:val="E9711C"/>
          <w:sz w:val="24"/>
          <w:szCs w:val="24"/>
          <w:u w:val="single"/>
          <w:lang w:val="en-US" w:eastAsia="es-ES_tradnl"/>
        </w:rPr>
      </w:pPr>
    </w:p>
    <w:sectPr w:rsidR="009152EC" w:rsidRPr="00C56E7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A30F2" w14:textId="77777777" w:rsidR="00667F8F" w:rsidRDefault="00667F8F" w:rsidP="006E379B">
      <w:pPr>
        <w:spacing w:after="0" w:line="240" w:lineRule="auto"/>
      </w:pPr>
      <w:r>
        <w:separator/>
      </w:r>
    </w:p>
  </w:endnote>
  <w:endnote w:type="continuationSeparator" w:id="0">
    <w:p w14:paraId="4FE4098C" w14:textId="77777777" w:rsidR="00667F8F" w:rsidRDefault="00667F8F" w:rsidP="006E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331A" w14:textId="2B8CEFB4" w:rsidR="002C06FF" w:rsidRDefault="002C06FF">
    <w:pPr>
      <w:pStyle w:val="Piedepgina"/>
      <w:jc w:val="right"/>
    </w:pPr>
    <w:r>
      <w:fldChar w:fldCharType="begin"/>
    </w:r>
    <w:r>
      <w:instrText>PAGE   \* MERGEFORMAT</w:instrText>
    </w:r>
    <w:r>
      <w:fldChar w:fldCharType="separate"/>
    </w:r>
    <w:r w:rsidR="00316C63" w:rsidRPr="00316C63">
      <w:rPr>
        <w:noProof/>
        <w:lang w:val="es-ES"/>
      </w:rPr>
      <w:t>20</w:t>
    </w:r>
    <w:r>
      <w:fldChar w:fldCharType="end"/>
    </w:r>
  </w:p>
  <w:p w14:paraId="522A6262" w14:textId="77777777" w:rsidR="002C06FF" w:rsidRDefault="002C06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8BCC" w14:textId="77777777" w:rsidR="00667F8F" w:rsidRDefault="00667F8F" w:rsidP="006E379B">
      <w:pPr>
        <w:spacing w:after="0" w:line="240" w:lineRule="auto"/>
      </w:pPr>
      <w:r>
        <w:separator/>
      </w:r>
    </w:p>
  </w:footnote>
  <w:footnote w:type="continuationSeparator" w:id="0">
    <w:p w14:paraId="6BD26560" w14:textId="77777777" w:rsidR="00667F8F" w:rsidRDefault="00667F8F" w:rsidP="006E3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9B"/>
    <w:rsid w:val="0000217A"/>
    <w:rsid w:val="00032712"/>
    <w:rsid w:val="00036837"/>
    <w:rsid w:val="000541FD"/>
    <w:rsid w:val="00075111"/>
    <w:rsid w:val="00082377"/>
    <w:rsid w:val="000944D7"/>
    <w:rsid w:val="00097E14"/>
    <w:rsid w:val="000A3DE3"/>
    <w:rsid w:val="000B1829"/>
    <w:rsid w:val="000C01DA"/>
    <w:rsid w:val="000C0D6F"/>
    <w:rsid w:val="000C16E3"/>
    <w:rsid w:val="000C3EBD"/>
    <w:rsid w:val="000C7007"/>
    <w:rsid w:val="000D6ADD"/>
    <w:rsid w:val="000E647D"/>
    <w:rsid w:val="00102AF1"/>
    <w:rsid w:val="00104795"/>
    <w:rsid w:val="00107195"/>
    <w:rsid w:val="00112987"/>
    <w:rsid w:val="00115BE8"/>
    <w:rsid w:val="001213E1"/>
    <w:rsid w:val="00121D21"/>
    <w:rsid w:val="00132077"/>
    <w:rsid w:val="001338F4"/>
    <w:rsid w:val="001522B9"/>
    <w:rsid w:val="00155201"/>
    <w:rsid w:val="001B3127"/>
    <w:rsid w:val="001D489C"/>
    <w:rsid w:val="001F4A84"/>
    <w:rsid w:val="001F6ED6"/>
    <w:rsid w:val="00217869"/>
    <w:rsid w:val="00222C53"/>
    <w:rsid w:val="00234500"/>
    <w:rsid w:val="002533D4"/>
    <w:rsid w:val="002727D0"/>
    <w:rsid w:val="002768E7"/>
    <w:rsid w:val="00284E40"/>
    <w:rsid w:val="00292AC4"/>
    <w:rsid w:val="0029784D"/>
    <w:rsid w:val="002C06FF"/>
    <w:rsid w:val="002D1840"/>
    <w:rsid w:val="002E1D6D"/>
    <w:rsid w:val="00306845"/>
    <w:rsid w:val="00316C63"/>
    <w:rsid w:val="00381AB2"/>
    <w:rsid w:val="003914CB"/>
    <w:rsid w:val="003A538D"/>
    <w:rsid w:val="003B650D"/>
    <w:rsid w:val="003C5AB9"/>
    <w:rsid w:val="00403A5C"/>
    <w:rsid w:val="004546BC"/>
    <w:rsid w:val="00456D49"/>
    <w:rsid w:val="004A32A1"/>
    <w:rsid w:val="004A7B02"/>
    <w:rsid w:val="004B6E06"/>
    <w:rsid w:val="004B7578"/>
    <w:rsid w:val="004C2944"/>
    <w:rsid w:val="004D2068"/>
    <w:rsid w:val="004D28F5"/>
    <w:rsid w:val="004F4A0B"/>
    <w:rsid w:val="00505CD3"/>
    <w:rsid w:val="0050639D"/>
    <w:rsid w:val="00506A0A"/>
    <w:rsid w:val="005153CF"/>
    <w:rsid w:val="00515FB3"/>
    <w:rsid w:val="00523C10"/>
    <w:rsid w:val="00541253"/>
    <w:rsid w:val="0054324C"/>
    <w:rsid w:val="00550366"/>
    <w:rsid w:val="005662DF"/>
    <w:rsid w:val="00571667"/>
    <w:rsid w:val="005740FC"/>
    <w:rsid w:val="005A6341"/>
    <w:rsid w:val="005B293F"/>
    <w:rsid w:val="005C4108"/>
    <w:rsid w:val="005D2F75"/>
    <w:rsid w:val="005E4119"/>
    <w:rsid w:val="005E7CBC"/>
    <w:rsid w:val="00606E03"/>
    <w:rsid w:val="00620025"/>
    <w:rsid w:val="00624897"/>
    <w:rsid w:val="00624940"/>
    <w:rsid w:val="00632C3F"/>
    <w:rsid w:val="00637315"/>
    <w:rsid w:val="0065170A"/>
    <w:rsid w:val="00656CBB"/>
    <w:rsid w:val="00665D46"/>
    <w:rsid w:val="00667F8F"/>
    <w:rsid w:val="00673422"/>
    <w:rsid w:val="00685225"/>
    <w:rsid w:val="00695F74"/>
    <w:rsid w:val="006A13BF"/>
    <w:rsid w:val="006B50E4"/>
    <w:rsid w:val="006D5A8D"/>
    <w:rsid w:val="006E379B"/>
    <w:rsid w:val="006F0FE7"/>
    <w:rsid w:val="006F3613"/>
    <w:rsid w:val="006F7F6C"/>
    <w:rsid w:val="007020FE"/>
    <w:rsid w:val="00705E51"/>
    <w:rsid w:val="00730D34"/>
    <w:rsid w:val="00737D38"/>
    <w:rsid w:val="0078345E"/>
    <w:rsid w:val="007919B0"/>
    <w:rsid w:val="00792125"/>
    <w:rsid w:val="007B2449"/>
    <w:rsid w:val="007B4250"/>
    <w:rsid w:val="007D6831"/>
    <w:rsid w:val="007F02C8"/>
    <w:rsid w:val="007F0E56"/>
    <w:rsid w:val="007F1A4B"/>
    <w:rsid w:val="007F248B"/>
    <w:rsid w:val="007F6818"/>
    <w:rsid w:val="008233C5"/>
    <w:rsid w:val="008428F3"/>
    <w:rsid w:val="008D3230"/>
    <w:rsid w:val="008F1743"/>
    <w:rsid w:val="009152EC"/>
    <w:rsid w:val="00925FC3"/>
    <w:rsid w:val="009319C6"/>
    <w:rsid w:val="00935314"/>
    <w:rsid w:val="00935B61"/>
    <w:rsid w:val="0096648E"/>
    <w:rsid w:val="00972C7A"/>
    <w:rsid w:val="009853B8"/>
    <w:rsid w:val="009942C2"/>
    <w:rsid w:val="009A0B96"/>
    <w:rsid w:val="009A7A9A"/>
    <w:rsid w:val="009C0395"/>
    <w:rsid w:val="009C7B3A"/>
    <w:rsid w:val="009D43FB"/>
    <w:rsid w:val="009F1EF3"/>
    <w:rsid w:val="009F2AE2"/>
    <w:rsid w:val="009F4E8D"/>
    <w:rsid w:val="00A03906"/>
    <w:rsid w:val="00A4241B"/>
    <w:rsid w:val="00A51FB1"/>
    <w:rsid w:val="00A70989"/>
    <w:rsid w:val="00A87194"/>
    <w:rsid w:val="00A9096A"/>
    <w:rsid w:val="00A9247F"/>
    <w:rsid w:val="00A93D6C"/>
    <w:rsid w:val="00AC2EDC"/>
    <w:rsid w:val="00AC37A4"/>
    <w:rsid w:val="00AE445F"/>
    <w:rsid w:val="00AE55D6"/>
    <w:rsid w:val="00B06EC1"/>
    <w:rsid w:val="00B131F6"/>
    <w:rsid w:val="00B31EE5"/>
    <w:rsid w:val="00B3566A"/>
    <w:rsid w:val="00B4526F"/>
    <w:rsid w:val="00B67AB2"/>
    <w:rsid w:val="00B84C22"/>
    <w:rsid w:val="00B864E6"/>
    <w:rsid w:val="00B93435"/>
    <w:rsid w:val="00B967A3"/>
    <w:rsid w:val="00BA2516"/>
    <w:rsid w:val="00BC4A67"/>
    <w:rsid w:val="00BF110E"/>
    <w:rsid w:val="00BF7E49"/>
    <w:rsid w:val="00C0723C"/>
    <w:rsid w:val="00C229B0"/>
    <w:rsid w:val="00C31707"/>
    <w:rsid w:val="00C56E77"/>
    <w:rsid w:val="00C758AF"/>
    <w:rsid w:val="00C82336"/>
    <w:rsid w:val="00C97E07"/>
    <w:rsid w:val="00CA01CE"/>
    <w:rsid w:val="00CA13E5"/>
    <w:rsid w:val="00CB270D"/>
    <w:rsid w:val="00CB7492"/>
    <w:rsid w:val="00CC4AB6"/>
    <w:rsid w:val="00CE60C3"/>
    <w:rsid w:val="00D100C9"/>
    <w:rsid w:val="00D120ED"/>
    <w:rsid w:val="00D45CEF"/>
    <w:rsid w:val="00D57A69"/>
    <w:rsid w:val="00D57A84"/>
    <w:rsid w:val="00D62DAC"/>
    <w:rsid w:val="00D65B8A"/>
    <w:rsid w:val="00D71157"/>
    <w:rsid w:val="00DC2B9A"/>
    <w:rsid w:val="00DD2C41"/>
    <w:rsid w:val="00DD601E"/>
    <w:rsid w:val="00DE2E63"/>
    <w:rsid w:val="00DF28A9"/>
    <w:rsid w:val="00E12F57"/>
    <w:rsid w:val="00E15FB3"/>
    <w:rsid w:val="00E23C78"/>
    <w:rsid w:val="00E23E11"/>
    <w:rsid w:val="00E300AB"/>
    <w:rsid w:val="00E33040"/>
    <w:rsid w:val="00E34177"/>
    <w:rsid w:val="00E67A84"/>
    <w:rsid w:val="00E77932"/>
    <w:rsid w:val="00E80A63"/>
    <w:rsid w:val="00EA6F47"/>
    <w:rsid w:val="00EB214D"/>
    <w:rsid w:val="00EB29A9"/>
    <w:rsid w:val="00EB7FB8"/>
    <w:rsid w:val="00EC2045"/>
    <w:rsid w:val="00EC316D"/>
    <w:rsid w:val="00EE57C4"/>
    <w:rsid w:val="00F165F7"/>
    <w:rsid w:val="00F40758"/>
    <w:rsid w:val="00F442F7"/>
    <w:rsid w:val="00F57592"/>
    <w:rsid w:val="00F65864"/>
    <w:rsid w:val="00F676D3"/>
    <w:rsid w:val="00F71F5C"/>
    <w:rsid w:val="00F826AF"/>
    <w:rsid w:val="00F8387E"/>
    <w:rsid w:val="00F83BB5"/>
    <w:rsid w:val="00F93F3F"/>
    <w:rsid w:val="00F965C7"/>
    <w:rsid w:val="00FA0C78"/>
    <w:rsid w:val="00FA6728"/>
    <w:rsid w:val="00FB1301"/>
    <w:rsid w:val="00FB378B"/>
    <w:rsid w:val="00FB3EA6"/>
    <w:rsid w:val="00FD441C"/>
    <w:rsid w:val="00FD70DA"/>
    <w:rsid w:val="00FE7E9B"/>
    <w:rsid w:val="00FF4483"/>
    <w:rsid w:val="00FF5850"/>
    <w:rsid w:val="00FF78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32B26"/>
  <w15:chartTrackingRefBased/>
  <w15:docId w15:val="{4AE2B59E-2674-45D9-9FC0-8D9E8766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9B"/>
    <w:pPr>
      <w:spacing w:after="160" w:line="480" w:lineRule="auto"/>
    </w:pPr>
    <w:rPr>
      <w:rFonts w:ascii="Times New Roman" w:hAnsi="Times New Roman"/>
      <w:sz w:val="22"/>
      <w:szCs w:val="22"/>
      <w:lang w:eastAsia="en-US"/>
    </w:rPr>
  </w:style>
  <w:style w:type="paragraph" w:styleId="Ttulo1">
    <w:name w:val="heading 1"/>
    <w:basedOn w:val="Normal"/>
    <w:link w:val="Ttulo1Car"/>
    <w:uiPriority w:val="9"/>
    <w:qFormat/>
    <w:rsid w:val="00F71F5C"/>
    <w:pPr>
      <w:spacing w:before="100" w:beforeAutospacing="1" w:after="100" w:afterAutospacing="1" w:line="240" w:lineRule="auto"/>
      <w:outlineLvl w:val="0"/>
    </w:pPr>
    <w:rPr>
      <w:rFonts w:eastAsia="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79B"/>
    <w:pPr>
      <w:tabs>
        <w:tab w:val="center" w:pos="4419"/>
        <w:tab w:val="right" w:pos="8838"/>
      </w:tabs>
      <w:spacing w:after="0" w:line="240" w:lineRule="auto"/>
    </w:pPr>
  </w:style>
  <w:style w:type="character" w:customStyle="1" w:styleId="EncabezadoCar">
    <w:name w:val="Encabezado Car"/>
    <w:link w:val="Encabezado"/>
    <w:uiPriority w:val="99"/>
    <w:rsid w:val="006E379B"/>
    <w:rPr>
      <w:rFonts w:ascii="Times New Roman" w:hAnsi="Times New Roman"/>
    </w:rPr>
  </w:style>
  <w:style w:type="paragraph" w:styleId="Piedepgina">
    <w:name w:val="footer"/>
    <w:basedOn w:val="Normal"/>
    <w:link w:val="PiedepginaCar"/>
    <w:uiPriority w:val="99"/>
    <w:unhideWhenUsed/>
    <w:rsid w:val="006E379B"/>
    <w:pPr>
      <w:tabs>
        <w:tab w:val="center" w:pos="4419"/>
        <w:tab w:val="right" w:pos="8838"/>
      </w:tabs>
      <w:spacing w:after="0" w:line="240" w:lineRule="auto"/>
    </w:pPr>
  </w:style>
  <w:style w:type="character" w:customStyle="1" w:styleId="PiedepginaCar">
    <w:name w:val="Pie de página Car"/>
    <w:link w:val="Piedepgina"/>
    <w:uiPriority w:val="99"/>
    <w:rsid w:val="006E379B"/>
    <w:rPr>
      <w:rFonts w:ascii="Times New Roman" w:hAnsi="Times New Roman"/>
    </w:rPr>
  </w:style>
  <w:style w:type="paragraph" w:styleId="Prrafodelista">
    <w:name w:val="List Paragraph"/>
    <w:basedOn w:val="Normal"/>
    <w:uiPriority w:val="34"/>
    <w:qFormat/>
    <w:rsid w:val="0096648E"/>
    <w:pPr>
      <w:ind w:left="720"/>
      <w:contextualSpacing/>
    </w:pPr>
  </w:style>
  <w:style w:type="table" w:styleId="Tablaconcuadrcula">
    <w:name w:val="Table Grid"/>
    <w:basedOn w:val="Tablanormal"/>
    <w:uiPriority w:val="39"/>
    <w:rsid w:val="009F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F71F5C"/>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F71F5C"/>
    <w:pPr>
      <w:spacing w:before="100" w:beforeAutospacing="1" w:after="100" w:afterAutospacing="1" w:line="240" w:lineRule="auto"/>
    </w:pPr>
    <w:rPr>
      <w:rFonts w:eastAsia="Times New Roman"/>
      <w:sz w:val="24"/>
      <w:szCs w:val="24"/>
      <w:lang w:eastAsia="es-MX"/>
    </w:rPr>
  </w:style>
  <w:style w:type="character" w:styleId="nfasis">
    <w:name w:val="Emphasis"/>
    <w:uiPriority w:val="20"/>
    <w:qFormat/>
    <w:rsid w:val="00F71F5C"/>
    <w:rPr>
      <w:i/>
      <w:iCs/>
    </w:rPr>
  </w:style>
  <w:style w:type="character" w:styleId="Textoennegrita">
    <w:name w:val="Strong"/>
    <w:uiPriority w:val="22"/>
    <w:qFormat/>
    <w:rsid w:val="00D57A69"/>
    <w:rPr>
      <w:b/>
      <w:bCs/>
    </w:rPr>
  </w:style>
  <w:style w:type="character" w:styleId="Hipervnculo">
    <w:name w:val="Hyperlink"/>
    <w:uiPriority w:val="99"/>
    <w:semiHidden/>
    <w:unhideWhenUsed/>
    <w:rsid w:val="006B50E4"/>
    <w:rPr>
      <w:color w:val="0000FF"/>
      <w:u w:val="single"/>
    </w:rPr>
  </w:style>
  <w:style w:type="paragraph" w:styleId="HTMLconformatoprevio">
    <w:name w:val="HTML Preformatted"/>
    <w:basedOn w:val="Normal"/>
    <w:link w:val="HTMLconformatoprevioCar"/>
    <w:uiPriority w:val="99"/>
    <w:semiHidden/>
    <w:unhideWhenUsed/>
    <w:rsid w:val="00A51FB1"/>
    <w:pPr>
      <w:spacing w:after="0" w:line="240" w:lineRule="auto"/>
    </w:pPr>
    <w:rPr>
      <w:rFonts w:ascii="Consolas" w:hAnsi="Consolas" w:cs="Consolas"/>
      <w:sz w:val="20"/>
      <w:szCs w:val="20"/>
    </w:rPr>
  </w:style>
  <w:style w:type="character" w:customStyle="1" w:styleId="HTMLconformatoprevioCar">
    <w:name w:val="HTML con formato previo Car"/>
    <w:link w:val="HTMLconformatoprevio"/>
    <w:uiPriority w:val="99"/>
    <w:semiHidden/>
    <w:rsid w:val="00A51FB1"/>
    <w:rPr>
      <w:rFonts w:ascii="Consolas" w:hAnsi="Consolas" w:cs="Consolas"/>
      <w:sz w:val="20"/>
      <w:szCs w:val="20"/>
    </w:rPr>
  </w:style>
  <w:style w:type="character" w:styleId="Refdecomentario">
    <w:name w:val="annotation reference"/>
    <w:uiPriority w:val="99"/>
    <w:semiHidden/>
    <w:unhideWhenUsed/>
    <w:rsid w:val="000944D7"/>
    <w:rPr>
      <w:sz w:val="16"/>
      <w:szCs w:val="16"/>
    </w:rPr>
  </w:style>
  <w:style w:type="paragraph" w:styleId="Textocomentario">
    <w:name w:val="annotation text"/>
    <w:basedOn w:val="Normal"/>
    <w:link w:val="TextocomentarioCar"/>
    <w:uiPriority w:val="99"/>
    <w:semiHidden/>
    <w:unhideWhenUsed/>
    <w:rsid w:val="000944D7"/>
    <w:pPr>
      <w:spacing w:line="240" w:lineRule="auto"/>
    </w:pPr>
    <w:rPr>
      <w:sz w:val="20"/>
      <w:szCs w:val="20"/>
    </w:rPr>
  </w:style>
  <w:style w:type="character" w:customStyle="1" w:styleId="TextocomentarioCar">
    <w:name w:val="Texto comentario Car"/>
    <w:link w:val="Textocomentario"/>
    <w:uiPriority w:val="99"/>
    <w:semiHidden/>
    <w:rsid w:val="000944D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0944D7"/>
    <w:rPr>
      <w:b/>
      <w:bCs/>
    </w:rPr>
  </w:style>
  <w:style w:type="character" w:customStyle="1" w:styleId="AsuntodelcomentarioCar">
    <w:name w:val="Asunto del comentario Car"/>
    <w:link w:val="Asuntodelcomentario"/>
    <w:uiPriority w:val="99"/>
    <w:semiHidden/>
    <w:rsid w:val="000944D7"/>
    <w:rPr>
      <w:rFonts w:ascii="Times New Roman" w:hAnsi="Times New Roman"/>
      <w:b/>
      <w:bCs/>
      <w:sz w:val="20"/>
      <w:szCs w:val="20"/>
    </w:rPr>
  </w:style>
  <w:style w:type="paragraph" w:styleId="Textodeglobo">
    <w:name w:val="Balloon Text"/>
    <w:basedOn w:val="Normal"/>
    <w:link w:val="TextodegloboCar"/>
    <w:uiPriority w:val="99"/>
    <w:semiHidden/>
    <w:unhideWhenUsed/>
    <w:rsid w:val="000944D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94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3741">
      <w:bodyDiv w:val="1"/>
      <w:marLeft w:val="0"/>
      <w:marRight w:val="0"/>
      <w:marTop w:val="0"/>
      <w:marBottom w:val="0"/>
      <w:divBdr>
        <w:top w:val="none" w:sz="0" w:space="0" w:color="auto"/>
        <w:left w:val="none" w:sz="0" w:space="0" w:color="auto"/>
        <w:bottom w:val="none" w:sz="0" w:space="0" w:color="auto"/>
        <w:right w:val="none" w:sz="0" w:space="0" w:color="auto"/>
      </w:divBdr>
    </w:div>
    <w:div w:id="404913516">
      <w:bodyDiv w:val="1"/>
      <w:marLeft w:val="0"/>
      <w:marRight w:val="0"/>
      <w:marTop w:val="0"/>
      <w:marBottom w:val="0"/>
      <w:divBdr>
        <w:top w:val="none" w:sz="0" w:space="0" w:color="auto"/>
        <w:left w:val="none" w:sz="0" w:space="0" w:color="auto"/>
        <w:bottom w:val="none" w:sz="0" w:space="0" w:color="auto"/>
        <w:right w:val="none" w:sz="0" w:space="0" w:color="auto"/>
      </w:divBdr>
    </w:div>
    <w:div w:id="505827260">
      <w:bodyDiv w:val="1"/>
      <w:marLeft w:val="0"/>
      <w:marRight w:val="0"/>
      <w:marTop w:val="0"/>
      <w:marBottom w:val="0"/>
      <w:divBdr>
        <w:top w:val="none" w:sz="0" w:space="0" w:color="auto"/>
        <w:left w:val="none" w:sz="0" w:space="0" w:color="auto"/>
        <w:bottom w:val="none" w:sz="0" w:space="0" w:color="auto"/>
        <w:right w:val="none" w:sz="0" w:space="0" w:color="auto"/>
      </w:divBdr>
    </w:div>
    <w:div w:id="742921427">
      <w:bodyDiv w:val="1"/>
      <w:marLeft w:val="0"/>
      <w:marRight w:val="0"/>
      <w:marTop w:val="0"/>
      <w:marBottom w:val="0"/>
      <w:divBdr>
        <w:top w:val="none" w:sz="0" w:space="0" w:color="auto"/>
        <w:left w:val="none" w:sz="0" w:space="0" w:color="auto"/>
        <w:bottom w:val="none" w:sz="0" w:space="0" w:color="auto"/>
        <w:right w:val="none" w:sz="0" w:space="0" w:color="auto"/>
      </w:divBdr>
    </w:div>
    <w:div w:id="1003899654">
      <w:bodyDiv w:val="1"/>
      <w:marLeft w:val="0"/>
      <w:marRight w:val="0"/>
      <w:marTop w:val="0"/>
      <w:marBottom w:val="0"/>
      <w:divBdr>
        <w:top w:val="none" w:sz="0" w:space="0" w:color="auto"/>
        <w:left w:val="none" w:sz="0" w:space="0" w:color="auto"/>
        <w:bottom w:val="none" w:sz="0" w:space="0" w:color="auto"/>
        <w:right w:val="none" w:sz="0" w:space="0" w:color="auto"/>
      </w:divBdr>
    </w:div>
    <w:div w:id="2052533052">
      <w:bodyDiv w:val="1"/>
      <w:marLeft w:val="0"/>
      <w:marRight w:val="0"/>
      <w:marTop w:val="0"/>
      <w:marBottom w:val="0"/>
      <w:divBdr>
        <w:top w:val="none" w:sz="0" w:space="0" w:color="auto"/>
        <w:left w:val="none" w:sz="0" w:space="0" w:color="auto"/>
        <w:bottom w:val="none" w:sz="0" w:space="0" w:color="auto"/>
        <w:right w:val="none" w:sz="0" w:space="0" w:color="auto"/>
      </w:divBdr>
    </w:div>
    <w:div w:id="20746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3F4A-16BD-B744-9AEE-FB9DCDCA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13672</Words>
  <Characters>74378</Characters>
  <Application>Microsoft Office Word</Application>
  <DocSecurity>0</DocSecurity>
  <Lines>1690</Lines>
  <Paragraphs>830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87220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Jorge Sánchez</cp:lastModifiedBy>
  <cp:revision>3</cp:revision>
  <cp:lastPrinted>2019-08-26T17:13:00Z</cp:lastPrinted>
  <dcterms:created xsi:type="dcterms:W3CDTF">2020-01-07T00:22:00Z</dcterms:created>
  <dcterms:modified xsi:type="dcterms:W3CDTF">2020-01-07T00:23:00Z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a6492baa-9648-317a-aaf9-45d738ee1ecf</vt:lpwstr>
  </property>
</Properties>
</file>