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48B5" w:rsidRPr="00A5584D" w:rsidRDefault="004C48B5" w:rsidP="006D3B17">
      <w:pPr>
        <w:jc w:val="center"/>
        <w:rPr>
          <w:b/>
          <w:sz w:val="22"/>
          <w:szCs w:val="22"/>
        </w:rPr>
      </w:pPr>
      <w:r w:rsidRPr="00A5584D">
        <w:rPr>
          <w:b/>
          <w:sz w:val="22"/>
          <w:szCs w:val="22"/>
        </w:rPr>
        <w:t>INFLUENCIA DE LAS SEÑALES VISUALES NO VERBALES SOBRE EL PREJUICIO IMPLÍCITO HACIA MUJERES CON TATUAJES VISIBLES EN UNA MUESTRA DE ESTUDIANTES UNIVERSITARIOS</w:t>
      </w:r>
    </w:p>
    <w:p w:rsidR="004C48B5" w:rsidRPr="00A5584D" w:rsidRDefault="004C48B5" w:rsidP="006D3B17">
      <w:pPr>
        <w:widowControl w:val="0"/>
        <w:jc w:val="center"/>
        <w:rPr>
          <w:b/>
          <w:sz w:val="22"/>
          <w:szCs w:val="22"/>
        </w:rPr>
      </w:pPr>
    </w:p>
    <w:p w:rsidR="004C48B5" w:rsidRPr="00F123B9" w:rsidRDefault="00F123B9" w:rsidP="006D3B17">
      <w:pPr>
        <w:widowControl w:val="0"/>
        <w:jc w:val="center"/>
        <w:rPr>
          <w:b/>
          <w:sz w:val="22"/>
          <w:szCs w:val="22"/>
          <w:vertAlign w:val="superscript"/>
        </w:rPr>
      </w:pPr>
      <w:r>
        <w:rPr>
          <w:b/>
          <w:sz w:val="22"/>
          <w:szCs w:val="22"/>
        </w:rPr>
        <w:t xml:space="preserve">Ana Fernández, </w:t>
      </w:r>
      <w:proofErr w:type="spellStart"/>
      <w:r w:rsidR="00ED27AA" w:rsidRPr="00A5584D">
        <w:rPr>
          <w:b/>
          <w:sz w:val="22"/>
          <w:szCs w:val="22"/>
        </w:rPr>
        <w:t>S</w:t>
      </w:r>
      <w:r>
        <w:rPr>
          <w:b/>
          <w:sz w:val="22"/>
          <w:szCs w:val="22"/>
        </w:rPr>
        <w:t>carlyn</w:t>
      </w:r>
      <w:proofErr w:type="spellEnd"/>
      <w:r>
        <w:rPr>
          <w:b/>
          <w:sz w:val="22"/>
          <w:szCs w:val="22"/>
        </w:rPr>
        <w:t xml:space="preserve"> </w:t>
      </w:r>
      <w:proofErr w:type="spellStart"/>
      <w:r>
        <w:rPr>
          <w:b/>
          <w:sz w:val="22"/>
          <w:szCs w:val="22"/>
        </w:rPr>
        <w:t>Caraballo</w:t>
      </w:r>
      <w:proofErr w:type="spellEnd"/>
      <w:r>
        <w:rPr>
          <w:b/>
          <w:sz w:val="22"/>
          <w:szCs w:val="22"/>
        </w:rPr>
        <w:t xml:space="preserve"> </w:t>
      </w:r>
      <w:r>
        <w:rPr>
          <w:b/>
          <w:sz w:val="22"/>
          <w:szCs w:val="22"/>
          <w:vertAlign w:val="superscript"/>
        </w:rPr>
        <w:t xml:space="preserve">2 </w:t>
      </w:r>
      <w:r>
        <w:rPr>
          <w:b/>
          <w:sz w:val="22"/>
          <w:szCs w:val="22"/>
        </w:rPr>
        <w:t xml:space="preserve">y  Carolina Mora </w:t>
      </w:r>
      <w:r>
        <w:rPr>
          <w:b/>
          <w:sz w:val="22"/>
          <w:szCs w:val="22"/>
          <w:vertAlign w:val="superscript"/>
        </w:rPr>
        <w:t>3</w:t>
      </w:r>
    </w:p>
    <w:p w:rsidR="004C48B5" w:rsidRPr="00A5584D" w:rsidRDefault="004C48B5" w:rsidP="006D3B17">
      <w:pPr>
        <w:widowControl w:val="0"/>
        <w:jc w:val="center"/>
        <w:rPr>
          <w:b/>
          <w:sz w:val="22"/>
          <w:szCs w:val="22"/>
        </w:rPr>
      </w:pPr>
    </w:p>
    <w:p w:rsidR="004C48B5" w:rsidRPr="00A5584D" w:rsidRDefault="004C48B5" w:rsidP="006D3B17">
      <w:pPr>
        <w:widowControl w:val="0"/>
        <w:jc w:val="center"/>
        <w:rPr>
          <w:b/>
          <w:sz w:val="22"/>
          <w:szCs w:val="22"/>
        </w:rPr>
      </w:pPr>
      <w:r w:rsidRPr="00A5584D">
        <w:rPr>
          <w:b/>
          <w:sz w:val="22"/>
          <w:szCs w:val="22"/>
        </w:rPr>
        <w:t>Universidad Central de Venezuela</w:t>
      </w:r>
    </w:p>
    <w:p w:rsidR="004C48B5" w:rsidRPr="00A5584D" w:rsidRDefault="004C48B5" w:rsidP="006D3B17">
      <w:pPr>
        <w:widowControl w:val="0"/>
        <w:jc w:val="center"/>
        <w:outlineLvl w:val="0"/>
        <w:rPr>
          <w:b/>
          <w:sz w:val="22"/>
          <w:szCs w:val="22"/>
        </w:rPr>
      </w:pPr>
      <w:bookmarkStart w:id="0" w:name="_Toc515962807"/>
    </w:p>
    <w:p w:rsidR="004C48B5" w:rsidRPr="00A5584D" w:rsidRDefault="004C48B5" w:rsidP="006D3B17">
      <w:pPr>
        <w:widowControl w:val="0"/>
        <w:jc w:val="center"/>
        <w:outlineLvl w:val="0"/>
        <w:rPr>
          <w:b/>
          <w:sz w:val="22"/>
          <w:szCs w:val="22"/>
        </w:rPr>
      </w:pPr>
      <w:r w:rsidRPr="00A5584D">
        <w:rPr>
          <w:b/>
          <w:sz w:val="22"/>
          <w:szCs w:val="22"/>
        </w:rPr>
        <w:t>Resumen</w:t>
      </w:r>
      <w:bookmarkEnd w:id="0"/>
    </w:p>
    <w:p w:rsidR="00B33CA4" w:rsidRPr="00A5584D" w:rsidRDefault="00F56D51" w:rsidP="00B33CA4">
      <w:pPr>
        <w:widowControl w:val="0"/>
        <w:jc w:val="both"/>
        <w:rPr>
          <w:sz w:val="22"/>
          <w:szCs w:val="22"/>
          <w:lang w:val="es-VE"/>
        </w:rPr>
      </w:pPr>
      <w:r w:rsidRPr="00A5584D">
        <w:rPr>
          <w:sz w:val="22"/>
          <w:szCs w:val="22"/>
        </w:rPr>
        <w:t xml:space="preserve">La presente investigación tuvo como objetivo determinar la influencia de </w:t>
      </w:r>
      <w:r w:rsidR="001C5CB6" w:rsidRPr="00A5584D">
        <w:rPr>
          <w:sz w:val="22"/>
          <w:szCs w:val="22"/>
          <w:lang w:val="es-VE"/>
        </w:rPr>
        <w:t>l</w:t>
      </w:r>
      <w:r w:rsidR="00ED27AA" w:rsidRPr="00A5584D">
        <w:rPr>
          <w:sz w:val="22"/>
          <w:szCs w:val="22"/>
          <w:lang w:val="es-VE"/>
        </w:rPr>
        <w:t xml:space="preserve">os anteojos y los lentes de sol, </w:t>
      </w:r>
      <w:r w:rsidR="001C5CB6" w:rsidRPr="00A5584D">
        <w:rPr>
          <w:sz w:val="22"/>
          <w:szCs w:val="22"/>
          <w:lang w:val="es-VE"/>
        </w:rPr>
        <w:t>utilizados como</w:t>
      </w:r>
      <w:r w:rsidR="001C5CB6" w:rsidRPr="00A5584D">
        <w:rPr>
          <w:sz w:val="22"/>
          <w:szCs w:val="22"/>
        </w:rPr>
        <w:t xml:space="preserve"> </w:t>
      </w:r>
      <w:r w:rsidRPr="00A5584D">
        <w:rPr>
          <w:sz w:val="22"/>
          <w:szCs w:val="22"/>
        </w:rPr>
        <w:t>señales visuales no verbales</w:t>
      </w:r>
      <w:r w:rsidR="00ED27AA" w:rsidRPr="00A5584D">
        <w:rPr>
          <w:sz w:val="22"/>
          <w:szCs w:val="22"/>
        </w:rPr>
        <w:t>,</w:t>
      </w:r>
      <w:r w:rsidRPr="00A5584D">
        <w:rPr>
          <w:sz w:val="22"/>
          <w:szCs w:val="22"/>
        </w:rPr>
        <w:t xml:space="preserve"> sobre el prejuicio implícito hacia</w:t>
      </w:r>
      <w:r w:rsidR="001C5CB6" w:rsidRPr="00A5584D">
        <w:rPr>
          <w:sz w:val="22"/>
          <w:szCs w:val="22"/>
        </w:rPr>
        <w:t xml:space="preserve"> mujeres con tatuajes visibles. La </w:t>
      </w:r>
      <w:r w:rsidR="004C48B5" w:rsidRPr="00A5584D">
        <w:rPr>
          <w:sz w:val="22"/>
          <w:szCs w:val="22"/>
        </w:rPr>
        <w:t xml:space="preserve">muestra </w:t>
      </w:r>
      <w:r w:rsidR="001C5CB6" w:rsidRPr="00A5584D">
        <w:rPr>
          <w:sz w:val="22"/>
          <w:szCs w:val="22"/>
        </w:rPr>
        <w:t xml:space="preserve">estuvo constituida por </w:t>
      </w:r>
      <w:r w:rsidRPr="00A5584D">
        <w:rPr>
          <w:sz w:val="22"/>
          <w:szCs w:val="22"/>
        </w:rPr>
        <w:t>30</w:t>
      </w:r>
      <w:r w:rsidR="004C48B5" w:rsidRPr="00A5584D">
        <w:rPr>
          <w:sz w:val="22"/>
          <w:szCs w:val="22"/>
        </w:rPr>
        <w:t xml:space="preserve"> </w:t>
      </w:r>
      <w:r w:rsidRPr="00A5584D">
        <w:rPr>
          <w:sz w:val="22"/>
          <w:szCs w:val="22"/>
        </w:rPr>
        <w:t xml:space="preserve">estudiantes universitarios, de ambos </w:t>
      </w:r>
      <w:r w:rsidR="00ED27AA" w:rsidRPr="00A5584D">
        <w:rPr>
          <w:sz w:val="22"/>
          <w:szCs w:val="22"/>
        </w:rPr>
        <w:t>sexo</w:t>
      </w:r>
      <w:r w:rsidRPr="00A5584D">
        <w:rPr>
          <w:sz w:val="22"/>
          <w:szCs w:val="22"/>
        </w:rPr>
        <w:t>s y con edades comprendidas entre los 20 y 30 años. Se trabajó con un diseño cuasi-experimental</w:t>
      </w:r>
      <w:r w:rsidR="00B33CA4" w:rsidRPr="00A5584D">
        <w:rPr>
          <w:sz w:val="22"/>
          <w:szCs w:val="22"/>
        </w:rPr>
        <w:t xml:space="preserve">, </w:t>
      </w:r>
      <w:r w:rsidR="001C5CB6" w:rsidRPr="00A5584D">
        <w:rPr>
          <w:sz w:val="22"/>
          <w:szCs w:val="22"/>
        </w:rPr>
        <w:t>conformado</w:t>
      </w:r>
      <w:r w:rsidR="001C5CB6" w:rsidRPr="00A5584D">
        <w:rPr>
          <w:sz w:val="22"/>
          <w:szCs w:val="22"/>
          <w:lang w:val="es-VE"/>
        </w:rPr>
        <w:t xml:space="preserve"> </w:t>
      </w:r>
      <w:r w:rsidR="00B33CA4" w:rsidRPr="00A5584D">
        <w:rPr>
          <w:sz w:val="22"/>
          <w:szCs w:val="22"/>
          <w:lang w:val="es-VE"/>
        </w:rPr>
        <w:t xml:space="preserve">por tres grupos (dos experimentales y uno control), sometidos a una intervención </w:t>
      </w:r>
      <w:r w:rsidR="00ED27AA" w:rsidRPr="00A5584D">
        <w:rPr>
          <w:sz w:val="22"/>
          <w:szCs w:val="22"/>
          <w:lang w:val="es-VE"/>
        </w:rPr>
        <w:t xml:space="preserve">y </w:t>
      </w:r>
      <w:r w:rsidR="00E210A3" w:rsidRPr="00A5584D">
        <w:rPr>
          <w:sz w:val="22"/>
          <w:szCs w:val="22"/>
          <w:lang w:val="es-VE"/>
        </w:rPr>
        <w:t>con postprueba únicamente</w:t>
      </w:r>
      <w:r w:rsidR="00B33CA4" w:rsidRPr="00A5584D">
        <w:rPr>
          <w:sz w:val="22"/>
          <w:szCs w:val="22"/>
          <w:lang w:val="es-VE"/>
        </w:rPr>
        <w:t xml:space="preserve">. </w:t>
      </w:r>
      <w:r w:rsidR="00E210A3" w:rsidRPr="00A5584D">
        <w:rPr>
          <w:sz w:val="22"/>
          <w:szCs w:val="22"/>
          <w:lang w:val="es-VE"/>
        </w:rPr>
        <w:t>Para la medición del</w:t>
      </w:r>
      <w:r w:rsidR="00B33CA4" w:rsidRPr="00A5584D">
        <w:rPr>
          <w:sz w:val="22"/>
          <w:szCs w:val="22"/>
          <w:lang w:val="es-VE"/>
        </w:rPr>
        <w:t xml:space="preserve"> prejuicio implícito </w:t>
      </w:r>
      <w:r w:rsidR="00C7546C" w:rsidRPr="00A5584D">
        <w:rPr>
          <w:sz w:val="22"/>
          <w:szCs w:val="22"/>
          <w:lang w:val="es-VE"/>
        </w:rPr>
        <w:t>se</w:t>
      </w:r>
      <w:r w:rsidR="00E210A3" w:rsidRPr="00A5584D">
        <w:rPr>
          <w:sz w:val="22"/>
          <w:szCs w:val="22"/>
          <w:lang w:val="es-VE"/>
        </w:rPr>
        <w:t xml:space="preserve"> utilizó el </w:t>
      </w:r>
      <w:r w:rsidR="00B33CA4" w:rsidRPr="00A5584D">
        <w:rPr>
          <w:sz w:val="22"/>
          <w:szCs w:val="22"/>
          <w:lang w:val="es-VE"/>
        </w:rPr>
        <w:t>Test de Asociación Implícita.</w:t>
      </w:r>
      <w:r w:rsidR="00B33CA4" w:rsidRPr="00A5584D">
        <w:rPr>
          <w:rFonts w:ascii="Arial" w:eastAsiaTheme="minorHAnsi" w:hAnsi="Arial" w:cs="Arial"/>
          <w:sz w:val="20"/>
          <w:szCs w:val="20"/>
          <w:lang w:val="es-VE" w:eastAsia="en-US"/>
        </w:rPr>
        <w:t xml:space="preserve"> </w:t>
      </w:r>
      <w:r w:rsidR="00B33CA4" w:rsidRPr="00A5584D">
        <w:rPr>
          <w:sz w:val="22"/>
          <w:szCs w:val="22"/>
          <w:lang w:val="es-VE"/>
        </w:rPr>
        <w:t>Los datos recabados fueron procesados con el estadístico Friedman</w:t>
      </w:r>
      <w:r w:rsidR="001C5CB6" w:rsidRPr="00A5584D">
        <w:rPr>
          <w:sz w:val="22"/>
          <w:szCs w:val="22"/>
          <w:lang w:val="es-VE"/>
        </w:rPr>
        <w:t>, cuyo resultado indicó</w:t>
      </w:r>
      <w:r w:rsidR="00B33CA4" w:rsidRPr="00A5584D">
        <w:rPr>
          <w:sz w:val="22"/>
          <w:szCs w:val="22"/>
          <w:lang w:val="es-VE"/>
        </w:rPr>
        <w:t xml:space="preserve"> que </w:t>
      </w:r>
      <w:r w:rsidR="001C5CB6" w:rsidRPr="00A5584D">
        <w:rPr>
          <w:sz w:val="22"/>
          <w:szCs w:val="22"/>
        </w:rPr>
        <w:t>no exist</w:t>
      </w:r>
      <w:r w:rsidR="00B33CA4" w:rsidRPr="00A5584D">
        <w:rPr>
          <w:sz w:val="22"/>
          <w:szCs w:val="22"/>
        </w:rPr>
        <w:t xml:space="preserve">en diferencias </w:t>
      </w:r>
      <w:r w:rsidR="001C5CB6" w:rsidRPr="00A5584D">
        <w:rPr>
          <w:sz w:val="22"/>
          <w:szCs w:val="22"/>
        </w:rPr>
        <w:t xml:space="preserve">estadísticamente </w:t>
      </w:r>
      <w:r w:rsidR="00B33CA4" w:rsidRPr="00A5584D">
        <w:rPr>
          <w:sz w:val="22"/>
          <w:szCs w:val="22"/>
        </w:rPr>
        <w:t>significativas entre ninguno de los grupos.</w:t>
      </w:r>
      <w:r w:rsidR="001C5CB6" w:rsidRPr="00A5584D">
        <w:rPr>
          <w:sz w:val="22"/>
          <w:szCs w:val="22"/>
        </w:rPr>
        <w:t xml:space="preserve"> Sin embargo, se discuten y sugieren nuevas líneas de investigación con relación al principio de identificación endogru</w:t>
      </w:r>
      <w:r w:rsidR="00E210A3" w:rsidRPr="00A5584D">
        <w:rPr>
          <w:sz w:val="22"/>
          <w:szCs w:val="22"/>
        </w:rPr>
        <w:t>pal que podría subyacer al uso</w:t>
      </w:r>
      <w:r w:rsidR="001C5CB6" w:rsidRPr="00A5584D">
        <w:rPr>
          <w:sz w:val="22"/>
          <w:szCs w:val="22"/>
        </w:rPr>
        <w:t xml:space="preserve"> de las señales visuales no verbales como estrategia </w:t>
      </w:r>
      <w:r w:rsidR="00E210A3" w:rsidRPr="00A5584D">
        <w:rPr>
          <w:sz w:val="22"/>
          <w:szCs w:val="22"/>
        </w:rPr>
        <w:t xml:space="preserve">efectiva </w:t>
      </w:r>
      <w:r w:rsidR="001C5CB6" w:rsidRPr="00A5584D">
        <w:rPr>
          <w:sz w:val="22"/>
          <w:szCs w:val="22"/>
        </w:rPr>
        <w:t>para la reducción del prejuicio.</w:t>
      </w:r>
    </w:p>
    <w:p w:rsidR="00F56D51" w:rsidRPr="00A5584D" w:rsidRDefault="00F56D51" w:rsidP="006D3B17">
      <w:pPr>
        <w:widowControl w:val="0"/>
        <w:jc w:val="both"/>
        <w:rPr>
          <w:sz w:val="22"/>
          <w:szCs w:val="22"/>
        </w:rPr>
      </w:pPr>
    </w:p>
    <w:p w:rsidR="004C48B5" w:rsidRPr="00A5584D" w:rsidRDefault="004C48B5" w:rsidP="006D3B17">
      <w:pPr>
        <w:widowControl w:val="0"/>
        <w:jc w:val="both"/>
        <w:rPr>
          <w:b/>
          <w:sz w:val="22"/>
          <w:szCs w:val="22"/>
        </w:rPr>
      </w:pPr>
      <w:r w:rsidRPr="00A5584D">
        <w:rPr>
          <w:b/>
          <w:i/>
          <w:sz w:val="22"/>
          <w:szCs w:val="22"/>
        </w:rPr>
        <w:t>Descriptores:</w:t>
      </w:r>
      <w:r w:rsidR="001C5CB6" w:rsidRPr="00A5584D">
        <w:rPr>
          <w:b/>
          <w:i/>
          <w:sz w:val="22"/>
          <w:szCs w:val="22"/>
        </w:rPr>
        <w:t xml:space="preserve"> </w:t>
      </w:r>
      <w:r w:rsidR="00ED27AA" w:rsidRPr="00A5584D">
        <w:rPr>
          <w:sz w:val="22"/>
          <w:szCs w:val="22"/>
        </w:rPr>
        <w:t>p</w:t>
      </w:r>
      <w:r w:rsidRPr="00A5584D">
        <w:rPr>
          <w:sz w:val="22"/>
          <w:szCs w:val="22"/>
        </w:rPr>
        <w:t xml:space="preserve">rejuicio implícito, </w:t>
      </w:r>
      <w:r w:rsidR="001C5CB6" w:rsidRPr="00A5584D">
        <w:rPr>
          <w:sz w:val="22"/>
          <w:szCs w:val="22"/>
        </w:rPr>
        <w:t xml:space="preserve">señales visuales no verbales, </w:t>
      </w:r>
      <w:r w:rsidR="00ED27AA" w:rsidRPr="00A5584D">
        <w:rPr>
          <w:sz w:val="22"/>
          <w:szCs w:val="22"/>
        </w:rPr>
        <w:t xml:space="preserve">anteojos, </w:t>
      </w:r>
      <w:r w:rsidRPr="00A5584D">
        <w:rPr>
          <w:sz w:val="22"/>
          <w:szCs w:val="22"/>
        </w:rPr>
        <w:t xml:space="preserve">mujeres </w:t>
      </w:r>
      <w:r w:rsidR="001C5CB6" w:rsidRPr="00A5584D">
        <w:rPr>
          <w:sz w:val="22"/>
          <w:szCs w:val="22"/>
        </w:rPr>
        <w:t xml:space="preserve">tatuadas, </w:t>
      </w:r>
      <w:r w:rsidRPr="00A5584D">
        <w:rPr>
          <w:sz w:val="22"/>
          <w:szCs w:val="22"/>
        </w:rPr>
        <w:t>estudiantes universitarios.</w:t>
      </w:r>
    </w:p>
    <w:p w:rsidR="004C48B5" w:rsidRPr="00A5584D" w:rsidRDefault="004C48B5" w:rsidP="006D3B17">
      <w:pPr>
        <w:widowControl w:val="0"/>
        <w:jc w:val="center"/>
        <w:rPr>
          <w:b/>
          <w:sz w:val="22"/>
          <w:szCs w:val="22"/>
        </w:rPr>
      </w:pPr>
    </w:p>
    <w:p w:rsidR="004C48B5" w:rsidRPr="00A5584D" w:rsidRDefault="004C48B5" w:rsidP="006D3B17">
      <w:pPr>
        <w:widowControl w:val="0"/>
        <w:jc w:val="center"/>
        <w:rPr>
          <w:b/>
          <w:sz w:val="22"/>
          <w:szCs w:val="22"/>
        </w:rPr>
      </w:pPr>
    </w:p>
    <w:p w:rsidR="004C48B5" w:rsidRPr="00A5584D" w:rsidRDefault="0075190A" w:rsidP="006D3B17">
      <w:pPr>
        <w:widowControl w:val="0"/>
        <w:jc w:val="center"/>
        <w:rPr>
          <w:b/>
          <w:sz w:val="22"/>
          <w:szCs w:val="22"/>
          <w:lang w:val="en-US"/>
        </w:rPr>
      </w:pPr>
      <w:r w:rsidRPr="00A5584D">
        <w:rPr>
          <w:b/>
          <w:sz w:val="22"/>
          <w:szCs w:val="22"/>
          <w:lang w:val="en-US"/>
        </w:rPr>
        <w:t>INFLUENCE OF NON-VERBAL VISUAL CUES ON IMPLICIT PREJUDICE TOWARDS WOMEN WITH VISIBLE TATTOOS IN A SAMPLE OF UNIVERSITY STUDENTS</w:t>
      </w:r>
    </w:p>
    <w:p w:rsidR="004C48B5" w:rsidRPr="00A5584D" w:rsidRDefault="004C48B5" w:rsidP="006D3B17">
      <w:pPr>
        <w:widowControl w:val="0"/>
        <w:jc w:val="center"/>
        <w:rPr>
          <w:b/>
          <w:sz w:val="22"/>
          <w:szCs w:val="22"/>
          <w:lang w:val="en-US"/>
        </w:rPr>
      </w:pPr>
    </w:p>
    <w:p w:rsidR="00F123B9" w:rsidRPr="00F123B9" w:rsidRDefault="00F123B9" w:rsidP="00F123B9">
      <w:pPr>
        <w:widowControl w:val="0"/>
        <w:jc w:val="center"/>
        <w:rPr>
          <w:b/>
          <w:sz w:val="22"/>
          <w:szCs w:val="22"/>
          <w:vertAlign w:val="superscript"/>
        </w:rPr>
      </w:pPr>
      <w:r>
        <w:rPr>
          <w:b/>
          <w:sz w:val="22"/>
          <w:szCs w:val="22"/>
        </w:rPr>
        <w:t xml:space="preserve">Ana Fernández, </w:t>
      </w:r>
      <w:proofErr w:type="spellStart"/>
      <w:r w:rsidRPr="00A5584D">
        <w:rPr>
          <w:b/>
          <w:sz w:val="22"/>
          <w:szCs w:val="22"/>
        </w:rPr>
        <w:t>S</w:t>
      </w:r>
      <w:r>
        <w:rPr>
          <w:b/>
          <w:sz w:val="22"/>
          <w:szCs w:val="22"/>
        </w:rPr>
        <w:t>carlyn</w:t>
      </w:r>
      <w:proofErr w:type="spellEnd"/>
      <w:r>
        <w:rPr>
          <w:b/>
          <w:sz w:val="22"/>
          <w:szCs w:val="22"/>
        </w:rPr>
        <w:t xml:space="preserve"> </w:t>
      </w:r>
      <w:proofErr w:type="spellStart"/>
      <w:r>
        <w:rPr>
          <w:b/>
          <w:sz w:val="22"/>
          <w:szCs w:val="22"/>
        </w:rPr>
        <w:t>Caraballo</w:t>
      </w:r>
      <w:proofErr w:type="spellEnd"/>
      <w:r>
        <w:rPr>
          <w:b/>
          <w:sz w:val="22"/>
          <w:szCs w:val="22"/>
        </w:rPr>
        <w:t xml:space="preserve"> </w:t>
      </w:r>
      <w:r>
        <w:rPr>
          <w:b/>
          <w:sz w:val="22"/>
          <w:szCs w:val="22"/>
          <w:vertAlign w:val="superscript"/>
        </w:rPr>
        <w:t xml:space="preserve">2 </w:t>
      </w:r>
      <w:r>
        <w:rPr>
          <w:b/>
          <w:sz w:val="22"/>
          <w:szCs w:val="22"/>
        </w:rPr>
        <w:t xml:space="preserve">y  Carolina Mora </w:t>
      </w:r>
      <w:r>
        <w:rPr>
          <w:b/>
          <w:sz w:val="22"/>
          <w:szCs w:val="22"/>
          <w:vertAlign w:val="superscript"/>
        </w:rPr>
        <w:t>3</w:t>
      </w:r>
    </w:p>
    <w:p w:rsidR="00F123B9" w:rsidRDefault="00F123B9" w:rsidP="006D3B17">
      <w:pPr>
        <w:widowControl w:val="0"/>
        <w:jc w:val="center"/>
        <w:rPr>
          <w:b/>
          <w:sz w:val="22"/>
          <w:szCs w:val="22"/>
          <w:lang w:val="en-US"/>
        </w:rPr>
      </w:pPr>
    </w:p>
    <w:p w:rsidR="004C48B5" w:rsidRPr="00A5584D" w:rsidRDefault="004C48B5" w:rsidP="006D3B17">
      <w:pPr>
        <w:widowControl w:val="0"/>
        <w:jc w:val="center"/>
        <w:rPr>
          <w:b/>
          <w:sz w:val="22"/>
          <w:szCs w:val="22"/>
          <w:lang w:val="en-US"/>
        </w:rPr>
      </w:pPr>
      <w:r w:rsidRPr="00A5584D">
        <w:rPr>
          <w:b/>
          <w:sz w:val="22"/>
          <w:szCs w:val="22"/>
          <w:lang w:val="en-US"/>
        </w:rPr>
        <w:t>Central University of Venezuela</w:t>
      </w:r>
    </w:p>
    <w:p w:rsidR="00E210A3" w:rsidRPr="00A5584D" w:rsidRDefault="00E210A3" w:rsidP="006D3B17">
      <w:pPr>
        <w:widowControl w:val="0"/>
        <w:jc w:val="center"/>
        <w:rPr>
          <w:b/>
          <w:sz w:val="22"/>
          <w:szCs w:val="22"/>
          <w:lang w:val="en-US"/>
        </w:rPr>
      </w:pPr>
    </w:p>
    <w:p w:rsidR="004C48B5" w:rsidRPr="00A5584D" w:rsidRDefault="004C48B5" w:rsidP="006D3B17">
      <w:pPr>
        <w:widowControl w:val="0"/>
        <w:jc w:val="center"/>
        <w:rPr>
          <w:b/>
          <w:sz w:val="22"/>
          <w:szCs w:val="22"/>
          <w:lang w:val="en-US"/>
        </w:rPr>
      </w:pPr>
      <w:r w:rsidRPr="00A5584D">
        <w:rPr>
          <w:b/>
          <w:sz w:val="22"/>
          <w:szCs w:val="22"/>
          <w:lang w:val="en-US"/>
        </w:rPr>
        <w:t>Abstract</w:t>
      </w:r>
    </w:p>
    <w:p w:rsidR="00AE3F2D" w:rsidRPr="00A5584D" w:rsidRDefault="00AE3F2D" w:rsidP="00AE3F2D">
      <w:pPr>
        <w:widowControl w:val="0"/>
        <w:jc w:val="both"/>
        <w:rPr>
          <w:sz w:val="22"/>
          <w:szCs w:val="22"/>
          <w:lang w:val="en-US"/>
        </w:rPr>
      </w:pPr>
      <w:r w:rsidRPr="00A5584D">
        <w:rPr>
          <w:sz w:val="22"/>
          <w:szCs w:val="22"/>
          <w:lang w:val="en-US"/>
        </w:rPr>
        <w:t>The objective of the present investigation was to determine the influence of glasses and sunglasses</w:t>
      </w:r>
      <w:r w:rsidR="00ED27AA" w:rsidRPr="00A5584D">
        <w:rPr>
          <w:sz w:val="22"/>
          <w:szCs w:val="22"/>
          <w:lang w:val="en-US"/>
        </w:rPr>
        <w:t>,</w:t>
      </w:r>
      <w:r w:rsidRPr="00A5584D">
        <w:rPr>
          <w:sz w:val="22"/>
          <w:szCs w:val="22"/>
          <w:lang w:val="en-US"/>
        </w:rPr>
        <w:t xml:space="preserve"> used as non-verbal </w:t>
      </w:r>
      <w:r w:rsidR="00435695" w:rsidRPr="00A5584D">
        <w:rPr>
          <w:sz w:val="22"/>
          <w:szCs w:val="22"/>
          <w:lang w:val="en-US"/>
        </w:rPr>
        <w:t xml:space="preserve">visual </w:t>
      </w:r>
      <w:r w:rsidRPr="00A5584D">
        <w:rPr>
          <w:sz w:val="22"/>
          <w:szCs w:val="22"/>
          <w:lang w:val="en-US"/>
        </w:rPr>
        <w:t>cues</w:t>
      </w:r>
      <w:r w:rsidR="00ED27AA" w:rsidRPr="00A5584D">
        <w:rPr>
          <w:sz w:val="22"/>
          <w:szCs w:val="22"/>
          <w:lang w:val="en-US"/>
        </w:rPr>
        <w:t>,</w:t>
      </w:r>
      <w:r w:rsidRPr="00A5584D">
        <w:rPr>
          <w:sz w:val="22"/>
          <w:szCs w:val="22"/>
          <w:lang w:val="en-US"/>
        </w:rPr>
        <w:t xml:space="preserve"> on the implicit prejudice towards women with visible tattoos.</w:t>
      </w:r>
      <w:r w:rsidRPr="00A5584D">
        <w:rPr>
          <w:rFonts w:ascii="inherit" w:hAnsi="inherit" w:cs="Courier New"/>
          <w:color w:val="222222"/>
          <w:lang w:val="en-US" w:eastAsia="es-VE"/>
        </w:rPr>
        <w:t xml:space="preserve"> </w:t>
      </w:r>
      <w:r w:rsidRPr="00A5584D">
        <w:rPr>
          <w:sz w:val="22"/>
          <w:szCs w:val="22"/>
          <w:lang w:val="en-US"/>
        </w:rPr>
        <w:t>The sample was constituted by 30 university students, of both genders and with ages between 20 and 30 years.</w:t>
      </w:r>
      <w:r w:rsidRPr="00A5584D">
        <w:rPr>
          <w:rFonts w:ascii="inherit" w:hAnsi="inherit" w:cs="Courier New"/>
          <w:color w:val="222222"/>
          <w:lang w:val="en-US" w:eastAsia="es-VE"/>
        </w:rPr>
        <w:t xml:space="preserve"> </w:t>
      </w:r>
      <w:r w:rsidRPr="00A5584D">
        <w:rPr>
          <w:sz w:val="22"/>
          <w:szCs w:val="22"/>
          <w:lang w:val="en-US"/>
        </w:rPr>
        <w:t xml:space="preserve">It was a quasi-experimental design, consisting of three groups (two experimental and one control), subjected to an intervention </w:t>
      </w:r>
      <w:r w:rsidR="00352F5A" w:rsidRPr="00A5584D">
        <w:rPr>
          <w:sz w:val="22"/>
          <w:szCs w:val="22"/>
          <w:lang w:val="en-US"/>
        </w:rPr>
        <w:t>with</w:t>
      </w:r>
      <w:r w:rsidRPr="00A5584D">
        <w:rPr>
          <w:sz w:val="22"/>
          <w:szCs w:val="22"/>
          <w:lang w:val="en-US"/>
        </w:rPr>
        <w:t xml:space="preserve"> post-test only.</w:t>
      </w:r>
      <w:r w:rsidRPr="00A5584D">
        <w:rPr>
          <w:rFonts w:ascii="inherit" w:hAnsi="inherit" w:cs="Courier New"/>
          <w:color w:val="222222"/>
          <w:lang w:val="en-US" w:eastAsia="es-VE"/>
        </w:rPr>
        <w:t xml:space="preserve"> </w:t>
      </w:r>
      <w:r w:rsidRPr="00A5584D">
        <w:rPr>
          <w:sz w:val="22"/>
          <w:szCs w:val="22"/>
          <w:lang w:val="en-US"/>
        </w:rPr>
        <w:t>For the measurement of the implicit prejudice, the Implicit Association Test was used.</w:t>
      </w:r>
      <w:r w:rsidRPr="00A5584D">
        <w:rPr>
          <w:rFonts w:ascii="inherit" w:hAnsi="inherit" w:cs="Courier New"/>
          <w:color w:val="222222"/>
          <w:lang w:val="en-US" w:eastAsia="es-VE"/>
        </w:rPr>
        <w:t xml:space="preserve"> </w:t>
      </w:r>
      <w:r w:rsidRPr="00A5584D">
        <w:rPr>
          <w:sz w:val="22"/>
          <w:szCs w:val="22"/>
          <w:lang w:val="en-US"/>
        </w:rPr>
        <w:t xml:space="preserve">The data collected were processed with the Friedman statistic, whose result indicated that there are no statistically significant differences between any of the groups. However, new lines of research are discussed and suggested </w:t>
      </w:r>
      <w:r w:rsidR="00FB6C08" w:rsidRPr="00A5584D">
        <w:rPr>
          <w:sz w:val="22"/>
          <w:szCs w:val="22"/>
          <w:lang w:val="en-US"/>
        </w:rPr>
        <w:t>in relation to</w:t>
      </w:r>
      <w:r w:rsidRPr="00A5584D">
        <w:rPr>
          <w:sz w:val="22"/>
          <w:szCs w:val="22"/>
          <w:lang w:val="en-US"/>
        </w:rPr>
        <w:t xml:space="preserve"> the principle of in-group identification that could underlie the use of non</w:t>
      </w:r>
      <w:r w:rsidR="00ED27AA" w:rsidRPr="00A5584D">
        <w:rPr>
          <w:sz w:val="22"/>
          <w:szCs w:val="22"/>
          <w:lang w:val="en-US"/>
        </w:rPr>
        <w:t>-</w:t>
      </w:r>
      <w:r w:rsidRPr="00A5584D">
        <w:rPr>
          <w:sz w:val="22"/>
          <w:szCs w:val="22"/>
          <w:lang w:val="en-US"/>
        </w:rPr>
        <w:t>verbal visual cues as an effective strategy for reducing prejudice.</w:t>
      </w:r>
    </w:p>
    <w:p w:rsidR="00AE3F2D" w:rsidRPr="00A5584D" w:rsidRDefault="00AE3F2D" w:rsidP="00AE3F2D">
      <w:pPr>
        <w:widowControl w:val="0"/>
        <w:rPr>
          <w:sz w:val="22"/>
          <w:szCs w:val="22"/>
          <w:lang w:val="en-US"/>
        </w:rPr>
      </w:pPr>
    </w:p>
    <w:p w:rsidR="00E52063" w:rsidRPr="00A5584D" w:rsidRDefault="004C48B5" w:rsidP="00352F5A">
      <w:pPr>
        <w:widowControl w:val="0"/>
        <w:jc w:val="both"/>
        <w:rPr>
          <w:sz w:val="22"/>
          <w:szCs w:val="22"/>
          <w:lang w:val="en-US"/>
        </w:rPr>
      </w:pPr>
      <w:r w:rsidRPr="00A5584D">
        <w:rPr>
          <w:b/>
          <w:i/>
          <w:sz w:val="22"/>
          <w:szCs w:val="22"/>
          <w:lang w:val="en-US"/>
        </w:rPr>
        <w:t>Keywords:</w:t>
      </w:r>
      <w:r w:rsidR="00E210A3" w:rsidRPr="00A5584D">
        <w:rPr>
          <w:sz w:val="22"/>
          <w:szCs w:val="22"/>
          <w:lang w:val="en-US"/>
        </w:rPr>
        <w:t xml:space="preserve"> </w:t>
      </w:r>
      <w:r w:rsidR="00352F5A" w:rsidRPr="00A5584D">
        <w:rPr>
          <w:sz w:val="22"/>
          <w:szCs w:val="22"/>
          <w:lang w:val="en-US"/>
        </w:rPr>
        <w:t xml:space="preserve">Implicit prejudice, non-verbal visual cues, </w:t>
      </w:r>
      <w:r w:rsidR="00ED27AA" w:rsidRPr="00A5584D">
        <w:rPr>
          <w:sz w:val="22"/>
          <w:szCs w:val="22"/>
          <w:lang w:val="en-US"/>
        </w:rPr>
        <w:t xml:space="preserve">glasses, </w:t>
      </w:r>
      <w:r w:rsidR="00352F5A" w:rsidRPr="00A5584D">
        <w:rPr>
          <w:sz w:val="22"/>
          <w:szCs w:val="22"/>
          <w:lang w:val="en-US"/>
        </w:rPr>
        <w:t>tattooed women, university students.</w:t>
      </w:r>
    </w:p>
    <w:p w:rsidR="00F123B9" w:rsidRDefault="00F123B9" w:rsidP="006D3B17">
      <w:pPr>
        <w:jc w:val="center"/>
        <w:rPr>
          <w:b/>
          <w:sz w:val="22"/>
          <w:szCs w:val="22"/>
        </w:rPr>
      </w:pPr>
    </w:p>
    <w:p w:rsidR="00F123B9" w:rsidRDefault="00F123B9" w:rsidP="00F123B9">
      <w:r>
        <w:t>____________</w:t>
      </w:r>
    </w:p>
    <w:p w:rsidR="00F123B9" w:rsidRPr="00F123B9" w:rsidRDefault="00F123B9" w:rsidP="00F123B9">
      <w:pPr>
        <w:rPr>
          <w:b/>
          <w:sz w:val="20"/>
          <w:szCs w:val="20"/>
        </w:rPr>
      </w:pPr>
      <w:r w:rsidRPr="00F123B9">
        <w:rPr>
          <w:sz w:val="20"/>
          <w:szCs w:val="20"/>
        </w:rPr>
        <w:t>Para correspondencia con relación al presente trabajo de investigación, favor comunicarse a la siguiente dirección</w:t>
      </w:r>
      <w:r w:rsidRPr="00F123B9">
        <w:rPr>
          <w:b/>
          <w:sz w:val="20"/>
          <w:szCs w:val="20"/>
        </w:rPr>
        <w:t xml:space="preserve"> </w:t>
      </w:r>
    </w:p>
    <w:p w:rsidR="00F123B9" w:rsidRPr="00F123B9" w:rsidRDefault="00F123B9" w:rsidP="00F123B9">
      <w:pPr>
        <w:rPr>
          <w:sz w:val="20"/>
          <w:szCs w:val="20"/>
        </w:rPr>
      </w:pPr>
      <w:r>
        <w:rPr>
          <w:b/>
          <w:sz w:val="20"/>
          <w:szCs w:val="20"/>
          <w:vertAlign w:val="superscript"/>
        </w:rPr>
        <w:t xml:space="preserve">1 </w:t>
      </w:r>
      <w:r w:rsidRPr="00F123B9">
        <w:rPr>
          <w:b/>
          <w:sz w:val="20"/>
          <w:szCs w:val="20"/>
        </w:rPr>
        <w:t>Ana Fernández:</w:t>
      </w:r>
      <w:r w:rsidRPr="00F123B9">
        <w:rPr>
          <w:sz w:val="20"/>
          <w:szCs w:val="20"/>
        </w:rPr>
        <w:t xml:space="preserve"> anab.fernandezp@gmail.com</w:t>
      </w:r>
    </w:p>
    <w:p w:rsidR="00F123B9" w:rsidRPr="00F123B9" w:rsidRDefault="00F123B9" w:rsidP="00F123B9">
      <w:pPr>
        <w:rPr>
          <w:b/>
          <w:sz w:val="20"/>
          <w:szCs w:val="20"/>
        </w:rPr>
      </w:pPr>
      <w:r>
        <w:rPr>
          <w:b/>
          <w:sz w:val="20"/>
          <w:szCs w:val="20"/>
          <w:vertAlign w:val="superscript"/>
        </w:rPr>
        <w:t xml:space="preserve">2 </w:t>
      </w:r>
      <w:proofErr w:type="spellStart"/>
      <w:r w:rsidRPr="00F123B9">
        <w:rPr>
          <w:b/>
          <w:sz w:val="20"/>
          <w:szCs w:val="20"/>
        </w:rPr>
        <w:t>Scarlyn</w:t>
      </w:r>
      <w:proofErr w:type="spellEnd"/>
      <w:r w:rsidRPr="00F123B9">
        <w:rPr>
          <w:b/>
          <w:sz w:val="20"/>
          <w:szCs w:val="20"/>
        </w:rPr>
        <w:t xml:space="preserve"> </w:t>
      </w:r>
      <w:proofErr w:type="spellStart"/>
      <w:r w:rsidRPr="00F123B9">
        <w:rPr>
          <w:b/>
          <w:sz w:val="20"/>
          <w:szCs w:val="20"/>
        </w:rPr>
        <w:t>Caraballo</w:t>
      </w:r>
      <w:proofErr w:type="spellEnd"/>
      <w:r w:rsidRPr="00F123B9">
        <w:rPr>
          <w:b/>
          <w:sz w:val="20"/>
          <w:szCs w:val="20"/>
        </w:rPr>
        <w:t>:</w:t>
      </w:r>
      <w:r>
        <w:rPr>
          <w:b/>
          <w:sz w:val="20"/>
          <w:szCs w:val="20"/>
        </w:rPr>
        <w:t xml:space="preserve"> </w:t>
      </w:r>
      <w:r w:rsidRPr="00F123B9">
        <w:rPr>
          <w:sz w:val="20"/>
          <w:szCs w:val="20"/>
        </w:rPr>
        <w:t>sncm97@gmail.com</w:t>
      </w:r>
    </w:p>
    <w:p w:rsidR="00F123B9" w:rsidRPr="00F123B9" w:rsidRDefault="00F123B9" w:rsidP="00F123B9">
      <w:pPr>
        <w:rPr>
          <w:b/>
          <w:sz w:val="20"/>
          <w:szCs w:val="20"/>
        </w:rPr>
      </w:pPr>
      <w:r>
        <w:rPr>
          <w:b/>
          <w:sz w:val="20"/>
          <w:szCs w:val="20"/>
          <w:vertAlign w:val="superscript"/>
        </w:rPr>
        <w:t xml:space="preserve">3 </w:t>
      </w:r>
      <w:r w:rsidRPr="00F123B9">
        <w:rPr>
          <w:b/>
          <w:sz w:val="20"/>
          <w:szCs w:val="20"/>
        </w:rPr>
        <w:t>Carolina Mora:</w:t>
      </w:r>
      <w:r>
        <w:rPr>
          <w:b/>
          <w:sz w:val="20"/>
          <w:szCs w:val="20"/>
        </w:rPr>
        <w:t xml:space="preserve"> </w:t>
      </w:r>
      <w:r w:rsidRPr="00F123B9">
        <w:rPr>
          <w:sz w:val="20"/>
          <w:szCs w:val="20"/>
        </w:rPr>
        <w:t>psicologacarolinamora@gmail.com</w:t>
      </w:r>
    </w:p>
    <w:p w:rsidR="00E52063" w:rsidRPr="00A5584D" w:rsidRDefault="0075190A" w:rsidP="006D3B17">
      <w:pPr>
        <w:jc w:val="center"/>
        <w:rPr>
          <w:b/>
          <w:sz w:val="22"/>
          <w:szCs w:val="22"/>
        </w:rPr>
      </w:pPr>
      <w:r w:rsidRPr="00A5584D">
        <w:rPr>
          <w:b/>
          <w:sz w:val="22"/>
          <w:szCs w:val="22"/>
        </w:rPr>
        <w:lastRenderedPageBreak/>
        <w:t>Introducción</w:t>
      </w:r>
    </w:p>
    <w:p w:rsidR="002533C7" w:rsidRPr="00A5584D" w:rsidRDefault="002533C7" w:rsidP="006D3B17">
      <w:pPr>
        <w:jc w:val="center"/>
        <w:rPr>
          <w:b/>
          <w:sz w:val="22"/>
          <w:szCs w:val="22"/>
        </w:rPr>
      </w:pPr>
    </w:p>
    <w:p w:rsidR="00A5584D" w:rsidRDefault="00772712" w:rsidP="006D3B17">
      <w:pPr>
        <w:jc w:val="both"/>
        <w:rPr>
          <w:sz w:val="22"/>
          <w:szCs w:val="22"/>
        </w:rPr>
      </w:pPr>
      <w:r w:rsidRPr="00A5584D">
        <w:rPr>
          <w:sz w:val="22"/>
          <w:szCs w:val="22"/>
        </w:rPr>
        <w:tab/>
      </w:r>
      <w:r w:rsidR="00EE7BE8" w:rsidRPr="00A5584D">
        <w:rPr>
          <w:sz w:val="22"/>
          <w:szCs w:val="22"/>
        </w:rPr>
        <w:t>Una de las principales problemáticas de índole social que se manifiesta</w:t>
      </w:r>
      <w:r w:rsidR="00FD2951" w:rsidRPr="00A5584D">
        <w:rPr>
          <w:sz w:val="22"/>
          <w:szCs w:val="22"/>
        </w:rPr>
        <w:t xml:space="preserve"> a nivel mundial y en</w:t>
      </w:r>
      <w:r w:rsidR="00EE7BE8" w:rsidRPr="00A5584D">
        <w:rPr>
          <w:sz w:val="22"/>
          <w:szCs w:val="22"/>
        </w:rPr>
        <w:t xml:space="preserve"> múltiples co</w:t>
      </w:r>
      <w:r w:rsidR="00FD2951" w:rsidRPr="00A5584D">
        <w:rPr>
          <w:sz w:val="22"/>
          <w:szCs w:val="22"/>
        </w:rPr>
        <w:t>ntextos es la</w:t>
      </w:r>
      <w:r w:rsidR="00EE7BE8" w:rsidRPr="00A5584D">
        <w:rPr>
          <w:sz w:val="22"/>
          <w:szCs w:val="22"/>
        </w:rPr>
        <w:t xml:space="preserve"> persistencia de </w:t>
      </w:r>
      <w:r w:rsidR="00FD2951" w:rsidRPr="00A5584D">
        <w:rPr>
          <w:sz w:val="22"/>
          <w:szCs w:val="22"/>
        </w:rPr>
        <w:t xml:space="preserve">los </w:t>
      </w:r>
      <w:r w:rsidR="00EE7BE8" w:rsidRPr="00A5584D">
        <w:rPr>
          <w:sz w:val="22"/>
          <w:szCs w:val="22"/>
        </w:rPr>
        <w:t>prejuicios, entendiendo a estos como actitudes desfavorables hacia grupo</w:t>
      </w:r>
      <w:r w:rsidR="006A24DE" w:rsidRPr="00A5584D">
        <w:rPr>
          <w:sz w:val="22"/>
          <w:szCs w:val="22"/>
        </w:rPr>
        <w:t>s</w:t>
      </w:r>
      <w:r w:rsidR="00FD2951" w:rsidRPr="00A5584D">
        <w:rPr>
          <w:sz w:val="22"/>
          <w:szCs w:val="22"/>
        </w:rPr>
        <w:t xml:space="preserve"> social</w:t>
      </w:r>
      <w:r w:rsidR="006A24DE" w:rsidRPr="00A5584D">
        <w:rPr>
          <w:sz w:val="22"/>
          <w:szCs w:val="22"/>
        </w:rPr>
        <w:t>es</w:t>
      </w:r>
      <w:r w:rsidR="00FD2951" w:rsidRPr="00A5584D">
        <w:rPr>
          <w:sz w:val="22"/>
          <w:szCs w:val="22"/>
        </w:rPr>
        <w:t xml:space="preserve"> particular</w:t>
      </w:r>
      <w:r w:rsidR="006A24DE" w:rsidRPr="00A5584D">
        <w:rPr>
          <w:sz w:val="22"/>
          <w:szCs w:val="22"/>
        </w:rPr>
        <w:t>es</w:t>
      </w:r>
      <w:r w:rsidR="00FD2951" w:rsidRPr="00A5584D">
        <w:rPr>
          <w:sz w:val="22"/>
          <w:szCs w:val="22"/>
        </w:rPr>
        <w:t>, que conducen a sentimientos, valoraciones y per</w:t>
      </w:r>
      <w:r w:rsidR="00EE7BE8" w:rsidRPr="00A5584D">
        <w:rPr>
          <w:sz w:val="22"/>
          <w:szCs w:val="22"/>
        </w:rPr>
        <w:t xml:space="preserve">cepciones </w:t>
      </w:r>
      <w:r w:rsidR="00FD2951" w:rsidRPr="00A5584D">
        <w:rPr>
          <w:sz w:val="22"/>
          <w:szCs w:val="22"/>
        </w:rPr>
        <w:t>negativa</w:t>
      </w:r>
      <w:r w:rsidR="00EE7BE8" w:rsidRPr="00A5584D">
        <w:rPr>
          <w:sz w:val="22"/>
          <w:szCs w:val="22"/>
        </w:rPr>
        <w:t xml:space="preserve">s </w:t>
      </w:r>
      <w:r w:rsidR="00FD2951" w:rsidRPr="00A5584D">
        <w:rPr>
          <w:sz w:val="22"/>
          <w:szCs w:val="22"/>
        </w:rPr>
        <w:t xml:space="preserve">de </w:t>
      </w:r>
      <w:r w:rsidR="00EE7BE8" w:rsidRPr="00A5584D">
        <w:rPr>
          <w:sz w:val="22"/>
          <w:szCs w:val="22"/>
        </w:rPr>
        <w:t xml:space="preserve">las personas que </w:t>
      </w:r>
      <w:r w:rsidR="0025560A" w:rsidRPr="00A5584D">
        <w:rPr>
          <w:sz w:val="22"/>
          <w:szCs w:val="22"/>
        </w:rPr>
        <w:t>pertenecen a</w:t>
      </w:r>
      <w:r w:rsidR="006A24DE" w:rsidRPr="00A5584D">
        <w:rPr>
          <w:sz w:val="22"/>
          <w:szCs w:val="22"/>
        </w:rPr>
        <w:t xml:space="preserve"> dichos grupos (Ramírez, </w:t>
      </w:r>
      <w:r w:rsidR="00376698" w:rsidRPr="00A5584D">
        <w:rPr>
          <w:sz w:val="22"/>
          <w:szCs w:val="22"/>
        </w:rPr>
        <w:t>Estrada</w:t>
      </w:r>
      <w:r w:rsidR="00EE74C5">
        <w:rPr>
          <w:sz w:val="22"/>
          <w:szCs w:val="22"/>
        </w:rPr>
        <w:t xml:space="preserve"> &amp;</w:t>
      </w:r>
      <w:r w:rsidR="006A24DE" w:rsidRPr="00A5584D">
        <w:rPr>
          <w:sz w:val="22"/>
          <w:szCs w:val="22"/>
        </w:rPr>
        <w:t xml:space="preserve"> </w:t>
      </w:r>
      <w:proofErr w:type="spellStart"/>
      <w:r w:rsidR="006A24DE" w:rsidRPr="00A5584D">
        <w:rPr>
          <w:sz w:val="22"/>
          <w:szCs w:val="22"/>
        </w:rPr>
        <w:t>Yzerbyt</w:t>
      </w:r>
      <w:proofErr w:type="spellEnd"/>
      <w:r w:rsidR="006A24DE" w:rsidRPr="00A5584D">
        <w:rPr>
          <w:sz w:val="22"/>
          <w:szCs w:val="22"/>
        </w:rPr>
        <w:t>, 2016).</w:t>
      </w:r>
      <w:r w:rsidR="00EE7BE8" w:rsidRPr="00A5584D">
        <w:rPr>
          <w:sz w:val="22"/>
          <w:szCs w:val="22"/>
        </w:rPr>
        <w:t xml:space="preserve"> En este sentido, </w:t>
      </w:r>
      <w:r w:rsidR="00FD2951" w:rsidRPr="00A5584D">
        <w:rPr>
          <w:sz w:val="22"/>
          <w:szCs w:val="22"/>
        </w:rPr>
        <w:t>y debido a su relevancia</w:t>
      </w:r>
      <w:r w:rsidR="00F57D19">
        <w:rPr>
          <w:sz w:val="22"/>
          <w:szCs w:val="22"/>
        </w:rPr>
        <w:t xml:space="preserve"> social</w:t>
      </w:r>
      <w:r w:rsidR="00FD2951" w:rsidRPr="00A5584D">
        <w:rPr>
          <w:sz w:val="22"/>
          <w:szCs w:val="22"/>
        </w:rPr>
        <w:t xml:space="preserve">, </w:t>
      </w:r>
      <w:r w:rsidR="00EE7BE8" w:rsidRPr="00A5584D">
        <w:rPr>
          <w:sz w:val="22"/>
          <w:szCs w:val="22"/>
        </w:rPr>
        <w:t>e</w:t>
      </w:r>
      <w:r w:rsidR="002876D2" w:rsidRPr="00A5584D">
        <w:rPr>
          <w:sz w:val="22"/>
          <w:szCs w:val="22"/>
        </w:rPr>
        <w:t>l ámbito del prejuicio ha sido ampliamente abordado, desde diversas perspectivas, sobre variados temas y con diferentes metodol</w:t>
      </w:r>
      <w:r w:rsidR="00EE74C5">
        <w:rPr>
          <w:sz w:val="22"/>
          <w:szCs w:val="22"/>
        </w:rPr>
        <w:t>ogías de investigación (</w:t>
      </w:r>
      <w:proofErr w:type="spellStart"/>
      <w:r w:rsidR="00EE74C5">
        <w:rPr>
          <w:sz w:val="22"/>
          <w:szCs w:val="22"/>
        </w:rPr>
        <w:t>Paluck</w:t>
      </w:r>
      <w:proofErr w:type="spellEnd"/>
      <w:r w:rsidR="00EE74C5">
        <w:rPr>
          <w:sz w:val="22"/>
          <w:szCs w:val="22"/>
        </w:rPr>
        <w:t xml:space="preserve"> &amp;</w:t>
      </w:r>
      <w:r w:rsidR="002876D2" w:rsidRPr="00A5584D">
        <w:rPr>
          <w:sz w:val="22"/>
          <w:szCs w:val="22"/>
        </w:rPr>
        <w:t xml:space="preserve"> Green, 2009). </w:t>
      </w:r>
    </w:p>
    <w:p w:rsidR="00A5584D" w:rsidRDefault="00A5584D" w:rsidP="006D3B17">
      <w:pPr>
        <w:jc w:val="both"/>
        <w:rPr>
          <w:sz w:val="22"/>
          <w:szCs w:val="22"/>
        </w:rPr>
      </w:pPr>
    </w:p>
    <w:p w:rsidR="002876D2" w:rsidRPr="00A5584D" w:rsidRDefault="002876D2" w:rsidP="00ED10F5">
      <w:pPr>
        <w:ind w:firstLine="708"/>
        <w:jc w:val="both"/>
        <w:rPr>
          <w:sz w:val="22"/>
          <w:szCs w:val="22"/>
        </w:rPr>
      </w:pPr>
      <w:r w:rsidRPr="00A5584D">
        <w:rPr>
          <w:sz w:val="22"/>
          <w:szCs w:val="22"/>
        </w:rPr>
        <w:t>Una de las aristas que tiene el estudio del prejuicio, ha sido con relación a las personas tatuadas, sobre todo aquellas con tatuajes que son visibles.</w:t>
      </w:r>
      <w:r w:rsidR="008502A1" w:rsidRPr="00A5584D">
        <w:rPr>
          <w:sz w:val="22"/>
          <w:szCs w:val="22"/>
        </w:rPr>
        <w:t xml:space="preserve"> </w:t>
      </w:r>
      <w:r w:rsidRPr="00A5584D">
        <w:rPr>
          <w:sz w:val="22"/>
          <w:szCs w:val="22"/>
        </w:rPr>
        <w:t>Diversas investigaciones (</w:t>
      </w:r>
      <w:r w:rsidR="00674417">
        <w:rPr>
          <w:sz w:val="22"/>
          <w:szCs w:val="22"/>
        </w:rPr>
        <w:t>Méndez</w:t>
      </w:r>
      <w:r w:rsidR="00EE74C5">
        <w:rPr>
          <w:sz w:val="22"/>
          <w:szCs w:val="22"/>
        </w:rPr>
        <w:t>, 2015; Timming, Nickson, Re &amp;</w:t>
      </w:r>
      <w:r w:rsidR="00120266" w:rsidRPr="00A5584D">
        <w:rPr>
          <w:sz w:val="22"/>
          <w:szCs w:val="22"/>
        </w:rPr>
        <w:t xml:space="preserve"> Perrett, 2017; </w:t>
      </w:r>
      <w:r w:rsidR="004A1983">
        <w:rPr>
          <w:sz w:val="22"/>
          <w:szCs w:val="22"/>
        </w:rPr>
        <w:t>Torrejón</w:t>
      </w:r>
      <w:r w:rsidRPr="00A5584D">
        <w:rPr>
          <w:sz w:val="22"/>
          <w:szCs w:val="22"/>
        </w:rPr>
        <w:t>, 2015; Zestcott, Tompki</w:t>
      </w:r>
      <w:r w:rsidR="00120266" w:rsidRPr="00A5584D">
        <w:rPr>
          <w:sz w:val="22"/>
          <w:szCs w:val="22"/>
        </w:rPr>
        <w:t>ns, Ko</w:t>
      </w:r>
      <w:r w:rsidR="00EE74C5">
        <w:rPr>
          <w:sz w:val="22"/>
          <w:szCs w:val="22"/>
        </w:rPr>
        <w:t>zak, Livesay &amp;</w:t>
      </w:r>
      <w:r w:rsidR="00120266" w:rsidRPr="00A5584D">
        <w:rPr>
          <w:sz w:val="22"/>
          <w:szCs w:val="22"/>
        </w:rPr>
        <w:t xml:space="preserve"> Chan, 2018</w:t>
      </w:r>
      <w:r w:rsidRPr="00A5584D">
        <w:rPr>
          <w:sz w:val="22"/>
          <w:szCs w:val="22"/>
        </w:rPr>
        <w:t>)</w:t>
      </w:r>
      <w:r w:rsidRPr="00A5584D" w:rsidDel="00723935">
        <w:rPr>
          <w:sz w:val="22"/>
          <w:szCs w:val="22"/>
        </w:rPr>
        <w:t xml:space="preserve"> </w:t>
      </w:r>
      <w:r w:rsidRPr="00A5584D">
        <w:rPr>
          <w:sz w:val="22"/>
          <w:szCs w:val="22"/>
        </w:rPr>
        <w:t xml:space="preserve">permiten señalar que las personas tatuadas son concebidas como un grupo </w:t>
      </w:r>
      <w:r w:rsidRPr="006100C7">
        <w:rPr>
          <w:sz w:val="22"/>
          <w:szCs w:val="22"/>
        </w:rPr>
        <w:t>estigmatizado cargado de estereotipos, siendo éstos creencias, conocimientos y rasgos típicos que se almacenan sobre grupos específicos, que por lo general son fals</w:t>
      </w:r>
      <w:r w:rsidR="00347418" w:rsidRPr="006100C7">
        <w:rPr>
          <w:sz w:val="22"/>
          <w:szCs w:val="22"/>
        </w:rPr>
        <w:t xml:space="preserve">os, sobre-generalizados y </w:t>
      </w:r>
      <w:r w:rsidR="00AA5D79" w:rsidRPr="006100C7">
        <w:rPr>
          <w:sz w:val="22"/>
          <w:szCs w:val="22"/>
        </w:rPr>
        <w:t xml:space="preserve">típicamente negativos, como los rasgos referentes al </w:t>
      </w:r>
      <w:r w:rsidR="00355495" w:rsidRPr="006100C7">
        <w:rPr>
          <w:sz w:val="22"/>
          <w:szCs w:val="22"/>
        </w:rPr>
        <w:t xml:space="preserve">vandalismo, </w:t>
      </w:r>
      <w:r w:rsidR="00AA5D79" w:rsidRPr="006100C7">
        <w:rPr>
          <w:sz w:val="22"/>
          <w:szCs w:val="22"/>
        </w:rPr>
        <w:t xml:space="preserve">la </w:t>
      </w:r>
      <w:r w:rsidR="00355495" w:rsidRPr="006100C7">
        <w:rPr>
          <w:sz w:val="22"/>
          <w:szCs w:val="22"/>
        </w:rPr>
        <w:t>incompetencia y</w:t>
      </w:r>
      <w:r w:rsidR="00AA5D79" w:rsidRPr="006100C7">
        <w:rPr>
          <w:sz w:val="22"/>
          <w:szCs w:val="22"/>
        </w:rPr>
        <w:t xml:space="preserve"> la </w:t>
      </w:r>
      <w:r w:rsidR="00355495" w:rsidRPr="006100C7">
        <w:rPr>
          <w:sz w:val="22"/>
          <w:szCs w:val="22"/>
        </w:rPr>
        <w:t>poca amabilidad</w:t>
      </w:r>
      <w:r w:rsidR="00AA5D79" w:rsidRPr="006100C7">
        <w:rPr>
          <w:sz w:val="22"/>
          <w:szCs w:val="22"/>
        </w:rPr>
        <w:t xml:space="preserve"> asociados a las personas tatuadas</w:t>
      </w:r>
      <w:r w:rsidR="00730D78" w:rsidRPr="006100C7">
        <w:rPr>
          <w:sz w:val="22"/>
          <w:szCs w:val="22"/>
        </w:rPr>
        <w:t xml:space="preserve">; </w:t>
      </w:r>
      <w:r w:rsidR="00AA5D79" w:rsidRPr="006100C7">
        <w:rPr>
          <w:sz w:val="22"/>
          <w:szCs w:val="22"/>
        </w:rPr>
        <w:t>así mismo</w:t>
      </w:r>
      <w:r w:rsidR="00347418" w:rsidRPr="006100C7">
        <w:rPr>
          <w:sz w:val="22"/>
          <w:szCs w:val="22"/>
        </w:rPr>
        <w:t>, los</w:t>
      </w:r>
      <w:r w:rsidR="00730D78" w:rsidRPr="006100C7">
        <w:rPr>
          <w:sz w:val="22"/>
          <w:szCs w:val="22"/>
        </w:rPr>
        <w:t xml:space="preserve"> estereotipos </w:t>
      </w:r>
      <w:r w:rsidRPr="006100C7">
        <w:rPr>
          <w:sz w:val="22"/>
          <w:szCs w:val="22"/>
        </w:rPr>
        <w:t xml:space="preserve">resultan difíciles de modificar, incluso cuando existe </w:t>
      </w:r>
      <w:r w:rsidR="00730D78" w:rsidRPr="006100C7">
        <w:rPr>
          <w:sz w:val="22"/>
          <w:szCs w:val="22"/>
        </w:rPr>
        <w:t>información</w:t>
      </w:r>
      <w:r w:rsidR="00730D78">
        <w:rPr>
          <w:sz w:val="22"/>
          <w:szCs w:val="22"/>
        </w:rPr>
        <w:t xml:space="preserve"> desconfirmatoria de los mismo</w:t>
      </w:r>
      <w:r w:rsidR="00347418">
        <w:rPr>
          <w:sz w:val="22"/>
          <w:szCs w:val="22"/>
        </w:rPr>
        <w:t>s</w:t>
      </w:r>
      <w:r w:rsidRPr="00A5584D">
        <w:rPr>
          <w:sz w:val="22"/>
          <w:szCs w:val="22"/>
        </w:rPr>
        <w:t xml:space="preserve">, puesto que la información </w:t>
      </w:r>
      <w:r w:rsidR="006100C7">
        <w:rPr>
          <w:sz w:val="22"/>
          <w:szCs w:val="22"/>
        </w:rPr>
        <w:t>congruente</w:t>
      </w:r>
      <w:r w:rsidR="00AA5D79">
        <w:rPr>
          <w:sz w:val="22"/>
          <w:szCs w:val="22"/>
        </w:rPr>
        <w:t xml:space="preserve"> con</w:t>
      </w:r>
      <w:r w:rsidRPr="00A5584D">
        <w:rPr>
          <w:sz w:val="22"/>
          <w:szCs w:val="22"/>
        </w:rPr>
        <w:t xml:space="preserve"> un estereotipo es mayormente recordada y mejor procesada que la información </w:t>
      </w:r>
      <w:r w:rsidR="006100C7">
        <w:rPr>
          <w:sz w:val="22"/>
          <w:szCs w:val="22"/>
        </w:rPr>
        <w:t>incongruente</w:t>
      </w:r>
      <w:r w:rsidR="00EE74C5">
        <w:rPr>
          <w:sz w:val="22"/>
          <w:szCs w:val="22"/>
        </w:rPr>
        <w:t xml:space="preserve"> (</w:t>
      </w:r>
      <w:proofErr w:type="spellStart"/>
      <w:r w:rsidR="00EE74C5">
        <w:rPr>
          <w:sz w:val="22"/>
          <w:szCs w:val="22"/>
        </w:rPr>
        <w:t>Baron</w:t>
      </w:r>
      <w:proofErr w:type="spellEnd"/>
      <w:r w:rsidR="00EE74C5">
        <w:rPr>
          <w:sz w:val="22"/>
          <w:szCs w:val="22"/>
        </w:rPr>
        <w:t xml:space="preserve"> &amp;</w:t>
      </w:r>
      <w:r w:rsidRPr="00A5584D">
        <w:rPr>
          <w:sz w:val="22"/>
          <w:szCs w:val="22"/>
        </w:rPr>
        <w:t xml:space="preserve"> </w:t>
      </w:r>
      <w:proofErr w:type="spellStart"/>
      <w:r w:rsidRPr="00A5584D">
        <w:rPr>
          <w:sz w:val="22"/>
          <w:szCs w:val="22"/>
        </w:rPr>
        <w:t>Byrne</w:t>
      </w:r>
      <w:proofErr w:type="spellEnd"/>
      <w:r w:rsidRPr="00A5584D">
        <w:rPr>
          <w:sz w:val="22"/>
          <w:szCs w:val="22"/>
        </w:rPr>
        <w:t>, 2005</w:t>
      </w:r>
      <w:r w:rsidR="00355495">
        <w:rPr>
          <w:sz w:val="22"/>
          <w:szCs w:val="22"/>
        </w:rPr>
        <w:t xml:space="preserve">; </w:t>
      </w:r>
      <w:proofErr w:type="spellStart"/>
      <w:r w:rsidR="00355495" w:rsidRPr="00A5584D">
        <w:rPr>
          <w:sz w:val="22"/>
          <w:szCs w:val="22"/>
        </w:rPr>
        <w:t>Zestcott</w:t>
      </w:r>
      <w:proofErr w:type="spellEnd"/>
      <w:r w:rsidR="00355495" w:rsidRPr="00A5584D">
        <w:rPr>
          <w:sz w:val="22"/>
          <w:szCs w:val="22"/>
        </w:rPr>
        <w:t xml:space="preserve"> et al, 2018</w:t>
      </w:r>
      <w:r w:rsidRPr="00A5584D">
        <w:rPr>
          <w:sz w:val="22"/>
          <w:szCs w:val="22"/>
        </w:rPr>
        <w:t xml:space="preserve">). </w:t>
      </w:r>
      <w:r w:rsidR="00347418" w:rsidRPr="006100C7">
        <w:rPr>
          <w:sz w:val="22"/>
          <w:szCs w:val="22"/>
        </w:rPr>
        <w:t>De este modo</w:t>
      </w:r>
      <w:r w:rsidR="00E918FF" w:rsidRPr="006100C7">
        <w:rPr>
          <w:sz w:val="22"/>
          <w:szCs w:val="22"/>
        </w:rPr>
        <w:t>, l</w:t>
      </w:r>
      <w:r w:rsidRPr="006100C7">
        <w:rPr>
          <w:sz w:val="22"/>
          <w:szCs w:val="22"/>
        </w:rPr>
        <w:t>a forma en que se procesa, almacena e integra la información social</w:t>
      </w:r>
      <w:r w:rsidR="00120266" w:rsidRPr="006100C7">
        <w:rPr>
          <w:sz w:val="22"/>
          <w:szCs w:val="22"/>
        </w:rPr>
        <w:t xml:space="preserve"> a la hora de formar </w:t>
      </w:r>
      <w:r w:rsidR="009A100D" w:rsidRPr="006100C7">
        <w:rPr>
          <w:sz w:val="22"/>
          <w:szCs w:val="22"/>
        </w:rPr>
        <w:t>estereotipos</w:t>
      </w:r>
      <w:r w:rsidRPr="006100C7">
        <w:rPr>
          <w:sz w:val="22"/>
          <w:szCs w:val="22"/>
        </w:rPr>
        <w:t xml:space="preserve">, </w:t>
      </w:r>
      <w:r w:rsidR="00347418" w:rsidRPr="006100C7">
        <w:rPr>
          <w:sz w:val="22"/>
          <w:szCs w:val="22"/>
        </w:rPr>
        <w:t>consiste en</w:t>
      </w:r>
      <w:r w:rsidRPr="006100C7">
        <w:rPr>
          <w:sz w:val="22"/>
          <w:szCs w:val="22"/>
        </w:rPr>
        <w:t xml:space="preserve"> que las personas utilicen uno o más atributos percibidos del exogrupo (en</w:t>
      </w:r>
      <w:r w:rsidRPr="00A5584D">
        <w:rPr>
          <w:sz w:val="22"/>
          <w:szCs w:val="22"/>
        </w:rPr>
        <w:t xml:space="preserve"> este caso los tatuajes de las personas tatuadas) para categorizarlos dentro de un esquema cognitivo en donde se hal</w:t>
      </w:r>
      <w:r w:rsidR="00120266" w:rsidRPr="00A5584D">
        <w:rPr>
          <w:sz w:val="22"/>
          <w:szCs w:val="22"/>
        </w:rPr>
        <w:t xml:space="preserve">lan los estereotipos asociados, </w:t>
      </w:r>
      <w:r w:rsidRPr="00A5584D">
        <w:rPr>
          <w:sz w:val="22"/>
          <w:szCs w:val="22"/>
        </w:rPr>
        <w:t>lo que es causante del prejuicio y la discriminación hacia dicho</w:t>
      </w:r>
      <w:r w:rsidR="00EE74C5">
        <w:rPr>
          <w:sz w:val="22"/>
          <w:szCs w:val="22"/>
        </w:rPr>
        <w:t xml:space="preserve"> grupo (Miller, </w:t>
      </w:r>
      <w:proofErr w:type="spellStart"/>
      <w:r w:rsidR="00EE74C5">
        <w:rPr>
          <w:sz w:val="22"/>
          <w:szCs w:val="22"/>
        </w:rPr>
        <w:t>McGlashan</w:t>
      </w:r>
      <w:proofErr w:type="spellEnd"/>
      <w:r w:rsidR="00EE74C5">
        <w:rPr>
          <w:sz w:val="22"/>
          <w:szCs w:val="22"/>
        </w:rPr>
        <w:t xml:space="preserve"> &amp;</w:t>
      </w:r>
      <w:r w:rsidR="00120266" w:rsidRPr="00A5584D">
        <w:rPr>
          <w:sz w:val="22"/>
          <w:szCs w:val="22"/>
        </w:rPr>
        <w:t xml:space="preserve"> Eure, 2008; </w:t>
      </w:r>
      <w:proofErr w:type="spellStart"/>
      <w:r w:rsidR="00120266" w:rsidRPr="00A5584D">
        <w:rPr>
          <w:sz w:val="22"/>
          <w:szCs w:val="22"/>
        </w:rPr>
        <w:t>Zestcott</w:t>
      </w:r>
      <w:proofErr w:type="spellEnd"/>
      <w:r w:rsidR="00120266" w:rsidRPr="00A5584D">
        <w:rPr>
          <w:sz w:val="22"/>
          <w:szCs w:val="22"/>
        </w:rPr>
        <w:t xml:space="preserve"> et al, 2018</w:t>
      </w:r>
      <w:r w:rsidRPr="00A5584D">
        <w:rPr>
          <w:sz w:val="22"/>
          <w:szCs w:val="22"/>
        </w:rPr>
        <w:t>).</w:t>
      </w:r>
    </w:p>
    <w:p w:rsidR="002876D2" w:rsidRPr="00A5584D" w:rsidRDefault="002876D2" w:rsidP="006D3B17">
      <w:pPr>
        <w:jc w:val="both"/>
        <w:rPr>
          <w:sz w:val="22"/>
          <w:szCs w:val="22"/>
        </w:rPr>
      </w:pPr>
    </w:p>
    <w:p w:rsidR="002876D2" w:rsidRPr="00A5584D" w:rsidRDefault="002876D2" w:rsidP="006D3B17">
      <w:pPr>
        <w:jc w:val="both"/>
        <w:rPr>
          <w:b/>
          <w:sz w:val="22"/>
          <w:szCs w:val="22"/>
        </w:rPr>
      </w:pPr>
      <w:r w:rsidRPr="00A5584D">
        <w:rPr>
          <w:sz w:val="22"/>
          <w:szCs w:val="22"/>
        </w:rPr>
        <w:tab/>
        <w:t xml:space="preserve">En general, la tenencia de tatuajes ha sido asociada con grupos tales como soldados, pandilleros, prisioneros, criminales y trabajadores de circo, los cuales a su vez han sido </w:t>
      </w:r>
      <w:r w:rsidR="00E918FF" w:rsidRPr="00A5584D">
        <w:rPr>
          <w:sz w:val="22"/>
          <w:szCs w:val="22"/>
        </w:rPr>
        <w:t>vinculado</w:t>
      </w:r>
      <w:r w:rsidRPr="00A5584D">
        <w:rPr>
          <w:sz w:val="22"/>
          <w:szCs w:val="22"/>
        </w:rPr>
        <w:t xml:space="preserve">s </w:t>
      </w:r>
      <w:r w:rsidR="00E918FF" w:rsidRPr="00A5584D">
        <w:rPr>
          <w:sz w:val="22"/>
          <w:szCs w:val="22"/>
        </w:rPr>
        <w:t>a</w:t>
      </w:r>
      <w:r w:rsidRPr="00A5584D">
        <w:rPr>
          <w:sz w:val="22"/>
          <w:szCs w:val="22"/>
        </w:rPr>
        <w:t xml:space="preserve"> estereotipos y características negativas como agresividad, alcoholismo, promiscuidad, impulsividad, deshonestidad, la tendencia a cometer crímenes, entre otras (Zestcott et al, 2018). Se ha demostrado, incluso, que un tatuaje puede afectar los juicios acerca de la culpabilidad de un acusado si éste presenta un tatuaje vis</w:t>
      </w:r>
      <w:r w:rsidR="00EE74C5">
        <w:rPr>
          <w:sz w:val="22"/>
          <w:szCs w:val="22"/>
        </w:rPr>
        <w:t>ible, tal como reportan Funk &amp;</w:t>
      </w:r>
      <w:r w:rsidRPr="00A5584D">
        <w:rPr>
          <w:sz w:val="22"/>
          <w:szCs w:val="22"/>
        </w:rPr>
        <w:t xml:space="preserve"> Todorov (2013) en un experimento que evaluaba los juicios que hacían las personas sobre un acusado ficticio que podía tener, o no, un tatuaje, arrojando resultados que indicaban una mayor tendencia a calificar de culpable al acusado tatuado.  </w:t>
      </w:r>
    </w:p>
    <w:p w:rsidR="002876D2" w:rsidRPr="00A5584D" w:rsidRDefault="002876D2" w:rsidP="006D3B17">
      <w:pPr>
        <w:jc w:val="both"/>
        <w:rPr>
          <w:b/>
          <w:sz w:val="22"/>
          <w:szCs w:val="22"/>
        </w:rPr>
      </w:pPr>
    </w:p>
    <w:p w:rsidR="002876D2" w:rsidRPr="00A5584D" w:rsidRDefault="002876D2" w:rsidP="006D3B17">
      <w:pPr>
        <w:jc w:val="both"/>
        <w:rPr>
          <w:sz w:val="22"/>
          <w:szCs w:val="22"/>
        </w:rPr>
      </w:pPr>
      <w:r w:rsidRPr="00A5584D">
        <w:rPr>
          <w:b/>
          <w:sz w:val="22"/>
          <w:szCs w:val="22"/>
        </w:rPr>
        <w:tab/>
      </w:r>
      <w:r w:rsidR="00E918FF" w:rsidRPr="00A5584D">
        <w:rPr>
          <w:sz w:val="22"/>
          <w:szCs w:val="22"/>
        </w:rPr>
        <w:t>De igual forma</w:t>
      </w:r>
      <w:r w:rsidRPr="00A5584D">
        <w:rPr>
          <w:sz w:val="22"/>
          <w:szCs w:val="22"/>
        </w:rPr>
        <w:t xml:space="preserve">, se ha encontrado que poseer tatuajes puede afectar a las personas tatuadas en el ámbito laboral, ya que existe la tendencia a evitar contratar a personas con este tipo de arte en su piel, tal como señala </w:t>
      </w:r>
      <w:r w:rsidR="00674417">
        <w:rPr>
          <w:sz w:val="22"/>
          <w:szCs w:val="22"/>
        </w:rPr>
        <w:t>Méndez</w:t>
      </w:r>
      <w:r w:rsidRPr="00A5584D">
        <w:rPr>
          <w:sz w:val="22"/>
          <w:szCs w:val="22"/>
        </w:rPr>
        <w:t xml:space="preserve"> (2015), quien realizó una investigación para conocer las percepciones de los participantes hacia individuos con tatuajes visibles en el ambiente laboral y encontró que los participantes tendieron a calificar más negativamente fotografías de individuos tatuados que las de los no tatuados, respondiendo a preguntas sobre la estimación del sueldo de la persona de la fotografía o qué tan probable sería que obtuviese un ascenso, entre otras. </w:t>
      </w:r>
    </w:p>
    <w:p w:rsidR="002876D2" w:rsidRPr="00A5584D" w:rsidRDefault="002876D2" w:rsidP="006D3B17">
      <w:pPr>
        <w:jc w:val="both"/>
        <w:rPr>
          <w:sz w:val="22"/>
          <w:szCs w:val="22"/>
        </w:rPr>
      </w:pPr>
    </w:p>
    <w:p w:rsidR="002876D2" w:rsidRPr="00A5584D" w:rsidRDefault="002876D2" w:rsidP="006D3B17">
      <w:pPr>
        <w:jc w:val="both"/>
        <w:rPr>
          <w:sz w:val="22"/>
          <w:szCs w:val="22"/>
        </w:rPr>
      </w:pPr>
      <w:r w:rsidRPr="00A5584D">
        <w:rPr>
          <w:sz w:val="22"/>
          <w:szCs w:val="22"/>
        </w:rPr>
        <w:tab/>
        <w:t>En esta misma línea de investigación sobre los tatuajes y el ámbito laboral, se destaca</w:t>
      </w:r>
      <w:r w:rsidR="00F972BB">
        <w:rPr>
          <w:sz w:val="22"/>
          <w:szCs w:val="22"/>
        </w:rPr>
        <w:t xml:space="preserve"> el trabajo de Baumann, Timming</w:t>
      </w:r>
      <w:r w:rsidR="00EE74C5">
        <w:rPr>
          <w:sz w:val="22"/>
          <w:szCs w:val="22"/>
        </w:rPr>
        <w:t xml:space="preserve"> &amp;</w:t>
      </w:r>
      <w:r w:rsidRPr="00A5584D">
        <w:rPr>
          <w:sz w:val="22"/>
          <w:szCs w:val="22"/>
        </w:rPr>
        <w:t xml:space="preserve"> Gollan (2016), </w:t>
      </w:r>
      <w:r w:rsidR="009A100D" w:rsidRPr="00A5584D">
        <w:rPr>
          <w:sz w:val="22"/>
          <w:szCs w:val="22"/>
        </w:rPr>
        <w:t>quienes, además, analizaron</w:t>
      </w:r>
      <w:r w:rsidRPr="00A5584D">
        <w:rPr>
          <w:sz w:val="22"/>
          <w:szCs w:val="22"/>
        </w:rPr>
        <w:t xml:space="preserve"> el efecto que tiene el sexo de la persona tatuada </w:t>
      </w:r>
      <w:r w:rsidR="009A100D" w:rsidRPr="00A5584D">
        <w:rPr>
          <w:sz w:val="22"/>
          <w:szCs w:val="22"/>
        </w:rPr>
        <w:t xml:space="preserve">en el ámbito laboral </w:t>
      </w:r>
      <w:r w:rsidRPr="00A5584D">
        <w:rPr>
          <w:sz w:val="22"/>
          <w:szCs w:val="22"/>
        </w:rPr>
        <w:t xml:space="preserve">sobre las actitudes hacia ella. Los resultados de las calificaciones de los participantes arrojaron que la presencia de un tatuaje visible era una desventaja para los empleados independientemente del tipo de empleo y que, con respecto al sexo del empleado, cuando se trata de una mujer tatuada ésta es calificada más negativamente que un hombre tatuado, por lo que de estos resultados se deriva que existe una doble desventaja en las mujeres: por su sexo y por la tenencia de tatuajes. Así mismo, </w:t>
      </w:r>
      <w:r w:rsidR="00EE74C5">
        <w:rPr>
          <w:sz w:val="22"/>
          <w:szCs w:val="22"/>
        </w:rPr>
        <w:t>trabajos como los de Broussard &amp;</w:t>
      </w:r>
      <w:r w:rsidRPr="00A5584D">
        <w:rPr>
          <w:sz w:val="22"/>
          <w:szCs w:val="22"/>
        </w:rPr>
        <w:t xml:space="preserve"> Harton (2017)</w:t>
      </w:r>
      <w:r w:rsidR="009A100D" w:rsidRPr="00A5584D">
        <w:rPr>
          <w:sz w:val="22"/>
          <w:szCs w:val="22"/>
        </w:rPr>
        <w:t xml:space="preserve"> y</w:t>
      </w:r>
      <w:r w:rsidR="00EE74C5">
        <w:rPr>
          <w:sz w:val="22"/>
          <w:szCs w:val="22"/>
        </w:rPr>
        <w:t xml:space="preserve"> Timming &amp;</w:t>
      </w:r>
      <w:r w:rsidRPr="00A5584D">
        <w:rPr>
          <w:sz w:val="22"/>
          <w:szCs w:val="22"/>
        </w:rPr>
        <w:t xml:space="preserve"> Perrett (2017) </w:t>
      </w:r>
      <w:r w:rsidRPr="00A5584D">
        <w:rPr>
          <w:sz w:val="22"/>
          <w:szCs w:val="22"/>
        </w:rPr>
        <w:lastRenderedPageBreak/>
        <w:t xml:space="preserve">han respaldado que los estereotipos </w:t>
      </w:r>
      <w:r w:rsidRPr="006100C7">
        <w:rPr>
          <w:sz w:val="22"/>
          <w:szCs w:val="22"/>
        </w:rPr>
        <w:t>negativos afectan más a las mujeres tatuadas, señalándolas, por ejemplo, como poco atractivas, promiscuas</w:t>
      </w:r>
      <w:r w:rsidR="0025560A" w:rsidRPr="006100C7">
        <w:rPr>
          <w:sz w:val="22"/>
          <w:szCs w:val="22"/>
        </w:rPr>
        <w:t xml:space="preserve"> y </w:t>
      </w:r>
      <w:r w:rsidR="00347418" w:rsidRPr="006100C7">
        <w:rPr>
          <w:sz w:val="22"/>
          <w:szCs w:val="22"/>
        </w:rPr>
        <w:t>adeptas a la bebida</w:t>
      </w:r>
      <w:r w:rsidR="0025560A" w:rsidRPr="006100C7">
        <w:rPr>
          <w:sz w:val="22"/>
          <w:szCs w:val="22"/>
        </w:rPr>
        <w:t>, tal como indica</w:t>
      </w:r>
      <w:r w:rsidR="00EE74C5">
        <w:rPr>
          <w:sz w:val="22"/>
          <w:szCs w:val="22"/>
        </w:rPr>
        <w:t>n Swami &amp;</w:t>
      </w:r>
      <w:r w:rsidRPr="006100C7">
        <w:rPr>
          <w:sz w:val="22"/>
          <w:szCs w:val="22"/>
        </w:rPr>
        <w:t xml:space="preserve"> Furnham (2007).</w:t>
      </w:r>
    </w:p>
    <w:p w:rsidR="002876D2" w:rsidRPr="00A5584D" w:rsidRDefault="002876D2" w:rsidP="006D3B17">
      <w:pPr>
        <w:jc w:val="both"/>
        <w:rPr>
          <w:sz w:val="22"/>
          <w:szCs w:val="22"/>
        </w:rPr>
      </w:pPr>
    </w:p>
    <w:p w:rsidR="002876D2" w:rsidRPr="00A5584D" w:rsidRDefault="002876D2" w:rsidP="006D3B17">
      <w:pPr>
        <w:jc w:val="both"/>
        <w:rPr>
          <w:color w:val="FF0000"/>
          <w:sz w:val="22"/>
          <w:szCs w:val="22"/>
        </w:rPr>
      </w:pPr>
      <w:r w:rsidRPr="00A5584D">
        <w:rPr>
          <w:sz w:val="22"/>
          <w:szCs w:val="22"/>
        </w:rPr>
        <w:tab/>
      </w:r>
      <w:r w:rsidR="00E918FF" w:rsidRPr="00A5584D">
        <w:rPr>
          <w:sz w:val="22"/>
          <w:szCs w:val="22"/>
        </w:rPr>
        <w:t>En otro sentido, deb</w:t>
      </w:r>
      <w:r w:rsidR="00CA2072" w:rsidRPr="00A5584D">
        <w:rPr>
          <w:sz w:val="22"/>
          <w:szCs w:val="22"/>
        </w:rPr>
        <w:t>e destacarse</w:t>
      </w:r>
      <w:r w:rsidR="00E918FF" w:rsidRPr="00A5584D">
        <w:rPr>
          <w:sz w:val="22"/>
          <w:szCs w:val="22"/>
        </w:rPr>
        <w:t xml:space="preserve"> que l</w:t>
      </w:r>
      <w:r w:rsidRPr="00A5584D">
        <w:rPr>
          <w:sz w:val="22"/>
          <w:szCs w:val="22"/>
        </w:rPr>
        <w:t>a mayoría de los autores que se han dedicado al estudio del prejuicio hacia este grupo estigmatizado</w:t>
      </w:r>
      <w:r w:rsidR="00407DBE" w:rsidRPr="00A5584D">
        <w:rPr>
          <w:sz w:val="22"/>
          <w:szCs w:val="22"/>
        </w:rPr>
        <w:t>,</w:t>
      </w:r>
      <w:r w:rsidRPr="00A5584D">
        <w:rPr>
          <w:sz w:val="22"/>
          <w:szCs w:val="22"/>
        </w:rPr>
        <w:t xml:space="preserve"> se han enfocado únicamente en el prejuicio explícito, dejando de lado al prejuicio implícito</w:t>
      </w:r>
      <w:r w:rsidR="00407DBE" w:rsidRPr="00A5584D">
        <w:rPr>
          <w:sz w:val="22"/>
          <w:szCs w:val="22"/>
        </w:rPr>
        <w:t>,</w:t>
      </w:r>
      <w:r w:rsidR="006A24DE" w:rsidRPr="00A5584D">
        <w:rPr>
          <w:sz w:val="22"/>
          <w:szCs w:val="22"/>
        </w:rPr>
        <w:t xml:space="preserve"> el cual es definido como un proces</w:t>
      </w:r>
      <w:r w:rsidR="00FF60DE" w:rsidRPr="00A5584D">
        <w:rPr>
          <w:sz w:val="22"/>
          <w:szCs w:val="22"/>
        </w:rPr>
        <w:t xml:space="preserve">o que se activa automáticamente, producto de experiencias pasadas </w:t>
      </w:r>
      <w:r w:rsidR="006A24DE" w:rsidRPr="00A5584D">
        <w:rPr>
          <w:sz w:val="22"/>
          <w:szCs w:val="22"/>
        </w:rPr>
        <w:t>y que, aunque opera inconscientemente, influye en la actitud que se tiene hacia las mujeres tatuadas</w:t>
      </w:r>
      <w:r w:rsidRPr="00A5584D">
        <w:rPr>
          <w:sz w:val="22"/>
          <w:szCs w:val="22"/>
        </w:rPr>
        <w:t xml:space="preserve"> (</w:t>
      </w:r>
      <w:r w:rsidR="00EE74C5">
        <w:rPr>
          <w:sz w:val="22"/>
          <w:szCs w:val="22"/>
        </w:rPr>
        <w:t>Montes &amp;</w:t>
      </w:r>
      <w:r w:rsidR="00F972BB">
        <w:rPr>
          <w:sz w:val="22"/>
          <w:szCs w:val="22"/>
        </w:rPr>
        <w:t xml:space="preserve"> Moya,</w:t>
      </w:r>
      <w:r w:rsidR="006A24DE" w:rsidRPr="00A5584D">
        <w:rPr>
          <w:sz w:val="22"/>
          <w:szCs w:val="22"/>
        </w:rPr>
        <w:t xml:space="preserve"> 2006; </w:t>
      </w:r>
      <w:r w:rsidR="004A1983">
        <w:rPr>
          <w:sz w:val="22"/>
          <w:szCs w:val="22"/>
        </w:rPr>
        <w:t>Torrejón</w:t>
      </w:r>
      <w:r w:rsidR="006A24DE" w:rsidRPr="00A5584D">
        <w:rPr>
          <w:sz w:val="22"/>
          <w:szCs w:val="22"/>
        </w:rPr>
        <w:t>, 2015; Zestcott el at, 2018</w:t>
      </w:r>
      <w:r w:rsidRPr="00A5584D">
        <w:rPr>
          <w:sz w:val="22"/>
          <w:szCs w:val="22"/>
        </w:rPr>
        <w:t xml:space="preserve">). </w:t>
      </w:r>
      <w:r w:rsidR="004917BF" w:rsidRPr="00A5584D">
        <w:rPr>
          <w:sz w:val="22"/>
          <w:szCs w:val="22"/>
        </w:rPr>
        <w:t>De hecho, u</w:t>
      </w:r>
      <w:r w:rsidRPr="00A5584D">
        <w:rPr>
          <w:sz w:val="22"/>
          <w:szCs w:val="22"/>
        </w:rPr>
        <w:t xml:space="preserve">na de las diferencias entre </w:t>
      </w:r>
      <w:r w:rsidR="006A24DE" w:rsidRPr="00A5584D">
        <w:rPr>
          <w:sz w:val="22"/>
          <w:szCs w:val="22"/>
        </w:rPr>
        <w:t>ambas</w:t>
      </w:r>
      <w:r w:rsidRPr="00A5584D">
        <w:rPr>
          <w:sz w:val="22"/>
          <w:szCs w:val="22"/>
        </w:rPr>
        <w:t xml:space="preserve"> formas de prejuicio radica en la </w:t>
      </w:r>
      <w:r w:rsidR="0025560A" w:rsidRPr="00A5584D">
        <w:rPr>
          <w:sz w:val="22"/>
          <w:szCs w:val="22"/>
        </w:rPr>
        <w:t>manera</w:t>
      </w:r>
      <w:r w:rsidRPr="00A5584D">
        <w:rPr>
          <w:sz w:val="22"/>
          <w:szCs w:val="22"/>
        </w:rPr>
        <w:t xml:space="preserve"> en que se expresa esta actitud, siendo el componente explícito un proceso consciente, deliberado y controlable, </w:t>
      </w:r>
      <w:r w:rsidR="0025560A" w:rsidRPr="00A5584D">
        <w:rPr>
          <w:sz w:val="22"/>
          <w:szCs w:val="22"/>
        </w:rPr>
        <w:t>que permite</w:t>
      </w:r>
      <w:r w:rsidRPr="00A5584D">
        <w:rPr>
          <w:sz w:val="22"/>
          <w:szCs w:val="22"/>
        </w:rPr>
        <w:t xml:space="preserve"> moderar la respuesta hacia el estímulo analizando la información disponible y considerando la norma social; </w:t>
      </w:r>
      <w:r w:rsidR="006A24DE" w:rsidRPr="00A5584D">
        <w:rPr>
          <w:sz w:val="22"/>
          <w:szCs w:val="22"/>
        </w:rPr>
        <w:t>mientras que</w:t>
      </w:r>
      <w:r w:rsidRPr="00A5584D">
        <w:rPr>
          <w:sz w:val="22"/>
          <w:szCs w:val="22"/>
        </w:rPr>
        <w:t xml:space="preserve"> las actitudes implícitas</w:t>
      </w:r>
      <w:r w:rsidR="006A24DE" w:rsidRPr="00A5584D">
        <w:rPr>
          <w:sz w:val="22"/>
          <w:szCs w:val="22"/>
        </w:rPr>
        <w:t>,</w:t>
      </w:r>
      <w:r w:rsidRPr="00A5584D">
        <w:rPr>
          <w:sz w:val="22"/>
          <w:szCs w:val="22"/>
        </w:rPr>
        <w:t xml:space="preserve"> representan un componente más antiguo que surge a través de la experiencia y la socialización y que, además, se expresa de una manera no consciente, por lo que no se ve afectado por la desea</w:t>
      </w:r>
      <w:r w:rsidR="00EE74C5">
        <w:rPr>
          <w:sz w:val="22"/>
          <w:szCs w:val="22"/>
        </w:rPr>
        <w:t>bilidad o norma social (Montes &amp;</w:t>
      </w:r>
      <w:r w:rsidRPr="00A5584D">
        <w:rPr>
          <w:sz w:val="22"/>
          <w:szCs w:val="22"/>
        </w:rPr>
        <w:t xml:space="preserve"> Moya, 2006).</w:t>
      </w:r>
      <w:r w:rsidR="000D415D" w:rsidRPr="00A5584D">
        <w:rPr>
          <w:sz w:val="22"/>
          <w:szCs w:val="22"/>
        </w:rPr>
        <w:t xml:space="preserve">  </w:t>
      </w:r>
    </w:p>
    <w:p w:rsidR="00C855C1" w:rsidRPr="00A5584D" w:rsidRDefault="00C855C1" w:rsidP="006D3B17">
      <w:pPr>
        <w:jc w:val="both"/>
        <w:rPr>
          <w:sz w:val="22"/>
          <w:szCs w:val="22"/>
        </w:rPr>
      </w:pPr>
    </w:p>
    <w:p w:rsidR="002876D2" w:rsidRPr="00A5584D" w:rsidRDefault="002876D2" w:rsidP="006D3B17">
      <w:pPr>
        <w:jc w:val="both"/>
        <w:rPr>
          <w:sz w:val="22"/>
          <w:szCs w:val="22"/>
        </w:rPr>
      </w:pPr>
      <w:r w:rsidRPr="00A5584D">
        <w:rPr>
          <w:sz w:val="22"/>
          <w:szCs w:val="22"/>
        </w:rPr>
        <w:tab/>
      </w:r>
      <w:r w:rsidRPr="006100C7">
        <w:rPr>
          <w:sz w:val="22"/>
          <w:szCs w:val="22"/>
        </w:rPr>
        <w:t xml:space="preserve">El prejuicio implícito se puede apreciar a través de diferentes tareas y medidas tales como </w:t>
      </w:r>
      <w:r w:rsidR="000D415D" w:rsidRPr="006100C7">
        <w:rPr>
          <w:sz w:val="22"/>
          <w:szCs w:val="22"/>
        </w:rPr>
        <w:t xml:space="preserve">el </w:t>
      </w:r>
      <w:r w:rsidRPr="006100C7">
        <w:rPr>
          <w:sz w:val="22"/>
          <w:szCs w:val="22"/>
        </w:rPr>
        <w:t>sesgo lingüístico intergrupal</w:t>
      </w:r>
      <w:r w:rsidR="00ED10F5" w:rsidRPr="006100C7">
        <w:rPr>
          <w:sz w:val="22"/>
          <w:szCs w:val="22"/>
        </w:rPr>
        <w:t xml:space="preserve"> (</w:t>
      </w:r>
      <w:r w:rsidR="00D066E9" w:rsidRPr="006100C7">
        <w:rPr>
          <w:sz w:val="22"/>
          <w:szCs w:val="22"/>
        </w:rPr>
        <w:t>donde se describen</w:t>
      </w:r>
      <w:r w:rsidR="00C32C6B" w:rsidRPr="006100C7">
        <w:rPr>
          <w:sz w:val="22"/>
          <w:szCs w:val="22"/>
        </w:rPr>
        <w:t xml:space="preserve"> </w:t>
      </w:r>
      <w:r w:rsidR="00D066E9" w:rsidRPr="006100C7">
        <w:rPr>
          <w:sz w:val="22"/>
          <w:szCs w:val="22"/>
        </w:rPr>
        <w:t xml:space="preserve">los </w:t>
      </w:r>
      <w:r w:rsidR="00C32C6B" w:rsidRPr="006100C7">
        <w:rPr>
          <w:sz w:val="22"/>
          <w:szCs w:val="22"/>
        </w:rPr>
        <w:t>rasgos inde</w:t>
      </w:r>
      <w:r w:rsidR="00347418" w:rsidRPr="006100C7">
        <w:rPr>
          <w:sz w:val="22"/>
          <w:szCs w:val="22"/>
        </w:rPr>
        <w:t>seables del grupo estigmatizado</w:t>
      </w:r>
      <w:r w:rsidR="00C32C6B" w:rsidRPr="006100C7">
        <w:rPr>
          <w:sz w:val="22"/>
          <w:szCs w:val="22"/>
        </w:rPr>
        <w:t xml:space="preserve"> </w:t>
      </w:r>
      <w:r w:rsidR="00D066E9" w:rsidRPr="006100C7">
        <w:rPr>
          <w:sz w:val="22"/>
          <w:szCs w:val="22"/>
        </w:rPr>
        <w:t xml:space="preserve">de forma abstracta para indicar que son rasgos fijos y, por el contrario, se describen los </w:t>
      </w:r>
      <w:r w:rsidR="00F966F7" w:rsidRPr="006100C7">
        <w:rPr>
          <w:sz w:val="22"/>
          <w:szCs w:val="22"/>
        </w:rPr>
        <w:t>rasgos deseables</w:t>
      </w:r>
      <w:r w:rsidR="00D066E9" w:rsidRPr="006100C7">
        <w:rPr>
          <w:sz w:val="22"/>
          <w:szCs w:val="22"/>
        </w:rPr>
        <w:t xml:space="preserve"> de forma concreta</w:t>
      </w:r>
      <w:r w:rsidR="00F966F7" w:rsidRPr="006100C7">
        <w:rPr>
          <w:sz w:val="22"/>
          <w:szCs w:val="22"/>
        </w:rPr>
        <w:t xml:space="preserve">, </w:t>
      </w:r>
      <w:r w:rsidR="00D066E9" w:rsidRPr="006100C7">
        <w:rPr>
          <w:sz w:val="22"/>
          <w:szCs w:val="22"/>
        </w:rPr>
        <w:t>indicando que</w:t>
      </w:r>
      <w:r w:rsidR="00C32C6B" w:rsidRPr="006100C7">
        <w:rPr>
          <w:sz w:val="22"/>
          <w:szCs w:val="22"/>
        </w:rPr>
        <w:t xml:space="preserve"> </w:t>
      </w:r>
      <w:r w:rsidR="00D066E9" w:rsidRPr="006100C7">
        <w:rPr>
          <w:sz w:val="22"/>
          <w:szCs w:val="22"/>
        </w:rPr>
        <w:t>éstos tan solo son pasajero</w:t>
      </w:r>
      <w:r w:rsidR="00347418" w:rsidRPr="006100C7">
        <w:rPr>
          <w:sz w:val="22"/>
          <w:szCs w:val="22"/>
        </w:rPr>
        <w:t>s</w:t>
      </w:r>
      <w:r w:rsidR="00C32C6B" w:rsidRPr="006100C7">
        <w:rPr>
          <w:sz w:val="22"/>
          <w:szCs w:val="22"/>
        </w:rPr>
        <w:t>)</w:t>
      </w:r>
      <w:r w:rsidR="00D066E9" w:rsidRPr="006100C7">
        <w:rPr>
          <w:sz w:val="22"/>
          <w:szCs w:val="22"/>
        </w:rPr>
        <w:t>;</w:t>
      </w:r>
      <w:r w:rsidRPr="006100C7">
        <w:rPr>
          <w:sz w:val="22"/>
          <w:szCs w:val="22"/>
        </w:rPr>
        <w:t xml:space="preserve"> las medidas fisiológicas</w:t>
      </w:r>
      <w:r w:rsidR="00ED10F5" w:rsidRPr="006100C7">
        <w:rPr>
          <w:sz w:val="22"/>
          <w:szCs w:val="22"/>
        </w:rPr>
        <w:t xml:space="preserve"> (</w:t>
      </w:r>
      <w:r w:rsidR="00C32C6B" w:rsidRPr="006100C7">
        <w:rPr>
          <w:sz w:val="22"/>
          <w:szCs w:val="22"/>
        </w:rPr>
        <w:t>como</w:t>
      </w:r>
      <w:r w:rsidR="00F966F7" w:rsidRPr="006100C7">
        <w:rPr>
          <w:sz w:val="22"/>
          <w:szCs w:val="22"/>
        </w:rPr>
        <w:t xml:space="preserve"> expresiones </w:t>
      </w:r>
      <w:r w:rsidR="00730D78" w:rsidRPr="006100C7">
        <w:rPr>
          <w:sz w:val="22"/>
          <w:szCs w:val="22"/>
        </w:rPr>
        <w:t xml:space="preserve">faciales </w:t>
      </w:r>
      <w:r w:rsidR="00C32C6B" w:rsidRPr="006100C7">
        <w:rPr>
          <w:sz w:val="22"/>
          <w:szCs w:val="22"/>
        </w:rPr>
        <w:t>negativas producto de la actividad de los músculos al observar imágenes de un grupo estigmatizado</w:t>
      </w:r>
      <w:r w:rsidR="00ED10F5" w:rsidRPr="006100C7">
        <w:rPr>
          <w:sz w:val="22"/>
          <w:szCs w:val="22"/>
        </w:rPr>
        <w:t>)</w:t>
      </w:r>
      <w:r w:rsidR="00D066E9" w:rsidRPr="006100C7">
        <w:rPr>
          <w:sz w:val="22"/>
          <w:szCs w:val="22"/>
        </w:rPr>
        <w:t>;</w:t>
      </w:r>
      <w:r w:rsidRPr="006100C7">
        <w:rPr>
          <w:sz w:val="22"/>
          <w:szCs w:val="22"/>
        </w:rPr>
        <w:t xml:space="preserve"> o las medidas basadas en tiempos de reacción</w:t>
      </w:r>
      <w:r w:rsidR="00ED10F5" w:rsidRPr="006100C7">
        <w:rPr>
          <w:sz w:val="22"/>
          <w:szCs w:val="22"/>
        </w:rPr>
        <w:t xml:space="preserve"> </w:t>
      </w:r>
      <w:r w:rsidRPr="006100C7">
        <w:rPr>
          <w:sz w:val="22"/>
          <w:szCs w:val="22"/>
        </w:rPr>
        <w:t>como e</w:t>
      </w:r>
      <w:r w:rsidR="00AA5D79" w:rsidRPr="006100C7">
        <w:rPr>
          <w:sz w:val="22"/>
          <w:szCs w:val="22"/>
        </w:rPr>
        <w:t>l Test de Asociación Implícita, mejor conocido como “</w:t>
      </w:r>
      <w:r w:rsidRPr="006100C7">
        <w:rPr>
          <w:sz w:val="22"/>
          <w:szCs w:val="22"/>
        </w:rPr>
        <w:t>IAT</w:t>
      </w:r>
      <w:r w:rsidR="00AA5D79" w:rsidRPr="006100C7">
        <w:rPr>
          <w:sz w:val="22"/>
          <w:szCs w:val="22"/>
        </w:rPr>
        <w:t>”</w:t>
      </w:r>
      <w:r w:rsidR="00C32C6B" w:rsidRPr="006100C7">
        <w:rPr>
          <w:sz w:val="22"/>
          <w:szCs w:val="22"/>
        </w:rPr>
        <w:t xml:space="preserve"> (</w:t>
      </w:r>
      <w:r w:rsidR="00D066E9" w:rsidRPr="006100C7">
        <w:rPr>
          <w:sz w:val="22"/>
          <w:szCs w:val="22"/>
        </w:rPr>
        <w:t xml:space="preserve">en donde una menor latencia </w:t>
      </w:r>
      <w:r w:rsidR="00F57D19">
        <w:rPr>
          <w:sz w:val="22"/>
          <w:szCs w:val="22"/>
        </w:rPr>
        <w:t xml:space="preserve">al categorizar </w:t>
      </w:r>
      <w:r w:rsidR="00D066E9" w:rsidRPr="006100C7">
        <w:rPr>
          <w:sz w:val="22"/>
          <w:szCs w:val="22"/>
        </w:rPr>
        <w:t xml:space="preserve">imágenes del grupo estigmatizado </w:t>
      </w:r>
      <w:r w:rsidR="00F57D19">
        <w:rPr>
          <w:sz w:val="22"/>
          <w:szCs w:val="22"/>
        </w:rPr>
        <w:t>en conjunto con</w:t>
      </w:r>
      <w:r w:rsidR="00D066E9" w:rsidRPr="006100C7">
        <w:rPr>
          <w:sz w:val="22"/>
          <w:szCs w:val="22"/>
        </w:rPr>
        <w:t xml:space="preserve"> </w:t>
      </w:r>
      <w:r w:rsidR="00F57D19">
        <w:rPr>
          <w:sz w:val="22"/>
          <w:szCs w:val="22"/>
        </w:rPr>
        <w:t>adjetivos</w:t>
      </w:r>
      <w:r w:rsidR="00D066E9" w:rsidRPr="006100C7">
        <w:rPr>
          <w:sz w:val="22"/>
          <w:szCs w:val="22"/>
        </w:rPr>
        <w:t xml:space="preserve"> negativos indica un mayor prejuicio</w:t>
      </w:r>
      <w:r w:rsidR="00C32C6B" w:rsidRPr="006100C7">
        <w:rPr>
          <w:sz w:val="22"/>
          <w:szCs w:val="22"/>
        </w:rPr>
        <w:t>)</w:t>
      </w:r>
      <w:r w:rsidR="000A765D" w:rsidRPr="006100C7">
        <w:rPr>
          <w:sz w:val="22"/>
          <w:szCs w:val="22"/>
        </w:rPr>
        <w:t xml:space="preserve">. </w:t>
      </w:r>
      <w:r w:rsidR="00F966F7" w:rsidRPr="006100C7">
        <w:rPr>
          <w:sz w:val="22"/>
          <w:szCs w:val="22"/>
        </w:rPr>
        <w:t>Estas medidas</w:t>
      </w:r>
      <w:r w:rsidR="00F966F7">
        <w:rPr>
          <w:sz w:val="22"/>
          <w:szCs w:val="22"/>
        </w:rPr>
        <w:t xml:space="preserve"> </w:t>
      </w:r>
      <w:r w:rsidRPr="00A5584D">
        <w:rPr>
          <w:sz w:val="22"/>
          <w:szCs w:val="22"/>
        </w:rPr>
        <w:t xml:space="preserve">resultan herramientas poderosas para evaluar este tipo de prejuicio ya que, al tratarse de medidas implícitas, las respuestas de los participantes no pueden ser manipuladas dependiendo de </w:t>
      </w:r>
      <w:r w:rsidR="00EE74C5">
        <w:rPr>
          <w:sz w:val="22"/>
          <w:szCs w:val="22"/>
        </w:rPr>
        <w:t>la deseabilidad social (Montes &amp;</w:t>
      </w:r>
      <w:r w:rsidRPr="00A5584D">
        <w:rPr>
          <w:sz w:val="22"/>
          <w:szCs w:val="22"/>
        </w:rPr>
        <w:t xml:space="preserve"> Moya, 2006). A pesar de que ha sido poco abordado, una de las investigaciones con </w:t>
      </w:r>
      <w:r w:rsidR="009A100D" w:rsidRPr="00A5584D">
        <w:rPr>
          <w:sz w:val="22"/>
          <w:szCs w:val="22"/>
        </w:rPr>
        <w:t>respecto al prejuicio implícito</w:t>
      </w:r>
      <w:r w:rsidRPr="00A5584D">
        <w:rPr>
          <w:sz w:val="22"/>
          <w:szCs w:val="22"/>
        </w:rPr>
        <w:t xml:space="preserve"> hacia las personas ta</w:t>
      </w:r>
      <w:r w:rsidR="00EE74C5">
        <w:rPr>
          <w:sz w:val="22"/>
          <w:szCs w:val="22"/>
        </w:rPr>
        <w:t>tuadas es la de Zestcott, Bean &amp;</w:t>
      </w:r>
      <w:r w:rsidRPr="00A5584D">
        <w:rPr>
          <w:sz w:val="22"/>
          <w:szCs w:val="22"/>
        </w:rPr>
        <w:t xml:space="preserve"> Stone (2017), quienes utilizaron un IAT y demostraron que las personas sostienen actitudes implícitas negativas hacia individuos tatuados, específicamente</w:t>
      </w:r>
      <w:r w:rsidR="00C855C1" w:rsidRPr="00A5584D">
        <w:rPr>
          <w:sz w:val="22"/>
          <w:szCs w:val="22"/>
        </w:rPr>
        <w:t>,</w:t>
      </w:r>
      <w:r w:rsidRPr="00A5584D">
        <w:rPr>
          <w:sz w:val="22"/>
          <w:szCs w:val="22"/>
        </w:rPr>
        <w:t xml:space="preserve"> hacia quienes poseen tatuajes cercanos a la cara. </w:t>
      </w:r>
    </w:p>
    <w:p w:rsidR="002876D2" w:rsidRPr="00A5584D" w:rsidRDefault="002876D2" w:rsidP="006D3B17">
      <w:pPr>
        <w:jc w:val="both"/>
        <w:rPr>
          <w:sz w:val="22"/>
          <w:szCs w:val="22"/>
        </w:rPr>
      </w:pPr>
    </w:p>
    <w:p w:rsidR="002876D2" w:rsidRPr="00A5584D" w:rsidRDefault="002876D2" w:rsidP="006D3B17">
      <w:pPr>
        <w:jc w:val="both"/>
        <w:rPr>
          <w:sz w:val="22"/>
          <w:szCs w:val="22"/>
          <w:lang w:val="es-VE"/>
        </w:rPr>
      </w:pPr>
      <w:r w:rsidRPr="00A5584D">
        <w:rPr>
          <w:sz w:val="22"/>
          <w:szCs w:val="22"/>
        </w:rPr>
        <w:tab/>
      </w:r>
      <w:r w:rsidRPr="00A5584D">
        <w:rPr>
          <w:sz w:val="22"/>
          <w:szCs w:val="22"/>
          <w:lang w:val="es-VE"/>
        </w:rPr>
        <w:t xml:space="preserve">Otra investigación dedicada a evaluar el prejuicio implícito hacia personas tatuadas utilizando un IAT es la de </w:t>
      </w:r>
      <w:r w:rsidR="004A1983">
        <w:rPr>
          <w:sz w:val="22"/>
          <w:szCs w:val="22"/>
          <w:lang w:val="es-VE"/>
        </w:rPr>
        <w:t>Torrejón</w:t>
      </w:r>
      <w:r w:rsidRPr="00A5584D">
        <w:rPr>
          <w:sz w:val="22"/>
          <w:szCs w:val="22"/>
          <w:lang w:val="es-VE"/>
        </w:rPr>
        <w:t xml:space="preserve"> (2015), la cual resulta importante e innovadora debido a que, si bien existe gran diversidad de estudios que abordan el prejuicio hacia personas tatuadas, la literatura sobre las estrategias e intervenciones para reducir el prejuicio hacia este grupo es muy escasa. La intervención de </w:t>
      </w:r>
      <w:r w:rsidR="004A1983">
        <w:rPr>
          <w:sz w:val="22"/>
          <w:szCs w:val="22"/>
          <w:lang w:val="es-VE"/>
        </w:rPr>
        <w:t>Torrejón</w:t>
      </w:r>
      <w:r w:rsidRPr="00A5584D">
        <w:rPr>
          <w:sz w:val="22"/>
          <w:szCs w:val="22"/>
          <w:lang w:val="es-VE"/>
        </w:rPr>
        <w:t xml:space="preserve"> (2015), consistió en una técnica para reducir dicho prejuicio a través de la </w:t>
      </w:r>
      <w:r w:rsidR="009A100D" w:rsidRPr="00A5584D">
        <w:rPr>
          <w:sz w:val="22"/>
          <w:szCs w:val="22"/>
          <w:lang w:val="es-VE"/>
        </w:rPr>
        <w:t>colocación</w:t>
      </w:r>
      <w:r w:rsidRPr="00A5584D">
        <w:rPr>
          <w:sz w:val="22"/>
          <w:szCs w:val="22"/>
          <w:lang w:val="es-VE"/>
        </w:rPr>
        <w:t xml:space="preserve"> de señales visuales no verbales</w:t>
      </w:r>
      <w:r w:rsidR="008A37D8" w:rsidRPr="00A5584D">
        <w:rPr>
          <w:sz w:val="22"/>
          <w:szCs w:val="22"/>
          <w:lang w:val="es-VE"/>
        </w:rPr>
        <w:t xml:space="preserve"> en las personas tatuadas</w:t>
      </w:r>
      <w:r w:rsidRPr="00A5584D">
        <w:rPr>
          <w:sz w:val="22"/>
          <w:szCs w:val="22"/>
          <w:lang w:val="es-VE"/>
        </w:rPr>
        <w:t xml:space="preserve">, </w:t>
      </w:r>
      <w:r w:rsidR="00F57D19">
        <w:rPr>
          <w:sz w:val="22"/>
          <w:szCs w:val="22"/>
          <w:lang w:val="es-VE"/>
        </w:rPr>
        <w:t>entendiendo a é</w:t>
      </w:r>
      <w:r w:rsidR="00804BA6" w:rsidRPr="00A5584D">
        <w:rPr>
          <w:sz w:val="22"/>
          <w:szCs w:val="22"/>
          <w:lang w:val="es-VE"/>
        </w:rPr>
        <w:t>stas</w:t>
      </w:r>
      <w:r w:rsidR="009A100D" w:rsidRPr="00A5584D">
        <w:rPr>
          <w:sz w:val="22"/>
          <w:szCs w:val="22"/>
          <w:lang w:val="es-VE"/>
        </w:rPr>
        <w:t xml:space="preserve"> como </w:t>
      </w:r>
      <w:r w:rsidR="009A100D" w:rsidRPr="00A5584D">
        <w:rPr>
          <w:sz w:val="22"/>
          <w:szCs w:val="22"/>
        </w:rPr>
        <w:t xml:space="preserve">un tipo de señales sensoriales, </w:t>
      </w:r>
      <w:r w:rsidR="00804BA6" w:rsidRPr="00A5584D">
        <w:rPr>
          <w:sz w:val="22"/>
          <w:szCs w:val="22"/>
        </w:rPr>
        <w:t xml:space="preserve">tales </w:t>
      </w:r>
      <w:r w:rsidR="009A100D" w:rsidRPr="00A5584D">
        <w:rPr>
          <w:sz w:val="22"/>
          <w:szCs w:val="22"/>
        </w:rPr>
        <w:t xml:space="preserve">como signos, objetos o gestos, que son procesadas a través de la vista y que, haciendo sustitución de las palabras, proyectan sutilmente un mensaje y proveen información para interpretar la experiencia percibida (Soto, </w:t>
      </w:r>
      <w:proofErr w:type="spellStart"/>
      <w:r w:rsidR="009A100D" w:rsidRPr="00A5584D">
        <w:rPr>
          <w:sz w:val="22"/>
          <w:szCs w:val="22"/>
        </w:rPr>
        <w:t>Carstens</w:t>
      </w:r>
      <w:proofErr w:type="spellEnd"/>
      <w:r w:rsidR="00EE74C5">
        <w:rPr>
          <w:sz w:val="22"/>
          <w:szCs w:val="22"/>
        </w:rPr>
        <w:t xml:space="preserve"> &amp;</w:t>
      </w:r>
      <w:r w:rsidR="009A100D" w:rsidRPr="00A5584D">
        <w:rPr>
          <w:sz w:val="22"/>
          <w:szCs w:val="22"/>
        </w:rPr>
        <w:t xml:space="preserve"> </w:t>
      </w:r>
      <w:proofErr w:type="spellStart"/>
      <w:r w:rsidR="009A100D" w:rsidRPr="00A5584D">
        <w:rPr>
          <w:sz w:val="22"/>
          <w:szCs w:val="22"/>
        </w:rPr>
        <w:t>Burke</w:t>
      </w:r>
      <w:proofErr w:type="spellEnd"/>
      <w:r w:rsidR="009A100D" w:rsidRPr="00A5584D">
        <w:rPr>
          <w:sz w:val="22"/>
          <w:szCs w:val="22"/>
        </w:rPr>
        <w:t xml:space="preserve">, 2019; </w:t>
      </w:r>
      <w:r w:rsidR="004A1983">
        <w:rPr>
          <w:sz w:val="22"/>
          <w:szCs w:val="22"/>
        </w:rPr>
        <w:t>Torrejón</w:t>
      </w:r>
      <w:r w:rsidR="009A100D" w:rsidRPr="00A5584D">
        <w:rPr>
          <w:sz w:val="22"/>
          <w:szCs w:val="22"/>
        </w:rPr>
        <w:t>, 2015). E</w:t>
      </w:r>
      <w:r w:rsidRPr="00A5584D">
        <w:rPr>
          <w:sz w:val="22"/>
          <w:szCs w:val="22"/>
          <w:lang w:val="es-VE"/>
        </w:rPr>
        <w:t>n este caso</w:t>
      </w:r>
      <w:r w:rsidR="009A100D" w:rsidRPr="00A5584D">
        <w:rPr>
          <w:sz w:val="22"/>
          <w:szCs w:val="22"/>
          <w:lang w:val="es-VE"/>
        </w:rPr>
        <w:t>,</w:t>
      </w:r>
      <w:r w:rsidRPr="00A5584D">
        <w:rPr>
          <w:sz w:val="22"/>
          <w:szCs w:val="22"/>
          <w:lang w:val="es-VE"/>
        </w:rPr>
        <w:t xml:space="preserve"> </w:t>
      </w:r>
      <w:r w:rsidR="009A100D" w:rsidRPr="00A5584D">
        <w:rPr>
          <w:sz w:val="22"/>
          <w:szCs w:val="22"/>
          <w:lang w:val="es-VE"/>
        </w:rPr>
        <w:t xml:space="preserve">la señal visual empleada fueron los </w:t>
      </w:r>
      <w:r w:rsidRPr="00A5584D">
        <w:rPr>
          <w:sz w:val="22"/>
          <w:szCs w:val="22"/>
          <w:lang w:val="es-VE"/>
        </w:rPr>
        <w:t>anteojos,</w:t>
      </w:r>
      <w:r w:rsidR="009A100D" w:rsidRPr="00A5584D">
        <w:rPr>
          <w:sz w:val="22"/>
          <w:szCs w:val="22"/>
          <w:lang w:val="es-VE"/>
        </w:rPr>
        <w:t xml:space="preserve"> los cuales se colocaron</w:t>
      </w:r>
      <w:r w:rsidRPr="00A5584D">
        <w:rPr>
          <w:sz w:val="22"/>
          <w:szCs w:val="22"/>
          <w:lang w:val="es-VE"/>
        </w:rPr>
        <w:t xml:space="preserve"> </w:t>
      </w:r>
      <w:r w:rsidR="008A37D8" w:rsidRPr="00A5584D">
        <w:rPr>
          <w:sz w:val="22"/>
          <w:szCs w:val="22"/>
          <w:lang w:val="es-VE"/>
        </w:rPr>
        <w:t>a</w:t>
      </w:r>
      <w:r w:rsidRPr="00A5584D">
        <w:rPr>
          <w:sz w:val="22"/>
          <w:szCs w:val="22"/>
          <w:lang w:val="es-VE"/>
        </w:rPr>
        <w:t xml:space="preserve"> las personas tatuadas, logrando efectivamente resultados positivos al reducir el prejuicio implícito de los participantes hacia hombres tatuados. </w:t>
      </w:r>
    </w:p>
    <w:p w:rsidR="002876D2" w:rsidRPr="00A5584D" w:rsidRDefault="002876D2" w:rsidP="006D3B17">
      <w:pPr>
        <w:jc w:val="both"/>
        <w:rPr>
          <w:sz w:val="22"/>
          <w:szCs w:val="22"/>
          <w:lang w:val="es-VE"/>
        </w:rPr>
      </w:pPr>
    </w:p>
    <w:p w:rsidR="002876D2" w:rsidRPr="00ED10F5" w:rsidRDefault="004A1983" w:rsidP="00ED10F5">
      <w:pPr>
        <w:ind w:firstLine="708"/>
        <w:jc w:val="both"/>
        <w:rPr>
          <w:sz w:val="22"/>
          <w:szCs w:val="22"/>
        </w:rPr>
      </w:pPr>
      <w:r>
        <w:rPr>
          <w:sz w:val="22"/>
          <w:szCs w:val="22"/>
        </w:rPr>
        <w:t>Torrejón</w:t>
      </w:r>
      <w:r w:rsidR="007F5E43">
        <w:rPr>
          <w:sz w:val="22"/>
          <w:szCs w:val="22"/>
        </w:rPr>
        <w:t xml:space="preserve"> (201</w:t>
      </w:r>
      <w:r w:rsidR="00ED10F5">
        <w:rPr>
          <w:sz w:val="22"/>
          <w:szCs w:val="22"/>
        </w:rPr>
        <w:t xml:space="preserve">5) señala diversas alternativas con relación a los mecanismos que operarían para reducir el prejuicio implícito, la </w:t>
      </w:r>
      <w:r w:rsidR="008502A1" w:rsidRPr="00A5584D">
        <w:rPr>
          <w:sz w:val="22"/>
          <w:szCs w:val="22"/>
        </w:rPr>
        <w:t xml:space="preserve">más resaltante de ellas es que los lentes de lectura ayudarían a recategorizar al individuo, es decir, trasladar al individuo de una categoría (tatuado) a otra (intelectual), la cual tiende a presentar estereotipos más positivos. </w:t>
      </w:r>
      <w:r w:rsidR="002876D2" w:rsidRPr="00A5584D">
        <w:rPr>
          <w:sz w:val="22"/>
          <w:szCs w:val="22"/>
        </w:rPr>
        <w:t>Estu</w:t>
      </w:r>
      <w:r w:rsidR="008A37D8" w:rsidRPr="00A5584D">
        <w:rPr>
          <w:sz w:val="22"/>
          <w:szCs w:val="22"/>
        </w:rPr>
        <w:t>dios realizados desde la “</w:t>
      </w:r>
      <w:proofErr w:type="spellStart"/>
      <w:r w:rsidR="008A37D8" w:rsidRPr="00A5584D">
        <w:rPr>
          <w:sz w:val="22"/>
          <w:szCs w:val="22"/>
        </w:rPr>
        <w:t>psico</w:t>
      </w:r>
      <w:proofErr w:type="spellEnd"/>
      <w:r w:rsidR="008A37D8" w:rsidRPr="00A5584D">
        <w:rPr>
          <w:sz w:val="22"/>
          <w:szCs w:val="22"/>
        </w:rPr>
        <w:t>-o</w:t>
      </w:r>
      <w:r w:rsidR="00622E1F">
        <w:rPr>
          <w:sz w:val="22"/>
          <w:szCs w:val="22"/>
        </w:rPr>
        <w:t>ptometría” (Terry, 1989 como se citó en</w:t>
      </w:r>
      <w:r w:rsidR="002876D2" w:rsidRPr="00A5584D">
        <w:rPr>
          <w:sz w:val="22"/>
          <w:szCs w:val="22"/>
        </w:rPr>
        <w:t xml:space="preserve"> </w:t>
      </w:r>
      <w:r>
        <w:rPr>
          <w:sz w:val="22"/>
          <w:szCs w:val="22"/>
        </w:rPr>
        <w:t>Torrejón</w:t>
      </w:r>
      <w:r w:rsidR="002876D2" w:rsidRPr="00A5584D">
        <w:rPr>
          <w:sz w:val="22"/>
          <w:szCs w:val="22"/>
        </w:rPr>
        <w:t xml:space="preserve">, 2015), área enfocada en los efectos psicológicos producidos por el uso de lentes, han demostrado que las personas tienden a evaluar a las personas con anteojos como más inteligentes, confiables, trabajadoras, honestas y exitosas que a las personas sin </w:t>
      </w:r>
      <w:r w:rsidR="00AA5D79">
        <w:rPr>
          <w:sz w:val="22"/>
          <w:szCs w:val="22"/>
        </w:rPr>
        <w:t>éstos</w:t>
      </w:r>
      <w:r w:rsidR="002876D2" w:rsidRPr="00A5584D">
        <w:rPr>
          <w:sz w:val="22"/>
          <w:szCs w:val="22"/>
        </w:rPr>
        <w:t xml:space="preserve"> (Harr</w:t>
      </w:r>
      <w:r w:rsidR="00622E1F">
        <w:rPr>
          <w:sz w:val="22"/>
          <w:szCs w:val="22"/>
        </w:rPr>
        <w:t xml:space="preserve">is, Harris &amp; </w:t>
      </w:r>
      <w:proofErr w:type="spellStart"/>
      <w:r w:rsidR="00622E1F">
        <w:rPr>
          <w:sz w:val="22"/>
          <w:szCs w:val="22"/>
        </w:rPr>
        <w:t>Bochner</w:t>
      </w:r>
      <w:proofErr w:type="spellEnd"/>
      <w:r w:rsidR="00622E1F">
        <w:rPr>
          <w:sz w:val="22"/>
          <w:szCs w:val="22"/>
        </w:rPr>
        <w:t>, 1982 como se citó en</w:t>
      </w:r>
      <w:r w:rsidR="002876D2" w:rsidRPr="00A5584D">
        <w:rPr>
          <w:sz w:val="22"/>
          <w:szCs w:val="22"/>
        </w:rPr>
        <w:t xml:space="preserve"> </w:t>
      </w:r>
      <w:r>
        <w:rPr>
          <w:sz w:val="22"/>
          <w:szCs w:val="22"/>
        </w:rPr>
        <w:t>Torrejón</w:t>
      </w:r>
      <w:r w:rsidR="002876D2" w:rsidRPr="00A5584D">
        <w:rPr>
          <w:sz w:val="22"/>
          <w:szCs w:val="22"/>
        </w:rPr>
        <w:t xml:space="preserve">, 2015). La literatura también sugiere que las gafas </w:t>
      </w:r>
      <w:r w:rsidR="002876D2" w:rsidRPr="00A5584D">
        <w:rPr>
          <w:sz w:val="22"/>
          <w:szCs w:val="22"/>
        </w:rPr>
        <w:lastRenderedPageBreak/>
        <w:t xml:space="preserve">pueden reducir el prejuicio explícito, como lo demostró el estudio de </w:t>
      </w:r>
      <w:r w:rsidR="00622E1F">
        <w:rPr>
          <w:rFonts w:eastAsiaTheme="minorHAnsi"/>
          <w:sz w:val="22"/>
          <w:szCs w:val="22"/>
          <w:lang w:eastAsia="en-US"/>
        </w:rPr>
        <w:t>Brown, Henriquez &amp;</w:t>
      </w:r>
      <w:r w:rsidR="0069183D">
        <w:rPr>
          <w:rFonts w:eastAsiaTheme="minorHAnsi"/>
          <w:sz w:val="22"/>
          <w:szCs w:val="22"/>
          <w:lang w:val="es-VE" w:eastAsia="en-US"/>
        </w:rPr>
        <w:t xml:space="preserve"> </w:t>
      </w:r>
      <w:proofErr w:type="spellStart"/>
      <w:r w:rsidR="0069183D">
        <w:rPr>
          <w:rFonts w:eastAsiaTheme="minorHAnsi"/>
          <w:sz w:val="22"/>
          <w:szCs w:val="22"/>
          <w:lang w:val="es-VE" w:eastAsia="en-US"/>
        </w:rPr>
        <w:t>Groscup</w:t>
      </w:r>
      <w:proofErr w:type="spellEnd"/>
      <w:r w:rsidR="002876D2" w:rsidRPr="00A5584D">
        <w:rPr>
          <w:rFonts w:eastAsiaTheme="minorHAnsi"/>
          <w:sz w:val="22"/>
          <w:szCs w:val="22"/>
          <w:lang w:val="es-VE" w:eastAsia="en-US"/>
        </w:rPr>
        <w:t xml:space="preserve"> (2008</w:t>
      </w:r>
      <w:r w:rsidR="00622E1F">
        <w:rPr>
          <w:rFonts w:eastAsiaTheme="minorHAnsi"/>
          <w:sz w:val="22"/>
          <w:szCs w:val="22"/>
          <w:lang w:val="es-VE" w:eastAsia="en-US"/>
        </w:rPr>
        <w:t xml:space="preserve"> como se citó en</w:t>
      </w:r>
      <w:r w:rsidR="002876D2" w:rsidRPr="00A5584D">
        <w:rPr>
          <w:rFonts w:eastAsiaTheme="minorHAnsi"/>
          <w:sz w:val="22"/>
          <w:szCs w:val="22"/>
          <w:lang w:eastAsia="en-US"/>
        </w:rPr>
        <w:t xml:space="preserve"> </w:t>
      </w:r>
      <w:r>
        <w:rPr>
          <w:rFonts w:eastAsiaTheme="minorHAnsi"/>
          <w:sz w:val="22"/>
          <w:szCs w:val="22"/>
          <w:lang w:eastAsia="en-US"/>
        </w:rPr>
        <w:t>Torrejón</w:t>
      </w:r>
      <w:r w:rsidR="002876D2" w:rsidRPr="00A5584D">
        <w:rPr>
          <w:rFonts w:eastAsiaTheme="minorHAnsi"/>
          <w:sz w:val="22"/>
          <w:szCs w:val="22"/>
          <w:lang w:eastAsia="en-US"/>
        </w:rPr>
        <w:t>, 2015</w:t>
      </w:r>
      <w:r w:rsidR="002876D2" w:rsidRPr="00A5584D">
        <w:rPr>
          <w:rFonts w:eastAsiaTheme="minorHAnsi"/>
          <w:sz w:val="22"/>
          <w:szCs w:val="22"/>
          <w:lang w:val="es-VE" w:eastAsia="en-US"/>
        </w:rPr>
        <w:t>)</w:t>
      </w:r>
      <w:r w:rsidR="002876D2" w:rsidRPr="00A5584D">
        <w:rPr>
          <w:rFonts w:eastAsiaTheme="minorHAnsi"/>
          <w:sz w:val="22"/>
          <w:szCs w:val="22"/>
          <w:lang w:eastAsia="en-US"/>
        </w:rPr>
        <w:t>, en donde los participantes tendieron a calificar de inocentes</w:t>
      </w:r>
      <w:r w:rsidR="00ED10F5">
        <w:rPr>
          <w:rFonts w:eastAsiaTheme="minorHAnsi"/>
          <w:sz w:val="22"/>
          <w:szCs w:val="22"/>
          <w:lang w:eastAsia="en-US"/>
        </w:rPr>
        <w:t>,</w:t>
      </w:r>
      <w:r w:rsidR="002876D2" w:rsidRPr="00A5584D">
        <w:rPr>
          <w:rFonts w:eastAsiaTheme="minorHAnsi"/>
          <w:sz w:val="22"/>
          <w:szCs w:val="22"/>
          <w:lang w:eastAsia="en-US"/>
        </w:rPr>
        <w:t xml:space="preserve"> en mayor medida</w:t>
      </w:r>
      <w:r w:rsidR="00ED10F5">
        <w:rPr>
          <w:rFonts w:eastAsiaTheme="minorHAnsi"/>
          <w:sz w:val="22"/>
          <w:szCs w:val="22"/>
          <w:lang w:eastAsia="en-US"/>
        </w:rPr>
        <w:t>,</w:t>
      </w:r>
      <w:r w:rsidR="002876D2" w:rsidRPr="00A5584D">
        <w:rPr>
          <w:rFonts w:eastAsiaTheme="minorHAnsi"/>
          <w:sz w:val="22"/>
          <w:szCs w:val="22"/>
          <w:lang w:eastAsia="en-US"/>
        </w:rPr>
        <w:t xml:space="preserve"> a acusados penales ficticios que presentaban lentes </w:t>
      </w:r>
      <w:r w:rsidR="00ED10F5">
        <w:rPr>
          <w:rFonts w:eastAsiaTheme="minorHAnsi"/>
          <w:sz w:val="22"/>
          <w:szCs w:val="22"/>
          <w:lang w:eastAsia="en-US"/>
        </w:rPr>
        <w:t>en comparación con los</w:t>
      </w:r>
      <w:r w:rsidR="002876D2" w:rsidRPr="00A5584D">
        <w:rPr>
          <w:rFonts w:eastAsiaTheme="minorHAnsi"/>
          <w:sz w:val="22"/>
          <w:szCs w:val="22"/>
          <w:lang w:eastAsia="en-US"/>
        </w:rPr>
        <w:t xml:space="preserve"> que no</w:t>
      </w:r>
      <w:r w:rsidR="00ED10F5">
        <w:rPr>
          <w:rFonts w:eastAsiaTheme="minorHAnsi"/>
          <w:sz w:val="22"/>
          <w:szCs w:val="22"/>
          <w:lang w:eastAsia="en-US"/>
        </w:rPr>
        <w:t xml:space="preserve"> presentaban lentes</w:t>
      </w:r>
      <w:r w:rsidR="002876D2" w:rsidRPr="00A5584D">
        <w:rPr>
          <w:rFonts w:eastAsiaTheme="minorHAnsi"/>
          <w:sz w:val="22"/>
          <w:szCs w:val="22"/>
          <w:lang w:eastAsia="en-US"/>
        </w:rPr>
        <w:t xml:space="preserve">. </w:t>
      </w:r>
    </w:p>
    <w:p w:rsidR="002876D2" w:rsidRPr="00A5584D" w:rsidRDefault="002876D2" w:rsidP="006D3B17">
      <w:pPr>
        <w:jc w:val="both"/>
        <w:rPr>
          <w:rFonts w:eastAsiaTheme="minorHAnsi"/>
          <w:sz w:val="22"/>
          <w:szCs w:val="22"/>
          <w:lang w:eastAsia="en-US"/>
        </w:rPr>
      </w:pPr>
    </w:p>
    <w:p w:rsidR="008A37D8" w:rsidRPr="00A5584D" w:rsidRDefault="002876D2" w:rsidP="006D3B17">
      <w:pPr>
        <w:jc w:val="both"/>
        <w:rPr>
          <w:color w:val="FF0000"/>
          <w:sz w:val="22"/>
          <w:szCs w:val="22"/>
          <w:lang w:val="es-VE"/>
        </w:rPr>
      </w:pPr>
      <w:r w:rsidRPr="00A5584D">
        <w:rPr>
          <w:sz w:val="22"/>
          <w:szCs w:val="22"/>
        </w:rPr>
        <w:tab/>
        <w:t xml:space="preserve">Estudios más recientes también han respaldado el efecto positivo que generan los anteojos, encontrando que su uso se asocia con mayor frecuencia a un grupo socio-profesional de mayor estatus (Guéguen, 2015; Okamura, 2018a) y que, en las mujeres particularmente, resulta un indicador de elegancia (Okamura, 2018b). Estos resultados confirman que una señal visual es suficiente para </w:t>
      </w:r>
      <w:r w:rsidR="00407DBE" w:rsidRPr="00A5584D">
        <w:rPr>
          <w:sz w:val="22"/>
          <w:szCs w:val="22"/>
        </w:rPr>
        <w:t>propiciar la activación de</w:t>
      </w:r>
      <w:r w:rsidRPr="00A5584D">
        <w:rPr>
          <w:sz w:val="22"/>
          <w:szCs w:val="22"/>
        </w:rPr>
        <w:t xml:space="preserve"> estereotipo</w:t>
      </w:r>
      <w:r w:rsidR="00407DBE" w:rsidRPr="00A5584D">
        <w:rPr>
          <w:sz w:val="22"/>
          <w:szCs w:val="22"/>
        </w:rPr>
        <w:t>s</w:t>
      </w:r>
      <w:r w:rsidRPr="00A5584D">
        <w:rPr>
          <w:sz w:val="22"/>
          <w:szCs w:val="22"/>
        </w:rPr>
        <w:t xml:space="preserve"> </w:t>
      </w:r>
      <w:r w:rsidR="00407DBE" w:rsidRPr="00A5584D">
        <w:rPr>
          <w:sz w:val="22"/>
          <w:szCs w:val="22"/>
        </w:rPr>
        <w:t>asociados</w:t>
      </w:r>
      <w:r w:rsidRPr="00A5584D">
        <w:rPr>
          <w:sz w:val="22"/>
          <w:szCs w:val="22"/>
        </w:rPr>
        <w:t xml:space="preserve"> a un grupo o categoría social</w:t>
      </w:r>
      <w:r w:rsidR="00407DBE" w:rsidRPr="00A5584D">
        <w:rPr>
          <w:sz w:val="22"/>
          <w:szCs w:val="22"/>
        </w:rPr>
        <w:t>,</w:t>
      </w:r>
      <w:r w:rsidRPr="00A5584D">
        <w:rPr>
          <w:sz w:val="22"/>
          <w:szCs w:val="22"/>
        </w:rPr>
        <w:t xml:space="preserve"> pudiendo </w:t>
      </w:r>
      <w:r w:rsidR="00407DBE" w:rsidRPr="00A5584D">
        <w:rPr>
          <w:sz w:val="22"/>
          <w:szCs w:val="22"/>
        </w:rPr>
        <w:t xml:space="preserve">así generar </w:t>
      </w:r>
      <w:r w:rsidRPr="00A5584D">
        <w:rPr>
          <w:sz w:val="22"/>
          <w:szCs w:val="22"/>
        </w:rPr>
        <w:t xml:space="preserve">una recategorización </w:t>
      </w:r>
      <w:r w:rsidR="00407DBE" w:rsidRPr="00A5584D">
        <w:rPr>
          <w:sz w:val="22"/>
          <w:szCs w:val="22"/>
        </w:rPr>
        <w:t>de</w:t>
      </w:r>
      <w:r w:rsidRPr="00A5584D">
        <w:rPr>
          <w:sz w:val="22"/>
          <w:szCs w:val="22"/>
        </w:rPr>
        <w:t xml:space="preserve"> los miembros de un grupo en particular</w:t>
      </w:r>
      <w:r w:rsidR="00407DBE" w:rsidRPr="00A5584D">
        <w:rPr>
          <w:sz w:val="22"/>
          <w:szCs w:val="22"/>
        </w:rPr>
        <w:t xml:space="preserve"> a otra categoría</w:t>
      </w:r>
      <w:r w:rsidR="000A765D">
        <w:rPr>
          <w:sz w:val="22"/>
          <w:szCs w:val="22"/>
        </w:rPr>
        <w:t>, tal como indican Guéguen</w:t>
      </w:r>
      <w:r w:rsidRPr="00A5584D">
        <w:rPr>
          <w:sz w:val="22"/>
          <w:szCs w:val="22"/>
        </w:rPr>
        <w:t xml:space="preserve"> (2015) y </w:t>
      </w:r>
      <w:r w:rsidR="004A1983">
        <w:rPr>
          <w:sz w:val="22"/>
          <w:szCs w:val="22"/>
        </w:rPr>
        <w:t>Torrejón</w:t>
      </w:r>
      <w:r w:rsidRPr="00A5584D">
        <w:rPr>
          <w:sz w:val="22"/>
          <w:szCs w:val="22"/>
        </w:rPr>
        <w:t xml:space="preserve"> (2015).</w:t>
      </w:r>
      <w:r w:rsidR="002F534D" w:rsidRPr="00A5584D">
        <w:rPr>
          <w:color w:val="FF0000"/>
          <w:sz w:val="22"/>
          <w:szCs w:val="22"/>
          <w:lang w:val="es-VE"/>
        </w:rPr>
        <w:t xml:space="preserve"> </w:t>
      </w:r>
    </w:p>
    <w:p w:rsidR="00DA37CE" w:rsidRPr="00A5584D" w:rsidRDefault="00DA37CE" w:rsidP="008A37D8">
      <w:pPr>
        <w:ind w:firstLine="708"/>
        <w:jc w:val="both"/>
        <w:rPr>
          <w:sz w:val="22"/>
          <w:szCs w:val="22"/>
          <w:lang w:val="es-VE"/>
        </w:rPr>
      </w:pPr>
    </w:p>
    <w:p w:rsidR="008A37D8" w:rsidRPr="00A5584D" w:rsidRDefault="008A37D8" w:rsidP="008A37D8">
      <w:pPr>
        <w:ind w:firstLine="708"/>
        <w:jc w:val="both"/>
        <w:rPr>
          <w:sz w:val="22"/>
          <w:szCs w:val="22"/>
        </w:rPr>
      </w:pPr>
      <w:r w:rsidRPr="00A5584D">
        <w:rPr>
          <w:sz w:val="22"/>
          <w:szCs w:val="22"/>
        </w:rPr>
        <w:t xml:space="preserve">Aun teniendo esto en cuenta, </w:t>
      </w:r>
      <w:r w:rsidR="004A1983">
        <w:rPr>
          <w:sz w:val="22"/>
          <w:szCs w:val="22"/>
        </w:rPr>
        <w:t>Torrejón</w:t>
      </w:r>
      <w:r w:rsidRPr="00A5584D">
        <w:rPr>
          <w:sz w:val="22"/>
          <w:szCs w:val="22"/>
        </w:rPr>
        <w:t xml:space="preserve"> (2015) señala que </w:t>
      </w:r>
      <w:r w:rsidR="00D65589" w:rsidRPr="00A5584D">
        <w:rPr>
          <w:sz w:val="22"/>
          <w:szCs w:val="22"/>
        </w:rPr>
        <w:t xml:space="preserve">se deberían plantear </w:t>
      </w:r>
      <w:r w:rsidRPr="00A5584D">
        <w:rPr>
          <w:sz w:val="22"/>
          <w:szCs w:val="22"/>
        </w:rPr>
        <w:t xml:space="preserve">futuras investigaciones orientadas a comprobar </w:t>
      </w:r>
      <w:r w:rsidR="00ED10F5">
        <w:rPr>
          <w:sz w:val="22"/>
          <w:szCs w:val="22"/>
        </w:rPr>
        <w:t>si</w:t>
      </w:r>
      <w:r w:rsidR="00586D23">
        <w:rPr>
          <w:sz w:val="22"/>
          <w:szCs w:val="22"/>
        </w:rPr>
        <w:t xml:space="preserve"> los lentes efectivamente está</w:t>
      </w:r>
      <w:r w:rsidRPr="00A5584D">
        <w:rPr>
          <w:sz w:val="22"/>
          <w:szCs w:val="22"/>
        </w:rPr>
        <w:t xml:space="preserve">n fungiendo como una señal visual no verbal para fomentar la recategorización, </w:t>
      </w:r>
      <w:r w:rsidR="00ED10F5">
        <w:rPr>
          <w:sz w:val="22"/>
          <w:szCs w:val="22"/>
        </w:rPr>
        <w:t>o si</w:t>
      </w:r>
      <w:r w:rsidR="00586D23">
        <w:rPr>
          <w:sz w:val="22"/>
          <w:szCs w:val="22"/>
        </w:rPr>
        <w:t xml:space="preserve"> está</w:t>
      </w:r>
      <w:r w:rsidRPr="00A5584D">
        <w:rPr>
          <w:sz w:val="22"/>
          <w:szCs w:val="22"/>
        </w:rPr>
        <w:t>n surtiendo otro efecto como simplemente un elemento de distracción sobre el tatuaje, por lo que propone contrastar el efecto de los anteojos con el de otras señales visuales no verbales que no deberían promover la recategorización, tales como los lentes de sol, sobre el prejuicio implícito hacia las personas tatuadas.</w:t>
      </w:r>
    </w:p>
    <w:p w:rsidR="002876D2" w:rsidRPr="00A5584D" w:rsidRDefault="002876D2" w:rsidP="006D3B17">
      <w:pPr>
        <w:jc w:val="both"/>
        <w:rPr>
          <w:sz w:val="22"/>
          <w:szCs w:val="22"/>
        </w:rPr>
      </w:pPr>
    </w:p>
    <w:p w:rsidR="007D5F83" w:rsidRDefault="002876D2" w:rsidP="006D3B17">
      <w:pPr>
        <w:pStyle w:val="Normal1"/>
        <w:ind w:firstLine="708"/>
        <w:jc w:val="both"/>
        <w:rPr>
          <w:sz w:val="22"/>
          <w:szCs w:val="22"/>
        </w:rPr>
      </w:pPr>
      <w:r w:rsidRPr="00A5584D">
        <w:rPr>
          <w:sz w:val="22"/>
          <w:szCs w:val="22"/>
        </w:rPr>
        <w:t xml:space="preserve">Tomando en cuenta lo planteado anteriormente, se hace evidente la necesidad que existe de ampliar la literatura existente en el campo del prejuicio hacia personas con tatuajes, específicamente en las estrategias e intervenciones implementadas o diseñadas para reducirlo, por lo que en la presente investigación se parte de los hallazgos de </w:t>
      </w:r>
      <w:r w:rsidR="004A1983">
        <w:rPr>
          <w:sz w:val="22"/>
          <w:szCs w:val="22"/>
        </w:rPr>
        <w:t>Torrejón</w:t>
      </w:r>
      <w:r w:rsidRPr="00A5584D">
        <w:rPr>
          <w:sz w:val="22"/>
          <w:szCs w:val="22"/>
        </w:rPr>
        <w:t xml:space="preserve"> (2015)</w:t>
      </w:r>
      <w:r w:rsidR="00ED10F5">
        <w:rPr>
          <w:sz w:val="22"/>
          <w:szCs w:val="22"/>
        </w:rPr>
        <w:t xml:space="preserve">, procurando dar respuesta </w:t>
      </w:r>
      <w:r w:rsidR="00472836">
        <w:rPr>
          <w:sz w:val="22"/>
          <w:szCs w:val="22"/>
        </w:rPr>
        <w:t>a su</w:t>
      </w:r>
      <w:r w:rsidR="00ED10F5">
        <w:rPr>
          <w:sz w:val="22"/>
          <w:szCs w:val="22"/>
        </w:rPr>
        <w:t xml:space="preserve"> interrogante </w:t>
      </w:r>
      <w:r w:rsidRPr="00A5584D">
        <w:rPr>
          <w:sz w:val="22"/>
          <w:szCs w:val="22"/>
        </w:rPr>
        <w:t>referente a la comprobación de si efectivamente los anteojos fungen como señales visuales no verbales que permiten recategorizar a personas tatuadas</w:t>
      </w:r>
      <w:r w:rsidR="00ED10F5">
        <w:rPr>
          <w:sz w:val="22"/>
          <w:szCs w:val="22"/>
        </w:rPr>
        <w:t>, o si solo son un elemento distractor</w:t>
      </w:r>
      <w:r w:rsidRPr="00A5584D">
        <w:rPr>
          <w:sz w:val="22"/>
          <w:szCs w:val="22"/>
        </w:rPr>
        <w:t xml:space="preserve">. </w:t>
      </w:r>
    </w:p>
    <w:p w:rsidR="007D5F83" w:rsidRDefault="007D5F83" w:rsidP="006D3B17">
      <w:pPr>
        <w:pStyle w:val="Normal1"/>
        <w:ind w:firstLine="708"/>
        <w:jc w:val="both"/>
        <w:rPr>
          <w:sz w:val="22"/>
          <w:szCs w:val="22"/>
        </w:rPr>
      </w:pPr>
    </w:p>
    <w:p w:rsidR="002876D2" w:rsidRPr="00A5584D" w:rsidRDefault="002876D2" w:rsidP="006D3B17">
      <w:pPr>
        <w:pStyle w:val="Normal1"/>
        <w:ind w:firstLine="708"/>
        <w:jc w:val="both"/>
        <w:rPr>
          <w:sz w:val="22"/>
          <w:szCs w:val="22"/>
        </w:rPr>
      </w:pPr>
      <w:r w:rsidRPr="00A5584D">
        <w:rPr>
          <w:sz w:val="22"/>
          <w:szCs w:val="22"/>
        </w:rPr>
        <w:t xml:space="preserve">Así mismo, la </w:t>
      </w:r>
      <w:r w:rsidR="007D5F83">
        <w:rPr>
          <w:sz w:val="22"/>
          <w:szCs w:val="22"/>
        </w:rPr>
        <w:t xml:space="preserve">presente </w:t>
      </w:r>
      <w:r w:rsidRPr="00A5584D">
        <w:rPr>
          <w:sz w:val="22"/>
          <w:szCs w:val="22"/>
        </w:rPr>
        <w:t xml:space="preserve">investigación se orienta hacia la reducción del prejuicio hacia mujeres tatuadas, ya que </w:t>
      </w:r>
      <w:r w:rsidR="00DA37CE" w:rsidRPr="00A5584D">
        <w:rPr>
          <w:sz w:val="22"/>
          <w:szCs w:val="22"/>
        </w:rPr>
        <w:t xml:space="preserve">los </w:t>
      </w:r>
      <w:r w:rsidRPr="00A5584D">
        <w:rPr>
          <w:sz w:val="22"/>
          <w:szCs w:val="22"/>
        </w:rPr>
        <w:t>estudi</w:t>
      </w:r>
      <w:r w:rsidR="00804BA6" w:rsidRPr="00A5584D">
        <w:rPr>
          <w:sz w:val="22"/>
          <w:szCs w:val="22"/>
        </w:rPr>
        <w:t>os antes mencionados (</w:t>
      </w:r>
      <w:r w:rsidR="00622E1F">
        <w:rPr>
          <w:sz w:val="22"/>
          <w:szCs w:val="22"/>
        </w:rPr>
        <w:t>Baumann, Timming &amp;</w:t>
      </w:r>
      <w:r w:rsidR="00F972BB">
        <w:rPr>
          <w:sz w:val="22"/>
          <w:szCs w:val="22"/>
        </w:rPr>
        <w:t xml:space="preserve"> Gollan, </w:t>
      </w:r>
      <w:r w:rsidR="00F972BB" w:rsidRPr="00A5584D">
        <w:rPr>
          <w:sz w:val="22"/>
          <w:szCs w:val="22"/>
        </w:rPr>
        <w:t>2016</w:t>
      </w:r>
      <w:r w:rsidR="00622E1F">
        <w:rPr>
          <w:sz w:val="22"/>
          <w:szCs w:val="22"/>
        </w:rPr>
        <w:t>; Broussard &amp;</w:t>
      </w:r>
      <w:r w:rsidR="00F972BB">
        <w:rPr>
          <w:sz w:val="22"/>
          <w:szCs w:val="22"/>
        </w:rPr>
        <w:t xml:space="preserve"> Harton, 2017</w:t>
      </w:r>
      <w:r w:rsidR="00622E1F">
        <w:rPr>
          <w:sz w:val="22"/>
          <w:szCs w:val="22"/>
        </w:rPr>
        <w:t>; Timming &amp;</w:t>
      </w:r>
      <w:r w:rsidRPr="00A5584D">
        <w:rPr>
          <w:sz w:val="22"/>
          <w:szCs w:val="22"/>
        </w:rPr>
        <w:t xml:space="preserve"> Perrett, 2017) indican que éstas se ven mucho más afectadas por este prejuicio que los hombres tatuados. Finalmente, se hace énfasis en la medición del prejuicio implícito a través de un IAT debido a que son pocas las investigaciones que han tomado en cuenta este tipo de actitud a la hora de evaluar este tema</w:t>
      </w:r>
      <w:r w:rsidR="00DA37CE" w:rsidRPr="00A5584D">
        <w:rPr>
          <w:sz w:val="22"/>
          <w:szCs w:val="22"/>
        </w:rPr>
        <w:t>,</w:t>
      </w:r>
      <w:r w:rsidRPr="00A5584D">
        <w:rPr>
          <w:sz w:val="22"/>
          <w:szCs w:val="22"/>
        </w:rPr>
        <w:t xml:space="preserve"> y porque es una manera de evitar las respuestas por deseabilidad social que podrían ocasionar las medidas explícitas (</w:t>
      </w:r>
      <w:r w:rsidR="00622E1F">
        <w:rPr>
          <w:sz w:val="22"/>
          <w:szCs w:val="22"/>
        </w:rPr>
        <w:t>Montes &amp;</w:t>
      </w:r>
      <w:r w:rsidR="00DA37CE" w:rsidRPr="00A5584D">
        <w:rPr>
          <w:sz w:val="22"/>
          <w:szCs w:val="22"/>
        </w:rPr>
        <w:t xml:space="preserve"> Moya, 2006; </w:t>
      </w:r>
      <w:r w:rsidR="004A1983">
        <w:rPr>
          <w:sz w:val="22"/>
          <w:szCs w:val="22"/>
        </w:rPr>
        <w:t>Torrejón</w:t>
      </w:r>
      <w:r w:rsidR="00DA37CE" w:rsidRPr="00A5584D">
        <w:rPr>
          <w:sz w:val="22"/>
          <w:szCs w:val="22"/>
        </w:rPr>
        <w:t>, 2015</w:t>
      </w:r>
      <w:r w:rsidRPr="00A5584D">
        <w:rPr>
          <w:sz w:val="22"/>
          <w:szCs w:val="22"/>
        </w:rPr>
        <w:t>).</w:t>
      </w:r>
    </w:p>
    <w:p w:rsidR="00B75973" w:rsidRPr="00A5584D" w:rsidRDefault="00B75973" w:rsidP="006D3B17">
      <w:pPr>
        <w:pStyle w:val="Normal1"/>
        <w:ind w:firstLine="708"/>
        <w:jc w:val="both"/>
        <w:rPr>
          <w:sz w:val="22"/>
          <w:szCs w:val="22"/>
        </w:rPr>
      </w:pPr>
    </w:p>
    <w:p w:rsidR="00CC4B47" w:rsidRPr="00A5584D" w:rsidRDefault="00CC4B47" w:rsidP="006D3B17">
      <w:pPr>
        <w:pStyle w:val="Normal1"/>
        <w:jc w:val="center"/>
        <w:rPr>
          <w:b/>
          <w:i/>
          <w:sz w:val="22"/>
          <w:szCs w:val="22"/>
        </w:rPr>
      </w:pPr>
      <w:r w:rsidRPr="00A5584D">
        <w:rPr>
          <w:b/>
          <w:i/>
          <w:sz w:val="22"/>
          <w:szCs w:val="22"/>
        </w:rPr>
        <w:t>Planteamiento del problema</w:t>
      </w:r>
    </w:p>
    <w:p w:rsidR="00CC4B47" w:rsidRPr="00A5584D" w:rsidRDefault="00CC4B47" w:rsidP="006D3B17">
      <w:pPr>
        <w:pStyle w:val="Normal1"/>
        <w:jc w:val="center"/>
        <w:rPr>
          <w:b/>
          <w:i/>
          <w:sz w:val="22"/>
          <w:szCs w:val="22"/>
        </w:rPr>
      </w:pPr>
    </w:p>
    <w:p w:rsidR="009D3625" w:rsidRPr="00A5584D" w:rsidRDefault="005573D5" w:rsidP="006D3B17">
      <w:pPr>
        <w:pStyle w:val="Normal1"/>
        <w:ind w:firstLine="708"/>
        <w:jc w:val="both"/>
        <w:rPr>
          <w:sz w:val="22"/>
          <w:szCs w:val="22"/>
        </w:rPr>
      </w:pPr>
      <w:r w:rsidRPr="00A5584D">
        <w:rPr>
          <w:sz w:val="22"/>
          <w:szCs w:val="22"/>
          <w:lang w:eastAsia="es-ES"/>
        </w:rPr>
        <w:t>Con base en lo menc</w:t>
      </w:r>
      <w:r w:rsidR="00B241EF" w:rsidRPr="00A5584D">
        <w:rPr>
          <w:sz w:val="22"/>
          <w:szCs w:val="22"/>
          <w:lang w:eastAsia="es-ES"/>
        </w:rPr>
        <w:t xml:space="preserve">ionado previamente sobre la existencia de prejuicios hacia las mujeres, la falta de estrategias diseñadas para reducir el prejuicio, el poco énfasis que se ha hecho en el prejuicio implícito hacia este grupo y la propuesta de investigación que sugiere </w:t>
      </w:r>
      <w:r w:rsidR="004A1983">
        <w:rPr>
          <w:sz w:val="22"/>
          <w:szCs w:val="22"/>
          <w:lang w:eastAsia="es-ES"/>
        </w:rPr>
        <w:t>Torrejón</w:t>
      </w:r>
      <w:r w:rsidR="00B241EF" w:rsidRPr="00A5584D">
        <w:rPr>
          <w:sz w:val="22"/>
          <w:szCs w:val="22"/>
          <w:lang w:eastAsia="es-ES"/>
        </w:rPr>
        <w:t xml:space="preserve"> (2015) para ampliar sus hallazgos, </w:t>
      </w:r>
      <w:r w:rsidRPr="00A5584D">
        <w:rPr>
          <w:sz w:val="22"/>
          <w:szCs w:val="22"/>
          <w:lang w:eastAsia="es-ES"/>
        </w:rPr>
        <w:t>surge la pregunta</w:t>
      </w:r>
      <w:r w:rsidR="009D3625" w:rsidRPr="00A5584D">
        <w:rPr>
          <w:sz w:val="22"/>
          <w:szCs w:val="22"/>
        </w:rPr>
        <w:t xml:space="preserve">: </w:t>
      </w:r>
      <w:r w:rsidR="002E026E" w:rsidRPr="00A5584D">
        <w:rPr>
          <w:sz w:val="22"/>
          <w:szCs w:val="22"/>
        </w:rPr>
        <w:t xml:space="preserve">¿Qué influencia tienen los anteojos y los lentes de sol utilizados como señales visuales </w:t>
      </w:r>
      <w:r w:rsidR="00FC541E" w:rsidRPr="00A5584D">
        <w:rPr>
          <w:sz w:val="22"/>
          <w:szCs w:val="22"/>
        </w:rPr>
        <w:t xml:space="preserve">no verbales </w:t>
      </w:r>
      <w:r w:rsidR="002E026E" w:rsidRPr="00A5584D">
        <w:rPr>
          <w:sz w:val="22"/>
          <w:szCs w:val="22"/>
        </w:rPr>
        <w:t>sobre el prejuicio implícito hacia mujeres con tatuajes visibles?</w:t>
      </w:r>
    </w:p>
    <w:p w:rsidR="002876D2" w:rsidRPr="00A5584D" w:rsidRDefault="002876D2" w:rsidP="006D3B17">
      <w:pPr>
        <w:pStyle w:val="Normal1"/>
        <w:ind w:firstLine="708"/>
        <w:jc w:val="both"/>
        <w:rPr>
          <w:sz w:val="22"/>
          <w:szCs w:val="22"/>
        </w:rPr>
      </w:pPr>
    </w:p>
    <w:p w:rsidR="00B926EF" w:rsidRPr="00A5584D" w:rsidRDefault="009D3625" w:rsidP="006D3B17">
      <w:pPr>
        <w:pStyle w:val="Normal1"/>
        <w:jc w:val="center"/>
        <w:rPr>
          <w:b/>
          <w:i/>
          <w:sz w:val="22"/>
          <w:szCs w:val="22"/>
        </w:rPr>
      </w:pPr>
      <w:r w:rsidRPr="00A5584D">
        <w:rPr>
          <w:b/>
          <w:i/>
          <w:sz w:val="22"/>
          <w:szCs w:val="22"/>
        </w:rPr>
        <w:t>Justificación del problema</w:t>
      </w:r>
    </w:p>
    <w:p w:rsidR="00CC36F1" w:rsidRPr="00A5584D" w:rsidRDefault="00CC36F1" w:rsidP="006D3B17">
      <w:pPr>
        <w:pStyle w:val="Normal1"/>
        <w:jc w:val="center"/>
        <w:rPr>
          <w:sz w:val="22"/>
          <w:szCs w:val="22"/>
        </w:rPr>
      </w:pPr>
    </w:p>
    <w:p w:rsidR="002F6A14" w:rsidRPr="00A5584D" w:rsidRDefault="002F6A14" w:rsidP="006D3B17">
      <w:pPr>
        <w:pStyle w:val="Normal1"/>
        <w:ind w:firstLine="709"/>
        <w:jc w:val="both"/>
        <w:rPr>
          <w:sz w:val="22"/>
          <w:szCs w:val="22"/>
        </w:rPr>
      </w:pPr>
      <w:r w:rsidRPr="00A5584D">
        <w:rPr>
          <w:sz w:val="22"/>
          <w:szCs w:val="22"/>
        </w:rPr>
        <w:t xml:space="preserve">La presente investigación posee un amplio valor teórico, ya que la misma permite llenar un vacío de conocimiento sobre las técnicas de intervención para reducir el prejuicio hacia el grupo seleccionado, </w:t>
      </w:r>
      <w:r w:rsidRPr="00A5584D">
        <w:rPr>
          <w:sz w:val="22"/>
          <w:szCs w:val="22"/>
          <w:lang w:eastAsia="es-ES"/>
        </w:rPr>
        <w:t xml:space="preserve">desarrollando elementos que no fueron trabajados con anterioridad, tales como la influencia de diversas señales visuales no verbales sobre la reducción de prejuicio hacia mujeres con tatuajes visibles, lo que a su vez permitirá conocer la relación entre dichas variables. Asimismo, puede </w:t>
      </w:r>
      <w:r w:rsidRPr="00A5584D">
        <w:rPr>
          <w:sz w:val="22"/>
          <w:szCs w:val="22"/>
          <w:lang w:eastAsia="es-ES"/>
        </w:rPr>
        <w:lastRenderedPageBreak/>
        <w:t>fomentar el desarrollo de nuevas hipótesis o líneas de investigación con respecto al prejuicio hacia el grupo e</w:t>
      </w:r>
      <w:r w:rsidR="00622E1F">
        <w:rPr>
          <w:sz w:val="22"/>
          <w:szCs w:val="22"/>
          <w:lang w:eastAsia="es-ES"/>
        </w:rPr>
        <w:t>studiado (Hernández, Fernández &amp;</w:t>
      </w:r>
      <w:r w:rsidRPr="00A5584D">
        <w:rPr>
          <w:sz w:val="22"/>
          <w:szCs w:val="22"/>
          <w:lang w:eastAsia="es-ES"/>
        </w:rPr>
        <w:t xml:space="preserve"> Baptista, 2003).</w:t>
      </w:r>
    </w:p>
    <w:p w:rsidR="002F6A14" w:rsidRPr="00A5584D" w:rsidRDefault="00F57D19" w:rsidP="006D3B17">
      <w:pPr>
        <w:pStyle w:val="Normal1"/>
        <w:ind w:firstLine="709"/>
        <w:jc w:val="both"/>
        <w:rPr>
          <w:sz w:val="22"/>
          <w:szCs w:val="22"/>
        </w:rPr>
      </w:pPr>
      <w:r>
        <w:rPr>
          <w:sz w:val="22"/>
          <w:szCs w:val="22"/>
        </w:rPr>
        <w:t>Además</w:t>
      </w:r>
      <w:r w:rsidR="002F6A14" w:rsidRPr="00A5584D">
        <w:rPr>
          <w:sz w:val="22"/>
          <w:szCs w:val="22"/>
        </w:rPr>
        <w:t>, esta investigación cuenta con relevancia social, puesto que la misma apunta a beneficiar a las mujeres tatuadas al buscar una estrategia para reducir el prejuicio hacia este sector de la población que va cada vez en aumento y que se ve afectado, no sólo en la cotidianidad, sino también en el ámbito laboral por tales prejuicios, afectando su calidad de vida y oportunidades; de modo que la presente investigación apunta a desarrollar un campo de conocimiento orientado en pro de mejorar la percepción que se tiene hacia las mujeres tatuadas, permitiéndoles superar las limitaciones que la sociedad les impone por la tenencia de tatuajes y el hecho de ser mujeres (</w:t>
      </w:r>
      <w:r w:rsidR="00622E1F">
        <w:rPr>
          <w:sz w:val="22"/>
          <w:szCs w:val="22"/>
        </w:rPr>
        <w:t>Hernández, Fernández &amp;</w:t>
      </w:r>
      <w:r w:rsidR="000C0437">
        <w:rPr>
          <w:sz w:val="22"/>
          <w:szCs w:val="22"/>
        </w:rPr>
        <w:t xml:space="preserve"> Baptista</w:t>
      </w:r>
      <w:r w:rsidR="002F6A14" w:rsidRPr="00A5584D">
        <w:rPr>
          <w:sz w:val="22"/>
          <w:szCs w:val="22"/>
        </w:rPr>
        <w:t>, 2003).</w:t>
      </w:r>
    </w:p>
    <w:p w:rsidR="002F6A14" w:rsidRPr="00A5584D" w:rsidRDefault="002F6A14" w:rsidP="006D3B17">
      <w:pPr>
        <w:pStyle w:val="Normal1"/>
        <w:ind w:firstLine="709"/>
        <w:jc w:val="both"/>
        <w:rPr>
          <w:sz w:val="22"/>
          <w:szCs w:val="22"/>
        </w:rPr>
      </w:pPr>
    </w:p>
    <w:p w:rsidR="00B75842" w:rsidRDefault="002F6A14" w:rsidP="006D3B17">
      <w:pPr>
        <w:pStyle w:val="Normal1"/>
        <w:ind w:firstLine="708"/>
        <w:jc w:val="both"/>
        <w:rPr>
          <w:sz w:val="22"/>
          <w:szCs w:val="22"/>
        </w:rPr>
      </w:pPr>
      <w:r w:rsidRPr="00A5584D">
        <w:rPr>
          <w:sz w:val="22"/>
          <w:szCs w:val="22"/>
        </w:rPr>
        <w:t xml:space="preserve">Finalmente, la investigación cuenta con utilidad metodológica, ya que brindará información sobre técnicas </w:t>
      </w:r>
      <w:r w:rsidRPr="00A5584D">
        <w:rPr>
          <w:sz w:val="22"/>
          <w:szCs w:val="22"/>
          <w:lang w:eastAsia="es-ES"/>
        </w:rPr>
        <w:t xml:space="preserve">de reducción de prejuicio hacia mujeres con tatuajes visibles, constituyendo una base para futuras investigaciones en el área </w:t>
      </w:r>
      <w:r w:rsidRPr="00A5584D">
        <w:rPr>
          <w:sz w:val="22"/>
          <w:szCs w:val="22"/>
        </w:rPr>
        <w:t>(</w:t>
      </w:r>
      <w:r w:rsidR="00622E1F">
        <w:rPr>
          <w:sz w:val="22"/>
          <w:szCs w:val="22"/>
        </w:rPr>
        <w:t>Hernández, Fernández &amp;</w:t>
      </w:r>
      <w:r w:rsidR="000C0437">
        <w:rPr>
          <w:sz w:val="22"/>
          <w:szCs w:val="22"/>
        </w:rPr>
        <w:t xml:space="preserve"> Baptista</w:t>
      </w:r>
      <w:r w:rsidRPr="00A5584D">
        <w:rPr>
          <w:sz w:val="22"/>
          <w:szCs w:val="22"/>
        </w:rPr>
        <w:t>, 2003).</w:t>
      </w:r>
    </w:p>
    <w:p w:rsidR="00A5584D" w:rsidRPr="00A5584D" w:rsidRDefault="00A5584D" w:rsidP="006D3B17">
      <w:pPr>
        <w:pStyle w:val="Normal1"/>
        <w:ind w:firstLine="708"/>
        <w:jc w:val="both"/>
        <w:rPr>
          <w:sz w:val="22"/>
          <w:szCs w:val="22"/>
        </w:rPr>
      </w:pPr>
    </w:p>
    <w:p w:rsidR="009D3625" w:rsidRPr="00A5584D" w:rsidRDefault="005573D5" w:rsidP="006D3B17">
      <w:pPr>
        <w:pStyle w:val="Normal1"/>
        <w:jc w:val="center"/>
        <w:rPr>
          <w:b/>
          <w:i/>
          <w:sz w:val="22"/>
          <w:szCs w:val="22"/>
        </w:rPr>
      </w:pPr>
      <w:r w:rsidRPr="00A5584D">
        <w:rPr>
          <w:b/>
          <w:i/>
          <w:sz w:val="22"/>
          <w:szCs w:val="22"/>
        </w:rPr>
        <w:t>Objetivo de</w:t>
      </w:r>
      <w:r w:rsidR="00ED1A24" w:rsidRPr="00A5584D">
        <w:rPr>
          <w:b/>
          <w:i/>
          <w:sz w:val="22"/>
          <w:szCs w:val="22"/>
        </w:rPr>
        <w:t xml:space="preserve"> la</w:t>
      </w:r>
      <w:r w:rsidRPr="00A5584D">
        <w:rPr>
          <w:b/>
          <w:i/>
          <w:sz w:val="22"/>
          <w:szCs w:val="22"/>
        </w:rPr>
        <w:t xml:space="preserve"> investigación</w:t>
      </w:r>
    </w:p>
    <w:p w:rsidR="00072747" w:rsidRPr="00A5584D" w:rsidRDefault="00072747" w:rsidP="006D3B17">
      <w:pPr>
        <w:pStyle w:val="Normal1"/>
        <w:jc w:val="both"/>
        <w:rPr>
          <w:sz w:val="22"/>
          <w:szCs w:val="22"/>
          <w:lang w:val="es-VE"/>
        </w:rPr>
      </w:pPr>
    </w:p>
    <w:p w:rsidR="00D9320A" w:rsidRPr="00A5584D" w:rsidRDefault="00D9320A" w:rsidP="006D3B17">
      <w:pPr>
        <w:pStyle w:val="Normal2"/>
        <w:jc w:val="both"/>
        <w:rPr>
          <w:sz w:val="22"/>
          <w:szCs w:val="22"/>
          <w:lang w:val="es-VE"/>
        </w:rPr>
      </w:pPr>
      <w:r w:rsidRPr="00A5584D">
        <w:rPr>
          <w:sz w:val="22"/>
          <w:szCs w:val="22"/>
          <w:lang w:val="es-VE"/>
        </w:rPr>
        <w:tab/>
        <w:t>Determinar la influencia de los anteojos y los lentes de sol utilizados como señales visuales no verbales sobre el prejuicio implícito hacia mujeres con tatuajes visibles.</w:t>
      </w:r>
    </w:p>
    <w:p w:rsidR="00D61036" w:rsidRPr="00A5584D" w:rsidRDefault="00D61036" w:rsidP="006D3B17">
      <w:pPr>
        <w:jc w:val="both"/>
        <w:rPr>
          <w:b/>
          <w:sz w:val="22"/>
          <w:szCs w:val="22"/>
          <w:lang w:val="es-VE"/>
        </w:rPr>
      </w:pPr>
    </w:p>
    <w:p w:rsidR="00072747" w:rsidRPr="00A5584D" w:rsidRDefault="00072747" w:rsidP="006D3B17">
      <w:pPr>
        <w:ind w:left="709" w:hanging="709"/>
        <w:jc w:val="center"/>
        <w:rPr>
          <w:b/>
          <w:i/>
          <w:sz w:val="22"/>
          <w:szCs w:val="22"/>
          <w:lang w:val="es-VE"/>
        </w:rPr>
      </w:pPr>
      <w:r w:rsidRPr="00A5584D">
        <w:rPr>
          <w:b/>
          <w:i/>
          <w:sz w:val="22"/>
          <w:szCs w:val="22"/>
          <w:lang w:val="es-VE"/>
        </w:rPr>
        <w:t>Hipótesis</w:t>
      </w:r>
      <w:r w:rsidR="005F26A3" w:rsidRPr="00A5584D">
        <w:rPr>
          <w:b/>
          <w:i/>
          <w:sz w:val="22"/>
          <w:szCs w:val="22"/>
          <w:lang w:val="es-VE"/>
        </w:rPr>
        <w:t xml:space="preserve"> de Investigación</w:t>
      </w:r>
    </w:p>
    <w:p w:rsidR="00072747" w:rsidRPr="00A5584D" w:rsidRDefault="00072747" w:rsidP="006D3B17">
      <w:pPr>
        <w:ind w:left="284" w:hanging="284"/>
        <w:jc w:val="center"/>
        <w:rPr>
          <w:b/>
          <w:i/>
          <w:sz w:val="22"/>
          <w:szCs w:val="22"/>
          <w:lang w:val="es-VE"/>
        </w:rPr>
      </w:pPr>
    </w:p>
    <w:p w:rsidR="00616974" w:rsidRPr="00A5584D" w:rsidRDefault="00616974" w:rsidP="006D3B17">
      <w:pPr>
        <w:ind w:firstLine="708"/>
        <w:jc w:val="both"/>
        <w:rPr>
          <w:b/>
          <w:sz w:val="22"/>
          <w:szCs w:val="22"/>
          <w:lang w:val="es-VE"/>
        </w:rPr>
      </w:pPr>
      <w:r w:rsidRPr="00A5584D">
        <w:rPr>
          <w:sz w:val="22"/>
          <w:szCs w:val="22"/>
          <w:lang w:val="es-VE"/>
        </w:rPr>
        <w:t>H</w:t>
      </w:r>
      <w:r w:rsidR="00583476" w:rsidRPr="00A5584D">
        <w:rPr>
          <w:sz w:val="22"/>
          <w:szCs w:val="22"/>
          <w:vertAlign w:val="subscript"/>
          <w:lang w:val="es-VE"/>
        </w:rPr>
        <w:t>i</w:t>
      </w:r>
      <w:r w:rsidRPr="00A5584D">
        <w:rPr>
          <w:sz w:val="22"/>
          <w:szCs w:val="22"/>
          <w:lang w:val="es-VE"/>
        </w:rPr>
        <w:t>: Existirán diferencias estadísticamente significativas entre</w:t>
      </w:r>
      <w:r w:rsidR="000235C1" w:rsidRPr="00A5584D">
        <w:rPr>
          <w:sz w:val="22"/>
          <w:szCs w:val="22"/>
          <w:lang w:val="es-VE"/>
        </w:rPr>
        <w:t xml:space="preserve"> </w:t>
      </w:r>
      <w:r w:rsidR="004B3781" w:rsidRPr="00A5584D">
        <w:rPr>
          <w:sz w:val="22"/>
          <w:szCs w:val="22"/>
          <w:lang w:val="es-VE"/>
        </w:rPr>
        <w:t xml:space="preserve">las medias de </w:t>
      </w:r>
      <w:r w:rsidR="000235C1" w:rsidRPr="00A5584D">
        <w:rPr>
          <w:sz w:val="22"/>
          <w:szCs w:val="22"/>
          <w:lang w:val="es-VE"/>
        </w:rPr>
        <w:t>todos</w:t>
      </w:r>
      <w:r w:rsidR="005F26A3" w:rsidRPr="00A5584D">
        <w:rPr>
          <w:sz w:val="22"/>
          <w:szCs w:val="22"/>
          <w:lang w:val="es-VE"/>
        </w:rPr>
        <w:t xml:space="preserve"> </w:t>
      </w:r>
      <w:r w:rsidRPr="00A5584D">
        <w:rPr>
          <w:sz w:val="22"/>
          <w:szCs w:val="22"/>
          <w:lang w:val="es-VE"/>
        </w:rPr>
        <w:t xml:space="preserve">los grupos </w:t>
      </w:r>
      <w:r w:rsidR="005F26A3" w:rsidRPr="00A5584D">
        <w:rPr>
          <w:sz w:val="22"/>
          <w:szCs w:val="22"/>
          <w:lang w:val="es-VE"/>
        </w:rPr>
        <w:t xml:space="preserve">(expuesto a imágenes de mujeres tatuadas con anteojos, expuesto a imágenes de mujeres tatuadas con lentes de sol y control) </w:t>
      </w:r>
      <w:r w:rsidRPr="00A5584D">
        <w:rPr>
          <w:sz w:val="22"/>
          <w:szCs w:val="22"/>
          <w:lang w:val="es-VE"/>
        </w:rPr>
        <w:t>con respecto al nivel de prejuicio implícito hacia las mujeres tatuadas.</w:t>
      </w:r>
    </w:p>
    <w:p w:rsidR="003702C9" w:rsidRPr="00A5584D" w:rsidRDefault="003702C9" w:rsidP="006D3B17">
      <w:pPr>
        <w:ind w:left="709" w:hanging="709"/>
        <w:jc w:val="both"/>
        <w:rPr>
          <w:sz w:val="22"/>
          <w:szCs w:val="22"/>
          <w:lang w:val="es-VE"/>
        </w:rPr>
      </w:pPr>
    </w:p>
    <w:p w:rsidR="00B759C0" w:rsidRPr="00A5584D" w:rsidRDefault="00B759C0" w:rsidP="006D3B17">
      <w:pPr>
        <w:jc w:val="center"/>
        <w:rPr>
          <w:b/>
          <w:sz w:val="22"/>
          <w:szCs w:val="22"/>
        </w:rPr>
      </w:pPr>
      <w:r w:rsidRPr="00A5584D">
        <w:rPr>
          <w:b/>
          <w:sz w:val="22"/>
          <w:szCs w:val="22"/>
        </w:rPr>
        <w:t>Marco Metodológico</w:t>
      </w:r>
    </w:p>
    <w:p w:rsidR="00B759C0" w:rsidRPr="00A5584D" w:rsidRDefault="00B759C0" w:rsidP="006D3B17">
      <w:pPr>
        <w:pStyle w:val="Normal1"/>
        <w:rPr>
          <w:b/>
          <w:sz w:val="22"/>
          <w:szCs w:val="22"/>
          <w:lang w:val="es-VE"/>
        </w:rPr>
      </w:pPr>
    </w:p>
    <w:p w:rsidR="002876D2" w:rsidRPr="00A5584D" w:rsidRDefault="002876D2" w:rsidP="006D3B17">
      <w:pPr>
        <w:pStyle w:val="Normal1"/>
        <w:jc w:val="center"/>
        <w:rPr>
          <w:b/>
          <w:i/>
          <w:sz w:val="22"/>
          <w:szCs w:val="22"/>
          <w:lang w:val="es-VE"/>
        </w:rPr>
      </w:pPr>
      <w:r w:rsidRPr="00A5584D">
        <w:rPr>
          <w:b/>
          <w:i/>
          <w:sz w:val="22"/>
          <w:szCs w:val="22"/>
          <w:lang w:val="es-VE"/>
        </w:rPr>
        <w:t>Variables</w:t>
      </w:r>
    </w:p>
    <w:p w:rsidR="002876D2" w:rsidRPr="00A5584D" w:rsidRDefault="002876D2" w:rsidP="006D3B17">
      <w:pPr>
        <w:pStyle w:val="Normal1"/>
        <w:jc w:val="center"/>
        <w:rPr>
          <w:b/>
          <w:i/>
          <w:sz w:val="22"/>
          <w:szCs w:val="22"/>
          <w:lang w:val="es-VE"/>
        </w:rPr>
      </w:pPr>
    </w:p>
    <w:p w:rsidR="002876D2" w:rsidRPr="00A5584D" w:rsidRDefault="002876D2" w:rsidP="006D3B17">
      <w:pPr>
        <w:pStyle w:val="Normal1"/>
        <w:jc w:val="both"/>
        <w:rPr>
          <w:b/>
          <w:sz w:val="22"/>
          <w:szCs w:val="22"/>
          <w:lang w:val="es-VE"/>
        </w:rPr>
      </w:pPr>
      <w:r w:rsidRPr="00A5584D">
        <w:rPr>
          <w:b/>
          <w:sz w:val="22"/>
          <w:szCs w:val="22"/>
          <w:lang w:val="es-VE"/>
        </w:rPr>
        <w:t>Variable independiente: Señales visuales no verbales</w:t>
      </w:r>
    </w:p>
    <w:p w:rsidR="002876D2" w:rsidRPr="00A5584D" w:rsidRDefault="002876D2" w:rsidP="006D3B17">
      <w:pPr>
        <w:pStyle w:val="Normal1"/>
        <w:jc w:val="both"/>
        <w:rPr>
          <w:b/>
          <w:sz w:val="22"/>
          <w:szCs w:val="22"/>
          <w:lang w:val="es-VE"/>
        </w:rPr>
      </w:pPr>
    </w:p>
    <w:p w:rsidR="002876D2" w:rsidRPr="00A5584D" w:rsidRDefault="002876D2" w:rsidP="006D3B17">
      <w:pPr>
        <w:pStyle w:val="Normal1"/>
        <w:jc w:val="both"/>
        <w:rPr>
          <w:sz w:val="22"/>
          <w:szCs w:val="22"/>
        </w:rPr>
      </w:pPr>
      <w:r w:rsidRPr="00A5584D">
        <w:rPr>
          <w:b/>
          <w:sz w:val="22"/>
          <w:szCs w:val="22"/>
        </w:rPr>
        <w:tab/>
        <w:t xml:space="preserve">Definición teórica: </w:t>
      </w:r>
      <w:r w:rsidRPr="00A5584D">
        <w:rPr>
          <w:sz w:val="22"/>
          <w:szCs w:val="22"/>
        </w:rPr>
        <w:t xml:space="preserve">Son señales sensoriales, como signos (por ejemplo, usar un collar con un símbolo religioso), objetos (por ejemplo, llevar consigo un libro) o gestos (por ejemplo, mirar repetidamente el reloj durante una conversación) que son procesadas a través de la vista y que, haciendo sustitución de las palabras, proyectan sutilmente un mensaje y proveen información para interpretar </w:t>
      </w:r>
      <w:r w:rsidR="000A765D">
        <w:rPr>
          <w:sz w:val="22"/>
          <w:szCs w:val="22"/>
        </w:rPr>
        <w:t>la experiencia percibida (</w:t>
      </w:r>
      <w:r w:rsidR="00622E1F">
        <w:rPr>
          <w:sz w:val="22"/>
          <w:szCs w:val="22"/>
        </w:rPr>
        <w:t xml:space="preserve">Soto, </w:t>
      </w:r>
      <w:proofErr w:type="spellStart"/>
      <w:r w:rsidR="00622E1F">
        <w:rPr>
          <w:sz w:val="22"/>
          <w:szCs w:val="22"/>
        </w:rPr>
        <w:t>Carstens</w:t>
      </w:r>
      <w:proofErr w:type="spellEnd"/>
      <w:r w:rsidR="00622E1F">
        <w:rPr>
          <w:sz w:val="22"/>
          <w:szCs w:val="22"/>
        </w:rPr>
        <w:t xml:space="preserve"> &amp;</w:t>
      </w:r>
      <w:r w:rsidR="005B25EA">
        <w:rPr>
          <w:sz w:val="22"/>
          <w:szCs w:val="22"/>
        </w:rPr>
        <w:t xml:space="preserve"> </w:t>
      </w:r>
      <w:proofErr w:type="spellStart"/>
      <w:r w:rsidR="005B25EA">
        <w:rPr>
          <w:sz w:val="22"/>
          <w:szCs w:val="22"/>
        </w:rPr>
        <w:t>Burke</w:t>
      </w:r>
      <w:proofErr w:type="spellEnd"/>
      <w:r w:rsidR="000A765D">
        <w:rPr>
          <w:sz w:val="22"/>
          <w:szCs w:val="22"/>
        </w:rPr>
        <w:t xml:space="preserve">, </w:t>
      </w:r>
      <w:r w:rsidRPr="00A5584D">
        <w:rPr>
          <w:sz w:val="22"/>
          <w:szCs w:val="22"/>
        </w:rPr>
        <w:t xml:space="preserve">2019; </w:t>
      </w:r>
      <w:r w:rsidR="004A1983">
        <w:rPr>
          <w:sz w:val="22"/>
          <w:szCs w:val="22"/>
        </w:rPr>
        <w:t>Torrejón</w:t>
      </w:r>
      <w:r w:rsidRPr="00A5584D">
        <w:rPr>
          <w:sz w:val="22"/>
          <w:szCs w:val="22"/>
        </w:rPr>
        <w:t xml:space="preserve">, 2015).  En esta investigación se </w:t>
      </w:r>
      <w:r w:rsidR="004A1983">
        <w:rPr>
          <w:sz w:val="22"/>
          <w:szCs w:val="22"/>
        </w:rPr>
        <w:t>utiliza</w:t>
      </w:r>
      <w:r w:rsidRPr="00A5584D">
        <w:rPr>
          <w:sz w:val="22"/>
          <w:szCs w:val="22"/>
        </w:rPr>
        <w:t>ron anteojos y lentes de sol como señales visuales no verbales, usados por mujeres tatuadas en las imágenes estímulo de la intervención.</w:t>
      </w:r>
    </w:p>
    <w:p w:rsidR="002876D2" w:rsidRPr="00A5584D" w:rsidRDefault="002876D2" w:rsidP="006D3B17">
      <w:pPr>
        <w:pStyle w:val="Normal1"/>
        <w:jc w:val="both"/>
        <w:rPr>
          <w:sz w:val="22"/>
          <w:szCs w:val="22"/>
        </w:rPr>
      </w:pPr>
    </w:p>
    <w:p w:rsidR="002876D2" w:rsidRPr="00A5584D" w:rsidRDefault="002876D2" w:rsidP="006D3B17">
      <w:pPr>
        <w:pStyle w:val="Normal1"/>
        <w:jc w:val="both"/>
        <w:rPr>
          <w:sz w:val="22"/>
          <w:szCs w:val="22"/>
        </w:rPr>
      </w:pPr>
      <w:r w:rsidRPr="00A5584D">
        <w:rPr>
          <w:b/>
          <w:sz w:val="22"/>
          <w:szCs w:val="22"/>
        </w:rPr>
        <w:tab/>
        <w:t xml:space="preserve">Definición operacional: </w:t>
      </w:r>
      <w:r w:rsidRPr="00A5584D">
        <w:rPr>
          <w:sz w:val="22"/>
          <w:szCs w:val="22"/>
        </w:rPr>
        <w:t>Las señales visuales no verbales fueron manipuladas mediante el método de modalidades, utilizando dos variantes de las mismas, siendo éstas los anteojos y los lentes de sol, que se presentaron a los grupos experimentales según correspondiese. El grupo control no tuvo exposición a esta variable.</w:t>
      </w:r>
    </w:p>
    <w:p w:rsidR="009B60DE" w:rsidRPr="00A5584D" w:rsidRDefault="009B60DE" w:rsidP="006D3B17">
      <w:pPr>
        <w:pStyle w:val="Normal1"/>
        <w:jc w:val="both"/>
        <w:rPr>
          <w:sz w:val="22"/>
          <w:szCs w:val="22"/>
        </w:rPr>
      </w:pPr>
    </w:p>
    <w:p w:rsidR="002876D2" w:rsidRPr="00A5584D" w:rsidRDefault="002876D2" w:rsidP="006D3B17">
      <w:pPr>
        <w:pStyle w:val="Normal1"/>
        <w:jc w:val="both"/>
        <w:rPr>
          <w:b/>
          <w:sz w:val="22"/>
          <w:szCs w:val="22"/>
        </w:rPr>
      </w:pPr>
      <w:r w:rsidRPr="00A5584D">
        <w:rPr>
          <w:b/>
          <w:sz w:val="22"/>
          <w:szCs w:val="22"/>
        </w:rPr>
        <w:t>Variable dependiente: Prejuicio implícito hacia mujeres con tatuajes visibles</w:t>
      </w:r>
    </w:p>
    <w:p w:rsidR="002876D2" w:rsidRPr="00A5584D" w:rsidRDefault="002876D2" w:rsidP="006D3B17">
      <w:pPr>
        <w:pStyle w:val="Normal1"/>
        <w:jc w:val="both"/>
        <w:rPr>
          <w:b/>
          <w:sz w:val="22"/>
          <w:szCs w:val="22"/>
        </w:rPr>
      </w:pPr>
    </w:p>
    <w:p w:rsidR="002876D2" w:rsidRDefault="002876D2" w:rsidP="006D3B17">
      <w:pPr>
        <w:pStyle w:val="Normal1"/>
        <w:jc w:val="both"/>
        <w:rPr>
          <w:sz w:val="22"/>
          <w:szCs w:val="22"/>
        </w:rPr>
      </w:pPr>
      <w:r w:rsidRPr="00A5584D">
        <w:rPr>
          <w:b/>
          <w:sz w:val="22"/>
          <w:szCs w:val="22"/>
        </w:rPr>
        <w:tab/>
        <w:t xml:space="preserve">Definición teórica: </w:t>
      </w:r>
      <w:r w:rsidRPr="00A5584D">
        <w:rPr>
          <w:sz w:val="22"/>
          <w:szCs w:val="22"/>
        </w:rPr>
        <w:t>El prejuicio se entiende como una actitud negativa o evaluación desfavorable hacia los miembros de algún grupo, que se basa exclusivamente en la pe</w:t>
      </w:r>
      <w:r w:rsidR="00622E1F">
        <w:rPr>
          <w:sz w:val="22"/>
          <w:szCs w:val="22"/>
        </w:rPr>
        <w:t>rtenencia a dicho grupo (Baron &amp;</w:t>
      </w:r>
      <w:r w:rsidRPr="00A5584D">
        <w:rPr>
          <w:sz w:val="22"/>
          <w:szCs w:val="22"/>
        </w:rPr>
        <w:t xml:space="preserve"> Byrne, 2</w:t>
      </w:r>
      <w:r w:rsidR="000A765D">
        <w:rPr>
          <w:sz w:val="22"/>
          <w:szCs w:val="22"/>
        </w:rPr>
        <w:t xml:space="preserve">005; </w:t>
      </w:r>
      <w:r w:rsidR="00622E1F">
        <w:rPr>
          <w:sz w:val="22"/>
          <w:szCs w:val="22"/>
        </w:rPr>
        <w:t>Miller, McGlashan &amp;</w:t>
      </w:r>
      <w:r w:rsidR="005B25EA">
        <w:rPr>
          <w:sz w:val="22"/>
          <w:szCs w:val="22"/>
        </w:rPr>
        <w:t xml:space="preserve"> Eure</w:t>
      </w:r>
      <w:r w:rsidRPr="00A5584D">
        <w:rPr>
          <w:sz w:val="22"/>
          <w:szCs w:val="22"/>
        </w:rPr>
        <w:t xml:space="preserve">, 2008) y que puede ser de carácter implícito, lo que implica  que es un prejuicio que se activa de una manera no consciente sino automática y que </w:t>
      </w:r>
      <w:r w:rsidRPr="00A5584D">
        <w:rPr>
          <w:sz w:val="22"/>
          <w:szCs w:val="22"/>
        </w:rPr>
        <w:lastRenderedPageBreak/>
        <w:t>puede influir sobre las respuestas de las personas ante los estímulos que lo act</w:t>
      </w:r>
      <w:r w:rsidR="00622E1F">
        <w:rPr>
          <w:sz w:val="22"/>
          <w:szCs w:val="22"/>
        </w:rPr>
        <w:t>ivan (Montes &amp;</w:t>
      </w:r>
      <w:r w:rsidRPr="00A5584D">
        <w:rPr>
          <w:sz w:val="22"/>
          <w:szCs w:val="22"/>
        </w:rPr>
        <w:t xml:space="preserve"> Moya, 2006). En el caso particular de esta investigación, la actitud negativa activada automáticamente va dirigida hacia las mujeres con tatuajes visibles. </w:t>
      </w:r>
    </w:p>
    <w:p w:rsidR="000C0437" w:rsidRPr="00A5584D" w:rsidRDefault="000C0437" w:rsidP="006D3B17">
      <w:pPr>
        <w:pStyle w:val="Normal1"/>
        <w:jc w:val="both"/>
        <w:rPr>
          <w:sz w:val="22"/>
          <w:szCs w:val="22"/>
        </w:rPr>
      </w:pPr>
    </w:p>
    <w:p w:rsidR="002876D2" w:rsidRPr="00A5584D" w:rsidRDefault="002876D2" w:rsidP="006D3B17">
      <w:pPr>
        <w:pStyle w:val="Normal1"/>
        <w:ind w:firstLine="708"/>
        <w:jc w:val="both"/>
        <w:rPr>
          <w:sz w:val="22"/>
          <w:szCs w:val="22"/>
        </w:rPr>
      </w:pPr>
      <w:r w:rsidRPr="00A5584D">
        <w:rPr>
          <w:b/>
          <w:sz w:val="22"/>
          <w:szCs w:val="22"/>
        </w:rPr>
        <w:t xml:space="preserve">Definición operacional: </w:t>
      </w:r>
      <w:r w:rsidRPr="00A5584D">
        <w:rPr>
          <w:sz w:val="22"/>
          <w:szCs w:val="22"/>
        </w:rPr>
        <w:t>El prejuicio implícito hacia las mujeres con tatuajes visibles fue evaluado en función de</w:t>
      </w:r>
      <w:r w:rsidRPr="00A5584D">
        <w:rPr>
          <w:rFonts w:eastAsiaTheme="minorHAnsi"/>
          <w:color w:val="000000"/>
          <w:sz w:val="22"/>
          <w:szCs w:val="22"/>
          <w:lang w:val="es-VE" w:eastAsia="en-US"/>
        </w:rPr>
        <w:t xml:space="preserve"> </w:t>
      </w:r>
      <w:r w:rsidRPr="00A5584D">
        <w:rPr>
          <w:sz w:val="22"/>
          <w:szCs w:val="22"/>
        </w:rPr>
        <w:t>las puntuaciones obtenidas en un una tarea de tiempo de respuesta mejor conocida como Test de Asociación Implícita (IAT).</w:t>
      </w:r>
    </w:p>
    <w:p w:rsidR="002876D2" w:rsidRPr="00A5584D" w:rsidRDefault="002876D2" w:rsidP="006D3B17">
      <w:pPr>
        <w:pStyle w:val="Normal1"/>
        <w:ind w:firstLine="708"/>
        <w:jc w:val="both"/>
        <w:rPr>
          <w:sz w:val="22"/>
          <w:szCs w:val="22"/>
        </w:rPr>
      </w:pPr>
    </w:p>
    <w:p w:rsidR="002876D2" w:rsidRPr="00A5584D" w:rsidRDefault="002876D2" w:rsidP="006D3B17">
      <w:pPr>
        <w:pStyle w:val="Normal1"/>
        <w:jc w:val="both"/>
        <w:rPr>
          <w:b/>
          <w:sz w:val="22"/>
          <w:szCs w:val="22"/>
        </w:rPr>
      </w:pPr>
      <w:r w:rsidRPr="00A5584D">
        <w:rPr>
          <w:b/>
          <w:sz w:val="22"/>
          <w:szCs w:val="22"/>
        </w:rPr>
        <w:t>Variables controladas</w:t>
      </w:r>
    </w:p>
    <w:p w:rsidR="002876D2" w:rsidRPr="00A5584D" w:rsidRDefault="002876D2" w:rsidP="006D3B17">
      <w:pPr>
        <w:jc w:val="both"/>
        <w:rPr>
          <w:sz w:val="22"/>
          <w:szCs w:val="22"/>
        </w:rPr>
      </w:pPr>
    </w:p>
    <w:p w:rsidR="002876D2" w:rsidRPr="00A5584D" w:rsidRDefault="002876D2" w:rsidP="006D3B17">
      <w:pPr>
        <w:jc w:val="both"/>
        <w:rPr>
          <w:b/>
          <w:sz w:val="22"/>
          <w:szCs w:val="22"/>
        </w:rPr>
      </w:pPr>
      <w:r w:rsidRPr="00A5584D">
        <w:rPr>
          <w:b/>
          <w:sz w:val="22"/>
          <w:szCs w:val="22"/>
        </w:rPr>
        <w:tab/>
        <w:t xml:space="preserve">Edad: </w:t>
      </w:r>
      <w:r w:rsidRPr="00A5584D">
        <w:rPr>
          <w:sz w:val="22"/>
          <w:szCs w:val="22"/>
        </w:rPr>
        <w:t xml:space="preserve">Se define como </w:t>
      </w:r>
      <w:r w:rsidRPr="00A5584D">
        <w:rPr>
          <w:rFonts w:eastAsia="Calibri"/>
          <w:sz w:val="22"/>
          <w:szCs w:val="22"/>
        </w:rPr>
        <w:t xml:space="preserve">el “tiempo que ha vivido una persona o ciertos animales o vegetales” (RAE, 2018). </w:t>
      </w:r>
      <w:r w:rsidRPr="00A5584D">
        <w:rPr>
          <w:sz w:val="22"/>
          <w:szCs w:val="22"/>
        </w:rPr>
        <w:t>S</w:t>
      </w:r>
      <w:r w:rsidR="00441E92">
        <w:rPr>
          <w:sz w:val="22"/>
          <w:szCs w:val="22"/>
        </w:rPr>
        <w:t xml:space="preserve">egún los hallazgos de Zestcott et al </w:t>
      </w:r>
      <w:r w:rsidRPr="00A5584D">
        <w:rPr>
          <w:sz w:val="22"/>
          <w:szCs w:val="22"/>
        </w:rPr>
        <w:t>(2018), existe una relación directamente proporcional entre el nivel de prejuicio hacia las personas tatuadas y la edad, por lo que a mayor edad mayor es este prejuicio. Es por ello que las muestras estuvieron conformadas únicamente por “adultos jóvenes”, categoría etaria que engloba a las personas entre los 20 y los 30 años (Bordignon, 2005), de modo que no se tuvieran edades tan bajas como para que el prejuicio fuese mínimo, ni tan alta</w:t>
      </w:r>
      <w:r w:rsidRPr="00A5584D">
        <w:rPr>
          <w:strike/>
          <w:sz w:val="22"/>
          <w:szCs w:val="22"/>
        </w:rPr>
        <w:t>s</w:t>
      </w:r>
      <w:r w:rsidRPr="00A5584D">
        <w:rPr>
          <w:sz w:val="22"/>
          <w:szCs w:val="22"/>
        </w:rPr>
        <w:t xml:space="preserve"> como para que el prejuicio se expresara fuertemente. </w:t>
      </w:r>
    </w:p>
    <w:p w:rsidR="002876D2" w:rsidRPr="00A5584D" w:rsidRDefault="002876D2" w:rsidP="006D3B17">
      <w:pPr>
        <w:pStyle w:val="Prrafodelista"/>
        <w:jc w:val="both"/>
        <w:rPr>
          <w:b/>
          <w:sz w:val="22"/>
          <w:szCs w:val="22"/>
        </w:rPr>
      </w:pPr>
    </w:p>
    <w:p w:rsidR="002876D2" w:rsidRPr="00A5584D" w:rsidRDefault="002876D2" w:rsidP="006D3B17">
      <w:pPr>
        <w:jc w:val="both"/>
        <w:rPr>
          <w:rFonts w:eastAsia="Calibri"/>
          <w:sz w:val="22"/>
          <w:szCs w:val="22"/>
        </w:rPr>
      </w:pPr>
      <w:r w:rsidRPr="00A5584D">
        <w:rPr>
          <w:b/>
          <w:sz w:val="22"/>
          <w:szCs w:val="22"/>
        </w:rPr>
        <w:tab/>
        <w:t xml:space="preserve">Sexo: </w:t>
      </w:r>
      <w:r w:rsidRPr="00A5584D">
        <w:rPr>
          <w:sz w:val="22"/>
          <w:szCs w:val="22"/>
        </w:rPr>
        <w:t xml:space="preserve">Se define como </w:t>
      </w:r>
      <w:r w:rsidRPr="00A5584D">
        <w:rPr>
          <w:rFonts w:eastAsia="Calibri"/>
          <w:sz w:val="22"/>
          <w:szCs w:val="22"/>
        </w:rPr>
        <w:t>la “condición orgánica, masculina o femenina, de los animales, las plantas y de los seres humanos” (RAE, 2018). Diversas investigaciones indican que las valoraciones que se hacen hacia las personas tatuadas pueden variar dependiendo del sexo de quien realiza dicha valoración, siendo los hombres más proclives a considerar a sus pares sin tatuajes como más sanos que aquellos tatuados, caso opuesto al de las mujeres que realizan dichas eva</w:t>
      </w:r>
      <w:r w:rsidR="00F972BB">
        <w:rPr>
          <w:rFonts w:eastAsia="Calibri"/>
          <w:sz w:val="22"/>
          <w:szCs w:val="22"/>
        </w:rPr>
        <w:t>luaciones (</w:t>
      </w:r>
      <w:proofErr w:type="spellStart"/>
      <w:r w:rsidR="00622E1F">
        <w:rPr>
          <w:rFonts w:eastAsia="Calibri"/>
          <w:sz w:val="22"/>
          <w:szCs w:val="22"/>
        </w:rPr>
        <w:t>Wohlrab</w:t>
      </w:r>
      <w:proofErr w:type="spellEnd"/>
      <w:r w:rsidR="00622E1F">
        <w:rPr>
          <w:rFonts w:eastAsia="Calibri"/>
          <w:sz w:val="22"/>
          <w:szCs w:val="22"/>
        </w:rPr>
        <w:t xml:space="preserve">, </w:t>
      </w:r>
      <w:proofErr w:type="spellStart"/>
      <w:r w:rsidR="00622E1F">
        <w:rPr>
          <w:rFonts w:eastAsia="Calibri"/>
          <w:sz w:val="22"/>
          <w:szCs w:val="22"/>
        </w:rPr>
        <w:t>Fink</w:t>
      </w:r>
      <w:proofErr w:type="spellEnd"/>
      <w:r w:rsidR="00622E1F">
        <w:rPr>
          <w:rFonts w:eastAsia="Calibri"/>
          <w:sz w:val="22"/>
          <w:szCs w:val="22"/>
        </w:rPr>
        <w:t xml:space="preserve">, </w:t>
      </w:r>
      <w:proofErr w:type="spellStart"/>
      <w:r w:rsidR="00622E1F">
        <w:rPr>
          <w:rFonts w:eastAsia="Calibri"/>
          <w:sz w:val="22"/>
          <w:szCs w:val="22"/>
        </w:rPr>
        <w:t>Kappeler</w:t>
      </w:r>
      <w:proofErr w:type="spellEnd"/>
      <w:r w:rsidR="00622E1F">
        <w:rPr>
          <w:rFonts w:eastAsia="Calibri"/>
          <w:sz w:val="22"/>
          <w:szCs w:val="22"/>
        </w:rPr>
        <w:t xml:space="preserve"> &amp;</w:t>
      </w:r>
      <w:r w:rsidR="00F972BB" w:rsidRPr="00A5584D">
        <w:rPr>
          <w:rFonts w:eastAsia="Calibri"/>
          <w:sz w:val="22"/>
          <w:szCs w:val="22"/>
        </w:rPr>
        <w:t xml:space="preserve"> </w:t>
      </w:r>
      <w:proofErr w:type="spellStart"/>
      <w:r w:rsidR="00F972BB" w:rsidRPr="00A5584D">
        <w:rPr>
          <w:rFonts w:eastAsia="Calibri"/>
          <w:sz w:val="22"/>
          <w:szCs w:val="22"/>
        </w:rPr>
        <w:t>Brewer</w:t>
      </w:r>
      <w:proofErr w:type="spellEnd"/>
      <w:r w:rsidR="00F972BB" w:rsidRPr="00A5584D">
        <w:rPr>
          <w:rFonts w:eastAsia="Calibri"/>
          <w:sz w:val="22"/>
          <w:szCs w:val="22"/>
        </w:rPr>
        <w:t>, 2008</w:t>
      </w:r>
      <w:r w:rsidR="00F972BB">
        <w:rPr>
          <w:rFonts w:eastAsia="Calibri"/>
          <w:sz w:val="22"/>
          <w:szCs w:val="22"/>
        </w:rPr>
        <w:t xml:space="preserve">; </w:t>
      </w:r>
      <w:proofErr w:type="spellStart"/>
      <w:r w:rsidR="00F972BB">
        <w:rPr>
          <w:rFonts w:eastAsia="Calibri"/>
          <w:sz w:val="22"/>
          <w:szCs w:val="22"/>
        </w:rPr>
        <w:t>Zestcott</w:t>
      </w:r>
      <w:proofErr w:type="spellEnd"/>
      <w:r w:rsidR="00F972BB">
        <w:rPr>
          <w:rFonts w:eastAsia="Calibri"/>
          <w:sz w:val="22"/>
          <w:szCs w:val="22"/>
        </w:rPr>
        <w:t xml:space="preserve"> et al, 2018</w:t>
      </w:r>
      <w:r w:rsidRPr="00A5584D">
        <w:rPr>
          <w:rFonts w:eastAsia="Calibri"/>
          <w:sz w:val="22"/>
          <w:szCs w:val="22"/>
        </w:rPr>
        <w:t xml:space="preserve">). Debido a esto, se procuró que en todos los grupos existiese la misma cantidad de hombres y mujeres. </w:t>
      </w:r>
    </w:p>
    <w:p w:rsidR="002876D2" w:rsidRPr="00A5584D" w:rsidRDefault="002876D2" w:rsidP="006D3B17">
      <w:pPr>
        <w:jc w:val="both"/>
        <w:rPr>
          <w:b/>
          <w:sz w:val="22"/>
          <w:szCs w:val="22"/>
        </w:rPr>
      </w:pPr>
    </w:p>
    <w:p w:rsidR="002876D2" w:rsidRPr="00A5584D" w:rsidRDefault="002876D2" w:rsidP="006D3B17">
      <w:pPr>
        <w:jc w:val="both"/>
        <w:rPr>
          <w:b/>
          <w:sz w:val="22"/>
          <w:szCs w:val="22"/>
        </w:rPr>
      </w:pPr>
      <w:r w:rsidRPr="00A5584D">
        <w:rPr>
          <w:b/>
          <w:sz w:val="22"/>
          <w:szCs w:val="22"/>
        </w:rPr>
        <w:tab/>
        <w:t xml:space="preserve">Tenencia de tatuajes: </w:t>
      </w:r>
      <w:r w:rsidRPr="00A5584D">
        <w:rPr>
          <w:sz w:val="22"/>
          <w:szCs w:val="22"/>
        </w:rPr>
        <w:t>Los tatuajes son entendidos como la pigmentación de la piel adquirida voluntariamente por inyecciones de tintas insolubles u otras sustancias en la dermis (Otero et al., 2006); de acuerdo con Zes</w:t>
      </w:r>
      <w:r w:rsidR="00622E1F">
        <w:rPr>
          <w:sz w:val="22"/>
          <w:szCs w:val="22"/>
        </w:rPr>
        <w:t>tcott et al (2018) y Broussard &amp;</w:t>
      </w:r>
      <w:r w:rsidRPr="00A5584D">
        <w:rPr>
          <w:sz w:val="22"/>
          <w:szCs w:val="22"/>
        </w:rPr>
        <w:t xml:space="preserve"> Harton (2017) las personas que poseen tatuajes tienden a tener actitudes implícitas más favorables hacia las personas tatuadas que quienes no poseen tatuajes, es por ello que en la muestra no se incluyó a personas que tuviesen tatuajes.</w:t>
      </w:r>
    </w:p>
    <w:p w:rsidR="002876D2" w:rsidRPr="00A5584D" w:rsidRDefault="002876D2" w:rsidP="006D3B17">
      <w:pPr>
        <w:pStyle w:val="Prrafodelista"/>
        <w:jc w:val="both"/>
        <w:rPr>
          <w:b/>
          <w:sz w:val="22"/>
          <w:szCs w:val="22"/>
        </w:rPr>
      </w:pPr>
    </w:p>
    <w:p w:rsidR="002876D2" w:rsidRPr="00A5584D" w:rsidRDefault="002876D2" w:rsidP="006D3B17">
      <w:pPr>
        <w:jc w:val="both"/>
        <w:rPr>
          <w:sz w:val="22"/>
          <w:szCs w:val="22"/>
        </w:rPr>
      </w:pPr>
      <w:r w:rsidRPr="00A5584D">
        <w:rPr>
          <w:b/>
          <w:sz w:val="22"/>
          <w:szCs w:val="22"/>
        </w:rPr>
        <w:tab/>
        <w:t xml:space="preserve">Uso de anteojos: </w:t>
      </w:r>
      <w:r w:rsidRPr="00A5584D">
        <w:rPr>
          <w:sz w:val="22"/>
          <w:szCs w:val="22"/>
        </w:rPr>
        <w:t xml:space="preserve">Los anteojos son objetos transparentes, generalmente de vidrio, que se utilizan en los instrumentos ópticos para desviar la trayectoria de los rayos luminosos y formar imágenes (RAE, 2018). Según </w:t>
      </w:r>
      <w:r w:rsidR="004A1983">
        <w:rPr>
          <w:sz w:val="22"/>
          <w:szCs w:val="22"/>
        </w:rPr>
        <w:t>Torrejón</w:t>
      </w:r>
      <w:r w:rsidRPr="00A5584D">
        <w:rPr>
          <w:sz w:val="22"/>
          <w:szCs w:val="22"/>
        </w:rPr>
        <w:t xml:space="preserve"> (2015), si personas tatuadas y no tatuadas comparten el uso de anteojos, se podría activar una identificación endogrupal por el hecho de que ambos grupos poseen un elemento en común como lo son los lentes, haciendo posible que esta identificación ayude a reducir el prejuicio implícito de quienes no poseen tatuajes hacia quienes sí</w:t>
      </w:r>
      <w:r w:rsidRPr="00A5584D">
        <w:rPr>
          <w:color w:val="FF0000"/>
          <w:sz w:val="22"/>
          <w:szCs w:val="22"/>
        </w:rPr>
        <w:t xml:space="preserve">. </w:t>
      </w:r>
      <w:r w:rsidRPr="00A5584D">
        <w:rPr>
          <w:sz w:val="22"/>
          <w:szCs w:val="22"/>
        </w:rPr>
        <w:t>Por este motivo, no se incluyó a personas que utilizaran anteojos en la muestra.</w:t>
      </w:r>
    </w:p>
    <w:p w:rsidR="002876D2" w:rsidRPr="00A5584D" w:rsidRDefault="002876D2" w:rsidP="006D3B17">
      <w:pPr>
        <w:jc w:val="both"/>
        <w:rPr>
          <w:sz w:val="22"/>
          <w:szCs w:val="22"/>
        </w:rPr>
      </w:pPr>
    </w:p>
    <w:p w:rsidR="002876D2" w:rsidRPr="00A5584D" w:rsidRDefault="002876D2" w:rsidP="006D3B17">
      <w:pPr>
        <w:ind w:firstLine="708"/>
        <w:jc w:val="both"/>
        <w:rPr>
          <w:sz w:val="22"/>
          <w:szCs w:val="22"/>
        </w:rPr>
      </w:pPr>
      <w:r w:rsidRPr="00A5584D">
        <w:rPr>
          <w:b/>
          <w:sz w:val="22"/>
          <w:szCs w:val="22"/>
        </w:rPr>
        <w:t xml:space="preserve">Falta de familiaridad con el IAT: </w:t>
      </w:r>
      <w:r w:rsidRPr="00A5584D">
        <w:rPr>
          <w:sz w:val="22"/>
          <w:szCs w:val="22"/>
        </w:rPr>
        <w:t>El IAT es un instrumento con el que las personas no suelen tener contacto previo, por lo que suelen surgir dudas y confusiones al momento de responderlo afectando directamente sobre los resultados del mismo, como en la i</w:t>
      </w:r>
      <w:r w:rsidR="00622E1F">
        <w:rPr>
          <w:sz w:val="22"/>
          <w:szCs w:val="22"/>
        </w:rPr>
        <w:t>nvestigación de Díaz, Guerrero &amp;</w:t>
      </w:r>
      <w:r w:rsidRPr="00A5584D">
        <w:rPr>
          <w:sz w:val="22"/>
          <w:szCs w:val="22"/>
        </w:rPr>
        <w:t xml:space="preserve"> Mijares (2018). Es por ello que antes de aplicar el IAT de esta investigación, se realizó una demostración práctica previa con un IAT de contenido diferente al de la investigación (flores e insectos), que sirvió a los participantes para familiarizarse con las fases del instrumento y para aclarar las dudas, de modo que éstas no afectasen los resultados.</w:t>
      </w:r>
    </w:p>
    <w:p w:rsidR="002876D2" w:rsidRPr="00A5584D" w:rsidRDefault="002876D2" w:rsidP="006D3B17">
      <w:pPr>
        <w:pStyle w:val="Normal1"/>
        <w:rPr>
          <w:b/>
          <w:sz w:val="22"/>
          <w:szCs w:val="22"/>
        </w:rPr>
      </w:pPr>
    </w:p>
    <w:p w:rsidR="005F26A3" w:rsidRPr="00A5584D" w:rsidRDefault="005F26A3" w:rsidP="006D3B17">
      <w:pPr>
        <w:jc w:val="center"/>
        <w:rPr>
          <w:b/>
          <w:i/>
          <w:sz w:val="22"/>
          <w:szCs w:val="22"/>
        </w:rPr>
      </w:pPr>
      <w:r w:rsidRPr="00A5584D">
        <w:rPr>
          <w:b/>
          <w:i/>
          <w:sz w:val="22"/>
          <w:szCs w:val="22"/>
        </w:rPr>
        <w:t>Tipo de investigación</w:t>
      </w:r>
    </w:p>
    <w:p w:rsidR="005F26A3" w:rsidRPr="00A5584D" w:rsidRDefault="005F26A3" w:rsidP="006D3B17">
      <w:pPr>
        <w:jc w:val="center"/>
        <w:rPr>
          <w:b/>
          <w:i/>
          <w:sz w:val="22"/>
          <w:szCs w:val="22"/>
        </w:rPr>
      </w:pPr>
    </w:p>
    <w:p w:rsidR="005F26A3" w:rsidRPr="00A5584D" w:rsidRDefault="005F26A3" w:rsidP="006D3B17">
      <w:pPr>
        <w:jc w:val="both"/>
        <w:rPr>
          <w:sz w:val="22"/>
          <w:szCs w:val="22"/>
        </w:rPr>
      </w:pPr>
      <w:r w:rsidRPr="00A5584D">
        <w:rPr>
          <w:sz w:val="22"/>
          <w:szCs w:val="22"/>
        </w:rPr>
        <w:lastRenderedPageBreak/>
        <w:tab/>
        <w:t xml:space="preserve">La presente </w:t>
      </w:r>
      <w:r w:rsidR="001223BB">
        <w:rPr>
          <w:sz w:val="22"/>
          <w:szCs w:val="22"/>
        </w:rPr>
        <w:t>fue</w:t>
      </w:r>
      <w:r w:rsidRPr="00A5584D">
        <w:rPr>
          <w:sz w:val="22"/>
          <w:szCs w:val="22"/>
        </w:rPr>
        <w:t xml:space="preserve"> </w:t>
      </w:r>
      <w:r w:rsidR="00C82554">
        <w:rPr>
          <w:sz w:val="22"/>
          <w:szCs w:val="22"/>
        </w:rPr>
        <w:t xml:space="preserve">una </w:t>
      </w:r>
      <w:r w:rsidR="00C82554" w:rsidRPr="00A5584D">
        <w:rPr>
          <w:sz w:val="22"/>
          <w:szCs w:val="22"/>
        </w:rPr>
        <w:t xml:space="preserve">investigación </w:t>
      </w:r>
      <w:r w:rsidRPr="00A5584D">
        <w:rPr>
          <w:sz w:val="22"/>
          <w:szCs w:val="22"/>
        </w:rPr>
        <w:t>de tipo cuasi-experim</w:t>
      </w:r>
      <w:r w:rsidR="00441E92">
        <w:rPr>
          <w:sz w:val="22"/>
          <w:szCs w:val="22"/>
        </w:rPr>
        <w:t xml:space="preserve">ental, ya que según </w:t>
      </w:r>
      <w:r w:rsidR="00622E1F">
        <w:rPr>
          <w:sz w:val="22"/>
          <w:szCs w:val="22"/>
        </w:rPr>
        <w:t>Hernández, Fernández &amp;</w:t>
      </w:r>
      <w:r w:rsidR="000C0437">
        <w:rPr>
          <w:sz w:val="22"/>
          <w:szCs w:val="22"/>
        </w:rPr>
        <w:t xml:space="preserve"> Baptista</w:t>
      </w:r>
      <w:r w:rsidR="00441E92">
        <w:rPr>
          <w:sz w:val="22"/>
          <w:szCs w:val="22"/>
        </w:rPr>
        <w:t xml:space="preserve"> </w:t>
      </w:r>
      <w:r w:rsidRPr="00A5584D">
        <w:rPr>
          <w:sz w:val="22"/>
          <w:szCs w:val="22"/>
        </w:rPr>
        <w:t>(2003), éstas se caracterizan por: 1) la manipulación intencional directa de la variable independiente (señales visuales no verbales: anteojos y lentes de sol); 2) la medición del efecto que tiene la variable independiente sobre la variable dependiente (prejuicio implícito hacia mujeres tatuadas); 3) la validez interna o control riguroso de las variables extrañas (edad, sexo, tenencia de tatuajes y uso de anteojos) y 4) un muestreo de tipo no aleatorio.</w:t>
      </w:r>
    </w:p>
    <w:p w:rsidR="003D5E65" w:rsidRPr="00A5584D" w:rsidRDefault="003D5E65" w:rsidP="006D3B17">
      <w:pPr>
        <w:jc w:val="center"/>
        <w:rPr>
          <w:b/>
          <w:i/>
          <w:sz w:val="22"/>
          <w:szCs w:val="22"/>
        </w:rPr>
      </w:pPr>
    </w:p>
    <w:p w:rsidR="005F26A3" w:rsidRPr="00A5584D" w:rsidRDefault="005F26A3" w:rsidP="006D3B17">
      <w:pPr>
        <w:jc w:val="center"/>
        <w:rPr>
          <w:b/>
          <w:i/>
          <w:sz w:val="22"/>
          <w:szCs w:val="22"/>
        </w:rPr>
      </w:pPr>
      <w:r w:rsidRPr="00A5584D">
        <w:rPr>
          <w:b/>
          <w:i/>
          <w:sz w:val="22"/>
          <w:szCs w:val="22"/>
        </w:rPr>
        <w:t>Diseño de investigación</w:t>
      </w:r>
    </w:p>
    <w:p w:rsidR="003D5E65" w:rsidRPr="00A5584D" w:rsidRDefault="003D5E65" w:rsidP="006D3B17">
      <w:pPr>
        <w:jc w:val="center"/>
        <w:rPr>
          <w:b/>
          <w:i/>
          <w:sz w:val="22"/>
          <w:szCs w:val="22"/>
        </w:rPr>
      </w:pPr>
    </w:p>
    <w:p w:rsidR="005F26A3" w:rsidRPr="004A1983" w:rsidRDefault="005F26A3" w:rsidP="001223BB">
      <w:pPr>
        <w:pStyle w:val="Ttulo9"/>
        <w:pBdr>
          <w:top w:val="none" w:sz="0" w:space="0" w:color="auto"/>
          <w:left w:val="none" w:sz="0" w:space="0" w:color="auto"/>
          <w:bottom w:val="none" w:sz="0" w:space="0" w:color="auto"/>
          <w:right w:val="none" w:sz="0" w:space="0" w:color="auto"/>
        </w:pBdr>
        <w:ind w:firstLine="708"/>
        <w:jc w:val="both"/>
        <w:rPr>
          <w:rFonts w:ascii="Times New Roman" w:hAnsi="Times New Roman"/>
          <w:b w:val="0"/>
          <w:i w:val="0"/>
          <w:sz w:val="22"/>
          <w:szCs w:val="22"/>
        </w:rPr>
      </w:pPr>
      <w:r w:rsidRPr="00A5584D">
        <w:rPr>
          <w:rFonts w:ascii="Times New Roman" w:hAnsi="Times New Roman"/>
          <w:b w:val="0"/>
          <w:i w:val="0"/>
          <w:sz w:val="22"/>
          <w:szCs w:val="22"/>
        </w:rPr>
        <w:t xml:space="preserve">Se </w:t>
      </w:r>
      <w:r w:rsidR="001223BB">
        <w:rPr>
          <w:rFonts w:ascii="Times New Roman" w:hAnsi="Times New Roman"/>
          <w:b w:val="0"/>
          <w:i w:val="0"/>
          <w:sz w:val="22"/>
          <w:szCs w:val="22"/>
        </w:rPr>
        <w:t>utilizó</w:t>
      </w:r>
      <w:r w:rsidRPr="00A5584D">
        <w:rPr>
          <w:rFonts w:ascii="Times New Roman" w:hAnsi="Times New Roman"/>
          <w:b w:val="0"/>
          <w:i w:val="0"/>
          <w:sz w:val="22"/>
          <w:szCs w:val="22"/>
        </w:rPr>
        <w:t xml:space="preserve"> un diseño con postprueba únicamente y grupo control. El mismo </w:t>
      </w:r>
      <w:r w:rsidR="001223BB">
        <w:rPr>
          <w:rFonts w:ascii="Times New Roman" w:hAnsi="Times New Roman"/>
          <w:b w:val="0"/>
          <w:i w:val="0"/>
          <w:sz w:val="22"/>
          <w:szCs w:val="22"/>
        </w:rPr>
        <w:t>constó de</w:t>
      </w:r>
      <w:r w:rsidRPr="00A5584D">
        <w:rPr>
          <w:rFonts w:ascii="Times New Roman" w:hAnsi="Times New Roman"/>
          <w:b w:val="0"/>
          <w:i w:val="0"/>
          <w:sz w:val="22"/>
          <w:szCs w:val="22"/>
        </w:rPr>
        <w:t xml:space="preserve"> tres grupos conformados de forma no aleatoria: un grupo control y dos grupos experimentales; cada grupo experimental </w:t>
      </w:r>
      <w:r w:rsidR="001223BB">
        <w:rPr>
          <w:rFonts w:ascii="Times New Roman" w:hAnsi="Times New Roman"/>
          <w:b w:val="0"/>
          <w:i w:val="0"/>
          <w:sz w:val="22"/>
          <w:szCs w:val="22"/>
        </w:rPr>
        <w:t>tuvo</w:t>
      </w:r>
      <w:r w:rsidRPr="00A5584D">
        <w:rPr>
          <w:rFonts w:ascii="Times New Roman" w:hAnsi="Times New Roman"/>
          <w:b w:val="0"/>
          <w:i w:val="0"/>
          <w:sz w:val="22"/>
          <w:szCs w:val="22"/>
        </w:rPr>
        <w:t xml:space="preserve"> una única exposición a la variable independiente (señales visuales no verbales) en una sola de sus modalidades, por lo que el grupo experimental 1 </w:t>
      </w:r>
      <w:r w:rsidR="001223BB">
        <w:rPr>
          <w:rFonts w:ascii="Times New Roman" w:hAnsi="Times New Roman"/>
          <w:b w:val="0"/>
          <w:i w:val="0"/>
          <w:sz w:val="22"/>
          <w:szCs w:val="22"/>
        </w:rPr>
        <w:t>fue</w:t>
      </w:r>
      <w:r w:rsidRPr="00A5584D">
        <w:rPr>
          <w:rFonts w:ascii="Times New Roman" w:hAnsi="Times New Roman"/>
          <w:b w:val="0"/>
          <w:i w:val="0"/>
          <w:sz w:val="22"/>
          <w:szCs w:val="22"/>
        </w:rPr>
        <w:t xml:space="preserve"> expuesto a imágenes de mujeres tatuadas con anteojos y el grupo experimental 2 a imágenes de mujeres tatuadas con lente</w:t>
      </w:r>
      <w:r w:rsidR="001223BB">
        <w:rPr>
          <w:rFonts w:ascii="Times New Roman" w:hAnsi="Times New Roman"/>
          <w:b w:val="0"/>
          <w:i w:val="0"/>
          <w:sz w:val="22"/>
          <w:szCs w:val="22"/>
        </w:rPr>
        <w:t>s de sol; el grupo 3 correspondía</w:t>
      </w:r>
      <w:r w:rsidRPr="00A5584D">
        <w:rPr>
          <w:rFonts w:ascii="Times New Roman" w:hAnsi="Times New Roman"/>
          <w:b w:val="0"/>
          <w:i w:val="0"/>
          <w:sz w:val="22"/>
          <w:szCs w:val="22"/>
        </w:rPr>
        <w:t xml:space="preserve"> al grupo control, el cual no </w:t>
      </w:r>
      <w:r w:rsidR="001223BB">
        <w:rPr>
          <w:rFonts w:ascii="Times New Roman" w:hAnsi="Times New Roman"/>
          <w:b w:val="0"/>
          <w:i w:val="0"/>
          <w:sz w:val="22"/>
          <w:szCs w:val="22"/>
        </w:rPr>
        <w:t>estuvo</w:t>
      </w:r>
      <w:r w:rsidRPr="00A5584D">
        <w:rPr>
          <w:rFonts w:ascii="Times New Roman" w:hAnsi="Times New Roman"/>
          <w:b w:val="0"/>
          <w:i w:val="0"/>
          <w:sz w:val="22"/>
          <w:szCs w:val="22"/>
        </w:rPr>
        <w:t xml:space="preserve"> expuesto a la variable </w:t>
      </w:r>
      <w:r w:rsidR="004A1983">
        <w:rPr>
          <w:rFonts w:ascii="Times New Roman" w:hAnsi="Times New Roman"/>
          <w:b w:val="0"/>
          <w:i w:val="0"/>
          <w:sz w:val="22"/>
          <w:szCs w:val="22"/>
        </w:rPr>
        <w:t>independiente (ver Figura 1</w:t>
      </w:r>
      <w:r w:rsidRPr="00A5584D">
        <w:rPr>
          <w:rFonts w:ascii="Times New Roman" w:hAnsi="Times New Roman"/>
          <w:b w:val="0"/>
          <w:i w:val="0"/>
          <w:sz w:val="22"/>
          <w:szCs w:val="22"/>
        </w:rPr>
        <w:t>)</w:t>
      </w:r>
      <w:r w:rsidR="001223BB">
        <w:rPr>
          <w:rFonts w:ascii="Times New Roman" w:hAnsi="Times New Roman"/>
          <w:b w:val="0"/>
          <w:i w:val="0"/>
          <w:sz w:val="22"/>
          <w:szCs w:val="22"/>
        </w:rPr>
        <w:t>. Se realizó</w:t>
      </w:r>
      <w:r w:rsidRPr="00A5584D">
        <w:rPr>
          <w:rFonts w:ascii="Times New Roman" w:hAnsi="Times New Roman"/>
          <w:b w:val="0"/>
          <w:i w:val="0"/>
          <w:sz w:val="22"/>
          <w:szCs w:val="22"/>
        </w:rPr>
        <w:t xml:space="preserve"> una sola medición de la variable dependiente de tipo postest</w:t>
      </w:r>
      <w:r w:rsidR="001223BB">
        <w:rPr>
          <w:rFonts w:ascii="Times New Roman" w:hAnsi="Times New Roman"/>
          <w:b w:val="0"/>
          <w:i w:val="0"/>
          <w:sz w:val="22"/>
          <w:szCs w:val="22"/>
        </w:rPr>
        <w:t xml:space="preserve"> para</w:t>
      </w:r>
      <w:r w:rsidRPr="00A5584D">
        <w:rPr>
          <w:rFonts w:ascii="Times New Roman" w:hAnsi="Times New Roman"/>
          <w:b w:val="0"/>
          <w:i w:val="0"/>
          <w:sz w:val="22"/>
          <w:szCs w:val="22"/>
        </w:rPr>
        <w:t xml:space="preserve"> evitar la sensibilización que </w:t>
      </w:r>
      <w:r w:rsidR="001223BB">
        <w:rPr>
          <w:rFonts w:ascii="Times New Roman" w:hAnsi="Times New Roman"/>
          <w:b w:val="0"/>
          <w:i w:val="0"/>
          <w:sz w:val="22"/>
          <w:szCs w:val="22"/>
        </w:rPr>
        <w:t>podría haber</w:t>
      </w:r>
      <w:r w:rsidRPr="00A5584D">
        <w:rPr>
          <w:rFonts w:ascii="Times New Roman" w:hAnsi="Times New Roman"/>
          <w:b w:val="0"/>
          <w:i w:val="0"/>
          <w:sz w:val="22"/>
          <w:szCs w:val="22"/>
        </w:rPr>
        <w:t xml:space="preserve"> ocasiona</w:t>
      </w:r>
      <w:r w:rsidR="001223BB">
        <w:rPr>
          <w:rFonts w:ascii="Times New Roman" w:hAnsi="Times New Roman"/>
          <w:b w:val="0"/>
          <w:i w:val="0"/>
          <w:sz w:val="22"/>
          <w:szCs w:val="22"/>
        </w:rPr>
        <w:t>do</w:t>
      </w:r>
      <w:r w:rsidRPr="00A5584D">
        <w:rPr>
          <w:rFonts w:ascii="Times New Roman" w:hAnsi="Times New Roman"/>
          <w:b w:val="0"/>
          <w:i w:val="0"/>
          <w:sz w:val="22"/>
          <w:szCs w:val="22"/>
        </w:rPr>
        <w:t xml:space="preserve"> una prueba pretest en los</w:t>
      </w:r>
      <w:r w:rsidR="00441E92">
        <w:rPr>
          <w:rFonts w:ascii="Times New Roman" w:hAnsi="Times New Roman"/>
          <w:b w:val="0"/>
          <w:i w:val="0"/>
          <w:sz w:val="22"/>
          <w:szCs w:val="22"/>
        </w:rPr>
        <w:t xml:space="preserve"> </w:t>
      </w:r>
      <w:r w:rsidR="00441E92" w:rsidRPr="004A1983">
        <w:rPr>
          <w:rFonts w:ascii="Times New Roman" w:hAnsi="Times New Roman"/>
          <w:b w:val="0"/>
          <w:i w:val="0"/>
          <w:sz w:val="22"/>
          <w:szCs w:val="22"/>
        </w:rPr>
        <w:t>participantes (</w:t>
      </w:r>
      <w:r w:rsidR="00622E1F">
        <w:rPr>
          <w:rFonts w:ascii="Times New Roman" w:hAnsi="Times New Roman"/>
          <w:b w:val="0"/>
          <w:i w:val="0"/>
          <w:sz w:val="22"/>
          <w:szCs w:val="22"/>
        </w:rPr>
        <w:t>Hernández, Fernández &amp;</w:t>
      </w:r>
      <w:r w:rsidR="000C0437">
        <w:rPr>
          <w:rFonts w:ascii="Times New Roman" w:hAnsi="Times New Roman"/>
          <w:b w:val="0"/>
          <w:i w:val="0"/>
          <w:sz w:val="22"/>
          <w:szCs w:val="22"/>
        </w:rPr>
        <w:t xml:space="preserve"> Baptista</w:t>
      </w:r>
      <w:r w:rsidRPr="004A1983">
        <w:rPr>
          <w:rFonts w:ascii="Times New Roman" w:hAnsi="Times New Roman"/>
          <w:b w:val="0"/>
          <w:i w:val="0"/>
          <w:sz w:val="22"/>
          <w:szCs w:val="22"/>
        </w:rPr>
        <w:t xml:space="preserve">, 2003), ya que al existir tan poco tiempo </w:t>
      </w:r>
      <w:r w:rsidR="001223BB">
        <w:rPr>
          <w:rFonts w:ascii="Times New Roman" w:hAnsi="Times New Roman"/>
          <w:b w:val="0"/>
          <w:i w:val="0"/>
          <w:sz w:val="22"/>
          <w:szCs w:val="22"/>
        </w:rPr>
        <w:t>para realizar la intervención era</w:t>
      </w:r>
      <w:r w:rsidRPr="004A1983">
        <w:rPr>
          <w:rFonts w:ascii="Times New Roman" w:hAnsi="Times New Roman"/>
          <w:b w:val="0"/>
          <w:i w:val="0"/>
          <w:sz w:val="22"/>
          <w:szCs w:val="22"/>
        </w:rPr>
        <w:t xml:space="preserve"> posible q</w:t>
      </w:r>
      <w:r w:rsidR="00441E92" w:rsidRPr="004A1983">
        <w:rPr>
          <w:rFonts w:ascii="Times New Roman" w:hAnsi="Times New Roman"/>
          <w:b w:val="0"/>
          <w:i w:val="0"/>
          <w:sz w:val="22"/>
          <w:szCs w:val="22"/>
        </w:rPr>
        <w:t>ue la aplicación del pretest pu</w:t>
      </w:r>
      <w:r w:rsidRPr="004A1983">
        <w:rPr>
          <w:rFonts w:ascii="Times New Roman" w:hAnsi="Times New Roman"/>
          <w:b w:val="0"/>
          <w:i w:val="0"/>
          <w:sz w:val="22"/>
          <w:szCs w:val="22"/>
        </w:rPr>
        <w:t>d</w:t>
      </w:r>
      <w:r w:rsidR="003F3233" w:rsidRPr="004A1983">
        <w:rPr>
          <w:rFonts w:ascii="Times New Roman" w:hAnsi="Times New Roman"/>
          <w:b w:val="0"/>
          <w:i w:val="0"/>
          <w:sz w:val="22"/>
          <w:szCs w:val="22"/>
        </w:rPr>
        <w:t>iera</w:t>
      </w:r>
      <w:r w:rsidRPr="004A1983">
        <w:rPr>
          <w:rFonts w:ascii="Times New Roman" w:hAnsi="Times New Roman"/>
          <w:b w:val="0"/>
          <w:i w:val="0"/>
          <w:sz w:val="22"/>
          <w:szCs w:val="22"/>
        </w:rPr>
        <w:t xml:space="preserve"> ser recordada e influir sobre la medición postest debido al efecto de la memorización.</w:t>
      </w:r>
    </w:p>
    <w:p w:rsidR="004A1983" w:rsidRPr="004A1983" w:rsidRDefault="004A1983" w:rsidP="004A1983"/>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3"/>
        <w:gridCol w:w="458"/>
        <w:gridCol w:w="417"/>
      </w:tblGrid>
      <w:tr w:rsidR="004A1983" w:rsidRPr="004A1983" w:rsidTr="001223BB">
        <w:trPr>
          <w:jc w:val="center"/>
        </w:trPr>
        <w:tc>
          <w:tcPr>
            <w:tcW w:w="803" w:type="dxa"/>
          </w:tcPr>
          <w:p w:rsidR="004A1983" w:rsidRPr="004A1983" w:rsidRDefault="004A1983" w:rsidP="004A1983">
            <w:pPr>
              <w:jc w:val="center"/>
            </w:pPr>
            <w:r w:rsidRPr="004A1983">
              <w:t>G</w:t>
            </w:r>
            <w:r w:rsidRPr="004A1983">
              <w:rPr>
                <w:vertAlign w:val="subscript"/>
              </w:rPr>
              <w:t>1</w:t>
            </w:r>
          </w:p>
        </w:tc>
        <w:tc>
          <w:tcPr>
            <w:tcW w:w="458" w:type="dxa"/>
          </w:tcPr>
          <w:p w:rsidR="004A1983" w:rsidRPr="004A1983" w:rsidRDefault="004A1983" w:rsidP="004A1983">
            <w:pPr>
              <w:jc w:val="center"/>
            </w:pPr>
            <w:r w:rsidRPr="004A1983">
              <w:t>X</w:t>
            </w:r>
            <w:r w:rsidRPr="004A1983">
              <w:rPr>
                <w:vertAlign w:val="subscript"/>
              </w:rPr>
              <w:t>1</w:t>
            </w:r>
          </w:p>
        </w:tc>
        <w:tc>
          <w:tcPr>
            <w:tcW w:w="417" w:type="dxa"/>
          </w:tcPr>
          <w:p w:rsidR="004A1983" w:rsidRPr="004A1983" w:rsidRDefault="004A1983" w:rsidP="004A1983">
            <w:pPr>
              <w:jc w:val="center"/>
            </w:pPr>
            <w:r w:rsidRPr="004A1983">
              <w:t>0</w:t>
            </w:r>
            <w:r w:rsidRPr="004A1983">
              <w:rPr>
                <w:vertAlign w:val="subscript"/>
              </w:rPr>
              <w:t>1</w:t>
            </w:r>
          </w:p>
        </w:tc>
      </w:tr>
      <w:tr w:rsidR="004A1983" w:rsidRPr="004A1983" w:rsidTr="001223BB">
        <w:trPr>
          <w:jc w:val="center"/>
        </w:trPr>
        <w:tc>
          <w:tcPr>
            <w:tcW w:w="803" w:type="dxa"/>
          </w:tcPr>
          <w:p w:rsidR="004A1983" w:rsidRPr="004A1983" w:rsidRDefault="004A1983" w:rsidP="004A1983">
            <w:pPr>
              <w:jc w:val="center"/>
            </w:pPr>
            <w:r w:rsidRPr="004A1983">
              <w:t>G</w:t>
            </w:r>
            <w:r w:rsidRPr="004A1983">
              <w:rPr>
                <w:vertAlign w:val="subscript"/>
              </w:rPr>
              <w:t>2</w:t>
            </w:r>
          </w:p>
        </w:tc>
        <w:tc>
          <w:tcPr>
            <w:tcW w:w="458" w:type="dxa"/>
          </w:tcPr>
          <w:p w:rsidR="004A1983" w:rsidRPr="004A1983" w:rsidRDefault="004A1983" w:rsidP="004A1983">
            <w:pPr>
              <w:jc w:val="center"/>
            </w:pPr>
            <w:r w:rsidRPr="004A1983">
              <w:t>X</w:t>
            </w:r>
            <w:r w:rsidRPr="004A1983">
              <w:rPr>
                <w:vertAlign w:val="subscript"/>
              </w:rPr>
              <w:t>2</w:t>
            </w:r>
          </w:p>
        </w:tc>
        <w:tc>
          <w:tcPr>
            <w:tcW w:w="417" w:type="dxa"/>
          </w:tcPr>
          <w:p w:rsidR="004A1983" w:rsidRPr="004A1983" w:rsidRDefault="004A1983" w:rsidP="004A1983">
            <w:pPr>
              <w:jc w:val="center"/>
            </w:pPr>
            <w:r w:rsidRPr="004A1983">
              <w:t>0</w:t>
            </w:r>
            <w:r w:rsidRPr="004A1983">
              <w:rPr>
                <w:vertAlign w:val="subscript"/>
              </w:rPr>
              <w:t>2</w:t>
            </w:r>
          </w:p>
        </w:tc>
      </w:tr>
      <w:tr w:rsidR="004A1983" w:rsidRPr="004A1983" w:rsidTr="001223BB">
        <w:trPr>
          <w:jc w:val="center"/>
        </w:trPr>
        <w:tc>
          <w:tcPr>
            <w:tcW w:w="803" w:type="dxa"/>
          </w:tcPr>
          <w:p w:rsidR="004A1983" w:rsidRPr="004A1983" w:rsidRDefault="004A1983" w:rsidP="004A1983">
            <w:pPr>
              <w:jc w:val="center"/>
            </w:pPr>
            <w:r w:rsidRPr="004A1983">
              <w:t>G</w:t>
            </w:r>
            <w:r w:rsidRPr="004A1983">
              <w:rPr>
                <w:vertAlign w:val="subscript"/>
              </w:rPr>
              <w:t>3</w:t>
            </w:r>
          </w:p>
        </w:tc>
        <w:tc>
          <w:tcPr>
            <w:tcW w:w="458" w:type="dxa"/>
          </w:tcPr>
          <w:p w:rsidR="004A1983" w:rsidRPr="004A1983" w:rsidRDefault="004A1983" w:rsidP="004A1983">
            <w:pPr>
              <w:jc w:val="center"/>
            </w:pPr>
            <w:r w:rsidRPr="004A1983">
              <w:sym w:font="Symbol" w:char="F02D"/>
            </w:r>
            <w:r w:rsidRPr="004A1983">
              <w:sym w:font="Symbol" w:char="F02D"/>
            </w:r>
          </w:p>
        </w:tc>
        <w:tc>
          <w:tcPr>
            <w:tcW w:w="417" w:type="dxa"/>
          </w:tcPr>
          <w:p w:rsidR="004A1983" w:rsidRPr="004A1983" w:rsidRDefault="004A1983" w:rsidP="004A1983">
            <w:pPr>
              <w:jc w:val="center"/>
            </w:pPr>
            <w:r w:rsidRPr="004A1983">
              <w:t>0</w:t>
            </w:r>
            <w:r w:rsidRPr="004A1983">
              <w:rPr>
                <w:vertAlign w:val="subscript"/>
              </w:rPr>
              <w:t>3</w:t>
            </w:r>
          </w:p>
        </w:tc>
      </w:tr>
    </w:tbl>
    <w:p w:rsidR="004A1983" w:rsidRPr="004A1983" w:rsidRDefault="004A1983" w:rsidP="004A1983">
      <w:pPr>
        <w:jc w:val="both"/>
        <w:rPr>
          <w:rFonts w:eastAsia="Calibri"/>
          <w:sz w:val="22"/>
          <w:szCs w:val="22"/>
        </w:rPr>
      </w:pPr>
      <w:r w:rsidRPr="004A1983">
        <w:rPr>
          <w:i/>
          <w:sz w:val="22"/>
          <w:szCs w:val="22"/>
        </w:rPr>
        <w:t xml:space="preserve">Figura 1. </w:t>
      </w:r>
      <w:r w:rsidRPr="004A1983">
        <w:rPr>
          <w:rFonts w:eastAsia="Calibri"/>
          <w:sz w:val="22"/>
          <w:szCs w:val="22"/>
        </w:rPr>
        <w:t xml:space="preserve">Simbología del diseño de investigación según </w:t>
      </w:r>
      <w:r w:rsidR="00622E1F">
        <w:rPr>
          <w:rFonts w:eastAsia="Calibri"/>
          <w:sz w:val="22"/>
          <w:szCs w:val="22"/>
        </w:rPr>
        <w:t>Hernández, Fernández &amp;</w:t>
      </w:r>
      <w:r w:rsidR="000C0437">
        <w:rPr>
          <w:rFonts w:eastAsia="Calibri"/>
          <w:sz w:val="22"/>
          <w:szCs w:val="22"/>
        </w:rPr>
        <w:t xml:space="preserve"> Baptista</w:t>
      </w:r>
      <w:r w:rsidRPr="004A1983">
        <w:rPr>
          <w:rFonts w:eastAsia="Calibri"/>
          <w:sz w:val="22"/>
          <w:szCs w:val="22"/>
        </w:rPr>
        <w:t xml:space="preserve"> (2003).</w:t>
      </w:r>
    </w:p>
    <w:p w:rsidR="00B759C0" w:rsidRPr="00A5584D" w:rsidRDefault="00B759C0" w:rsidP="006D3B17">
      <w:pPr>
        <w:pStyle w:val="Prrafodelista"/>
        <w:rPr>
          <w:b/>
          <w:sz w:val="22"/>
          <w:szCs w:val="22"/>
        </w:rPr>
      </w:pPr>
    </w:p>
    <w:p w:rsidR="00B759C0" w:rsidRPr="00A5584D" w:rsidRDefault="00B759C0" w:rsidP="006D3B17">
      <w:pPr>
        <w:jc w:val="center"/>
        <w:rPr>
          <w:b/>
          <w:i/>
          <w:sz w:val="22"/>
          <w:szCs w:val="22"/>
        </w:rPr>
      </w:pPr>
      <w:r w:rsidRPr="00A5584D">
        <w:rPr>
          <w:b/>
          <w:i/>
          <w:sz w:val="22"/>
          <w:szCs w:val="22"/>
        </w:rPr>
        <w:t>Muestra y muestreo</w:t>
      </w:r>
    </w:p>
    <w:p w:rsidR="00B759C0" w:rsidRPr="00A5584D" w:rsidRDefault="00B759C0" w:rsidP="006D3B17">
      <w:pPr>
        <w:jc w:val="center"/>
        <w:rPr>
          <w:b/>
          <w:i/>
          <w:sz w:val="22"/>
          <w:szCs w:val="22"/>
        </w:rPr>
      </w:pPr>
    </w:p>
    <w:p w:rsidR="00B759C0" w:rsidRPr="00A5584D" w:rsidRDefault="008D7C60" w:rsidP="006D3B17">
      <w:pPr>
        <w:pStyle w:val="Normal2"/>
        <w:ind w:firstLine="708"/>
        <w:jc w:val="both"/>
        <w:rPr>
          <w:sz w:val="22"/>
          <w:szCs w:val="22"/>
        </w:rPr>
      </w:pPr>
      <w:r w:rsidRPr="00A5584D">
        <w:rPr>
          <w:sz w:val="22"/>
          <w:szCs w:val="22"/>
        </w:rPr>
        <w:t>La muestra estuvo</w:t>
      </w:r>
      <w:r w:rsidR="00B759C0" w:rsidRPr="00A5584D">
        <w:rPr>
          <w:sz w:val="22"/>
          <w:szCs w:val="22"/>
        </w:rPr>
        <w:t xml:space="preserve"> conformada por 30 estudiantes de la Universidad Central de Venezuela (UCV) de ambos sexos, distribuidos en partes iguales de 15 hombres y 15 mujeres, con edades comprendidas entre los 20 y 3</w:t>
      </w:r>
      <w:r w:rsidRPr="00A5584D">
        <w:rPr>
          <w:sz w:val="22"/>
          <w:szCs w:val="22"/>
        </w:rPr>
        <w:t>0 años de edad, que no utilizaran</w:t>
      </w:r>
      <w:r w:rsidR="00B759C0" w:rsidRPr="00A5584D">
        <w:rPr>
          <w:sz w:val="22"/>
          <w:szCs w:val="22"/>
        </w:rPr>
        <w:t xml:space="preserve"> anteojos</w:t>
      </w:r>
      <w:r w:rsidRPr="00A5584D">
        <w:rPr>
          <w:sz w:val="22"/>
          <w:szCs w:val="22"/>
        </w:rPr>
        <w:t xml:space="preserve"> y que no tuvieran</w:t>
      </w:r>
      <w:r w:rsidR="00B759C0" w:rsidRPr="00A5584D">
        <w:rPr>
          <w:sz w:val="22"/>
          <w:szCs w:val="22"/>
        </w:rPr>
        <w:t xml:space="preserve"> tatuajes. Se utiliz</w:t>
      </w:r>
      <w:r w:rsidRPr="00A5584D">
        <w:rPr>
          <w:sz w:val="22"/>
          <w:szCs w:val="22"/>
        </w:rPr>
        <w:t>ó</w:t>
      </w:r>
      <w:r w:rsidR="00B759C0" w:rsidRPr="00A5584D">
        <w:rPr>
          <w:sz w:val="22"/>
          <w:szCs w:val="22"/>
        </w:rPr>
        <w:t xml:space="preserve"> un muestreo no probabilístico y po</w:t>
      </w:r>
      <w:r w:rsidR="0020572E">
        <w:rPr>
          <w:sz w:val="22"/>
          <w:szCs w:val="22"/>
        </w:rPr>
        <w:t>r conv</w:t>
      </w:r>
      <w:r w:rsidR="00622E1F">
        <w:rPr>
          <w:sz w:val="22"/>
          <w:szCs w:val="22"/>
        </w:rPr>
        <w:t>eniencia (Hernández, Fernández &amp;</w:t>
      </w:r>
      <w:r w:rsidR="0020572E">
        <w:rPr>
          <w:sz w:val="22"/>
          <w:szCs w:val="22"/>
        </w:rPr>
        <w:t xml:space="preserve"> Baptista</w:t>
      </w:r>
      <w:r w:rsidR="00B759C0" w:rsidRPr="00A5584D">
        <w:rPr>
          <w:sz w:val="22"/>
          <w:szCs w:val="22"/>
        </w:rPr>
        <w:t>, 2003)</w:t>
      </w:r>
      <w:r w:rsidRPr="00A5584D">
        <w:rPr>
          <w:sz w:val="22"/>
          <w:szCs w:val="22"/>
        </w:rPr>
        <w:t>, ya que se seleccionó</w:t>
      </w:r>
      <w:r w:rsidR="00B759C0" w:rsidRPr="00A5584D">
        <w:rPr>
          <w:sz w:val="22"/>
          <w:szCs w:val="22"/>
        </w:rPr>
        <w:t>, de forma no aleatoria, a los sujetos dentro de la Universidad Central de Venezuela</w:t>
      </w:r>
      <w:r w:rsidRPr="00A5584D">
        <w:rPr>
          <w:sz w:val="22"/>
          <w:szCs w:val="22"/>
        </w:rPr>
        <w:t xml:space="preserve"> que cumplía</w:t>
      </w:r>
      <w:r w:rsidR="00B759C0" w:rsidRPr="00A5584D">
        <w:rPr>
          <w:sz w:val="22"/>
          <w:szCs w:val="22"/>
        </w:rPr>
        <w:t>n con las características convenientes y necesarias para ser partícipes de la investigación.</w:t>
      </w:r>
    </w:p>
    <w:p w:rsidR="002876D2" w:rsidRPr="00A5584D" w:rsidRDefault="002876D2" w:rsidP="006D3B17">
      <w:pPr>
        <w:pStyle w:val="Normal2"/>
        <w:ind w:firstLine="708"/>
        <w:jc w:val="both"/>
        <w:rPr>
          <w:sz w:val="22"/>
          <w:szCs w:val="22"/>
        </w:rPr>
      </w:pPr>
    </w:p>
    <w:p w:rsidR="00B759C0" w:rsidRPr="00A5584D" w:rsidRDefault="00B759C0" w:rsidP="006D3B17">
      <w:pPr>
        <w:pStyle w:val="Normal2"/>
        <w:jc w:val="center"/>
        <w:rPr>
          <w:b/>
          <w:i/>
          <w:sz w:val="22"/>
          <w:szCs w:val="22"/>
        </w:rPr>
      </w:pPr>
      <w:r w:rsidRPr="00A5584D">
        <w:rPr>
          <w:b/>
          <w:i/>
          <w:sz w:val="22"/>
          <w:szCs w:val="22"/>
        </w:rPr>
        <w:t>Ambiente y materiales empleados</w:t>
      </w:r>
    </w:p>
    <w:p w:rsidR="00B759C0" w:rsidRPr="00A5584D" w:rsidRDefault="00B759C0" w:rsidP="006D3B17">
      <w:pPr>
        <w:pStyle w:val="Normal2"/>
        <w:jc w:val="center"/>
        <w:rPr>
          <w:b/>
          <w:i/>
          <w:sz w:val="22"/>
          <w:szCs w:val="22"/>
        </w:rPr>
      </w:pPr>
    </w:p>
    <w:p w:rsidR="00B759C0" w:rsidRPr="001223BB" w:rsidRDefault="00B759C0" w:rsidP="006D3B17">
      <w:pPr>
        <w:pStyle w:val="Normal2"/>
        <w:ind w:firstLine="708"/>
        <w:jc w:val="both"/>
        <w:rPr>
          <w:sz w:val="22"/>
          <w:szCs w:val="22"/>
        </w:rPr>
      </w:pPr>
      <w:r w:rsidRPr="001223BB">
        <w:rPr>
          <w:sz w:val="22"/>
          <w:szCs w:val="22"/>
        </w:rPr>
        <w:t xml:space="preserve">El ambiente </w:t>
      </w:r>
      <w:r w:rsidR="001223BB" w:rsidRPr="001223BB">
        <w:rPr>
          <w:sz w:val="22"/>
          <w:szCs w:val="22"/>
        </w:rPr>
        <w:t>en el que se realizó la</w:t>
      </w:r>
      <w:r w:rsidRPr="001223BB">
        <w:rPr>
          <w:sz w:val="22"/>
          <w:szCs w:val="22"/>
        </w:rPr>
        <w:t xml:space="preserve"> intervención </w:t>
      </w:r>
      <w:r w:rsidR="004F3AEA" w:rsidRPr="001223BB">
        <w:rPr>
          <w:sz w:val="22"/>
          <w:szCs w:val="22"/>
        </w:rPr>
        <w:t>fue</w:t>
      </w:r>
      <w:r w:rsidRPr="001223BB">
        <w:rPr>
          <w:sz w:val="22"/>
          <w:szCs w:val="22"/>
        </w:rPr>
        <w:t xml:space="preserve"> un laboratorio de informática </w:t>
      </w:r>
      <w:r w:rsidR="004F3AEA" w:rsidRPr="001223BB">
        <w:rPr>
          <w:sz w:val="22"/>
          <w:szCs w:val="22"/>
        </w:rPr>
        <w:t>con</w:t>
      </w:r>
      <w:r w:rsidRPr="001223BB">
        <w:rPr>
          <w:sz w:val="22"/>
          <w:szCs w:val="22"/>
        </w:rPr>
        <w:t xml:space="preserve"> computadoras dispuestas de manera semicircular, ilumina</w:t>
      </w:r>
      <w:r w:rsidR="004F3AEA" w:rsidRPr="001223BB">
        <w:rPr>
          <w:sz w:val="22"/>
          <w:szCs w:val="22"/>
        </w:rPr>
        <w:t>do</w:t>
      </w:r>
      <w:r w:rsidRPr="001223BB">
        <w:rPr>
          <w:sz w:val="22"/>
          <w:szCs w:val="22"/>
        </w:rPr>
        <w:t xml:space="preserve"> </w:t>
      </w:r>
      <w:r w:rsidR="004F3AEA" w:rsidRPr="001223BB">
        <w:rPr>
          <w:sz w:val="22"/>
          <w:szCs w:val="22"/>
        </w:rPr>
        <w:t xml:space="preserve">y ventilado de forma adecuada </w:t>
      </w:r>
      <w:r w:rsidRPr="001223BB">
        <w:rPr>
          <w:sz w:val="22"/>
          <w:szCs w:val="22"/>
        </w:rPr>
        <w:t>y ubicado en un área alejada del tránsito constante de personas, garantizando un espacio libre de interrupciones sonoras</w:t>
      </w:r>
      <w:r w:rsidR="004F3AEA" w:rsidRPr="001223BB">
        <w:rPr>
          <w:sz w:val="22"/>
          <w:szCs w:val="22"/>
        </w:rPr>
        <w:t xml:space="preserve"> que pu</w:t>
      </w:r>
      <w:r w:rsidRPr="001223BB">
        <w:rPr>
          <w:sz w:val="22"/>
          <w:szCs w:val="22"/>
        </w:rPr>
        <w:t>d</w:t>
      </w:r>
      <w:r w:rsidR="004F3AEA" w:rsidRPr="001223BB">
        <w:rPr>
          <w:sz w:val="22"/>
          <w:szCs w:val="22"/>
        </w:rPr>
        <w:t>ier</w:t>
      </w:r>
      <w:r w:rsidRPr="001223BB">
        <w:rPr>
          <w:sz w:val="22"/>
          <w:szCs w:val="22"/>
        </w:rPr>
        <w:t>an generar distracción en los participantes o que interrump</w:t>
      </w:r>
      <w:r w:rsidR="004F3AEA" w:rsidRPr="001223BB">
        <w:rPr>
          <w:sz w:val="22"/>
          <w:szCs w:val="22"/>
        </w:rPr>
        <w:t>ier</w:t>
      </w:r>
      <w:r w:rsidRPr="001223BB">
        <w:rPr>
          <w:sz w:val="22"/>
          <w:szCs w:val="22"/>
        </w:rPr>
        <w:t>an las instrucciones del equipo investigador.</w:t>
      </w:r>
    </w:p>
    <w:p w:rsidR="00B759C0" w:rsidRPr="001223BB" w:rsidRDefault="00B759C0" w:rsidP="006D3B17">
      <w:pPr>
        <w:pStyle w:val="Normal2"/>
        <w:ind w:firstLine="708"/>
        <w:jc w:val="both"/>
        <w:rPr>
          <w:sz w:val="22"/>
          <w:szCs w:val="22"/>
        </w:rPr>
      </w:pPr>
    </w:p>
    <w:p w:rsidR="00A5584D" w:rsidRPr="001223BB" w:rsidRDefault="00B759C0" w:rsidP="006D3B17">
      <w:pPr>
        <w:pStyle w:val="Normal2"/>
        <w:ind w:firstLine="708"/>
        <w:jc w:val="both"/>
        <w:rPr>
          <w:sz w:val="22"/>
          <w:szCs w:val="22"/>
        </w:rPr>
      </w:pPr>
      <w:r w:rsidRPr="001223BB">
        <w:rPr>
          <w:sz w:val="22"/>
          <w:szCs w:val="22"/>
        </w:rPr>
        <w:t xml:space="preserve">De este laboratorio </w:t>
      </w:r>
      <w:r w:rsidR="004F3AEA" w:rsidRPr="001223BB">
        <w:rPr>
          <w:sz w:val="22"/>
          <w:szCs w:val="22"/>
        </w:rPr>
        <w:t>se utilizaro</w:t>
      </w:r>
      <w:r w:rsidRPr="001223BB">
        <w:rPr>
          <w:sz w:val="22"/>
          <w:szCs w:val="22"/>
        </w:rPr>
        <w:t>n 10 computadoras</w:t>
      </w:r>
      <w:r w:rsidR="007D5F83">
        <w:rPr>
          <w:sz w:val="22"/>
          <w:szCs w:val="22"/>
        </w:rPr>
        <w:t xml:space="preserve"> para</w:t>
      </w:r>
      <w:r w:rsidRPr="001223BB">
        <w:rPr>
          <w:sz w:val="22"/>
          <w:szCs w:val="22"/>
        </w:rPr>
        <w:t xml:space="preserve"> present</w:t>
      </w:r>
      <w:r w:rsidR="007D5F83">
        <w:rPr>
          <w:sz w:val="22"/>
          <w:szCs w:val="22"/>
        </w:rPr>
        <w:t>ar</w:t>
      </w:r>
      <w:r w:rsidRPr="001223BB">
        <w:rPr>
          <w:sz w:val="22"/>
          <w:szCs w:val="22"/>
        </w:rPr>
        <w:t xml:space="preserve"> los siguientes materiales: </w:t>
      </w:r>
      <w:r w:rsidR="007D5F83">
        <w:rPr>
          <w:sz w:val="22"/>
          <w:szCs w:val="22"/>
        </w:rPr>
        <w:br/>
      </w:r>
      <w:r w:rsidRPr="001223BB">
        <w:rPr>
          <w:sz w:val="22"/>
          <w:szCs w:val="22"/>
        </w:rPr>
        <w:t xml:space="preserve">1) tres presentaciones de PowerPoint </w:t>
      </w:r>
      <w:r w:rsidR="00BD5DA1">
        <w:rPr>
          <w:sz w:val="22"/>
          <w:szCs w:val="22"/>
        </w:rPr>
        <w:t xml:space="preserve">con las imágenes estímulo </w:t>
      </w:r>
      <w:r w:rsidR="004F3AEA" w:rsidRPr="001223BB">
        <w:rPr>
          <w:sz w:val="22"/>
          <w:szCs w:val="22"/>
        </w:rPr>
        <w:t>exhibidas</w:t>
      </w:r>
      <w:r w:rsidRPr="001223BB">
        <w:rPr>
          <w:sz w:val="22"/>
          <w:szCs w:val="22"/>
        </w:rPr>
        <w:t xml:space="preserve"> a los grupos según su condición: una con 10 fotografías de mujeres tatuadas usando anteojos, otra con 10 fotografías de las mismas mujeres tatuadas pero usando lentes de sol y otra con imágenes de la naturaleza para </w:t>
      </w:r>
      <w:r w:rsidR="004F3AEA" w:rsidRPr="001223BB">
        <w:rPr>
          <w:sz w:val="22"/>
          <w:szCs w:val="22"/>
        </w:rPr>
        <w:t>el</w:t>
      </w:r>
      <w:r w:rsidRPr="001223BB">
        <w:rPr>
          <w:sz w:val="22"/>
          <w:szCs w:val="22"/>
        </w:rPr>
        <w:t xml:space="preserve"> grupo control; 2) un IAT de prueba con temática de la naturaleza para familiarizar a los participantes con el uso de este instrumento;</w:t>
      </w:r>
      <w:r w:rsidR="00BD5DA1">
        <w:rPr>
          <w:sz w:val="22"/>
          <w:szCs w:val="22"/>
        </w:rPr>
        <w:t xml:space="preserve"> </w:t>
      </w:r>
      <w:r w:rsidRPr="001223BB">
        <w:rPr>
          <w:sz w:val="22"/>
          <w:szCs w:val="22"/>
        </w:rPr>
        <w:t xml:space="preserve">3) el IAT de la investigación y 4) un cuestionario electrónico realizado con Google Forms para registrar los datos demográficos </w:t>
      </w:r>
      <w:r w:rsidR="00BD5DA1">
        <w:rPr>
          <w:sz w:val="22"/>
          <w:szCs w:val="22"/>
        </w:rPr>
        <w:t>y</w:t>
      </w:r>
      <w:r w:rsidRPr="001223BB">
        <w:rPr>
          <w:sz w:val="22"/>
          <w:szCs w:val="22"/>
        </w:rPr>
        <w:t xml:space="preserve"> el consentimiento </w:t>
      </w:r>
      <w:r w:rsidR="00BD5DA1">
        <w:rPr>
          <w:sz w:val="22"/>
          <w:szCs w:val="22"/>
        </w:rPr>
        <w:t xml:space="preserve">informado de los participantes. </w:t>
      </w:r>
      <w:r w:rsidRPr="001223BB">
        <w:rPr>
          <w:sz w:val="22"/>
          <w:szCs w:val="22"/>
        </w:rPr>
        <w:t xml:space="preserve">Adicionalmente, fueron requeridas 10 hojas de consentimiento informado para las </w:t>
      </w:r>
      <w:r w:rsidRPr="001223BB">
        <w:rPr>
          <w:sz w:val="22"/>
          <w:szCs w:val="22"/>
        </w:rPr>
        <w:lastRenderedPageBreak/>
        <w:t>mujeres de las fotografías ut</w:t>
      </w:r>
      <w:r w:rsidR="00BD5DA1">
        <w:rPr>
          <w:sz w:val="22"/>
          <w:szCs w:val="22"/>
        </w:rPr>
        <w:t>ilizadas como imágenes estímulo, cumpliendo así con el carácter ético y profesional de la investigación.</w:t>
      </w:r>
    </w:p>
    <w:p w:rsidR="00B759C0" w:rsidRPr="001223BB" w:rsidRDefault="00B759C0" w:rsidP="006D3B17">
      <w:pPr>
        <w:pStyle w:val="Normal2"/>
        <w:jc w:val="center"/>
        <w:rPr>
          <w:b/>
          <w:i/>
          <w:sz w:val="22"/>
          <w:szCs w:val="22"/>
        </w:rPr>
      </w:pPr>
      <w:r w:rsidRPr="001223BB">
        <w:rPr>
          <w:b/>
          <w:i/>
          <w:sz w:val="22"/>
          <w:szCs w:val="22"/>
        </w:rPr>
        <w:t>Instrumento de medición</w:t>
      </w:r>
    </w:p>
    <w:p w:rsidR="009B60DE" w:rsidRPr="001223BB" w:rsidRDefault="009B60DE" w:rsidP="006D3B17">
      <w:pPr>
        <w:pStyle w:val="Normal2"/>
        <w:jc w:val="center"/>
        <w:rPr>
          <w:b/>
          <w:i/>
          <w:sz w:val="22"/>
          <w:szCs w:val="22"/>
        </w:rPr>
      </w:pPr>
    </w:p>
    <w:p w:rsidR="00B759C0" w:rsidRPr="001223BB" w:rsidRDefault="00B759C0" w:rsidP="006D3B17">
      <w:pPr>
        <w:pStyle w:val="Normal2"/>
        <w:ind w:firstLine="708"/>
        <w:jc w:val="both"/>
        <w:rPr>
          <w:sz w:val="22"/>
          <w:szCs w:val="22"/>
        </w:rPr>
      </w:pPr>
      <w:r w:rsidRPr="001223BB">
        <w:rPr>
          <w:sz w:val="22"/>
          <w:szCs w:val="22"/>
        </w:rPr>
        <w:t xml:space="preserve">El Test de Asociación Implícita (IAT), diseñado por </w:t>
      </w:r>
      <w:r w:rsidR="00622E1F">
        <w:rPr>
          <w:rFonts w:eastAsia="Calibri"/>
          <w:sz w:val="22"/>
          <w:szCs w:val="22"/>
        </w:rPr>
        <w:t>Greenwald, McGhee &amp;</w:t>
      </w:r>
      <w:r w:rsidRPr="001223BB">
        <w:rPr>
          <w:rFonts w:eastAsia="Calibri"/>
          <w:sz w:val="22"/>
          <w:szCs w:val="22"/>
        </w:rPr>
        <w:t xml:space="preserve"> Schawrtz</w:t>
      </w:r>
      <w:r w:rsidRPr="001223BB">
        <w:rPr>
          <w:sz w:val="22"/>
          <w:szCs w:val="22"/>
        </w:rPr>
        <w:t xml:space="preserve"> (1998), es una medida basada en tiempos de reacción que permite evaluar el prejuicio implícito hacia determinados grupos. En él se presentan diversos estímulos que deberán clasificarse según dos opciones de respuesta en cada una de las cinco fases del procedimiento, donde las fases 3 y 5 son cruciales, dado que el resultado final del IAT proviene de la diferencia en los tiempos de respuesta entre estos momentos divididos entre la desviación estándar de las latencias para ambas tareas, lo que arroja el llamado “algoritmo D” que es calculado automáticamente por el programa y da cuenta, según las diversas latencias, del nivel de prejuicio de los participantes (Tosi, Ledesma, </w:t>
      </w:r>
      <w:r w:rsidR="00622E1F">
        <w:rPr>
          <w:sz w:val="22"/>
          <w:szCs w:val="22"/>
        </w:rPr>
        <w:t>Poó, Montes &amp;</w:t>
      </w:r>
      <w:r w:rsidRPr="001223BB">
        <w:rPr>
          <w:sz w:val="22"/>
          <w:szCs w:val="22"/>
        </w:rPr>
        <w:t xml:space="preserve"> López, 2017).</w:t>
      </w:r>
    </w:p>
    <w:p w:rsidR="00B759C0" w:rsidRPr="001223BB" w:rsidRDefault="00B759C0" w:rsidP="006D3B17">
      <w:pPr>
        <w:pStyle w:val="Normal2"/>
        <w:ind w:firstLine="708"/>
        <w:jc w:val="both"/>
        <w:rPr>
          <w:sz w:val="22"/>
          <w:szCs w:val="22"/>
        </w:rPr>
      </w:pPr>
    </w:p>
    <w:p w:rsidR="00B759C0" w:rsidRPr="001223BB" w:rsidRDefault="00B759C0" w:rsidP="006D3B17">
      <w:pPr>
        <w:pStyle w:val="Normal2"/>
        <w:ind w:firstLine="708"/>
        <w:jc w:val="both"/>
        <w:rPr>
          <w:sz w:val="22"/>
          <w:szCs w:val="22"/>
        </w:rPr>
      </w:pPr>
      <w:r w:rsidRPr="001223BB">
        <w:rPr>
          <w:sz w:val="22"/>
          <w:szCs w:val="22"/>
        </w:rPr>
        <w:t xml:space="preserve">En la primera fase del IAT </w:t>
      </w:r>
      <w:r w:rsidR="003A5CCF">
        <w:rPr>
          <w:sz w:val="22"/>
          <w:szCs w:val="22"/>
        </w:rPr>
        <w:t xml:space="preserve">de esta investigación </w:t>
      </w:r>
      <w:r w:rsidRPr="001223BB">
        <w:rPr>
          <w:sz w:val="22"/>
          <w:szCs w:val="22"/>
        </w:rPr>
        <w:t xml:space="preserve">se presentan las categorías relacionadas con las imágenes, permitiendo al participante familiarizarse con las categorías “mujeres tatuadas” y “mujeres no tatuadas”. La fase dos presenta las categorías relacionadas con los adjetivos calificativos, permitiendo al participante aprender las categorías “palabras positivas” y “palabras negativas”. La tercera fase consiste en el </w:t>
      </w:r>
      <w:r w:rsidRPr="001223BB">
        <w:rPr>
          <w:i/>
          <w:sz w:val="22"/>
          <w:szCs w:val="22"/>
        </w:rPr>
        <w:t xml:space="preserve">bloque compatible, </w:t>
      </w:r>
      <w:r w:rsidRPr="001223BB">
        <w:rPr>
          <w:sz w:val="22"/>
          <w:szCs w:val="22"/>
        </w:rPr>
        <w:t xml:space="preserve">en donde se presentan las categorías anteriores de forma conjunta de la siguiente manera: “mujeres tatuadas + palabras negativas” y “mujeres no tatuadas + palabras positivas”, de modo que la clasificación se hace de manera combinada. La cuarta fase es igual a la primera pero con cada categoría presentada en el lado opuesto al de la primera fase. La quinta fase consiste en el </w:t>
      </w:r>
      <w:r w:rsidRPr="001223BB">
        <w:rPr>
          <w:i/>
          <w:sz w:val="22"/>
          <w:szCs w:val="22"/>
        </w:rPr>
        <w:t xml:space="preserve">bloque incompatible, </w:t>
      </w:r>
      <w:r w:rsidRPr="001223BB">
        <w:rPr>
          <w:sz w:val="22"/>
          <w:szCs w:val="22"/>
        </w:rPr>
        <w:t xml:space="preserve">en donde se presentan las categorías de forma conjunta nuevamente pero de la siguiente manera: “mujeres tatuadas + palabras positivas” y “mujeres no tatuadas + palabras negativas”. </w:t>
      </w:r>
    </w:p>
    <w:p w:rsidR="008502A1" w:rsidRPr="001223BB" w:rsidRDefault="008502A1" w:rsidP="006D3B17">
      <w:pPr>
        <w:pStyle w:val="Normal2"/>
        <w:ind w:firstLine="708"/>
        <w:jc w:val="both"/>
        <w:rPr>
          <w:sz w:val="22"/>
          <w:szCs w:val="22"/>
        </w:rPr>
      </w:pPr>
    </w:p>
    <w:p w:rsidR="00B759C0" w:rsidRPr="001223BB" w:rsidRDefault="00B759C0" w:rsidP="006D3B17">
      <w:pPr>
        <w:ind w:firstLine="708"/>
        <w:jc w:val="both"/>
        <w:rPr>
          <w:rFonts w:eastAsia="Calibri"/>
          <w:sz w:val="22"/>
          <w:szCs w:val="22"/>
        </w:rPr>
      </w:pPr>
      <w:r w:rsidRPr="001223BB">
        <w:rPr>
          <w:rFonts w:eastAsia="Calibri"/>
          <w:sz w:val="22"/>
          <w:szCs w:val="22"/>
        </w:rPr>
        <w:t xml:space="preserve">El IAT elaborado para esta investigación incluye 10 imágenes de mujeres no tatuadas y 10 imágenes de mujeres tatuadas; además de una lista de 10 adjetivos positivos asociados con las mujeres no tatuadas y 10 adjetivos negativos asociados con las mujeres tatuadas, los cuales fueron seleccionados a partir de una encuesta hecha </w:t>
      </w:r>
      <w:r w:rsidR="000C0437">
        <w:rPr>
          <w:rFonts w:eastAsia="Calibri"/>
          <w:sz w:val="22"/>
          <w:szCs w:val="22"/>
        </w:rPr>
        <w:t>a 20 estudiantes universitarios</w:t>
      </w:r>
      <w:r w:rsidRPr="001223BB">
        <w:rPr>
          <w:rFonts w:eastAsia="Calibri"/>
          <w:sz w:val="22"/>
          <w:szCs w:val="22"/>
        </w:rPr>
        <w:t>, de ambos sexos, a quienes se les preguntó qué palabras consideraban que describían a las mujeres con y sin tatuajes, de las cuales se seleccionaron aquellas que se presentaran de forma más recurrente.</w:t>
      </w:r>
    </w:p>
    <w:p w:rsidR="00B759C0" w:rsidRPr="001223BB" w:rsidRDefault="00B759C0" w:rsidP="006D3B17">
      <w:pPr>
        <w:pStyle w:val="Normal2"/>
        <w:jc w:val="both"/>
        <w:rPr>
          <w:sz w:val="22"/>
          <w:szCs w:val="22"/>
        </w:rPr>
      </w:pPr>
    </w:p>
    <w:p w:rsidR="00B759C0" w:rsidRPr="001223BB" w:rsidRDefault="00B759C0" w:rsidP="006D3B17">
      <w:pPr>
        <w:pStyle w:val="Normal2"/>
        <w:jc w:val="both"/>
        <w:rPr>
          <w:sz w:val="22"/>
          <w:szCs w:val="22"/>
        </w:rPr>
      </w:pPr>
      <w:r w:rsidRPr="001223BB">
        <w:rPr>
          <w:sz w:val="22"/>
          <w:szCs w:val="22"/>
        </w:rPr>
        <w:tab/>
        <w:t>Para la validación de este instrumento se contó con la evaluación de do</w:t>
      </w:r>
      <w:r w:rsidR="001223BB" w:rsidRPr="001223BB">
        <w:rPr>
          <w:sz w:val="22"/>
          <w:szCs w:val="22"/>
        </w:rPr>
        <w:t>s expertos teóricos</w:t>
      </w:r>
      <w:r w:rsidRPr="001223BB">
        <w:rPr>
          <w:sz w:val="22"/>
          <w:szCs w:val="22"/>
        </w:rPr>
        <w:t>, quienes valoraron aspectos del IAT tales como la congruencia de las imágenes y adjetivos con las categorías a las que pertenecen y la adecuación de los nombres de las categorías. En términos generales, el instrumento fue considerado óptimo.</w:t>
      </w:r>
    </w:p>
    <w:p w:rsidR="00B759C0" w:rsidRPr="001223BB" w:rsidRDefault="00B759C0" w:rsidP="006D3B17">
      <w:pPr>
        <w:pStyle w:val="Normal2"/>
        <w:jc w:val="both"/>
        <w:rPr>
          <w:sz w:val="22"/>
          <w:szCs w:val="22"/>
        </w:rPr>
      </w:pPr>
    </w:p>
    <w:p w:rsidR="00B759C0" w:rsidRPr="001223BB" w:rsidRDefault="00D56D86" w:rsidP="006D3B17">
      <w:pPr>
        <w:pStyle w:val="Normal2"/>
        <w:jc w:val="center"/>
        <w:rPr>
          <w:b/>
          <w:i/>
          <w:sz w:val="22"/>
          <w:szCs w:val="22"/>
        </w:rPr>
      </w:pPr>
      <w:r>
        <w:rPr>
          <w:b/>
          <w:i/>
          <w:sz w:val="22"/>
          <w:szCs w:val="22"/>
        </w:rPr>
        <w:t>Estadístico</w:t>
      </w:r>
    </w:p>
    <w:p w:rsidR="00B759C0" w:rsidRPr="001223BB" w:rsidRDefault="00B759C0" w:rsidP="006D3B17">
      <w:pPr>
        <w:pStyle w:val="Normal2"/>
        <w:jc w:val="center"/>
        <w:rPr>
          <w:b/>
          <w:i/>
          <w:sz w:val="22"/>
          <w:szCs w:val="22"/>
        </w:rPr>
      </w:pPr>
    </w:p>
    <w:p w:rsidR="002876D2" w:rsidRPr="001223BB" w:rsidRDefault="00B759C0" w:rsidP="006D3B17">
      <w:pPr>
        <w:pStyle w:val="Normal2"/>
        <w:ind w:firstLine="708"/>
        <w:jc w:val="both"/>
        <w:rPr>
          <w:sz w:val="22"/>
          <w:szCs w:val="22"/>
        </w:rPr>
      </w:pPr>
      <w:r w:rsidRPr="001223BB">
        <w:rPr>
          <w:sz w:val="22"/>
          <w:szCs w:val="22"/>
        </w:rPr>
        <w:t>Al tratarse de una investigación de tres grupos relacionados (dos experimentales y uno control), una unidad de medida ordinal en la variable dependiente (prejuicio implícito</w:t>
      </w:r>
      <w:r w:rsidR="003A5CCF">
        <w:rPr>
          <w:sz w:val="22"/>
          <w:szCs w:val="22"/>
        </w:rPr>
        <w:t xml:space="preserve"> hacia mujeres con tatuajes visibles</w:t>
      </w:r>
      <w:r w:rsidRPr="001223BB">
        <w:rPr>
          <w:sz w:val="22"/>
          <w:szCs w:val="22"/>
        </w:rPr>
        <w:t xml:space="preserve">) y </w:t>
      </w:r>
      <w:r w:rsidR="002876D2" w:rsidRPr="001223BB">
        <w:rPr>
          <w:sz w:val="22"/>
          <w:szCs w:val="22"/>
        </w:rPr>
        <w:t>grupos inferiores a 30 sujetos</w:t>
      </w:r>
      <w:r w:rsidRPr="001223BB">
        <w:rPr>
          <w:sz w:val="22"/>
          <w:szCs w:val="22"/>
        </w:rPr>
        <w:t>,</w:t>
      </w:r>
      <w:r w:rsidR="002876D2" w:rsidRPr="001223BB">
        <w:rPr>
          <w:sz w:val="22"/>
          <w:szCs w:val="22"/>
        </w:rPr>
        <w:t xml:space="preserve"> se procedió a utilizar la</w:t>
      </w:r>
      <w:r w:rsidRPr="001223BB">
        <w:rPr>
          <w:sz w:val="22"/>
          <w:szCs w:val="22"/>
        </w:rPr>
        <w:t xml:space="preserve"> prueba </w:t>
      </w:r>
      <w:r w:rsidR="002876D2" w:rsidRPr="001223BB">
        <w:rPr>
          <w:sz w:val="22"/>
          <w:szCs w:val="22"/>
        </w:rPr>
        <w:t>no paramétrica de Friedman</w:t>
      </w:r>
      <w:r w:rsidRPr="001223BB">
        <w:rPr>
          <w:sz w:val="22"/>
          <w:szCs w:val="22"/>
        </w:rPr>
        <w:t>, debido a que es el estadístico que más se adapta a fin de determinar si existen diferencias significativas entre los resultados obtenidos por los grupos.</w:t>
      </w:r>
      <w:r w:rsidR="002876D2" w:rsidRPr="001223BB">
        <w:rPr>
          <w:sz w:val="22"/>
          <w:szCs w:val="22"/>
        </w:rPr>
        <w:t xml:space="preserve">  </w:t>
      </w:r>
    </w:p>
    <w:p w:rsidR="001223BB" w:rsidRPr="001223BB" w:rsidRDefault="001223BB" w:rsidP="00345E71">
      <w:pPr>
        <w:pStyle w:val="Normal2"/>
        <w:jc w:val="both"/>
        <w:rPr>
          <w:sz w:val="22"/>
          <w:szCs w:val="22"/>
        </w:rPr>
      </w:pPr>
    </w:p>
    <w:p w:rsidR="00B759C0" w:rsidRPr="001223BB" w:rsidRDefault="00B759C0" w:rsidP="006D3B17">
      <w:pPr>
        <w:pStyle w:val="Normal2"/>
        <w:jc w:val="center"/>
        <w:rPr>
          <w:b/>
          <w:i/>
          <w:sz w:val="22"/>
          <w:szCs w:val="22"/>
        </w:rPr>
      </w:pPr>
      <w:r w:rsidRPr="001223BB">
        <w:rPr>
          <w:b/>
          <w:i/>
          <w:sz w:val="22"/>
          <w:szCs w:val="22"/>
        </w:rPr>
        <w:t>Procedimiento</w:t>
      </w:r>
    </w:p>
    <w:p w:rsidR="00B759C0" w:rsidRPr="001223BB" w:rsidRDefault="00B759C0" w:rsidP="006D3B17">
      <w:pPr>
        <w:pStyle w:val="Normal2"/>
        <w:jc w:val="center"/>
        <w:rPr>
          <w:b/>
          <w:i/>
          <w:sz w:val="22"/>
          <w:szCs w:val="22"/>
        </w:rPr>
      </w:pPr>
    </w:p>
    <w:p w:rsidR="00B759C0" w:rsidRPr="00A5584D" w:rsidRDefault="00B759C0" w:rsidP="006D3B17">
      <w:pPr>
        <w:ind w:firstLine="708"/>
        <w:jc w:val="both"/>
        <w:rPr>
          <w:rFonts w:eastAsia="Calibri"/>
          <w:sz w:val="22"/>
          <w:szCs w:val="22"/>
        </w:rPr>
      </w:pPr>
      <w:r w:rsidRPr="001223BB">
        <w:rPr>
          <w:rFonts w:eastAsia="Calibri"/>
          <w:sz w:val="22"/>
          <w:szCs w:val="22"/>
        </w:rPr>
        <w:t xml:space="preserve">Para todos </w:t>
      </w:r>
      <w:r w:rsidR="004F3AEA" w:rsidRPr="001223BB">
        <w:rPr>
          <w:rFonts w:eastAsia="Calibri"/>
          <w:sz w:val="22"/>
          <w:szCs w:val="22"/>
        </w:rPr>
        <w:t>los grupos primero se solicitó</w:t>
      </w:r>
      <w:r w:rsidRPr="001223BB">
        <w:rPr>
          <w:rFonts w:eastAsia="Calibri"/>
          <w:sz w:val="22"/>
          <w:szCs w:val="22"/>
        </w:rPr>
        <w:t xml:space="preserve"> completar el cuestionario demográfico y dar su consentimiento informado. Seguidamente, a cada grupo </w:t>
      </w:r>
      <w:r w:rsidR="004F3AEA" w:rsidRPr="001223BB">
        <w:rPr>
          <w:rFonts w:eastAsia="Calibri"/>
          <w:sz w:val="22"/>
          <w:szCs w:val="22"/>
        </w:rPr>
        <w:t>se les explicaron</w:t>
      </w:r>
      <w:r w:rsidRPr="001223BB">
        <w:rPr>
          <w:rFonts w:eastAsia="Calibri"/>
          <w:sz w:val="22"/>
          <w:szCs w:val="22"/>
        </w:rPr>
        <w:t xml:space="preserve"> las instrucciones de uso del IAT </w:t>
      </w:r>
      <w:r w:rsidR="004F3AEA" w:rsidRPr="001223BB">
        <w:rPr>
          <w:rFonts w:eastAsia="Calibri"/>
          <w:sz w:val="22"/>
          <w:szCs w:val="22"/>
        </w:rPr>
        <w:t>y se les colocó</w:t>
      </w:r>
      <w:r w:rsidRPr="00A5584D">
        <w:rPr>
          <w:rFonts w:eastAsia="Calibri"/>
          <w:sz w:val="22"/>
          <w:szCs w:val="22"/>
        </w:rPr>
        <w:t xml:space="preserve"> un test de muestra no relacionado con el contenido de la investigación (IAT sobre </w:t>
      </w:r>
      <w:r w:rsidRPr="00A5584D">
        <w:rPr>
          <w:rFonts w:eastAsia="Calibri"/>
          <w:sz w:val="22"/>
          <w:szCs w:val="22"/>
        </w:rPr>
        <w:lastRenderedPageBreak/>
        <w:t xml:space="preserve">la naturaleza: insectos y flores), para que </w:t>
      </w:r>
      <w:r w:rsidR="004F3AEA" w:rsidRPr="00A5584D">
        <w:rPr>
          <w:rFonts w:eastAsia="Calibri"/>
          <w:sz w:val="22"/>
          <w:szCs w:val="22"/>
        </w:rPr>
        <w:t>pusieran</w:t>
      </w:r>
      <w:r w:rsidRPr="00A5584D">
        <w:rPr>
          <w:rFonts w:eastAsia="Calibri"/>
          <w:sz w:val="22"/>
          <w:szCs w:val="22"/>
        </w:rPr>
        <w:t xml:space="preserve"> en práctica las instrucciones, se </w:t>
      </w:r>
      <w:r w:rsidR="004F3AEA" w:rsidRPr="00A5584D">
        <w:rPr>
          <w:rFonts w:eastAsia="Calibri"/>
          <w:sz w:val="22"/>
          <w:szCs w:val="22"/>
        </w:rPr>
        <w:t>familiarizaran</w:t>
      </w:r>
      <w:r w:rsidRPr="00A5584D">
        <w:rPr>
          <w:rFonts w:eastAsia="Calibri"/>
          <w:sz w:val="22"/>
          <w:szCs w:val="22"/>
        </w:rPr>
        <w:t xml:space="preserve"> con las fases y la forma de responder y se </w:t>
      </w:r>
      <w:r w:rsidR="0074093E" w:rsidRPr="00A5584D">
        <w:rPr>
          <w:rFonts w:eastAsia="Calibri"/>
          <w:sz w:val="22"/>
          <w:szCs w:val="22"/>
        </w:rPr>
        <w:t>pu</w:t>
      </w:r>
      <w:r w:rsidRPr="00A5584D">
        <w:rPr>
          <w:rFonts w:eastAsia="Calibri"/>
          <w:sz w:val="22"/>
          <w:szCs w:val="22"/>
        </w:rPr>
        <w:t>d</w:t>
      </w:r>
      <w:r w:rsidR="004F3AEA" w:rsidRPr="00A5584D">
        <w:rPr>
          <w:rFonts w:eastAsia="Calibri"/>
          <w:sz w:val="22"/>
          <w:szCs w:val="22"/>
        </w:rPr>
        <w:t>ier</w:t>
      </w:r>
      <w:r w:rsidRPr="00A5584D">
        <w:rPr>
          <w:rFonts w:eastAsia="Calibri"/>
          <w:sz w:val="22"/>
          <w:szCs w:val="22"/>
        </w:rPr>
        <w:t>an aclarar las dudas antes de apli</w:t>
      </w:r>
      <w:r w:rsidR="004F3AEA" w:rsidRPr="00A5584D">
        <w:rPr>
          <w:rFonts w:eastAsia="Calibri"/>
          <w:sz w:val="22"/>
          <w:szCs w:val="22"/>
        </w:rPr>
        <w:t>car el IAT de la investigación.</w:t>
      </w:r>
    </w:p>
    <w:p w:rsidR="004F3AEA" w:rsidRPr="00A5584D" w:rsidRDefault="004F3AEA" w:rsidP="006D3B17">
      <w:pPr>
        <w:ind w:firstLine="708"/>
        <w:jc w:val="both"/>
        <w:rPr>
          <w:rFonts w:eastAsia="Calibri"/>
          <w:sz w:val="22"/>
          <w:szCs w:val="22"/>
        </w:rPr>
      </w:pPr>
    </w:p>
    <w:p w:rsidR="00B759C0" w:rsidRPr="00A5584D" w:rsidRDefault="00B759C0" w:rsidP="006D3B17">
      <w:pPr>
        <w:ind w:firstLine="708"/>
        <w:jc w:val="both"/>
        <w:rPr>
          <w:rFonts w:eastAsia="Calibri"/>
          <w:sz w:val="22"/>
          <w:szCs w:val="22"/>
        </w:rPr>
      </w:pPr>
      <w:r w:rsidRPr="00A5584D">
        <w:rPr>
          <w:rFonts w:eastAsia="Calibri"/>
          <w:sz w:val="22"/>
          <w:szCs w:val="22"/>
        </w:rPr>
        <w:t xml:space="preserve">A continuación, en el caso de los grupos experimentales, </w:t>
      </w:r>
      <w:r w:rsidR="004F3AEA" w:rsidRPr="00A5584D">
        <w:rPr>
          <w:rFonts w:eastAsia="Calibri"/>
          <w:sz w:val="22"/>
          <w:szCs w:val="22"/>
        </w:rPr>
        <w:t>se les mostró</w:t>
      </w:r>
      <w:r w:rsidRPr="00A5584D">
        <w:rPr>
          <w:rFonts w:eastAsia="Calibri"/>
          <w:sz w:val="22"/>
          <w:szCs w:val="22"/>
        </w:rPr>
        <w:t xml:space="preserve"> una </w:t>
      </w:r>
      <w:r w:rsidR="0069183D">
        <w:rPr>
          <w:rFonts w:eastAsia="Calibri"/>
          <w:sz w:val="22"/>
          <w:szCs w:val="22"/>
        </w:rPr>
        <w:t>presentación de</w:t>
      </w:r>
      <w:r w:rsidRPr="00A5584D">
        <w:rPr>
          <w:rFonts w:eastAsia="Calibri"/>
          <w:sz w:val="22"/>
          <w:szCs w:val="22"/>
        </w:rPr>
        <w:t xml:space="preserve"> PowerPoint con imágenes de mujeres tatuadas con anteojos o con lentes de sol, según correspond</w:t>
      </w:r>
      <w:r w:rsidR="004F3AEA" w:rsidRPr="00A5584D">
        <w:rPr>
          <w:rFonts w:eastAsia="Calibri"/>
          <w:sz w:val="22"/>
          <w:szCs w:val="22"/>
        </w:rPr>
        <w:t>iese</w:t>
      </w:r>
      <w:r w:rsidRPr="00A5584D">
        <w:rPr>
          <w:rFonts w:eastAsia="Calibri"/>
          <w:sz w:val="22"/>
          <w:szCs w:val="22"/>
        </w:rPr>
        <w:t xml:space="preserve"> a cada grupo; y una vez terminada la presentación, se </w:t>
      </w:r>
      <w:r w:rsidR="004F3AEA" w:rsidRPr="00A5584D">
        <w:rPr>
          <w:rFonts w:eastAsia="Calibri"/>
          <w:sz w:val="22"/>
          <w:szCs w:val="22"/>
        </w:rPr>
        <w:t>procedió</w:t>
      </w:r>
      <w:r w:rsidRPr="00A5584D">
        <w:rPr>
          <w:rFonts w:eastAsia="Calibri"/>
          <w:sz w:val="22"/>
          <w:szCs w:val="22"/>
        </w:rPr>
        <w:t xml:space="preserve"> a aplicar el IAT</w:t>
      </w:r>
      <w:r w:rsidR="004F3AEA" w:rsidRPr="00A5584D">
        <w:rPr>
          <w:rFonts w:eastAsia="Calibri"/>
          <w:sz w:val="22"/>
          <w:szCs w:val="22"/>
        </w:rPr>
        <w:t xml:space="preserve"> de la investigación</w:t>
      </w:r>
      <w:r w:rsidRPr="00A5584D">
        <w:rPr>
          <w:rFonts w:eastAsia="Calibri"/>
          <w:sz w:val="22"/>
          <w:szCs w:val="22"/>
        </w:rPr>
        <w:t xml:space="preserve">. En el caso del grupo control, se </w:t>
      </w:r>
      <w:r w:rsidR="004F3AEA" w:rsidRPr="00A5584D">
        <w:rPr>
          <w:rFonts w:eastAsia="Calibri"/>
          <w:sz w:val="22"/>
          <w:szCs w:val="22"/>
        </w:rPr>
        <w:t>mostró</w:t>
      </w:r>
      <w:r w:rsidRPr="00A5584D">
        <w:rPr>
          <w:rFonts w:eastAsia="Calibri"/>
          <w:sz w:val="22"/>
          <w:szCs w:val="22"/>
        </w:rPr>
        <w:t xml:space="preserve"> una presentación </w:t>
      </w:r>
      <w:r w:rsidR="0069183D">
        <w:rPr>
          <w:rFonts w:eastAsia="Calibri"/>
          <w:sz w:val="22"/>
          <w:szCs w:val="22"/>
        </w:rPr>
        <w:t xml:space="preserve">de </w:t>
      </w:r>
      <w:r w:rsidRPr="00A5584D">
        <w:rPr>
          <w:rFonts w:eastAsia="Calibri"/>
          <w:sz w:val="22"/>
          <w:szCs w:val="22"/>
        </w:rPr>
        <w:t>PowerPoint con imágenes</w:t>
      </w:r>
      <w:r w:rsidR="004F3AEA" w:rsidRPr="00A5584D">
        <w:rPr>
          <w:rFonts w:eastAsia="Calibri"/>
          <w:sz w:val="22"/>
          <w:szCs w:val="22"/>
        </w:rPr>
        <w:t xml:space="preserve"> de la naturaleza y se procedió</w:t>
      </w:r>
      <w:r w:rsidRPr="00A5584D">
        <w:rPr>
          <w:rFonts w:eastAsia="Calibri"/>
          <w:sz w:val="22"/>
          <w:szCs w:val="22"/>
        </w:rPr>
        <w:t xml:space="preserve"> a aplicar el IAT</w:t>
      </w:r>
      <w:r w:rsidR="00D477ED" w:rsidRPr="00A5584D">
        <w:rPr>
          <w:rFonts w:eastAsia="Calibri"/>
          <w:sz w:val="22"/>
          <w:szCs w:val="22"/>
        </w:rPr>
        <w:t xml:space="preserve"> de la investigación</w:t>
      </w:r>
      <w:r w:rsidRPr="00A5584D">
        <w:rPr>
          <w:rFonts w:eastAsia="Calibri"/>
          <w:sz w:val="22"/>
          <w:szCs w:val="22"/>
        </w:rPr>
        <w:t>.</w:t>
      </w:r>
    </w:p>
    <w:p w:rsidR="00B759C0" w:rsidRPr="00A5584D" w:rsidRDefault="00B759C0" w:rsidP="006D3B17">
      <w:pPr>
        <w:ind w:firstLine="708"/>
        <w:jc w:val="both"/>
        <w:rPr>
          <w:rFonts w:eastAsia="Calibri"/>
          <w:sz w:val="22"/>
          <w:szCs w:val="22"/>
        </w:rPr>
      </w:pPr>
    </w:p>
    <w:p w:rsidR="00B759C0" w:rsidRPr="00A5584D" w:rsidRDefault="00B759C0" w:rsidP="006D3B17">
      <w:pPr>
        <w:ind w:firstLine="708"/>
        <w:jc w:val="both"/>
        <w:rPr>
          <w:rFonts w:eastAsia="Calibri"/>
          <w:sz w:val="22"/>
          <w:szCs w:val="22"/>
        </w:rPr>
      </w:pPr>
      <w:r w:rsidRPr="00A5584D">
        <w:rPr>
          <w:rFonts w:eastAsia="Calibri"/>
          <w:sz w:val="22"/>
          <w:szCs w:val="22"/>
        </w:rPr>
        <w:t>Una vez finalizada la evaluación y recolección de los datos,</w:t>
      </w:r>
      <w:r w:rsidR="00D477ED" w:rsidRPr="00A5584D">
        <w:rPr>
          <w:rFonts w:eastAsia="Calibri"/>
          <w:sz w:val="22"/>
          <w:szCs w:val="22"/>
        </w:rPr>
        <w:t xml:space="preserve"> se les explicó a los participantes</w:t>
      </w:r>
      <w:r w:rsidRPr="00A5584D">
        <w:rPr>
          <w:rFonts w:eastAsia="Calibri"/>
          <w:sz w:val="22"/>
          <w:szCs w:val="22"/>
        </w:rPr>
        <w:t xml:space="preserve"> los objetivos reales de la investigación, se consult</w:t>
      </w:r>
      <w:r w:rsidR="00D477ED" w:rsidRPr="00A5584D">
        <w:rPr>
          <w:rFonts w:eastAsia="Calibri"/>
          <w:sz w:val="22"/>
          <w:szCs w:val="22"/>
        </w:rPr>
        <w:t>ó</w:t>
      </w:r>
      <w:r w:rsidRPr="00A5584D">
        <w:rPr>
          <w:rFonts w:eastAsia="Calibri"/>
          <w:sz w:val="22"/>
          <w:szCs w:val="22"/>
        </w:rPr>
        <w:t xml:space="preserve"> sobre su experiencia como participantes de la misma y se les agradec</w:t>
      </w:r>
      <w:r w:rsidR="00D477ED" w:rsidRPr="00A5584D">
        <w:rPr>
          <w:rFonts w:eastAsia="Calibri"/>
          <w:sz w:val="22"/>
          <w:szCs w:val="22"/>
        </w:rPr>
        <w:t>ió</w:t>
      </w:r>
      <w:r w:rsidRPr="00A5584D">
        <w:rPr>
          <w:rFonts w:eastAsia="Calibri"/>
          <w:sz w:val="22"/>
          <w:szCs w:val="22"/>
        </w:rPr>
        <w:t xml:space="preserve"> su colaboración con la finalidad de asegurar el cumplimiento de aspectos éticos relevantes al caso.</w:t>
      </w:r>
    </w:p>
    <w:p w:rsidR="00D477ED" w:rsidRPr="00A5584D" w:rsidRDefault="00D477ED" w:rsidP="006D3B17">
      <w:pPr>
        <w:ind w:firstLine="708"/>
        <w:jc w:val="both"/>
        <w:rPr>
          <w:rFonts w:eastAsia="Calibri"/>
          <w:sz w:val="22"/>
          <w:szCs w:val="22"/>
        </w:rPr>
      </w:pPr>
    </w:p>
    <w:p w:rsidR="00B759C0" w:rsidRPr="00A5584D" w:rsidRDefault="00B759C0" w:rsidP="006D3B17">
      <w:pPr>
        <w:pStyle w:val="Normal2"/>
        <w:jc w:val="center"/>
        <w:rPr>
          <w:b/>
          <w:i/>
          <w:sz w:val="22"/>
          <w:szCs w:val="22"/>
        </w:rPr>
      </w:pPr>
      <w:r w:rsidRPr="00A5584D">
        <w:rPr>
          <w:b/>
          <w:i/>
          <w:sz w:val="22"/>
          <w:szCs w:val="22"/>
        </w:rPr>
        <w:t>Aspectos éticos</w:t>
      </w:r>
    </w:p>
    <w:p w:rsidR="00B759C0" w:rsidRPr="00A5584D" w:rsidRDefault="00B759C0" w:rsidP="006D3B17">
      <w:pPr>
        <w:pStyle w:val="Normal2"/>
        <w:jc w:val="center"/>
        <w:rPr>
          <w:b/>
          <w:i/>
          <w:sz w:val="22"/>
          <w:szCs w:val="22"/>
        </w:rPr>
      </w:pPr>
    </w:p>
    <w:p w:rsidR="00B759C0" w:rsidRPr="00A5584D" w:rsidRDefault="00B759C0" w:rsidP="006D3B17">
      <w:pPr>
        <w:ind w:firstLine="709"/>
        <w:jc w:val="both"/>
        <w:rPr>
          <w:sz w:val="22"/>
          <w:szCs w:val="22"/>
        </w:rPr>
      </w:pPr>
      <w:r w:rsidRPr="00A5584D">
        <w:rPr>
          <w:sz w:val="22"/>
          <w:szCs w:val="22"/>
        </w:rPr>
        <w:t>Para llevar a cabo es</w:t>
      </w:r>
      <w:r w:rsidR="00D477ED" w:rsidRPr="00A5584D">
        <w:rPr>
          <w:sz w:val="22"/>
          <w:szCs w:val="22"/>
        </w:rPr>
        <w:t>te cuasi-experimento, se tomaro</w:t>
      </w:r>
      <w:r w:rsidRPr="00A5584D">
        <w:rPr>
          <w:sz w:val="22"/>
          <w:szCs w:val="22"/>
        </w:rPr>
        <w:t>n en cuenta algunas consideraciones éticas tales como solicitar, tanto a los participantes como</w:t>
      </w:r>
      <w:r w:rsidR="00D477ED" w:rsidRPr="00A5584D">
        <w:rPr>
          <w:sz w:val="22"/>
          <w:szCs w:val="22"/>
        </w:rPr>
        <w:t xml:space="preserve"> a las mujeres que proporcionaro</w:t>
      </w:r>
      <w:r w:rsidRPr="00A5584D">
        <w:rPr>
          <w:sz w:val="22"/>
          <w:szCs w:val="22"/>
        </w:rPr>
        <w:t xml:space="preserve">n sus fotos para este trabajo, firmar un consentimiento informado en </w:t>
      </w:r>
      <w:r w:rsidR="00D477ED" w:rsidRPr="00A5584D">
        <w:rPr>
          <w:sz w:val="22"/>
          <w:szCs w:val="22"/>
        </w:rPr>
        <w:t>donde dejara</w:t>
      </w:r>
      <w:r w:rsidRPr="00A5584D">
        <w:rPr>
          <w:sz w:val="22"/>
          <w:szCs w:val="22"/>
        </w:rPr>
        <w:t>n constancia que su participación o colaboración e</w:t>
      </w:r>
      <w:r w:rsidR="00D477ED" w:rsidRPr="00A5584D">
        <w:rPr>
          <w:sz w:val="22"/>
          <w:szCs w:val="22"/>
        </w:rPr>
        <w:t>ra</w:t>
      </w:r>
      <w:r w:rsidRPr="00A5584D">
        <w:rPr>
          <w:sz w:val="22"/>
          <w:szCs w:val="22"/>
        </w:rPr>
        <w:t xml:space="preserve"> voluntaria, que </w:t>
      </w:r>
      <w:r w:rsidR="00D477ED" w:rsidRPr="00A5584D">
        <w:rPr>
          <w:sz w:val="22"/>
          <w:szCs w:val="22"/>
        </w:rPr>
        <w:t>eran conscientes de que podían</w:t>
      </w:r>
      <w:r w:rsidRPr="00A5584D">
        <w:rPr>
          <w:sz w:val="22"/>
          <w:szCs w:val="22"/>
        </w:rPr>
        <w:t xml:space="preserve"> abandonar la investigación en cualquier momento </w:t>
      </w:r>
      <w:r w:rsidR="00D477ED" w:rsidRPr="00A5584D">
        <w:rPr>
          <w:sz w:val="22"/>
          <w:szCs w:val="22"/>
        </w:rPr>
        <w:t>y que conocía</w:t>
      </w:r>
      <w:r w:rsidRPr="00A5584D">
        <w:rPr>
          <w:sz w:val="22"/>
          <w:szCs w:val="22"/>
        </w:rPr>
        <w:t>n que sus datos ser</w:t>
      </w:r>
      <w:r w:rsidR="00D477ED" w:rsidRPr="00A5584D">
        <w:rPr>
          <w:sz w:val="22"/>
          <w:szCs w:val="22"/>
        </w:rPr>
        <w:t>ía</w:t>
      </w:r>
      <w:r w:rsidRPr="00A5584D">
        <w:rPr>
          <w:sz w:val="22"/>
          <w:szCs w:val="22"/>
        </w:rPr>
        <w:t xml:space="preserve">n tratados de forma completamente confidencial tal como les </w:t>
      </w:r>
      <w:r w:rsidR="00D477ED" w:rsidRPr="00A5584D">
        <w:rPr>
          <w:sz w:val="22"/>
          <w:szCs w:val="22"/>
        </w:rPr>
        <w:t>fue</w:t>
      </w:r>
      <w:r w:rsidRPr="00A5584D">
        <w:rPr>
          <w:sz w:val="22"/>
          <w:szCs w:val="22"/>
        </w:rPr>
        <w:t xml:space="preserve"> indicado</w:t>
      </w:r>
      <w:r w:rsidR="00D477ED" w:rsidRPr="00A5584D">
        <w:rPr>
          <w:sz w:val="22"/>
          <w:szCs w:val="22"/>
        </w:rPr>
        <w:t xml:space="preserve"> por el equipo investigador</w:t>
      </w:r>
      <w:r w:rsidRPr="00A5584D">
        <w:rPr>
          <w:sz w:val="22"/>
          <w:szCs w:val="22"/>
        </w:rPr>
        <w:t xml:space="preserve">, esto en consonancia con el Código de Ética Profesional del Psicólogo de Venezuela (1981). </w:t>
      </w:r>
    </w:p>
    <w:p w:rsidR="00B759C0" w:rsidRPr="00A5584D" w:rsidRDefault="00B759C0" w:rsidP="006D3B17">
      <w:pPr>
        <w:ind w:firstLine="709"/>
        <w:jc w:val="both"/>
        <w:rPr>
          <w:sz w:val="22"/>
          <w:szCs w:val="22"/>
        </w:rPr>
      </w:pPr>
    </w:p>
    <w:p w:rsidR="00B759C0" w:rsidRPr="00A5584D" w:rsidRDefault="00D477ED" w:rsidP="006D3B17">
      <w:pPr>
        <w:ind w:firstLine="709"/>
        <w:jc w:val="both"/>
        <w:rPr>
          <w:sz w:val="22"/>
          <w:szCs w:val="22"/>
        </w:rPr>
      </w:pPr>
      <w:r w:rsidRPr="00A5584D">
        <w:rPr>
          <w:sz w:val="22"/>
          <w:szCs w:val="22"/>
        </w:rPr>
        <w:t>Así mismo, se tomó</w:t>
      </w:r>
      <w:r w:rsidR="00B759C0" w:rsidRPr="00A5584D">
        <w:rPr>
          <w:sz w:val="22"/>
          <w:szCs w:val="22"/>
        </w:rPr>
        <w:t xml:space="preserve"> en consideración la rendición de cuentas</w:t>
      </w:r>
      <w:r w:rsidRPr="00A5584D">
        <w:rPr>
          <w:sz w:val="22"/>
          <w:szCs w:val="22"/>
        </w:rPr>
        <w:t>, por lo que se les explicó</w:t>
      </w:r>
      <w:r w:rsidR="00B759C0" w:rsidRPr="00A5584D">
        <w:rPr>
          <w:sz w:val="22"/>
          <w:szCs w:val="22"/>
        </w:rPr>
        <w:t xml:space="preserve"> a los participantes los verdaderos propósitos de la investigación inmediatamente después de finalizar la recolección de datos, ya que proporcionar el verdadero objetivo de la misma antes de la aplicación podía sensibilizarlos y afectar sobre las medidas. Finalmente</w:t>
      </w:r>
      <w:r w:rsidRPr="00A5584D">
        <w:rPr>
          <w:sz w:val="22"/>
          <w:szCs w:val="22"/>
        </w:rPr>
        <w:t>, se garantizó</w:t>
      </w:r>
      <w:r w:rsidR="00B759C0" w:rsidRPr="00A5584D">
        <w:rPr>
          <w:sz w:val="22"/>
          <w:szCs w:val="22"/>
        </w:rPr>
        <w:t xml:space="preserve"> la protección de los participantes ya que los materiales utilizados en la presente no cont</w:t>
      </w:r>
      <w:r w:rsidRPr="00A5584D">
        <w:rPr>
          <w:sz w:val="22"/>
          <w:szCs w:val="22"/>
        </w:rPr>
        <w:t>uvieron</w:t>
      </w:r>
      <w:r w:rsidR="00B759C0" w:rsidRPr="00A5584D">
        <w:rPr>
          <w:sz w:val="22"/>
          <w:szCs w:val="22"/>
        </w:rPr>
        <w:t xml:space="preserve"> estímulos que pudieran considerarse aversivos ni que pudieran causarles incomodidad </w:t>
      </w:r>
      <w:r w:rsidR="00622E1F">
        <w:rPr>
          <w:sz w:val="22"/>
          <w:szCs w:val="22"/>
        </w:rPr>
        <w:t>(</w:t>
      </w:r>
      <w:proofErr w:type="spellStart"/>
      <w:r w:rsidR="00622E1F">
        <w:rPr>
          <w:sz w:val="22"/>
          <w:szCs w:val="22"/>
        </w:rPr>
        <w:t>Kerlinger</w:t>
      </w:r>
      <w:proofErr w:type="spellEnd"/>
      <w:r w:rsidR="00622E1F">
        <w:rPr>
          <w:sz w:val="22"/>
          <w:szCs w:val="22"/>
        </w:rPr>
        <w:t xml:space="preserve"> &amp;</w:t>
      </w:r>
      <w:r w:rsidR="0074093E" w:rsidRPr="00A5584D">
        <w:rPr>
          <w:sz w:val="22"/>
          <w:szCs w:val="22"/>
        </w:rPr>
        <w:t xml:space="preserve"> Lee, 2002</w:t>
      </w:r>
      <w:r w:rsidR="00B759C0" w:rsidRPr="00A5584D">
        <w:rPr>
          <w:sz w:val="22"/>
          <w:szCs w:val="22"/>
        </w:rPr>
        <w:t xml:space="preserve">). </w:t>
      </w:r>
    </w:p>
    <w:p w:rsidR="006D3B17" w:rsidRPr="00A5584D" w:rsidRDefault="006D3B17" w:rsidP="006D3B17">
      <w:pPr>
        <w:ind w:firstLine="709"/>
        <w:jc w:val="both"/>
        <w:rPr>
          <w:sz w:val="22"/>
          <w:szCs w:val="22"/>
        </w:rPr>
      </w:pPr>
    </w:p>
    <w:p w:rsidR="006D3B17" w:rsidRPr="00A5584D" w:rsidRDefault="006D3B17" w:rsidP="006D3B17">
      <w:pPr>
        <w:jc w:val="center"/>
        <w:rPr>
          <w:b/>
          <w:sz w:val="22"/>
          <w:szCs w:val="22"/>
        </w:rPr>
      </w:pPr>
      <w:r w:rsidRPr="00A5584D">
        <w:rPr>
          <w:b/>
          <w:sz w:val="22"/>
          <w:szCs w:val="22"/>
        </w:rPr>
        <w:t>Resultados</w:t>
      </w:r>
    </w:p>
    <w:p w:rsidR="006D3B17" w:rsidRPr="00A5584D" w:rsidRDefault="006D3B17" w:rsidP="006D3B17">
      <w:pPr>
        <w:jc w:val="center"/>
        <w:rPr>
          <w:b/>
          <w:sz w:val="22"/>
          <w:szCs w:val="22"/>
        </w:rPr>
      </w:pPr>
    </w:p>
    <w:p w:rsidR="006D3B17" w:rsidRPr="00A5584D" w:rsidRDefault="006D3B17" w:rsidP="006D3B17">
      <w:pPr>
        <w:jc w:val="both"/>
        <w:rPr>
          <w:sz w:val="22"/>
          <w:szCs w:val="22"/>
        </w:rPr>
      </w:pPr>
      <w:r w:rsidRPr="00A5584D">
        <w:rPr>
          <w:b/>
          <w:sz w:val="22"/>
          <w:szCs w:val="22"/>
        </w:rPr>
        <w:tab/>
      </w:r>
      <w:r w:rsidRPr="00A5584D">
        <w:rPr>
          <w:sz w:val="22"/>
          <w:szCs w:val="22"/>
        </w:rPr>
        <w:t>A partir de la aplicación del Test de Asociación Implícita (IAT) se obtuvo un conjunto de puntuaciones que representan el nivel de prejuicio implícito de los participantes de cada grupo (experimentales y control). De dichas puntuaciones, se procedió a correr una serie de estadísticos mediante el programa de procesamiento de datos SSPS para su posterior análisis.</w:t>
      </w:r>
    </w:p>
    <w:p w:rsidR="006D3B17" w:rsidRPr="00A5584D" w:rsidRDefault="006D3B17" w:rsidP="006D3B17">
      <w:pPr>
        <w:jc w:val="both"/>
        <w:rPr>
          <w:sz w:val="22"/>
          <w:szCs w:val="22"/>
        </w:rPr>
      </w:pPr>
      <w:r w:rsidRPr="00A5584D">
        <w:rPr>
          <w:sz w:val="22"/>
          <w:szCs w:val="22"/>
        </w:rPr>
        <w:tab/>
      </w:r>
    </w:p>
    <w:p w:rsidR="006D3B17" w:rsidRPr="00A5584D" w:rsidRDefault="006D3B17" w:rsidP="006D3B17">
      <w:pPr>
        <w:jc w:val="both"/>
        <w:rPr>
          <w:sz w:val="22"/>
          <w:szCs w:val="22"/>
        </w:rPr>
      </w:pPr>
      <w:r w:rsidRPr="00A5584D">
        <w:rPr>
          <w:sz w:val="22"/>
          <w:szCs w:val="22"/>
        </w:rPr>
        <w:t>Tabla 1.</w:t>
      </w:r>
    </w:p>
    <w:p w:rsidR="006D3B17" w:rsidRPr="00A5584D" w:rsidRDefault="006D3B17" w:rsidP="006D3B17">
      <w:pPr>
        <w:jc w:val="both"/>
        <w:rPr>
          <w:i/>
          <w:sz w:val="22"/>
          <w:szCs w:val="22"/>
        </w:rPr>
      </w:pPr>
      <w:r w:rsidRPr="00A5584D">
        <w:rPr>
          <w:i/>
          <w:sz w:val="22"/>
          <w:szCs w:val="22"/>
        </w:rPr>
        <w:t>Estadísticos descriptivos de los grupos referentes a las medidas post-test del IAT.</w:t>
      </w:r>
    </w:p>
    <w:p w:rsidR="006D3B17" w:rsidRPr="00A5584D" w:rsidRDefault="006D3B17" w:rsidP="006D3B17">
      <w:pPr>
        <w:jc w:val="both"/>
        <w:rPr>
          <w:i/>
          <w:sz w:val="22"/>
          <w:szCs w:val="22"/>
        </w:rPr>
      </w:pPr>
    </w:p>
    <w:tbl>
      <w:tblPr>
        <w:tblW w:w="751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4016"/>
        <w:gridCol w:w="709"/>
        <w:gridCol w:w="992"/>
        <w:gridCol w:w="1796"/>
      </w:tblGrid>
      <w:tr w:rsidR="009D4B59" w:rsidRPr="00A5584D" w:rsidTr="009D4B59">
        <w:trPr>
          <w:cantSplit/>
          <w:trHeight w:val="283"/>
          <w:jc w:val="center"/>
        </w:trPr>
        <w:tc>
          <w:tcPr>
            <w:tcW w:w="4016" w:type="dxa"/>
            <w:vMerge w:val="restart"/>
            <w:tcBorders>
              <w:top w:val="double" w:sz="4" w:space="0" w:color="auto"/>
              <w:left w:val="nil"/>
              <w:right w:val="nil"/>
            </w:tcBorders>
            <w:shd w:val="clear" w:color="auto" w:fill="FFFFFF"/>
            <w:vAlign w:val="center"/>
          </w:tcPr>
          <w:p w:rsidR="009D4B59" w:rsidRPr="00A5584D" w:rsidRDefault="009D4B59" w:rsidP="009D4B59">
            <w:pPr>
              <w:jc w:val="center"/>
            </w:pPr>
            <w:r w:rsidRPr="00A5584D">
              <w:rPr>
                <w:sz w:val="22"/>
                <w:szCs w:val="22"/>
              </w:rPr>
              <w:t>Grupos</w:t>
            </w:r>
          </w:p>
        </w:tc>
        <w:tc>
          <w:tcPr>
            <w:tcW w:w="3497" w:type="dxa"/>
            <w:gridSpan w:val="3"/>
            <w:tcBorders>
              <w:top w:val="double" w:sz="4" w:space="0" w:color="auto"/>
              <w:left w:val="nil"/>
              <w:right w:val="nil"/>
            </w:tcBorders>
            <w:shd w:val="clear" w:color="auto" w:fill="FFFFFF"/>
            <w:vAlign w:val="bottom"/>
          </w:tcPr>
          <w:p w:rsidR="009D4B59" w:rsidRPr="00A5584D" w:rsidRDefault="009D4B59" w:rsidP="006D3B17">
            <w:pPr>
              <w:jc w:val="center"/>
            </w:pPr>
            <w:r w:rsidRPr="00A5584D">
              <w:rPr>
                <w:sz w:val="22"/>
                <w:szCs w:val="22"/>
              </w:rPr>
              <w:t>Descriptivos</w:t>
            </w:r>
          </w:p>
        </w:tc>
      </w:tr>
      <w:tr w:rsidR="009D4B59" w:rsidRPr="00A5584D" w:rsidTr="00205FFF">
        <w:trPr>
          <w:cantSplit/>
          <w:trHeight w:val="227"/>
          <w:jc w:val="center"/>
        </w:trPr>
        <w:tc>
          <w:tcPr>
            <w:tcW w:w="4016" w:type="dxa"/>
            <w:vMerge/>
            <w:tcBorders>
              <w:left w:val="nil"/>
              <w:right w:val="nil"/>
            </w:tcBorders>
            <w:shd w:val="clear" w:color="auto" w:fill="FFFFFF"/>
            <w:vAlign w:val="center"/>
          </w:tcPr>
          <w:p w:rsidR="009D4B59" w:rsidRPr="00A5584D" w:rsidRDefault="009D4B59" w:rsidP="006D3B17">
            <w:pPr>
              <w:jc w:val="center"/>
            </w:pPr>
          </w:p>
        </w:tc>
        <w:tc>
          <w:tcPr>
            <w:tcW w:w="709" w:type="dxa"/>
            <w:tcBorders>
              <w:top w:val="single" w:sz="12" w:space="0" w:color="auto"/>
              <w:left w:val="nil"/>
              <w:right w:val="nil"/>
            </w:tcBorders>
            <w:shd w:val="clear" w:color="auto" w:fill="FFFFFF"/>
            <w:vAlign w:val="center"/>
          </w:tcPr>
          <w:p w:rsidR="009D4B59" w:rsidRPr="00A5584D" w:rsidRDefault="009D4B59" w:rsidP="006D3B17">
            <w:pPr>
              <w:jc w:val="center"/>
            </w:pPr>
            <w:r w:rsidRPr="00A5584D">
              <w:rPr>
                <w:sz w:val="22"/>
                <w:szCs w:val="22"/>
              </w:rPr>
              <w:t>N</w:t>
            </w:r>
          </w:p>
        </w:tc>
        <w:tc>
          <w:tcPr>
            <w:tcW w:w="992" w:type="dxa"/>
            <w:tcBorders>
              <w:top w:val="single" w:sz="12" w:space="0" w:color="auto"/>
              <w:left w:val="nil"/>
              <w:right w:val="nil"/>
            </w:tcBorders>
            <w:shd w:val="clear" w:color="auto" w:fill="FFFFFF"/>
            <w:vAlign w:val="center"/>
          </w:tcPr>
          <w:p w:rsidR="009D4B59" w:rsidRPr="00A5584D" w:rsidRDefault="009D4B59" w:rsidP="006D3B17">
            <w:pPr>
              <w:jc w:val="center"/>
            </w:pPr>
            <w:r w:rsidRPr="00A5584D">
              <w:rPr>
                <w:sz w:val="22"/>
                <w:szCs w:val="22"/>
              </w:rPr>
              <w:t>Media</w:t>
            </w:r>
          </w:p>
        </w:tc>
        <w:tc>
          <w:tcPr>
            <w:tcW w:w="1796" w:type="dxa"/>
            <w:tcBorders>
              <w:top w:val="single" w:sz="12" w:space="0" w:color="auto"/>
              <w:left w:val="nil"/>
              <w:right w:val="nil"/>
            </w:tcBorders>
            <w:shd w:val="clear" w:color="auto" w:fill="FFFFFF"/>
            <w:vAlign w:val="center"/>
          </w:tcPr>
          <w:p w:rsidR="009D4B59" w:rsidRPr="00A5584D" w:rsidRDefault="009D4B59" w:rsidP="006D3B17">
            <w:pPr>
              <w:jc w:val="center"/>
            </w:pPr>
            <w:r w:rsidRPr="00A5584D">
              <w:rPr>
                <w:sz w:val="22"/>
                <w:szCs w:val="22"/>
              </w:rPr>
              <w:t>Desviación</w:t>
            </w:r>
          </w:p>
        </w:tc>
      </w:tr>
      <w:tr w:rsidR="006D3B17" w:rsidRPr="00A5584D" w:rsidTr="00A5584D">
        <w:trPr>
          <w:cantSplit/>
          <w:jc w:val="center"/>
        </w:trPr>
        <w:tc>
          <w:tcPr>
            <w:tcW w:w="4016" w:type="dxa"/>
            <w:tcBorders>
              <w:left w:val="nil"/>
              <w:bottom w:val="nil"/>
              <w:right w:val="nil"/>
            </w:tcBorders>
            <w:shd w:val="clear" w:color="auto" w:fill="FFFFFF"/>
          </w:tcPr>
          <w:p w:rsidR="006D3B17" w:rsidRPr="00A5584D" w:rsidRDefault="006D3B17" w:rsidP="006D3B17">
            <w:pPr>
              <w:jc w:val="both"/>
            </w:pPr>
            <w:r w:rsidRPr="00A5584D">
              <w:rPr>
                <w:sz w:val="22"/>
                <w:szCs w:val="22"/>
              </w:rPr>
              <w:t>Grupo Control</w:t>
            </w:r>
          </w:p>
        </w:tc>
        <w:tc>
          <w:tcPr>
            <w:tcW w:w="709" w:type="dxa"/>
            <w:tcBorders>
              <w:left w:val="nil"/>
              <w:bottom w:val="nil"/>
              <w:right w:val="nil"/>
            </w:tcBorders>
            <w:shd w:val="clear" w:color="auto" w:fill="FFFFFF"/>
          </w:tcPr>
          <w:p w:rsidR="006D3B17" w:rsidRPr="00A5584D" w:rsidRDefault="006D3B17" w:rsidP="006D3B17">
            <w:pPr>
              <w:jc w:val="center"/>
            </w:pPr>
            <w:r w:rsidRPr="00A5584D">
              <w:rPr>
                <w:sz w:val="22"/>
                <w:szCs w:val="22"/>
              </w:rPr>
              <w:t>10</w:t>
            </w:r>
          </w:p>
        </w:tc>
        <w:tc>
          <w:tcPr>
            <w:tcW w:w="992" w:type="dxa"/>
            <w:tcBorders>
              <w:left w:val="nil"/>
              <w:bottom w:val="nil"/>
              <w:right w:val="nil"/>
            </w:tcBorders>
            <w:shd w:val="clear" w:color="auto" w:fill="FFFFFF"/>
          </w:tcPr>
          <w:p w:rsidR="006D3B17" w:rsidRPr="00A5584D" w:rsidRDefault="006D3B17" w:rsidP="006D3B17">
            <w:pPr>
              <w:jc w:val="center"/>
            </w:pPr>
            <w:r w:rsidRPr="00A5584D">
              <w:rPr>
                <w:sz w:val="22"/>
                <w:szCs w:val="22"/>
              </w:rPr>
              <w:t>,1728</w:t>
            </w:r>
          </w:p>
        </w:tc>
        <w:tc>
          <w:tcPr>
            <w:tcW w:w="1796" w:type="dxa"/>
            <w:tcBorders>
              <w:left w:val="nil"/>
              <w:bottom w:val="nil"/>
              <w:right w:val="nil"/>
            </w:tcBorders>
            <w:shd w:val="clear" w:color="auto" w:fill="FFFFFF"/>
          </w:tcPr>
          <w:p w:rsidR="006D3B17" w:rsidRPr="00A5584D" w:rsidRDefault="006D3B17" w:rsidP="006D3B17">
            <w:pPr>
              <w:jc w:val="center"/>
            </w:pPr>
            <w:r w:rsidRPr="00A5584D">
              <w:rPr>
                <w:sz w:val="22"/>
                <w:szCs w:val="22"/>
              </w:rPr>
              <w:t>,6576</w:t>
            </w:r>
          </w:p>
        </w:tc>
      </w:tr>
      <w:tr w:rsidR="006D3B17" w:rsidRPr="00A5584D" w:rsidTr="00A5584D">
        <w:trPr>
          <w:cantSplit/>
          <w:jc w:val="center"/>
        </w:trPr>
        <w:tc>
          <w:tcPr>
            <w:tcW w:w="4016" w:type="dxa"/>
            <w:tcBorders>
              <w:top w:val="nil"/>
              <w:left w:val="nil"/>
              <w:bottom w:val="nil"/>
              <w:right w:val="nil"/>
            </w:tcBorders>
            <w:shd w:val="clear" w:color="auto" w:fill="FFFFFF"/>
          </w:tcPr>
          <w:p w:rsidR="006D3B17" w:rsidRPr="00A5584D" w:rsidRDefault="006D3B17" w:rsidP="006D3B17">
            <w:pPr>
              <w:jc w:val="both"/>
            </w:pPr>
            <w:r w:rsidRPr="00A5584D">
              <w:rPr>
                <w:sz w:val="22"/>
                <w:szCs w:val="22"/>
              </w:rPr>
              <w:t>Grupo Experimental 1 (Anteojos)</w:t>
            </w:r>
          </w:p>
        </w:tc>
        <w:tc>
          <w:tcPr>
            <w:tcW w:w="709" w:type="dxa"/>
            <w:tcBorders>
              <w:top w:val="nil"/>
              <w:left w:val="nil"/>
              <w:bottom w:val="nil"/>
              <w:right w:val="nil"/>
            </w:tcBorders>
            <w:shd w:val="clear" w:color="auto" w:fill="FFFFFF"/>
          </w:tcPr>
          <w:p w:rsidR="006D3B17" w:rsidRPr="00A5584D" w:rsidRDefault="006D3B17" w:rsidP="006D3B17">
            <w:pPr>
              <w:jc w:val="center"/>
            </w:pPr>
            <w:r w:rsidRPr="00A5584D">
              <w:rPr>
                <w:sz w:val="22"/>
                <w:szCs w:val="22"/>
              </w:rPr>
              <w:t>10</w:t>
            </w:r>
          </w:p>
        </w:tc>
        <w:tc>
          <w:tcPr>
            <w:tcW w:w="992" w:type="dxa"/>
            <w:tcBorders>
              <w:top w:val="nil"/>
              <w:left w:val="nil"/>
              <w:bottom w:val="nil"/>
              <w:right w:val="nil"/>
            </w:tcBorders>
            <w:shd w:val="clear" w:color="auto" w:fill="FFFFFF"/>
          </w:tcPr>
          <w:p w:rsidR="006D3B17" w:rsidRPr="00A5584D" w:rsidRDefault="006D3B17" w:rsidP="006D3B17">
            <w:pPr>
              <w:jc w:val="center"/>
            </w:pPr>
            <w:r w:rsidRPr="00A5584D">
              <w:rPr>
                <w:sz w:val="22"/>
                <w:szCs w:val="22"/>
              </w:rPr>
              <w:t>,1051</w:t>
            </w:r>
          </w:p>
        </w:tc>
        <w:tc>
          <w:tcPr>
            <w:tcW w:w="1796" w:type="dxa"/>
            <w:tcBorders>
              <w:top w:val="nil"/>
              <w:left w:val="nil"/>
              <w:bottom w:val="nil"/>
              <w:right w:val="nil"/>
            </w:tcBorders>
            <w:shd w:val="clear" w:color="auto" w:fill="FFFFFF"/>
          </w:tcPr>
          <w:p w:rsidR="006D3B17" w:rsidRPr="00A5584D" w:rsidRDefault="006D3B17" w:rsidP="006D3B17">
            <w:pPr>
              <w:jc w:val="center"/>
            </w:pPr>
            <w:r w:rsidRPr="00A5584D">
              <w:rPr>
                <w:sz w:val="22"/>
                <w:szCs w:val="22"/>
              </w:rPr>
              <w:t>,5299</w:t>
            </w:r>
          </w:p>
        </w:tc>
      </w:tr>
      <w:tr w:rsidR="006D3B17" w:rsidRPr="00A5584D" w:rsidTr="00A5584D">
        <w:trPr>
          <w:cantSplit/>
          <w:jc w:val="center"/>
        </w:trPr>
        <w:tc>
          <w:tcPr>
            <w:tcW w:w="4016" w:type="dxa"/>
            <w:tcBorders>
              <w:top w:val="nil"/>
              <w:left w:val="nil"/>
              <w:bottom w:val="nil"/>
              <w:right w:val="nil"/>
            </w:tcBorders>
            <w:shd w:val="clear" w:color="auto" w:fill="FFFFFF"/>
          </w:tcPr>
          <w:p w:rsidR="006D3B17" w:rsidRPr="00A5584D" w:rsidRDefault="006D3B17" w:rsidP="006D3B17">
            <w:pPr>
              <w:jc w:val="both"/>
            </w:pPr>
            <w:r w:rsidRPr="00A5584D">
              <w:rPr>
                <w:sz w:val="22"/>
                <w:szCs w:val="22"/>
              </w:rPr>
              <w:t>Grupo Experimental 2 (Lentes de sol)</w:t>
            </w:r>
          </w:p>
        </w:tc>
        <w:tc>
          <w:tcPr>
            <w:tcW w:w="709" w:type="dxa"/>
            <w:tcBorders>
              <w:top w:val="nil"/>
              <w:left w:val="nil"/>
              <w:bottom w:val="nil"/>
              <w:right w:val="nil"/>
            </w:tcBorders>
            <w:shd w:val="clear" w:color="auto" w:fill="FFFFFF"/>
          </w:tcPr>
          <w:p w:rsidR="006D3B17" w:rsidRPr="00A5584D" w:rsidRDefault="006D3B17" w:rsidP="006D3B17">
            <w:pPr>
              <w:jc w:val="center"/>
            </w:pPr>
            <w:r w:rsidRPr="00A5584D">
              <w:rPr>
                <w:sz w:val="22"/>
                <w:szCs w:val="22"/>
              </w:rPr>
              <w:t>10</w:t>
            </w:r>
          </w:p>
        </w:tc>
        <w:tc>
          <w:tcPr>
            <w:tcW w:w="992" w:type="dxa"/>
            <w:tcBorders>
              <w:top w:val="nil"/>
              <w:left w:val="nil"/>
              <w:bottom w:val="nil"/>
              <w:right w:val="nil"/>
            </w:tcBorders>
            <w:shd w:val="clear" w:color="auto" w:fill="FFFFFF"/>
          </w:tcPr>
          <w:p w:rsidR="006D3B17" w:rsidRPr="00A5584D" w:rsidRDefault="006D3B17" w:rsidP="006D3B17">
            <w:pPr>
              <w:jc w:val="center"/>
            </w:pPr>
            <w:r w:rsidRPr="00A5584D">
              <w:rPr>
                <w:sz w:val="22"/>
                <w:szCs w:val="22"/>
              </w:rPr>
              <w:t>,4926</w:t>
            </w:r>
          </w:p>
        </w:tc>
        <w:tc>
          <w:tcPr>
            <w:tcW w:w="1796" w:type="dxa"/>
            <w:tcBorders>
              <w:top w:val="nil"/>
              <w:left w:val="nil"/>
              <w:bottom w:val="nil"/>
              <w:right w:val="nil"/>
            </w:tcBorders>
            <w:shd w:val="clear" w:color="auto" w:fill="FFFFFF"/>
          </w:tcPr>
          <w:p w:rsidR="006D3B17" w:rsidRPr="00A5584D" w:rsidRDefault="006D3B17" w:rsidP="006D3B17">
            <w:pPr>
              <w:jc w:val="center"/>
            </w:pPr>
            <w:r w:rsidRPr="00A5584D">
              <w:rPr>
                <w:sz w:val="22"/>
                <w:szCs w:val="22"/>
              </w:rPr>
              <w:t>,7296</w:t>
            </w:r>
          </w:p>
        </w:tc>
      </w:tr>
      <w:tr w:rsidR="006D3B17" w:rsidRPr="00A5584D" w:rsidTr="00A5584D">
        <w:trPr>
          <w:cantSplit/>
          <w:jc w:val="center"/>
        </w:trPr>
        <w:tc>
          <w:tcPr>
            <w:tcW w:w="4016" w:type="dxa"/>
            <w:tcBorders>
              <w:top w:val="nil"/>
              <w:left w:val="nil"/>
              <w:bottom w:val="double" w:sz="4" w:space="0" w:color="auto"/>
              <w:right w:val="nil"/>
            </w:tcBorders>
            <w:shd w:val="clear" w:color="auto" w:fill="FFFFFF"/>
          </w:tcPr>
          <w:p w:rsidR="006D3B17" w:rsidRPr="00A5584D" w:rsidRDefault="006D3B17" w:rsidP="006D3B17">
            <w:pPr>
              <w:jc w:val="both"/>
            </w:pPr>
            <w:r w:rsidRPr="00A5584D">
              <w:rPr>
                <w:sz w:val="22"/>
                <w:szCs w:val="22"/>
              </w:rPr>
              <w:t>Total</w:t>
            </w:r>
          </w:p>
        </w:tc>
        <w:tc>
          <w:tcPr>
            <w:tcW w:w="709" w:type="dxa"/>
            <w:tcBorders>
              <w:top w:val="nil"/>
              <w:left w:val="nil"/>
              <w:bottom w:val="double" w:sz="4" w:space="0" w:color="auto"/>
              <w:right w:val="nil"/>
            </w:tcBorders>
            <w:shd w:val="clear" w:color="auto" w:fill="FFFFFF"/>
          </w:tcPr>
          <w:p w:rsidR="006D3B17" w:rsidRPr="00A5584D" w:rsidRDefault="006D3B17" w:rsidP="006D3B17">
            <w:pPr>
              <w:jc w:val="center"/>
            </w:pPr>
            <w:r w:rsidRPr="00A5584D">
              <w:rPr>
                <w:sz w:val="22"/>
                <w:szCs w:val="22"/>
              </w:rPr>
              <w:t>30</w:t>
            </w:r>
          </w:p>
        </w:tc>
        <w:tc>
          <w:tcPr>
            <w:tcW w:w="992" w:type="dxa"/>
            <w:tcBorders>
              <w:top w:val="nil"/>
              <w:left w:val="nil"/>
              <w:bottom w:val="double" w:sz="4" w:space="0" w:color="auto"/>
              <w:right w:val="nil"/>
            </w:tcBorders>
            <w:shd w:val="clear" w:color="auto" w:fill="FFFFFF"/>
          </w:tcPr>
          <w:p w:rsidR="006D3B17" w:rsidRPr="00A5584D" w:rsidRDefault="006D3B17" w:rsidP="006D3B17">
            <w:pPr>
              <w:jc w:val="center"/>
            </w:pPr>
            <w:r w:rsidRPr="00A5584D">
              <w:rPr>
                <w:sz w:val="22"/>
                <w:szCs w:val="22"/>
              </w:rPr>
              <w:t>,2568</w:t>
            </w:r>
          </w:p>
        </w:tc>
        <w:tc>
          <w:tcPr>
            <w:tcW w:w="1796" w:type="dxa"/>
            <w:tcBorders>
              <w:top w:val="nil"/>
              <w:left w:val="nil"/>
              <w:bottom w:val="double" w:sz="4" w:space="0" w:color="auto"/>
              <w:right w:val="nil"/>
            </w:tcBorders>
            <w:shd w:val="clear" w:color="auto" w:fill="FFFFFF"/>
          </w:tcPr>
          <w:p w:rsidR="006D3B17" w:rsidRPr="00A5584D" w:rsidRDefault="006D3B17" w:rsidP="006D3B17">
            <w:pPr>
              <w:jc w:val="center"/>
            </w:pPr>
            <w:r w:rsidRPr="00A5584D">
              <w:rPr>
                <w:sz w:val="22"/>
                <w:szCs w:val="22"/>
              </w:rPr>
              <w:t>,6450</w:t>
            </w:r>
          </w:p>
        </w:tc>
      </w:tr>
    </w:tbl>
    <w:p w:rsidR="007F21B6" w:rsidRDefault="007F21B6" w:rsidP="006D3B17">
      <w:pPr>
        <w:ind w:firstLine="708"/>
        <w:jc w:val="both"/>
        <w:rPr>
          <w:sz w:val="22"/>
          <w:szCs w:val="22"/>
        </w:rPr>
      </w:pPr>
    </w:p>
    <w:p w:rsidR="006D3B17" w:rsidRPr="00A5584D" w:rsidRDefault="006D3B17" w:rsidP="006D3B17">
      <w:pPr>
        <w:ind w:firstLine="708"/>
        <w:jc w:val="both"/>
        <w:rPr>
          <w:sz w:val="22"/>
          <w:szCs w:val="22"/>
        </w:rPr>
      </w:pPr>
      <w:r w:rsidRPr="00A5584D">
        <w:rPr>
          <w:sz w:val="22"/>
          <w:szCs w:val="22"/>
        </w:rPr>
        <w:lastRenderedPageBreak/>
        <w:t>Como es posible observar en la Tabla 1, cada uno de los tres grupos formados en esta investigación estuvo compuesto por 10 participantes balanceados según el sexo. También es posible observar que la media del Grupo Experimental 1 (</w:t>
      </w:r>
      <m:oMath>
        <m:acc>
          <m:accPr>
            <m:chr m:val="̅"/>
            <m:ctrlPr>
              <w:rPr>
                <w:rFonts w:ascii="Cambria Math" w:hAnsi="Cambria Math"/>
                <w:i/>
                <w:sz w:val="22"/>
                <w:szCs w:val="22"/>
              </w:rPr>
            </m:ctrlPr>
          </m:accPr>
          <m:e>
            <m:r>
              <w:rPr>
                <w:rFonts w:ascii="Cambria Math" w:hAnsi="Cambria Math"/>
                <w:sz w:val="22"/>
                <w:szCs w:val="22"/>
              </w:rPr>
              <m:t>X</m:t>
            </m:r>
          </m:e>
        </m:acc>
      </m:oMath>
      <w:r w:rsidRPr="00A5584D">
        <w:rPr>
          <w:rFonts w:eastAsiaTheme="minorEastAsia"/>
          <w:sz w:val="22"/>
          <w:szCs w:val="22"/>
        </w:rPr>
        <w:t>=</w:t>
      </w:r>
      <w:r w:rsidRPr="00A5584D">
        <w:rPr>
          <w:sz w:val="22"/>
          <w:szCs w:val="22"/>
        </w:rPr>
        <w:t>,1051) resultó menor que la media del Grupo Experimental 2 (</w:t>
      </w:r>
      <m:oMath>
        <m:acc>
          <m:accPr>
            <m:chr m:val="̅"/>
            <m:ctrlPr>
              <w:rPr>
                <w:rFonts w:ascii="Cambria Math" w:hAnsi="Cambria Math"/>
                <w:i/>
                <w:sz w:val="22"/>
                <w:szCs w:val="22"/>
              </w:rPr>
            </m:ctrlPr>
          </m:accPr>
          <m:e>
            <m:r>
              <w:rPr>
                <w:rFonts w:ascii="Cambria Math" w:hAnsi="Cambria Math"/>
                <w:sz w:val="22"/>
                <w:szCs w:val="22"/>
              </w:rPr>
              <m:t>X</m:t>
            </m:r>
          </m:e>
        </m:acc>
      </m:oMath>
      <w:r w:rsidRPr="00A5584D">
        <w:rPr>
          <w:rFonts w:eastAsiaTheme="minorEastAsia"/>
          <w:sz w:val="22"/>
          <w:szCs w:val="22"/>
        </w:rPr>
        <w:t>=</w:t>
      </w:r>
      <w:r w:rsidRPr="00A5584D">
        <w:rPr>
          <w:sz w:val="22"/>
          <w:szCs w:val="22"/>
        </w:rPr>
        <w:t>,4926) y que la media del Grupo Control (</w:t>
      </w:r>
      <m:oMath>
        <m:acc>
          <m:accPr>
            <m:chr m:val="̅"/>
            <m:ctrlPr>
              <w:rPr>
                <w:rFonts w:ascii="Cambria Math" w:hAnsi="Cambria Math"/>
                <w:i/>
                <w:sz w:val="22"/>
                <w:szCs w:val="22"/>
              </w:rPr>
            </m:ctrlPr>
          </m:accPr>
          <m:e>
            <m:r>
              <w:rPr>
                <w:rFonts w:ascii="Cambria Math" w:hAnsi="Cambria Math"/>
                <w:sz w:val="22"/>
                <w:szCs w:val="22"/>
              </w:rPr>
              <m:t>X</m:t>
            </m:r>
          </m:e>
        </m:acc>
      </m:oMath>
      <w:r w:rsidRPr="00A5584D">
        <w:rPr>
          <w:rFonts w:eastAsiaTheme="minorEastAsia"/>
          <w:sz w:val="22"/>
          <w:szCs w:val="22"/>
        </w:rPr>
        <w:t>=</w:t>
      </w:r>
      <w:r w:rsidRPr="00A5584D">
        <w:rPr>
          <w:sz w:val="22"/>
          <w:szCs w:val="22"/>
        </w:rPr>
        <w:t>,1728). En este sentido, se podría decir que el grupo expuesto a imágenes de mujeres tatuadas con anteojos obtuvo las puntuaciones más bajas de toda la muestra, mientras que el grupo expuesto a imágenes de mujeres tatuadas con lentes de sol obtuvo las puntuaciones más elevadas; por su parte, las puntuaciones del grupo control se encuentran entre estos dos grupos. Es importante resaltar, que las tendencias descritas anteriormente están definidas por cambios de tan sólo décimas en las puntuaciones. Asimismo, se podría afirmar que las puntuaciones en todos los grupos fueron homogéneas, puesto que tanto en el Grupo Control (DT=,6576) como en los grupos Experimental 1 (DT=,5299) y Experimental 2 (DT=,7296) las puntuaciones de desviación típica (DT) no alcanzaron siquiera un punto (ver Tabla 1).</w:t>
      </w:r>
    </w:p>
    <w:p w:rsidR="006D3B17" w:rsidRPr="00A5584D" w:rsidRDefault="006D3B17" w:rsidP="006D3B17">
      <w:pPr>
        <w:jc w:val="both"/>
        <w:rPr>
          <w:sz w:val="22"/>
          <w:szCs w:val="22"/>
        </w:rPr>
      </w:pPr>
    </w:p>
    <w:p w:rsidR="002F45D0" w:rsidRPr="00A5584D" w:rsidRDefault="002F45D0" w:rsidP="006D3B17">
      <w:pPr>
        <w:jc w:val="both"/>
        <w:rPr>
          <w:sz w:val="22"/>
          <w:szCs w:val="22"/>
        </w:rPr>
      </w:pPr>
      <w:r w:rsidRPr="00A5584D">
        <w:rPr>
          <w:sz w:val="22"/>
          <w:szCs w:val="22"/>
        </w:rPr>
        <w:t>Tabla 2.</w:t>
      </w:r>
    </w:p>
    <w:p w:rsidR="002F45D0" w:rsidRPr="00A5584D" w:rsidRDefault="002F45D0" w:rsidP="006D3B17">
      <w:pPr>
        <w:jc w:val="both"/>
        <w:rPr>
          <w:sz w:val="22"/>
          <w:szCs w:val="22"/>
        </w:rPr>
      </w:pPr>
      <w:r w:rsidRPr="00A5584D">
        <w:rPr>
          <w:i/>
          <w:sz w:val="22"/>
          <w:szCs w:val="22"/>
        </w:rPr>
        <w:t>Prueba de Friedman para la comparación de las puntuaciones post-test de los tres grupos.</w:t>
      </w:r>
    </w:p>
    <w:p w:rsidR="002F45D0" w:rsidRPr="00A5584D" w:rsidRDefault="002F45D0" w:rsidP="006D3B17">
      <w:pPr>
        <w:jc w:val="both"/>
        <w:rPr>
          <w:sz w:val="22"/>
          <w:szCs w:val="22"/>
        </w:rPr>
      </w:pPr>
    </w:p>
    <w:tbl>
      <w:tblPr>
        <w:tblW w:w="292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863"/>
        <w:gridCol w:w="1057"/>
      </w:tblGrid>
      <w:tr w:rsidR="002F45D0" w:rsidRPr="00A5584D" w:rsidTr="002F45D0">
        <w:trPr>
          <w:cantSplit/>
          <w:jc w:val="center"/>
        </w:trPr>
        <w:tc>
          <w:tcPr>
            <w:tcW w:w="2920" w:type="dxa"/>
            <w:gridSpan w:val="2"/>
            <w:tcBorders>
              <w:top w:val="double" w:sz="4" w:space="0" w:color="auto"/>
              <w:left w:val="nil"/>
              <w:bottom w:val="nil"/>
              <w:right w:val="nil"/>
            </w:tcBorders>
            <w:shd w:val="clear" w:color="auto" w:fill="FFFFFF"/>
            <w:vAlign w:val="center"/>
          </w:tcPr>
          <w:p w:rsidR="002F45D0" w:rsidRPr="00A5584D" w:rsidRDefault="002F45D0" w:rsidP="002F45D0">
            <w:pPr>
              <w:autoSpaceDE w:val="0"/>
              <w:autoSpaceDN w:val="0"/>
              <w:adjustRightInd w:val="0"/>
              <w:ind w:left="60" w:right="60"/>
              <w:jc w:val="center"/>
              <w:rPr>
                <w:rFonts w:eastAsia="Calibri"/>
                <w:color w:val="000000"/>
                <w:lang w:val="es-VE" w:eastAsia="en-US"/>
              </w:rPr>
            </w:pPr>
            <w:r w:rsidRPr="00A5584D">
              <w:rPr>
                <w:rFonts w:eastAsia="Calibri"/>
                <w:iCs/>
                <w:color w:val="000000"/>
                <w:sz w:val="22"/>
                <w:szCs w:val="22"/>
                <w:lang w:val="es-VE" w:eastAsia="en-US"/>
              </w:rPr>
              <w:t>Estadísticos de prueba</w:t>
            </w:r>
          </w:p>
        </w:tc>
      </w:tr>
      <w:tr w:rsidR="002F45D0" w:rsidRPr="00A5584D" w:rsidTr="002F45D0">
        <w:trPr>
          <w:cantSplit/>
          <w:jc w:val="center"/>
        </w:trPr>
        <w:tc>
          <w:tcPr>
            <w:tcW w:w="1863" w:type="dxa"/>
            <w:tcBorders>
              <w:left w:val="nil"/>
              <w:bottom w:val="nil"/>
              <w:right w:val="nil"/>
            </w:tcBorders>
            <w:shd w:val="clear" w:color="auto" w:fill="FFFFFF"/>
          </w:tcPr>
          <w:p w:rsidR="002F45D0" w:rsidRPr="00A5584D" w:rsidRDefault="002F45D0" w:rsidP="002F45D0">
            <w:pPr>
              <w:autoSpaceDE w:val="0"/>
              <w:autoSpaceDN w:val="0"/>
              <w:adjustRightInd w:val="0"/>
              <w:ind w:left="60" w:right="60"/>
              <w:rPr>
                <w:rFonts w:eastAsia="Calibri"/>
                <w:color w:val="000000"/>
                <w:lang w:val="es-VE" w:eastAsia="en-US"/>
              </w:rPr>
            </w:pPr>
            <w:r w:rsidRPr="00A5584D">
              <w:rPr>
                <w:rFonts w:eastAsia="Calibri"/>
                <w:color w:val="000000"/>
                <w:sz w:val="22"/>
                <w:szCs w:val="22"/>
                <w:lang w:val="es-VE" w:eastAsia="en-US"/>
              </w:rPr>
              <w:t>N</w:t>
            </w:r>
          </w:p>
        </w:tc>
        <w:tc>
          <w:tcPr>
            <w:tcW w:w="1057" w:type="dxa"/>
            <w:tcBorders>
              <w:left w:val="nil"/>
              <w:bottom w:val="nil"/>
              <w:right w:val="nil"/>
            </w:tcBorders>
            <w:shd w:val="clear" w:color="auto" w:fill="FFFFFF"/>
          </w:tcPr>
          <w:p w:rsidR="002F45D0" w:rsidRPr="00A5584D" w:rsidRDefault="002F45D0" w:rsidP="002F45D0">
            <w:pPr>
              <w:autoSpaceDE w:val="0"/>
              <w:autoSpaceDN w:val="0"/>
              <w:adjustRightInd w:val="0"/>
              <w:ind w:left="60" w:right="60"/>
              <w:jc w:val="right"/>
              <w:rPr>
                <w:rFonts w:eastAsia="Calibri"/>
                <w:color w:val="000000"/>
                <w:lang w:val="es-VE" w:eastAsia="en-US"/>
              </w:rPr>
            </w:pPr>
            <w:r w:rsidRPr="00A5584D">
              <w:rPr>
                <w:rFonts w:eastAsia="Calibri"/>
                <w:color w:val="000000"/>
                <w:sz w:val="22"/>
                <w:szCs w:val="22"/>
                <w:lang w:val="es-VE" w:eastAsia="en-US"/>
              </w:rPr>
              <w:t>10</w:t>
            </w:r>
          </w:p>
        </w:tc>
      </w:tr>
      <w:tr w:rsidR="002F45D0" w:rsidRPr="00A5584D" w:rsidTr="002F45D0">
        <w:trPr>
          <w:cantSplit/>
          <w:jc w:val="center"/>
        </w:trPr>
        <w:tc>
          <w:tcPr>
            <w:tcW w:w="1863" w:type="dxa"/>
            <w:tcBorders>
              <w:top w:val="nil"/>
              <w:left w:val="nil"/>
              <w:bottom w:val="nil"/>
              <w:right w:val="nil"/>
            </w:tcBorders>
            <w:shd w:val="clear" w:color="auto" w:fill="FFFFFF"/>
          </w:tcPr>
          <w:p w:rsidR="002F45D0" w:rsidRPr="00A5584D" w:rsidRDefault="002F45D0" w:rsidP="002F45D0">
            <w:pPr>
              <w:autoSpaceDE w:val="0"/>
              <w:autoSpaceDN w:val="0"/>
              <w:adjustRightInd w:val="0"/>
              <w:ind w:left="60" w:right="60"/>
              <w:rPr>
                <w:rFonts w:eastAsia="Calibri"/>
                <w:color w:val="000000"/>
                <w:lang w:val="es-VE" w:eastAsia="en-US"/>
              </w:rPr>
            </w:pPr>
            <w:r w:rsidRPr="00A5584D">
              <w:rPr>
                <w:rFonts w:eastAsia="Calibri"/>
                <w:color w:val="000000"/>
                <w:sz w:val="22"/>
                <w:szCs w:val="22"/>
                <w:lang w:val="es-VE" w:eastAsia="en-US"/>
              </w:rPr>
              <w:t>Chi-cuadrado</w:t>
            </w:r>
          </w:p>
        </w:tc>
        <w:tc>
          <w:tcPr>
            <w:tcW w:w="1057" w:type="dxa"/>
            <w:tcBorders>
              <w:top w:val="nil"/>
              <w:left w:val="nil"/>
              <w:bottom w:val="nil"/>
              <w:right w:val="nil"/>
            </w:tcBorders>
            <w:shd w:val="clear" w:color="auto" w:fill="FFFFFF"/>
          </w:tcPr>
          <w:p w:rsidR="002F45D0" w:rsidRPr="00A5584D" w:rsidRDefault="002F45D0" w:rsidP="002F45D0">
            <w:pPr>
              <w:autoSpaceDE w:val="0"/>
              <w:autoSpaceDN w:val="0"/>
              <w:adjustRightInd w:val="0"/>
              <w:ind w:left="60" w:right="60"/>
              <w:jc w:val="right"/>
              <w:rPr>
                <w:rFonts w:eastAsia="Calibri"/>
                <w:color w:val="000000"/>
                <w:lang w:val="es-VE" w:eastAsia="en-US"/>
              </w:rPr>
            </w:pPr>
            <w:r w:rsidRPr="00A5584D">
              <w:rPr>
                <w:rFonts w:eastAsia="Calibri"/>
                <w:color w:val="000000"/>
                <w:sz w:val="22"/>
                <w:szCs w:val="22"/>
                <w:lang w:val="es-VE" w:eastAsia="en-US"/>
              </w:rPr>
              <w:t>,200</w:t>
            </w:r>
          </w:p>
        </w:tc>
      </w:tr>
      <w:tr w:rsidR="002F45D0" w:rsidRPr="00A5584D" w:rsidTr="002F45D0">
        <w:trPr>
          <w:cantSplit/>
          <w:jc w:val="center"/>
        </w:trPr>
        <w:tc>
          <w:tcPr>
            <w:tcW w:w="1863" w:type="dxa"/>
            <w:tcBorders>
              <w:top w:val="nil"/>
              <w:left w:val="nil"/>
              <w:bottom w:val="nil"/>
              <w:right w:val="nil"/>
            </w:tcBorders>
            <w:shd w:val="clear" w:color="auto" w:fill="FFFFFF"/>
          </w:tcPr>
          <w:p w:rsidR="002F45D0" w:rsidRPr="00A5584D" w:rsidRDefault="002F45D0" w:rsidP="002F45D0">
            <w:pPr>
              <w:autoSpaceDE w:val="0"/>
              <w:autoSpaceDN w:val="0"/>
              <w:adjustRightInd w:val="0"/>
              <w:ind w:left="60" w:right="60"/>
              <w:rPr>
                <w:rFonts w:eastAsia="Calibri"/>
                <w:color w:val="000000"/>
                <w:lang w:val="es-VE" w:eastAsia="en-US"/>
              </w:rPr>
            </w:pPr>
            <w:r w:rsidRPr="00A5584D">
              <w:rPr>
                <w:rFonts w:eastAsia="Calibri"/>
                <w:color w:val="000000"/>
                <w:sz w:val="22"/>
                <w:szCs w:val="22"/>
                <w:lang w:val="es-VE" w:eastAsia="en-US"/>
              </w:rPr>
              <w:t>gl</w:t>
            </w:r>
          </w:p>
        </w:tc>
        <w:tc>
          <w:tcPr>
            <w:tcW w:w="1057" w:type="dxa"/>
            <w:tcBorders>
              <w:top w:val="nil"/>
              <w:left w:val="nil"/>
              <w:bottom w:val="nil"/>
              <w:right w:val="nil"/>
            </w:tcBorders>
            <w:shd w:val="clear" w:color="auto" w:fill="FFFFFF"/>
          </w:tcPr>
          <w:p w:rsidR="002F45D0" w:rsidRPr="00A5584D" w:rsidRDefault="002F45D0" w:rsidP="002F45D0">
            <w:pPr>
              <w:autoSpaceDE w:val="0"/>
              <w:autoSpaceDN w:val="0"/>
              <w:adjustRightInd w:val="0"/>
              <w:ind w:left="60" w:right="60"/>
              <w:jc w:val="right"/>
              <w:rPr>
                <w:rFonts w:eastAsia="Calibri"/>
                <w:color w:val="000000"/>
                <w:lang w:val="es-VE" w:eastAsia="en-US"/>
              </w:rPr>
            </w:pPr>
            <w:r w:rsidRPr="00A5584D">
              <w:rPr>
                <w:rFonts w:eastAsia="Calibri"/>
                <w:color w:val="000000"/>
                <w:sz w:val="22"/>
                <w:szCs w:val="22"/>
                <w:lang w:val="es-VE" w:eastAsia="en-US"/>
              </w:rPr>
              <w:t>2</w:t>
            </w:r>
          </w:p>
        </w:tc>
      </w:tr>
      <w:tr w:rsidR="002F45D0" w:rsidRPr="00A5584D" w:rsidTr="002F45D0">
        <w:trPr>
          <w:cantSplit/>
          <w:jc w:val="center"/>
        </w:trPr>
        <w:tc>
          <w:tcPr>
            <w:tcW w:w="1863" w:type="dxa"/>
            <w:tcBorders>
              <w:top w:val="nil"/>
              <w:left w:val="nil"/>
              <w:bottom w:val="double" w:sz="4" w:space="0" w:color="auto"/>
              <w:right w:val="nil"/>
            </w:tcBorders>
            <w:shd w:val="clear" w:color="auto" w:fill="FFFFFF"/>
          </w:tcPr>
          <w:p w:rsidR="002F45D0" w:rsidRPr="00A5584D" w:rsidRDefault="002F45D0" w:rsidP="002F45D0">
            <w:pPr>
              <w:autoSpaceDE w:val="0"/>
              <w:autoSpaceDN w:val="0"/>
              <w:adjustRightInd w:val="0"/>
              <w:ind w:left="60" w:right="60"/>
              <w:rPr>
                <w:rFonts w:eastAsia="Calibri"/>
                <w:color w:val="000000"/>
                <w:lang w:val="es-VE" w:eastAsia="en-US"/>
              </w:rPr>
            </w:pPr>
            <w:r w:rsidRPr="00A5584D">
              <w:rPr>
                <w:rFonts w:eastAsia="Calibri"/>
                <w:color w:val="000000"/>
                <w:sz w:val="22"/>
                <w:szCs w:val="22"/>
                <w:lang w:val="es-VE" w:eastAsia="en-US"/>
              </w:rPr>
              <w:t>Sig. asintótica</w:t>
            </w:r>
          </w:p>
        </w:tc>
        <w:tc>
          <w:tcPr>
            <w:tcW w:w="1057" w:type="dxa"/>
            <w:tcBorders>
              <w:top w:val="nil"/>
              <w:left w:val="nil"/>
              <w:bottom w:val="double" w:sz="4" w:space="0" w:color="auto"/>
              <w:right w:val="nil"/>
            </w:tcBorders>
            <w:shd w:val="clear" w:color="auto" w:fill="FFFFFF"/>
          </w:tcPr>
          <w:p w:rsidR="002F45D0" w:rsidRPr="00A5584D" w:rsidRDefault="002F45D0" w:rsidP="002F45D0">
            <w:pPr>
              <w:autoSpaceDE w:val="0"/>
              <w:autoSpaceDN w:val="0"/>
              <w:adjustRightInd w:val="0"/>
              <w:ind w:left="60" w:right="60"/>
              <w:jc w:val="right"/>
              <w:rPr>
                <w:rFonts w:eastAsia="Calibri"/>
                <w:color w:val="000000"/>
                <w:lang w:val="es-VE" w:eastAsia="en-US"/>
              </w:rPr>
            </w:pPr>
            <w:r w:rsidRPr="00A5584D">
              <w:rPr>
                <w:rFonts w:eastAsia="Calibri"/>
                <w:color w:val="000000"/>
                <w:sz w:val="22"/>
                <w:szCs w:val="22"/>
                <w:lang w:val="es-VE" w:eastAsia="en-US"/>
              </w:rPr>
              <w:t>,905</w:t>
            </w:r>
          </w:p>
        </w:tc>
      </w:tr>
    </w:tbl>
    <w:p w:rsidR="002F45D0" w:rsidRPr="00A5584D" w:rsidRDefault="002F45D0" w:rsidP="006D3B17">
      <w:pPr>
        <w:jc w:val="both"/>
        <w:rPr>
          <w:sz w:val="22"/>
          <w:szCs w:val="22"/>
        </w:rPr>
      </w:pPr>
    </w:p>
    <w:p w:rsidR="002F45D0" w:rsidRPr="00A5584D" w:rsidRDefault="002F45D0" w:rsidP="002F45D0">
      <w:pPr>
        <w:ind w:firstLine="708"/>
        <w:jc w:val="both"/>
        <w:rPr>
          <w:sz w:val="22"/>
          <w:szCs w:val="22"/>
        </w:rPr>
      </w:pPr>
      <w:r w:rsidRPr="00A5584D">
        <w:rPr>
          <w:sz w:val="22"/>
          <w:szCs w:val="22"/>
        </w:rPr>
        <w:t xml:space="preserve">Tras haber observado diferencias entre las medias de los grupos, se hizo necesario realizar una prueba de Friedman para conocer si estas diferencias eran o no significativas. El resultado arrojado por el paquete estadístico SPSS </w:t>
      </w:r>
      <w:r w:rsidRPr="00A5584D">
        <w:rPr>
          <w:i/>
          <w:sz w:val="22"/>
          <w:szCs w:val="22"/>
        </w:rPr>
        <w:t>X</w:t>
      </w:r>
      <w:r w:rsidRPr="00A5584D">
        <w:rPr>
          <w:sz w:val="22"/>
          <w:szCs w:val="22"/>
          <w:vertAlign w:val="superscript"/>
        </w:rPr>
        <w:t>2</w:t>
      </w:r>
      <w:r w:rsidRPr="00A5584D">
        <w:rPr>
          <w:sz w:val="22"/>
          <w:szCs w:val="22"/>
        </w:rPr>
        <w:t>(2)=,200, p &gt;,05 muestra una significación superior a ,05 con un nivel de confianza de 95%, por lo que no permite rechazar la hipótesis nula de igualdad de medias entre los grupos, es decir, que las señales visuales no verbales no produjeron un efecto significativo sobre el prejuicio implícito hacia las mujeres tatuadas.</w:t>
      </w:r>
    </w:p>
    <w:p w:rsidR="006D3B17" w:rsidRPr="00A5584D" w:rsidRDefault="006D3B17" w:rsidP="006D3B17">
      <w:pPr>
        <w:jc w:val="center"/>
        <w:rPr>
          <w:b/>
          <w:sz w:val="22"/>
          <w:szCs w:val="22"/>
        </w:rPr>
      </w:pPr>
    </w:p>
    <w:p w:rsidR="006D3B17" w:rsidRPr="00A5584D" w:rsidRDefault="006D3B17" w:rsidP="006D3B17">
      <w:pPr>
        <w:jc w:val="center"/>
        <w:rPr>
          <w:b/>
          <w:sz w:val="22"/>
          <w:szCs w:val="22"/>
        </w:rPr>
      </w:pPr>
      <w:r w:rsidRPr="00A5584D">
        <w:rPr>
          <w:b/>
          <w:sz w:val="22"/>
          <w:szCs w:val="22"/>
        </w:rPr>
        <w:t>Discusión de Resultados</w:t>
      </w:r>
    </w:p>
    <w:p w:rsidR="006D3B17" w:rsidRPr="00A5584D" w:rsidRDefault="006D3B17" w:rsidP="006D3B17">
      <w:pPr>
        <w:jc w:val="center"/>
        <w:rPr>
          <w:b/>
          <w:sz w:val="22"/>
          <w:szCs w:val="22"/>
        </w:rPr>
      </w:pPr>
    </w:p>
    <w:p w:rsidR="006D3B17" w:rsidRPr="00A5584D" w:rsidRDefault="006D3B17" w:rsidP="006D3B17">
      <w:pPr>
        <w:ind w:firstLine="708"/>
        <w:jc w:val="both"/>
        <w:rPr>
          <w:sz w:val="22"/>
          <w:szCs w:val="22"/>
        </w:rPr>
      </w:pPr>
      <w:r w:rsidRPr="00A5584D">
        <w:rPr>
          <w:sz w:val="22"/>
          <w:szCs w:val="22"/>
        </w:rPr>
        <w:t>La presente investigación se propuso evaluar la eficacia de las señales visuales no verbales, anteojos y lentes de sol, en la reducción del prejuicio implícito hacia mujeres con tatuajes visibles, partiendo de hallazgos previos que permitían afirmar que los anteojos eran un medio visual efectivo para propiciar dicha reducción (</w:t>
      </w:r>
      <w:r w:rsidR="004A1983">
        <w:rPr>
          <w:sz w:val="22"/>
          <w:szCs w:val="22"/>
        </w:rPr>
        <w:t>Torrejón</w:t>
      </w:r>
      <w:r w:rsidRPr="00A5584D">
        <w:rPr>
          <w:sz w:val="22"/>
          <w:szCs w:val="22"/>
        </w:rPr>
        <w:t xml:space="preserve">, 2015). Tales resultados no pudieron ser replicados en esta investigación, ya que no existieron diferencias significativas entre ninguno de los grupos. Lo anterior quiere decir que, en general, las señales visuales no verbales no surtieron efecto alguno en la reducción del prejuicio implícito hacia las mujeres tatuadas. </w:t>
      </w:r>
    </w:p>
    <w:p w:rsidR="006D3B17" w:rsidRPr="00A5584D" w:rsidRDefault="006D3B17" w:rsidP="006D3B17">
      <w:pPr>
        <w:ind w:firstLine="708"/>
        <w:jc w:val="both"/>
        <w:rPr>
          <w:sz w:val="22"/>
          <w:szCs w:val="22"/>
        </w:rPr>
      </w:pPr>
    </w:p>
    <w:p w:rsidR="006D3B17" w:rsidRPr="00A5584D" w:rsidRDefault="006D3B17" w:rsidP="006D3B17">
      <w:pPr>
        <w:ind w:firstLine="708"/>
        <w:jc w:val="both"/>
        <w:rPr>
          <w:sz w:val="22"/>
          <w:szCs w:val="22"/>
        </w:rPr>
      </w:pPr>
      <w:r w:rsidRPr="00A5584D">
        <w:rPr>
          <w:sz w:val="22"/>
          <w:szCs w:val="22"/>
        </w:rPr>
        <w:t xml:space="preserve">Entre las razones que podrían explicar estos hallazgos, se deben tomar en consideración las medias de los grupos, las cuales reflejan la existencia de niveles bajos de prejuicio implícito en cada grupo, incluso en el grupo sin exposición a ninguna intervención, implicando que el prejuicio existente en la muestra seleccionada con respecto a las mujeres tatuadas no se presentaba en gran medida, pudiendo provocar que no se evidenciara de forma potente el efecto de la variable independiente. Estos resultados bajos deberían evaluarse con cuidado, ya que podrían deberse a otras variables que pudieron haber influido, tales como el género de los tatuajes, la composición de la muestra o el contacto previo con personas tatuadas, más que al hecho de que este prejuicio no se dé fuertemente en la sociedad, lo que a simple vista parecería explicar el porqué de los resultados bajos inclusive en el grupo control. </w:t>
      </w:r>
    </w:p>
    <w:p w:rsidR="006D3B17" w:rsidRPr="00A5584D" w:rsidRDefault="006D3B17" w:rsidP="006D3B17">
      <w:pPr>
        <w:ind w:firstLine="708"/>
        <w:jc w:val="both"/>
        <w:rPr>
          <w:sz w:val="22"/>
          <w:szCs w:val="22"/>
        </w:rPr>
      </w:pPr>
    </w:p>
    <w:p w:rsidR="006D3B17" w:rsidRPr="00A5584D" w:rsidRDefault="006D3B17" w:rsidP="006D3B17">
      <w:pPr>
        <w:ind w:firstLine="708"/>
        <w:jc w:val="both"/>
        <w:rPr>
          <w:sz w:val="22"/>
          <w:szCs w:val="22"/>
        </w:rPr>
      </w:pPr>
      <w:r w:rsidRPr="00A5584D">
        <w:rPr>
          <w:sz w:val="22"/>
          <w:szCs w:val="22"/>
        </w:rPr>
        <w:t xml:space="preserve">De este modo, los puntajes bajos podrían deberse, por un lado, al género de tatuajes empleados en las imágenes presentadas, debido a que éstos correspondían, en su mayoría, a tatuajes tribales y con </w:t>
      </w:r>
      <w:r w:rsidRPr="00A5584D">
        <w:rPr>
          <w:sz w:val="22"/>
          <w:szCs w:val="22"/>
        </w:rPr>
        <w:lastRenderedPageBreak/>
        <w:t>temas de la naturaleza, estando estos géneros menos asociados con los estereotipos negativos que se tienen hacia las personas con tatuajes y los cuales, además, generan mayor percepción de confianza hacia la persona tatuada que otros tipos de tatuajes, como los relacionados a temas de</w:t>
      </w:r>
      <w:r w:rsidR="00622E1F">
        <w:rPr>
          <w:sz w:val="22"/>
          <w:szCs w:val="22"/>
        </w:rPr>
        <w:t xml:space="preserve"> violencia o desnudez (</w:t>
      </w:r>
      <w:proofErr w:type="spellStart"/>
      <w:r w:rsidR="00622E1F">
        <w:rPr>
          <w:sz w:val="22"/>
          <w:szCs w:val="22"/>
        </w:rPr>
        <w:t>Timming</w:t>
      </w:r>
      <w:proofErr w:type="spellEnd"/>
      <w:r w:rsidR="00622E1F">
        <w:rPr>
          <w:sz w:val="22"/>
          <w:szCs w:val="22"/>
        </w:rPr>
        <w:t xml:space="preserve"> &amp;</w:t>
      </w:r>
      <w:r w:rsidRPr="00A5584D">
        <w:rPr>
          <w:sz w:val="22"/>
          <w:szCs w:val="22"/>
        </w:rPr>
        <w:t xml:space="preserve"> </w:t>
      </w:r>
      <w:proofErr w:type="spellStart"/>
      <w:r w:rsidRPr="00A5584D">
        <w:rPr>
          <w:sz w:val="22"/>
          <w:szCs w:val="22"/>
        </w:rPr>
        <w:t>Perret</w:t>
      </w:r>
      <w:proofErr w:type="spellEnd"/>
      <w:r w:rsidRPr="00A5584D">
        <w:rPr>
          <w:sz w:val="22"/>
          <w:szCs w:val="22"/>
        </w:rPr>
        <w:t xml:space="preserve">, 2017). </w:t>
      </w:r>
    </w:p>
    <w:p w:rsidR="006D3B17" w:rsidRPr="00A5584D" w:rsidRDefault="006D3B17" w:rsidP="006D3B17">
      <w:pPr>
        <w:ind w:firstLine="708"/>
        <w:jc w:val="both"/>
        <w:rPr>
          <w:sz w:val="22"/>
          <w:szCs w:val="22"/>
        </w:rPr>
      </w:pPr>
    </w:p>
    <w:p w:rsidR="006D3B17" w:rsidRPr="00A5584D" w:rsidRDefault="006D3B17" w:rsidP="006D3B17">
      <w:pPr>
        <w:ind w:firstLine="708"/>
        <w:jc w:val="both"/>
        <w:rPr>
          <w:sz w:val="22"/>
          <w:szCs w:val="22"/>
        </w:rPr>
      </w:pPr>
      <w:r w:rsidRPr="00A5584D">
        <w:rPr>
          <w:sz w:val="22"/>
          <w:szCs w:val="22"/>
        </w:rPr>
        <w:t>Por otro lado, estos bajos niveles de prejuicio podrían deberse a las características de la muestra, estando ésta conformada por adultos jóvenes que eran estudiantes universitarios, en su mayoría, de hum</w:t>
      </w:r>
      <w:r w:rsidR="00622E1F">
        <w:rPr>
          <w:sz w:val="22"/>
          <w:szCs w:val="22"/>
        </w:rPr>
        <w:t>anidades, quienes según Paluck &amp;</w:t>
      </w:r>
      <w:r w:rsidRPr="00A5584D">
        <w:rPr>
          <w:sz w:val="22"/>
          <w:szCs w:val="22"/>
        </w:rPr>
        <w:t xml:space="preserve"> Green (2009) son especialmente excepcionales cuando se trata de las expresiones de prejuicios, siendo éstos quienes reportan menos prejuicios de los que tiene el promedio de los individuos</w:t>
      </w:r>
      <w:r w:rsidR="00622E1F">
        <w:rPr>
          <w:sz w:val="22"/>
          <w:szCs w:val="22"/>
        </w:rPr>
        <w:t>; y los cuales, según Guerrero &amp;</w:t>
      </w:r>
      <w:r w:rsidRPr="00A5584D">
        <w:rPr>
          <w:sz w:val="22"/>
          <w:szCs w:val="22"/>
        </w:rPr>
        <w:t xml:space="preserve"> Zambrano (2013), tienden a presentar menores niveles de prejuicio hacia diversos exogrupos en comparación con estudiantes de otras carreras como ingeniería o agroindustria.</w:t>
      </w:r>
    </w:p>
    <w:p w:rsidR="006D3B17" w:rsidRPr="00A5584D" w:rsidRDefault="006D3B17" w:rsidP="006D3B17">
      <w:pPr>
        <w:ind w:firstLine="708"/>
        <w:jc w:val="both"/>
        <w:rPr>
          <w:sz w:val="22"/>
          <w:szCs w:val="22"/>
        </w:rPr>
      </w:pPr>
    </w:p>
    <w:p w:rsidR="006D3B17" w:rsidRPr="00A5584D" w:rsidRDefault="006D3B17" w:rsidP="006D3B17">
      <w:pPr>
        <w:pStyle w:val="NormalWeb"/>
        <w:spacing w:before="0" w:beforeAutospacing="0" w:after="0" w:afterAutospacing="0"/>
        <w:ind w:firstLine="708"/>
        <w:jc w:val="both"/>
        <w:rPr>
          <w:color w:val="000000"/>
          <w:sz w:val="22"/>
          <w:szCs w:val="22"/>
        </w:rPr>
      </w:pPr>
      <w:r w:rsidRPr="00A5584D">
        <w:rPr>
          <w:sz w:val="22"/>
          <w:szCs w:val="22"/>
        </w:rPr>
        <w:t xml:space="preserve">Por último, otro factor que pudo haber influido en los resultados bajos podría ser el contacto previo </w:t>
      </w:r>
      <w:r w:rsidRPr="00A5584D">
        <w:rPr>
          <w:color w:val="000000"/>
          <w:sz w:val="22"/>
          <w:szCs w:val="22"/>
        </w:rPr>
        <w:t xml:space="preserve">que los participantes hayan tenido con personas tatuadas. Pues, en la sociedad actual, el tatuaje ha adquirido distintas formas de uso, valores y significados, asociándose ahora con el enaltecimiento de la estética corporal, el mundo afectivo y la búsqueda personal de diferenciación (Pérez, 2009). Asimismo, la profesionalización del tatuado, es decir, su realización por parte de personas con un saber más técnico y el empleo de instrumentos especializados, produce un incremento en la confianza a la hora de tatuarse (Pérez, 2009). </w:t>
      </w:r>
    </w:p>
    <w:p w:rsidR="009B60DE" w:rsidRPr="00A5584D" w:rsidRDefault="009B60DE" w:rsidP="006D3B17">
      <w:pPr>
        <w:pStyle w:val="NormalWeb"/>
        <w:spacing w:before="0" w:beforeAutospacing="0" w:after="0" w:afterAutospacing="0"/>
        <w:ind w:firstLine="708"/>
        <w:jc w:val="both"/>
        <w:rPr>
          <w:color w:val="000000"/>
          <w:sz w:val="22"/>
          <w:szCs w:val="22"/>
        </w:rPr>
      </w:pPr>
    </w:p>
    <w:p w:rsidR="006D3B17" w:rsidRPr="00A5584D" w:rsidRDefault="006D3B17" w:rsidP="006D3B17">
      <w:pPr>
        <w:pStyle w:val="NormalWeb"/>
        <w:spacing w:before="0" w:beforeAutospacing="0" w:after="0" w:afterAutospacing="0"/>
        <w:ind w:firstLine="708"/>
        <w:jc w:val="both"/>
        <w:rPr>
          <w:sz w:val="22"/>
          <w:szCs w:val="22"/>
        </w:rPr>
      </w:pPr>
      <w:r w:rsidRPr="00A5584D">
        <w:rPr>
          <w:color w:val="000000"/>
          <w:sz w:val="22"/>
          <w:szCs w:val="22"/>
        </w:rPr>
        <w:t xml:space="preserve">Además, a esto debe añadirse, que en la contemporaneidad no hay un perfil de la persona tatuada, el tatuaje transita por distintos niveles económicos y educativos, por diferentes entornos sociales y laborales, distintas generaciones y actividades, no discrimina por edad o género; en fin, no está supeditado a una persona particular, haciendo que su uso sea cada vez más variado y masivo, lo cual hace difícil no tener contacto alguno con los mismos (Pérez, 2009). En este sentido, es posible que los participantes, como individuos de esta sociedad contemporánea que se desenvuelven en una diversidad de contextos y con una variedad de personas, tengan familiares, amigos o conocidos con tatuajes, por lo que el contacto con ellos en múltiples ocasiones y contextos podría llevar a un aprendizaje acerca de estos, a una generación de lazos afectivos, una reevaluación de los estereotipos que se tienen acerca de este exogrupo y, finalmente, al cambio positivo de los comportamientos dirigidos hacia ellos (Pettigrew, </w:t>
      </w:r>
      <w:r w:rsidRPr="006349E1">
        <w:rPr>
          <w:color w:val="000000"/>
          <w:sz w:val="22"/>
          <w:szCs w:val="22"/>
        </w:rPr>
        <w:t>1998).</w:t>
      </w:r>
      <w:r w:rsidRPr="00A5584D">
        <w:rPr>
          <w:color w:val="000000"/>
          <w:sz w:val="22"/>
          <w:szCs w:val="22"/>
        </w:rPr>
        <w:t xml:space="preserve"> </w:t>
      </w:r>
    </w:p>
    <w:p w:rsidR="006D3B17" w:rsidRPr="00A5584D" w:rsidRDefault="006D3B17" w:rsidP="006D3B17">
      <w:pPr>
        <w:jc w:val="both"/>
        <w:rPr>
          <w:sz w:val="22"/>
          <w:szCs w:val="22"/>
          <w:lang w:eastAsia="es-VE"/>
        </w:rPr>
      </w:pPr>
      <w:r w:rsidRPr="00A5584D">
        <w:rPr>
          <w:color w:val="000000"/>
          <w:sz w:val="22"/>
          <w:szCs w:val="22"/>
          <w:lang w:eastAsia="es-VE"/>
        </w:rPr>
        <w:t xml:space="preserve">     </w:t>
      </w:r>
    </w:p>
    <w:p w:rsidR="006D3B17" w:rsidRPr="00A5584D" w:rsidRDefault="006D3B17" w:rsidP="006D3B17">
      <w:pPr>
        <w:ind w:firstLine="708"/>
        <w:jc w:val="both"/>
        <w:rPr>
          <w:color w:val="000000"/>
          <w:sz w:val="22"/>
          <w:szCs w:val="22"/>
          <w:lang w:eastAsia="es-VE"/>
        </w:rPr>
      </w:pPr>
      <w:r w:rsidRPr="00A5584D">
        <w:rPr>
          <w:color w:val="000000"/>
          <w:sz w:val="22"/>
          <w:szCs w:val="22"/>
          <w:lang w:eastAsia="es-VE"/>
        </w:rPr>
        <w:t xml:space="preserve">En efecto, la asociación del contacto y los niveles de prejuicio es claramente expuesta en la Hipótesis de Contacto postulada por </w:t>
      </w:r>
      <w:proofErr w:type="spellStart"/>
      <w:r w:rsidRPr="00A5584D">
        <w:rPr>
          <w:color w:val="000000"/>
          <w:sz w:val="22"/>
          <w:szCs w:val="22"/>
          <w:lang w:eastAsia="es-VE"/>
        </w:rPr>
        <w:t>Allport</w:t>
      </w:r>
      <w:proofErr w:type="spellEnd"/>
      <w:r w:rsidRPr="00A5584D">
        <w:rPr>
          <w:color w:val="000000"/>
          <w:sz w:val="22"/>
          <w:szCs w:val="22"/>
          <w:lang w:eastAsia="es-VE"/>
        </w:rPr>
        <w:t xml:space="preserve"> (1954</w:t>
      </w:r>
      <w:r w:rsidR="00622E1F">
        <w:rPr>
          <w:color w:val="000000"/>
          <w:sz w:val="22"/>
          <w:szCs w:val="22"/>
          <w:lang w:eastAsia="es-VE"/>
        </w:rPr>
        <w:t xml:space="preserve"> como se citó en </w:t>
      </w:r>
      <w:r w:rsidRPr="00A5584D">
        <w:rPr>
          <w:color w:val="000000"/>
          <w:sz w:val="22"/>
          <w:szCs w:val="22"/>
          <w:lang w:eastAsia="es-VE"/>
        </w:rPr>
        <w:t>Joyce, 2017), quien plantea que el contacto directo con miembros del exogrupo mejoraría las actitudes que se tienen hacia estos, siempre y cuando se cumpla con cuatro condiciones claves, a saber: el status de igualdad dentro de la situación de contacto, metas comunes, participación cooperativa y apoyo de las autoridades, las cuales se relacionan a procesos que funcionan como mediadores del cambio de las actitudes, como lo son el aprendizaje, el cambio comportamental, la generación de lazos afectivos y la reevaluación del endogrupo (Pettigrew, 1998).</w:t>
      </w:r>
    </w:p>
    <w:p w:rsidR="006D3B17" w:rsidRPr="00A5584D" w:rsidRDefault="006D3B17" w:rsidP="006D3B17">
      <w:pPr>
        <w:ind w:firstLine="708"/>
        <w:jc w:val="both"/>
        <w:rPr>
          <w:color w:val="000000"/>
          <w:sz w:val="22"/>
          <w:szCs w:val="22"/>
          <w:lang w:eastAsia="es-VE"/>
        </w:rPr>
      </w:pPr>
    </w:p>
    <w:p w:rsidR="006D3B17" w:rsidRPr="00A5584D" w:rsidRDefault="006D3B17" w:rsidP="006D3B17">
      <w:pPr>
        <w:ind w:firstLine="708"/>
        <w:jc w:val="both"/>
        <w:rPr>
          <w:sz w:val="22"/>
          <w:szCs w:val="22"/>
          <w:lang w:eastAsia="es-VE"/>
        </w:rPr>
      </w:pPr>
      <w:r w:rsidRPr="00A5584D">
        <w:rPr>
          <w:color w:val="000000"/>
          <w:sz w:val="22"/>
          <w:szCs w:val="22"/>
          <w:lang w:eastAsia="es-VE"/>
        </w:rPr>
        <w:t xml:space="preserve">Una extensión de la hipótesis de contacto que también tiene gran importancia en la explicación de los bajos niveles de prejuicio de la muestra, es la teoría contacto intergrupal mediático, según la cual el contacto entre el endogrupo y el exogrupo se da a través de los medios, lo que generaría procesos de vinculación, identificación y aprendizaje acerca del exogrupo, con lo cual se conduciría a una mejora de las actitudes y emociones intergrupales, se modificarían los estereotipos negativos y se facilitarían conductas más positivas (Joyce, 2017). En este sentido, es evidente como el entorno público se encuentra invadido por una fuerte presencia de medios de comunicación, lo que implica un incremento de las vías visibles a través de las cuales se proyectan y expresan imágenes de lo individual y de lo </w:t>
      </w:r>
      <w:r w:rsidRPr="00A5584D">
        <w:rPr>
          <w:color w:val="000000"/>
          <w:sz w:val="22"/>
          <w:szCs w:val="22"/>
          <w:lang w:eastAsia="es-VE"/>
        </w:rPr>
        <w:lastRenderedPageBreak/>
        <w:t xml:space="preserve">social, facilitando la difusión y el contacto con estilos y modas de arte corporal, convirtiéndose el tatuaje en un fenómeno ampliamente extendido (Walzer, 2016).   </w:t>
      </w:r>
    </w:p>
    <w:p w:rsidR="006D3B17" w:rsidRPr="00A5584D" w:rsidRDefault="006D3B17" w:rsidP="006D3B17">
      <w:pPr>
        <w:jc w:val="both"/>
        <w:rPr>
          <w:sz w:val="22"/>
          <w:szCs w:val="22"/>
          <w:lang w:eastAsia="es-VE"/>
        </w:rPr>
      </w:pPr>
    </w:p>
    <w:p w:rsidR="006D3B17" w:rsidRPr="00A5584D" w:rsidRDefault="006D3B17" w:rsidP="006D3B17">
      <w:pPr>
        <w:ind w:firstLine="708"/>
        <w:jc w:val="both"/>
        <w:rPr>
          <w:color w:val="000000"/>
          <w:sz w:val="22"/>
          <w:szCs w:val="22"/>
          <w:lang w:eastAsia="es-VE"/>
        </w:rPr>
      </w:pPr>
      <w:r w:rsidRPr="00A5584D">
        <w:rPr>
          <w:color w:val="000000"/>
          <w:sz w:val="22"/>
          <w:szCs w:val="22"/>
          <w:lang w:eastAsia="es-VE"/>
        </w:rPr>
        <w:t>Similar a esto, el auge de estudios de tatuajes y de tatuadores famosos con sus propias páginas web funciona como forma de expresión, extensión y globalización de la presencia de tatuajes (Walzer, 2016). De igual forma, el hecho de que personas famosas estén tatuadas, produce en las personas que las siguen y estiman, una disminución en las actitudes negativas hacia los tatuajes, e incluso, interés en tatuarse (Joyce, 2017).</w:t>
      </w:r>
    </w:p>
    <w:p w:rsidR="003D5E65" w:rsidRPr="00A5584D" w:rsidRDefault="003D5E65" w:rsidP="006D3B17">
      <w:pPr>
        <w:ind w:firstLine="708"/>
        <w:jc w:val="both"/>
        <w:rPr>
          <w:sz w:val="22"/>
          <w:szCs w:val="22"/>
          <w:lang w:eastAsia="es-VE"/>
        </w:rPr>
      </w:pPr>
    </w:p>
    <w:p w:rsidR="006D3B17" w:rsidRPr="00A5584D" w:rsidRDefault="006D3B17" w:rsidP="00302E1E">
      <w:pPr>
        <w:jc w:val="both"/>
        <w:rPr>
          <w:sz w:val="22"/>
          <w:szCs w:val="22"/>
          <w:lang w:eastAsia="es-VE"/>
        </w:rPr>
      </w:pPr>
      <w:r w:rsidRPr="00A5584D">
        <w:rPr>
          <w:color w:val="000000"/>
          <w:sz w:val="22"/>
          <w:szCs w:val="22"/>
          <w:lang w:eastAsia="es-VE"/>
        </w:rPr>
        <w:t xml:space="preserve">     </w:t>
      </w:r>
      <w:r w:rsidR="003D5E65" w:rsidRPr="00A5584D">
        <w:rPr>
          <w:color w:val="000000"/>
          <w:sz w:val="22"/>
          <w:szCs w:val="22"/>
          <w:lang w:eastAsia="es-VE"/>
        </w:rPr>
        <w:tab/>
      </w:r>
      <w:r w:rsidRPr="00A5584D">
        <w:rPr>
          <w:color w:val="000000"/>
          <w:sz w:val="22"/>
          <w:szCs w:val="22"/>
          <w:lang w:eastAsia="es-VE"/>
        </w:rPr>
        <w:t xml:space="preserve">Ese incremento en la aceptación y uso de tatuajes también podría ser entendido desde las perspectiva del aprendizaje social de </w:t>
      </w:r>
      <w:proofErr w:type="spellStart"/>
      <w:r w:rsidRPr="00A5584D">
        <w:rPr>
          <w:color w:val="000000"/>
          <w:sz w:val="22"/>
          <w:szCs w:val="22"/>
          <w:lang w:eastAsia="es-VE"/>
        </w:rPr>
        <w:t>Bandura</w:t>
      </w:r>
      <w:proofErr w:type="spellEnd"/>
      <w:r w:rsidRPr="00A5584D">
        <w:rPr>
          <w:color w:val="000000"/>
          <w:sz w:val="22"/>
          <w:szCs w:val="22"/>
          <w:lang w:eastAsia="es-VE"/>
        </w:rPr>
        <w:t xml:space="preserve"> (1971</w:t>
      </w:r>
      <w:r w:rsidR="00622E1F">
        <w:rPr>
          <w:color w:val="000000"/>
          <w:sz w:val="22"/>
          <w:szCs w:val="22"/>
          <w:lang w:eastAsia="es-VE"/>
        </w:rPr>
        <w:t xml:space="preserve"> como se citó en </w:t>
      </w:r>
      <w:r w:rsidRPr="00A5584D">
        <w:rPr>
          <w:color w:val="000000"/>
          <w:sz w:val="22"/>
          <w:szCs w:val="22"/>
          <w:lang w:eastAsia="es-VE"/>
        </w:rPr>
        <w:t>Hill, 2016), pues los medios de comunicación plasman a modelos o personajes célebres de gran estima quienes, a través de la identificación, se convierten en modelos a seguir que se valoran positivamente. Si esas personas famosas, como deportistas, actores y cantantes hacia los cuales se siente admiración y orgullo, usan tatuajes, puede ser posible que se imite su comportamiento, lo que también ayuda a la desestigmatización (Walzer, 2016). Así, los medios y las celebridades que modelan las modificación corporal contribuyen a normalizar y popularizar el uso de tatuajes (Hill, 2016).</w:t>
      </w:r>
    </w:p>
    <w:p w:rsidR="006D3B17" w:rsidRPr="00A5584D" w:rsidRDefault="006D3B17" w:rsidP="006D3B17">
      <w:pPr>
        <w:jc w:val="both"/>
        <w:rPr>
          <w:b/>
          <w:color w:val="FF0000"/>
          <w:sz w:val="22"/>
          <w:szCs w:val="22"/>
        </w:rPr>
      </w:pPr>
    </w:p>
    <w:p w:rsidR="006D3B17" w:rsidRPr="00A5584D" w:rsidRDefault="006D3B17" w:rsidP="006D3B17">
      <w:pPr>
        <w:ind w:firstLine="708"/>
        <w:jc w:val="both"/>
        <w:rPr>
          <w:sz w:val="22"/>
          <w:szCs w:val="22"/>
        </w:rPr>
      </w:pPr>
      <w:r w:rsidRPr="00A5584D">
        <w:rPr>
          <w:sz w:val="22"/>
          <w:szCs w:val="22"/>
        </w:rPr>
        <w:t xml:space="preserve">Las variables anteriormente mencionadas, a saber, el género del tatuaje, las características de la muestra y el contacto previo con personas tatuadas, podrían haber influido sobre las puntuaciones, generando una subestimación del prejuicio implícito presente realmente en la sociedad con respecto a las mujeres tatuadas, dado que por las características de los tatuajes o de la muestra, se podrían estar recabando puntuaciones mucho más favorecedoras hacia el exogrupo siendo estas poco representativas de la población. </w:t>
      </w:r>
    </w:p>
    <w:p w:rsidR="006D3B17" w:rsidRPr="00A5584D" w:rsidRDefault="006D3B17" w:rsidP="006D3B17">
      <w:pPr>
        <w:ind w:firstLine="708"/>
        <w:jc w:val="both"/>
        <w:rPr>
          <w:sz w:val="22"/>
          <w:szCs w:val="22"/>
        </w:rPr>
      </w:pPr>
    </w:p>
    <w:p w:rsidR="006D3B17" w:rsidRPr="00A5584D" w:rsidRDefault="006D3B17" w:rsidP="006D3B17">
      <w:pPr>
        <w:ind w:firstLine="708"/>
        <w:jc w:val="both"/>
        <w:rPr>
          <w:sz w:val="22"/>
          <w:szCs w:val="22"/>
        </w:rPr>
      </w:pPr>
      <w:r w:rsidRPr="00A5584D">
        <w:rPr>
          <w:sz w:val="22"/>
          <w:szCs w:val="22"/>
        </w:rPr>
        <w:t xml:space="preserve">Así pues, al ser los puntajes recabados tan bajos y similares, resulta más difícil observar, si lo hay, el efecto que puede generar la variable independiente, es decir, las señales visuales no verbales, sobre la reducción del prejuicio implícito; es por esto que, para futuros estudios que opten por continuar con esta línea de investigación, se recomendaría tomar en cuenta: 1) el género del tatuaje, incluyendo tatuajes de diversos temas como aquellos referidos a la violencia o desnudez, de modo que representen en mayor medida los tatuajes que se pueden encontrar en la vida real; 2) la composición de la muestra, utilizando no sólo estudiantes universitarios y ampliando el rango de edad; y 3) el contacto previo de los participantes con el exogrupo, el cual, aunque difícil de evitar, podría controlarse tomando como referencia la frecuencia o tiempo de uso de redes y medios sociales a través de los cuales se hace presente el arte corporal; o seleccionando para la muestra personas que no tengan ni familiares ni amigos cercanos tatuados. Todo esto, con la finalidad de poder obtener puntuaciones menos sesgadas y que posibiliten observar, si los hay, los efectos de la variable independiente con mayor fuerza. </w:t>
      </w:r>
    </w:p>
    <w:p w:rsidR="006D3B17" w:rsidRPr="00A5584D" w:rsidRDefault="006D3B17" w:rsidP="006D3B17">
      <w:pPr>
        <w:ind w:firstLine="708"/>
        <w:jc w:val="both"/>
        <w:rPr>
          <w:sz w:val="22"/>
          <w:szCs w:val="22"/>
        </w:rPr>
      </w:pPr>
    </w:p>
    <w:p w:rsidR="006D3B17" w:rsidRPr="00A5584D" w:rsidRDefault="006D3B17" w:rsidP="006D3B17">
      <w:pPr>
        <w:ind w:firstLine="708"/>
        <w:jc w:val="both"/>
        <w:rPr>
          <w:sz w:val="22"/>
          <w:szCs w:val="22"/>
        </w:rPr>
      </w:pPr>
      <w:r w:rsidRPr="00A5584D">
        <w:rPr>
          <w:sz w:val="22"/>
          <w:szCs w:val="22"/>
        </w:rPr>
        <w:t>En relación a la composición de la muestra, sería de gran relevancia evaluar el efecto de las señales visuales no verbales en personas del área de selección y reclutamiento de personal, debido a que en estos espacios tiende a existir un gran prejuicio hacia las persona</w:t>
      </w:r>
      <w:r w:rsidR="000A765D">
        <w:rPr>
          <w:sz w:val="22"/>
          <w:szCs w:val="22"/>
        </w:rPr>
        <w:t>s tatuadas en general (</w:t>
      </w:r>
      <w:r w:rsidR="00622E1F">
        <w:rPr>
          <w:sz w:val="22"/>
          <w:szCs w:val="22"/>
        </w:rPr>
        <w:t>Baumann, Timming &amp;</w:t>
      </w:r>
      <w:r w:rsidR="005B25EA">
        <w:rPr>
          <w:sz w:val="22"/>
          <w:szCs w:val="22"/>
        </w:rPr>
        <w:t xml:space="preserve"> Gollan</w:t>
      </w:r>
      <w:r w:rsidR="000A765D">
        <w:rPr>
          <w:sz w:val="22"/>
          <w:szCs w:val="22"/>
        </w:rPr>
        <w:t xml:space="preserve">, </w:t>
      </w:r>
      <w:r w:rsidRPr="00A5584D">
        <w:rPr>
          <w:sz w:val="22"/>
          <w:szCs w:val="22"/>
        </w:rPr>
        <w:t>2016; Méndez, 2015), mucho mayor al que puede encontrarse en muestras de estudiantes universitarios, por lo que podría evidenciarse con mayor fuerza el efecto de la variable independiente en caso de éste existir.</w:t>
      </w:r>
    </w:p>
    <w:p w:rsidR="006D3B17" w:rsidRPr="00A5584D" w:rsidRDefault="006D3B17" w:rsidP="006D3B17">
      <w:pPr>
        <w:ind w:firstLine="708"/>
        <w:jc w:val="both"/>
        <w:rPr>
          <w:sz w:val="22"/>
          <w:szCs w:val="22"/>
        </w:rPr>
      </w:pPr>
    </w:p>
    <w:p w:rsidR="006D3B17" w:rsidRPr="00A5584D" w:rsidRDefault="006D3B17" w:rsidP="006D3B17">
      <w:pPr>
        <w:ind w:firstLine="708"/>
        <w:jc w:val="both"/>
        <w:rPr>
          <w:sz w:val="22"/>
          <w:szCs w:val="22"/>
        </w:rPr>
      </w:pPr>
      <w:r w:rsidRPr="00A5584D">
        <w:rPr>
          <w:sz w:val="22"/>
          <w:szCs w:val="22"/>
        </w:rPr>
        <w:t xml:space="preserve">Así mismo, se recomendaría incluir el uso de pruebas pretest, de modo que sea posible conocer los niveles de prejuicio implícito de cada grupo tanto antes como después de la intervención, de forma que el análisis pueda realizarse de forma más exhaustiva; en conjunto con esto, se recomendaría optar por investigaciones longitudinales más que transversales, que permitan un espacio de tiempo amplio entre el pretest y el postest para evitar los efectos de sensibilización y memorización que la pre prueba </w:t>
      </w:r>
      <w:r w:rsidRPr="00A5584D">
        <w:rPr>
          <w:sz w:val="22"/>
          <w:szCs w:val="22"/>
        </w:rPr>
        <w:lastRenderedPageBreak/>
        <w:t>podría generar. Adicionalmente, se recomendaría aumentar el tamaño de la muestra y utilizar muestreos de tipo aleatorio que permitan recoger una muestra más representativa de la población de interés, y asegurar que las diversas variables extrañas se distribuyan de forma similar en todos los grupos, con el fin de evitar sesgos e inferencias incorrectas acerca de la población debido a las características de la muestra seleccionada.</w:t>
      </w:r>
    </w:p>
    <w:p w:rsidR="006D3B17" w:rsidRPr="00A5584D" w:rsidRDefault="006D3B17" w:rsidP="006D3B17">
      <w:pPr>
        <w:ind w:firstLine="708"/>
        <w:jc w:val="both"/>
        <w:rPr>
          <w:sz w:val="22"/>
          <w:szCs w:val="22"/>
        </w:rPr>
      </w:pPr>
    </w:p>
    <w:p w:rsidR="006D3B17" w:rsidRPr="00A5584D" w:rsidRDefault="006D3B17" w:rsidP="006D3B17">
      <w:pPr>
        <w:ind w:firstLine="708"/>
        <w:jc w:val="both"/>
        <w:rPr>
          <w:sz w:val="22"/>
          <w:szCs w:val="22"/>
        </w:rPr>
      </w:pPr>
      <w:r w:rsidRPr="00A5584D">
        <w:rPr>
          <w:sz w:val="22"/>
          <w:szCs w:val="22"/>
        </w:rPr>
        <w:t xml:space="preserve">Por otro lado, resulta importante destacar que, a pesar de no ser significativa, sí fue posible observar una pequeña diferencia en las medias de los grupos, ya que los niveles de prejuicio del grupo con exposición a imágenes de mujeres tatuadas con anteojos fueron menores con respecto al grupo control y mucho menores con respecto al grupo expuesto a imágenes de mujeres tatuadas con lentes de sol, el cual presentó los mayores niveles de prejuicio; esto implicaría que puede que realmente exista un efecto de los anteojos en la reducción del prejuicio que podría estar siendo enmascarado por los niveles de prejuicio bajos de la muestra en general. </w:t>
      </w:r>
    </w:p>
    <w:p w:rsidR="00FB6C08" w:rsidRPr="00A5584D" w:rsidRDefault="00FB6C08" w:rsidP="006D3B17">
      <w:pPr>
        <w:ind w:firstLine="708"/>
        <w:jc w:val="both"/>
        <w:rPr>
          <w:sz w:val="22"/>
          <w:szCs w:val="22"/>
        </w:rPr>
      </w:pPr>
    </w:p>
    <w:p w:rsidR="006D3B17" w:rsidRPr="00A5584D" w:rsidRDefault="006D3B17" w:rsidP="006D3B17">
      <w:pPr>
        <w:ind w:firstLine="708"/>
        <w:jc w:val="both"/>
        <w:rPr>
          <w:sz w:val="22"/>
          <w:szCs w:val="22"/>
        </w:rPr>
      </w:pPr>
      <w:r w:rsidRPr="00A5584D">
        <w:rPr>
          <w:sz w:val="22"/>
          <w:szCs w:val="22"/>
        </w:rPr>
        <w:t>De hecho, el resultado de esta investigación se asemeja</w:t>
      </w:r>
      <w:r w:rsidR="00441E92">
        <w:rPr>
          <w:sz w:val="22"/>
          <w:szCs w:val="22"/>
        </w:rPr>
        <w:t xml:space="preserve"> al encontrado por </w:t>
      </w:r>
      <w:r w:rsidR="00622E1F">
        <w:rPr>
          <w:sz w:val="22"/>
          <w:szCs w:val="22"/>
        </w:rPr>
        <w:t>Díaz, Guerrero &amp;</w:t>
      </w:r>
      <w:r w:rsidR="005B25EA">
        <w:rPr>
          <w:sz w:val="22"/>
          <w:szCs w:val="22"/>
        </w:rPr>
        <w:t xml:space="preserve"> Mijares</w:t>
      </w:r>
      <w:r w:rsidR="00441E92">
        <w:rPr>
          <w:sz w:val="22"/>
          <w:szCs w:val="22"/>
        </w:rPr>
        <w:t xml:space="preserve"> </w:t>
      </w:r>
      <w:r w:rsidRPr="00A5584D">
        <w:rPr>
          <w:sz w:val="22"/>
          <w:szCs w:val="22"/>
        </w:rPr>
        <w:t>(2018), quienes realizaron un experimento similar, obteniendo igualmente los mayores niveles de prejuicio en el grupo expuesto a imágenes de personas tatuadas con lentes de sol, y el menor nivel, en el grupo expuesto a imágenes de personas tatuadas con anteojos, aunque estas diferencias, al igual que en la presente investigación, no lograron alcanzar un nivel de significación estadística importante.</w:t>
      </w:r>
    </w:p>
    <w:p w:rsidR="006D3B17" w:rsidRPr="00A5584D" w:rsidRDefault="006D3B17" w:rsidP="006D3B17">
      <w:pPr>
        <w:ind w:firstLine="708"/>
        <w:jc w:val="both"/>
        <w:rPr>
          <w:sz w:val="22"/>
          <w:szCs w:val="22"/>
        </w:rPr>
      </w:pPr>
    </w:p>
    <w:p w:rsidR="006D3B17" w:rsidRPr="00A5584D" w:rsidRDefault="006D3B17" w:rsidP="006D3B17">
      <w:pPr>
        <w:ind w:firstLine="708"/>
        <w:jc w:val="both"/>
        <w:rPr>
          <w:color w:val="000000"/>
          <w:sz w:val="22"/>
          <w:szCs w:val="22"/>
        </w:rPr>
      </w:pPr>
      <w:r w:rsidRPr="00A5584D">
        <w:rPr>
          <w:sz w:val="22"/>
          <w:szCs w:val="22"/>
        </w:rPr>
        <w:t xml:space="preserve">Sin embargo, resulta interesante observar que, en ambas investigaciones, los grupos expuestos a imágenes de personas tatuadas con lentes de sol obtuvieron los niveles de prejuicio implícito más elevados, demostrando que en efecto las señales visuales no verbales sí influyen sobre el prejuicio implícito de una u otra forma. Este efecto de los lentes de sol podría </w:t>
      </w:r>
      <w:r w:rsidRPr="00A5584D">
        <w:rPr>
          <w:color w:val="000000"/>
          <w:sz w:val="22"/>
          <w:szCs w:val="22"/>
        </w:rPr>
        <w:t xml:space="preserve">estar vinculado con el impedimento que estos producen sobre el contacto visual, ya que es bien conocido que éste es un elemento de gran relevancia en la comunicación no verbal, pues funge como regulador del acto comunicativo y, más relevante aún, se convierte en una vía para expresar intereses emocionales y relacionales; así, cuando se establece un contacto interpersonal, las personas que miran a su interlocutor a los ojos suelen ser percibidas de forma más positiva que aquellas que no lo hacen, hecho que genera desconfianza (Cruz, 2003; </w:t>
      </w:r>
      <w:proofErr w:type="spellStart"/>
      <w:r w:rsidRPr="00A5584D">
        <w:rPr>
          <w:color w:val="000000"/>
          <w:sz w:val="22"/>
          <w:szCs w:val="22"/>
        </w:rPr>
        <w:t>Danziger</w:t>
      </w:r>
      <w:proofErr w:type="spellEnd"/>
      <w:r w:rsidRPr="00A5584D">
        <w:rPr>
          <w:color w:val="000000"/>
          <w:sz w:val="22"/>
          <w:szCs w:val="22"/>
        </w:rPr>
        <w:t xml:space="preserve">, 1982 </w:t>
      </w:r>
      <w:r w:rsidR="00622E1F">
        <w:rPr>
          <w:color w:val="000000"/>
          <w:sz w:val="22"/>
          <w:szCs w:val="22"/>
        </w:rPr>
        <w:t xml:space="preserve"> como se citó en </w:t>
      </w:r>
      <w:r w:rsidRPr="00A5584D">
        <w:rPr>
          <w:color w:val="000000"/>
          <w:sz w:val="22"/>
          <w:szCs w:val="22"/>
        </w:rPr>
        <w:t>Sánchez, 2014; Domínguez, 2009).</w:t>
      </w:r>
    </w:p>
    <w:p w:rsidR="006D3B17" w:rsidRPr="00A5584D" w:rsidRDefault="006D3B17" w:rsidP="006D3B17">
      <w:pPr>
        <w:ind w:firstLine="708"/>
        <w:jc w:val="both"/>
        <w:rPr>
          <w:b/>
          <w:color w:val="FF0000"/>
          <w:sz w:val="22"/>
          <w:szCs w:val="22"/>
        </w:rPr>
      </w:pPr>
    </w:p>
    <w:p w:rsidR="006D3B17" w:rsidRPr="00A5584D" w:rsidRDefault="006D3B17" w:rsidP="006D3B17">
      <w:pPr>
        <w:ind w:firstLine="708"/>
        <w:jc w:val="both"/>
        <w:rPr>
          <w:b/>
          <w:color w:val="FF0000"/>
          <w:sz w:val="22"/>
          <w:szCs w:val="22"/>
        </w:rPr>
      </w:pPr>
      <w:r w:rsidRPr="00A5584D">
        <w:rPr>
          <w:color w:val="000000"/>
          <w:sz w:val="22"/>
          <w:szCs w:val="22"/>
        </w:rPr>
        <w:t xml:space="preserve">Por tanto, ya que el contacto visual facilita una mayor empatía, tolerancia e intimidad, es posible que al estar interrumpido por los cristales oscuros se anularan sus efectos positivos y se generaran sentimientos de distancia y suspicacia, que conducen a una valoración más negativa de la persona (Cruz, 2003; </w:t>
      </w:r>
      <w:proofErr w:type="spellStart"/>
      <w:r w:rsidRPr="00A5584D">
        <w:rPr>
          <w:color w:val="000000"/>
          <w:sz w:val="22"/>
          <w:szCs w:val="22"/>
        </w:rPr>
        <w:t>Danziger</w:t>
      </w:r>
      <w:proofErr w:type="spellEnd"/>
      <w:r w:rsidRPr="00A5584D">
        <w:rPr>
          <w:color w:val="000000"/>
          <w:sz w:val="22"/>
          <w:szCs w:val="22"/>
        </w:rPr>
        <w:t xml:space="preserve">, 1982 </w:t>
      </w:r>
      <w:r w:rsidR="00622E1F">
        <w:rPr>
          <w:color w:val="000000"/>
          <w:sz w:val="22"/>
          <w:szCs w:val="22"/>
        </w:rPr>
        <w:t xml:space="preserve">como se citó en </w:t>
      </w:r>
      <w:r w:rsidRPr="00A5584D">
        <w:rPr>
          <w:color w:val="000000"/>
          <w:sz w:val="22"/>
          <w:szCs w:val="22"/>
        </w:rPr>
        <w:t>Sánchez, 2014; Domínguez, 2009). Además, a esto se le añade que, el uso de lentes de sol se asocia con la impresión de que la persona aparenta ser alguien importante, como una celebridad; así como también, éstos la hacen ver misteriosa, ligeramente malvada y como si ocultara algo, estereotipos que incrementan la posibilidad de una percepción más negativa (Wilson, 2012).</w:t>
      </w:r>
    </w:p>
    <w:p w:rsidR="006D3B17" w:rsidRPr="00A5584D" w:rsidRDefault="006D3B17" w:rsidP="006D3B17">
      <w:pPr>
        <w:ind w:firstLine="708"/>
        <w:jc w:val="both"/>
        <w:rPr>
          <w:sz w:val="22"/>
          <w:szCs w:val="22"/>
        </w:rPr>
      </w:pPr>
    </w:p>
    <w:p w:rsidR="006D3B17" w:rsidRPr="00A5584D" w:rsidRDefault="006D3B17" w:rsidP="006D3B17">
      <w:pPr>
        <w:ind w:firstLine="708"/>
        <w:jc w:val="both"/>
        <w:rPr>
          <w:sz w:val="22"/>
          <w:szCs w:val="22"/>
        </w:rPr>
      </w:pPr>
      <w:r w:rsidRPr="00A5584D">
        <w:rPr>
          <w:sz w:val="22"/>
          <w:szCs w:val="22"/>
        </w:rPr>
        <w:t xml:space="preserve">Finalmente, aunque en la presente investigación no se hayan podido replicar los hallazgos de </w:t>
      </w:r>
      <w:r w:rsidR="004A1983">
        <w:rPr>
          <w:sz w:val="22"/>
          <w:szCs w:val="22"/>
        </w:rPr>
        <w:t>Torrejón</w:t>
      </w:r>
      <w:r w:rsidRPr="00A5584D">
        <w:rPr>
          <w:sz w:val="22"/>
          <w:szCs w:val="22"/>
        </w:rPr>
        <w:t xml:space="preserve"> (2015) con respecto a la eficacia que tienen los anteojos para reducir el prejuicio implícito hacia el las personas tatuadas, este hecho puede ser producto del control de variables aplicado en la presente investigación, específicamente, referido al control del uso de anteojos por parte de los participantes.</w:t>
      </w:r>
    </w:p>
    <w:p w:rsidR="006D3B17" w:rsidRPr="00A5584D" w:rsidRDefault="006D3B17" w:rsidP="006D3B17">
      <w:pPr>
        <w:ind w:firstLine="708"/>
        <w:jc w:val="both"/>
        <w:rPr>
          <w:sz w:val="22"/>
          <w:szCs w:val="22"/>
        </w:rPr>
      </w:pPr>
    </w:p>
    <w:p w:rsidR="006D3B17" w:rsidRDefault="006D3B17" w:rsidP="006D3B17">
      <w:pPr>
        <w:ind w:firstLine="708"/>
        <w:jc w:val="both"/>
        <w:rPr>
          <w:sz w:val="22"/>
          <w:szCs w:val="22"/>
        </w:rPr>
      </w:pPr>
      <w:r w:rsidRPr="00A5584D">
        <w:rPr>
          <w:sz w:val="22"/>
          <w:szCs w:val="22"/>
        </w:rPr>
        <w:t xml:space="preserve">En la investigación inicial de </w:t>
      </w:r>
      <w:r w:rsidR="004A1983">
        <w:rPr>
          <w:sz w:val="22"/>
          <w:szCs w:val="22"/>
        </w:rPr>
        <w:t>Torrejón</w:t>
      </w:r>
      <w:r w:rsidRPr="00A5584D">
        <w:rPr>
          <w:sz w:val="22"/>
          <w:szCs w:val="22"/>
        </w:rPr>
        <w:t xml:space="preserve"> (2015), los participantes tendieron a presentar menores niveles de prejuicio implícito ante una persona tatuada usando anteojos más que ante esta misma persona sin los anteojos; sin embargo, en un segundo estudio realizado por la misma autora, se pudo </w:t>
      </w:r>
      <w:r w:rsidRPr="00A5584D">
        <w:rPr>
          <w:sz w:val="22"/>
          <w:szCs w:val="22"/>
        </w:rPr>
        <w:lastRenderedPageBreak/>
        <w:t xml:space="preserve">apreciar que este efecto estuvo en parte mediado por el hecho de si los perceptores o participantes también usaban anteojos. </w:t>
      </w:r>
    </w:p>
    <w:p w:rsidR="007F21B6" w:rsidRPr="00A5584D" w:rsidRDefault="007F21B6" w:rsidP="006D3B17">
      <w:pPr>
        <w:ind w:firstLine="708"/>
        <w:jc w:val="both"/>
        <w:rPr>
          <w:sz w:val="22"/>
          <w:szCs w:val="22"/>
        </w:rPr>
      </w:pPr>
    </w:p>
    <w:p w:rsidR="00302E1E" w:rsidRPr="00A5584D" w:rsidRDefault="00302E1E" w:rsidP="00302E1E">
      <w:pPr>
        <w:ind w:firstLine="708"/>
        <w:jc w:val="both"/>
        <w:rPr>
          <w:sz w:val="22"/>
          <w:szCs w:val="22"/>
        </w:rPr>
      </w:pPr>
      <w:r w:rsidRPr="00A5584D">
        <w:rPr>
          <w:sz w:val="22"/>
          <w:szCs w:val="22"/>
        </w:rPr>
        <w:t xml:space="preserve">Este segundo estudio indicó que los participantes, usaran o no anteojos, tendieron a preferir a las personas no tatuadas por sobre las personas tatuadas y a las personas tatuadas con anteojos sobre las personas tatuadas sin anteojos; sin embargo, cuando los participantes utilizaban anteojos y se encontraban ante una persona no tatuada sin anteojos y una persona tatuada con anteojos, solían tener una preferencia hacia esta última, mientras que los sujetos que no utilizaban anteojos preferían a la persona no tatuada sin anteojos (ver </w:t>
      </w:r>
      <w:r w:rsidR="008B7770">
        <w:rPr>
          <w:sz w:val="22"/>
          <w:szCs w:val="22"/>
        </w:rPr>
        <w:t>Tabla</w:t>
      </w:r>
      <w:r w:rsidRPr="00A5584D">
        <w:rPr>
          <w:sz w:val="22"/>
          <w:szCs w:val="22"/>
        </w:rPr>
        <w:t xml:space="preserve"> </w:t>
      </w:r>
      <w:r w:rsidR="008B7770">
        <w:rPr>
          <w:sz w:val="22"/>
          <w:szCs w:val="22"/>
        </w:rPr>
        <w:t>3</w:t>
      </w:r>
      <w:r w:rsidRPr="00A5584D">
        <w:rPr>
          <w:sz w:val="22"/>
          <w:szCs w:val="22"/>
        </w:rPr>
        <w:t>).</w:t>
      </w:r>
    </w:p>
    <w:p w:rsidR="003D5E65" w:rsidRDefault="003D5E65" w:rsidP="008B7770">
      <w:pPr>
        <w:jc w:val="both"/>
        <w:rPr>
          <w:sz w:val="22"/>
          <w:szCs w:val="22"/>
        </w:rPr>
      </w:pPr>
    </w:p>
    <w:p w:rsidR="008B7770" w:rsidRDefault="008B7770" w:rsidP="008B7770">
      <w:pPr>
        <w:jc w:val="both"/>
        <w:rPr>
          <w:sz w:val="22"/>
          <w:szCs w:val="22"/>
        </w:rPr>
      </w:pPr>
      <w:r>
        <w:rPr>
          <w:sz w:val="22"/>
          <w:szCs w:val="22"/>
        </w:rPr>
        <w:t>Tabla 3.</w:t>
      </w:r>
    </w:p>
    <w:p w:rsidR="008B7770" w:rsidRPr="008B7770" w:rsidRDefault="008B7770" w:rsidP="008B7770">
      <w:pPr>
        <w:jc w:val="both"/>
        <w:rPr>
          <w:i/>
          <w:color w:val="FF0000"/>
          <w:sz w:val="22"/>
          <w:szCs w:val="22"/>
        </w:rPr>
      </w:pPr>
      <w:r w:rsidRPr="008B7770">
        <w:rPr>
          <w:i/>
          <w:sz w:val="22"/>
          <w:szCs w:val="22"/>
        </w:rPr>
        <w:t xml:space="preserve">Preferencias de los participantes según el uso o no de anteojos en el segundo estudio de </w:t>
      </w:r>
      <w:r w:rsidR="004A1983">
        <w:rPr>
          <w:i/>
          <w:sz w:val="22"/>
          <w:szCs w:val="22"/>
        </w:rPr>
        <w:t>Torrejón</w:t>
      </w:r>
      <w:r w:rsidRPr="008B7770">
        <w:rPr>
          <w:i/>
          <w:sz w:val="22"/>
          <w:szCs w:val="22"/>
        </w:rPr>
        <w:t xml:space="preserve"> (2015). </w:t>
      </w:r>
    </w:p>
    <w:tbl>
      <w:tblPr>
        <w:tblStyle w:val="Tablaconcuadrcula"/>
        <w:tblW w:w="0" w:type="auto"/>
        <w:jc w:val="center"/>
        <w:tblLook w:val="04A0"/>
      </w:tblPr>
      <w:tblGrid>
        <w:gridCol w:w="1377"/>
        <w:gridCol w:w="1011"/>
        <w:gridCol w:w="2029"/>
        <w:gridCol w:w="2012"/>
        <w:gridCol w:w="2012"/>
      </w:tblGrid>
      <w:tr w:rsidR="006D3B17" w:rsidRPr="00A5584D" w:rsidTr="00462A07">
        <w:trPr>
          <w:jc w:val="center"/>
        </w:trPr>
        <w:tc>
          <w:tcPr>
            <w:tcW w:w="1377" w:type="dxa"/>
            <w:tcBorders>
              <w:top w:val="nil"/>
              <w:left w:val="nil"/>
              <w:bottom w:val="nil"/>
              <w:right w:val="nil"/>
            </w:tcBorders>
            <w:shd w:val="clear" w:color="auto" w:fill="auto"/>
          </w:tcPr>
          <w:p w:rsidR="006D3B17" w:rsidRPr="00A5584D" w:rsidRDefault="006D3B17" w:rsidP="006D3B17"/>
        </w:tc>
        <w:tc>
          <w:tcPr>
            <w:tcW w:w="1011" w:type="dxa"/>
            <w:tcBorders>
              <w:top w:val="nil"/>
              <w:left w:val="nil"/>
              <w:bottom w:val="nil"/>
              <w:right w:val="nil"/>
            </w:tcBorders>
            <w:shd w:val="clear" w:color="auto" w:fill="auto"/>
          </w:tcPr>
          <w:p w:rsidR="006D3B17" w:rsidRPr="00A5584D" w:rsidRDefault="006D3B17" w:rsidP="006D3B17"/>
        </w:tc>
        <w:tc>
          <w:tcPr>
            <w:tcW w:w="6053" w:type="dxa"/>
            <w:gridSpan w:val="3"/>
            <w:tcBorders>
              <w:top w:val="nil"/>
              <w:left w:val="nil"/>
              <w:bottom w:val="single" w:sz="4" w:space="0" w:color="auto"/>
              <w:right w:val="nil"/>
            </w:tcBorders>
            <w:shd w:val="clear" w:color="auto" w:fill="auto"/>
          </w:tcPr>
          <w:p w:rsidR="006D3B17" w:rsidRPr="00A5584D" w:rsidRDefault="006D3B17" w:rsidP="006D3B17">
            <w:pPr>
              <w:jc w:val="center"/>
              <w:rPr>
                <w:b/>
              </w:rPr>
            </w:pPr>
            <w:r w:rsidRPr="00A5584D">
              <w:rPr>
                <w:b/>
              </w:rPr>
              <w:t>Imágenes estímulo</w:t>
            </w:r>
          </w:p>
        </w:tc>
      </w:tr>
      <w:tr w:rsidR="006D3B17" w:rsidRPr="00A5584D" w:rsidTr="008B7770">
        <w:trPr>
          <w:jc w:val="center"/>
        </w:trPr>
        <w:tc>
          <w:tcPr>
            <w:tcW w:w="1377" w:type="dxa"/>
            <w:tcBorders>
              <w:top w:val="nil"/>
              <w:left w:val="nil"/>
              <w:bottom w:val="nil"/>
              <w:right w:val="nil"/>
            </w:tcBorders>
            <w:shd w:val="clear" w:color="auto" w:fill="auto"/>
          </w:tcPr>
          <w:p w:rsidR="006D3B17" w:rsidRPr="00A5584D" w:rsidRDefault="006D3B17" w:rsidP="006D3B17"/>
        </w:tc>
        <w:tc>
          <w:tcPr>
            <w:tcW w:w="1011" w:type="dxa"/>
            <w:tcBorders>
              <w:top w:val="nil"/>
              <w:left w:val="nil"/>
              <w:bottom w:val="nil"/>
              <w:right w:val="nil"/>
            </w:tcBorders>
            <w:shd w:val="clear" w:color="auto" w:fill="auto"/>
          </w:tcPr>
          <w:p w:rsidR="006D3B17" w:rsidRPr="00A5584D" w:rsidRDefault="006D3B17" w:rsidP="006D3B17"/>
        </w:tc>
        <w:tc>
          <w:tcPr>
            <w:tcW w:w="2005" w:type="dxa"/>
            <w:tcBorders>
              <w:top w:val="single" w:sz="4" w:space="0" w:color="auto"/>
              <w:left w:val="nil"/>
              <w:bottom w:val="single" w:sz="4" w:space="0" w:color="auto"/>
              <w:right w:val="nil"/>
            </w:tcBorders>
            <w:shd w:val="clear" w:color="auto" w:fill="auto"/>
            <w:vAlign w:val="center"/>
          </w:tcPr>
          <w:p w:rsidR="006D3B17" w:rsidRPr="00A5584D" w:rsidRDefault="006D3B17" w:rsidP="006D3B17">
            <w:pPr>
              <w:jc w:val="center"/>
              <w:rPr>
                <w:b/>
              </w:rPr>
            </w:pPr>
            <w:r w:rsidRPr="00A5584D">
              <w:rPr>
                <w:b/>
              </w:rPr>
              <w:t xml:space="preserve">No tatuado </w:t>
            </w:r>
          </w:p>
          <w:p w:rsidR="006D3B17" w:rsidRPr="00A5584D" w:rsidRDefault="006D3B17" w:rsidP="006D3B17">
            <w:pPr>
              <w:jc w:val="center"/>
              <w:rPr>
                <w:b/>
              </w:rPr>
            </w:pPr>
            <w:r w:rsidRPr="00A5584D">
              <w:rPr>
                <w:b/>
              </w:rPr>
              <w:t xml:space="preserve">VS </w:t>
            </w:r>
          </w:p>
          <w:p w:rsidR="006D3B17" w:rsidRPr="00A5584D" w:rsidRDefault="006D3B17" w:rsidP="006D3B17">
            <w:pPr>
              <w:jc w:val="center"/>
              <w:rPr>
                <w:b/>
              </w:rPr>
            </w:pPr>
            <w:r w:rsidRPr="00A5584D">
              <w:rPr>
                <w:b/>
              </w:rPr>
              <w:t>Tatuado</w:t>
            </w:r>
          </w:p>
        </w:tc>
        <w:tc>
          <w:tcPr>
            <w:tcW w:w="0" w:type="auto"/>
            <w:tcBorders>
              <w:top w:val="single" w:sz="4" w:space="0" w:color="auto"/>
              <w:left w:val="nil"/>
              <w:bottom w:val="single" w:sz="4" w:space="0" w:color="auto"/>
              <w:right w:val="nil"/>
            </w:tcBorders>
            <w:shd w:val="clear" w:color="auto" w:fill="auto"/>
            <w:vAlign w:val="center"/>
          </w:tcPr>
          <w:p w:rsidR="006D3B17" w:rsidRPr="00A5584D" w:rsidRDefault="006D3B17" w:rsidP="006D3B17">
            <w:pPr>
              <w:jc w:val="center"/>
              <w:rPr>
                <w:b/>
              </w:rPr>
            </w:pPr>
            <w:r w:rsidRPr="00A5584D">
              <w:rPr>
                <w:b/>
              </w:rPr>
              <w:t xml:space="preserve">Tatuado </w:t>
            </w:r>
          </w:p>
          <w:p w:rsidR="006D3B17" w:rsidRPr="00A5584D" w:rsidRDefault="006D3B17" w:rsidP="006D3B17">
            <w:pPr>
              <w:jc w:val="center"/>
              <w:rPr>
                <w:b/>
              </w:rPr>
            </w:pPr>
            <w:r w:rsidRPr="00A5584D">
              <w:rPr>
                <w:b/>
              </w:rPr>
              <w:t xml:space="preserve">VS </w:t>
            </w:r>
          </w:p>
          <w:p w:rsidR="006D3B17" w:rsidRPr="00A5584D" w:rsidRDefault="006D3B17" w:rsidP="006D3B17">
            <w:pPr>
              <w:jc w:val="center"/>
              <w:rPr>
                <w:b/>
              </w:rPr>
            </w:pPr>
            <w:r w:rsidRPr="00A5584D">
              <w:rPr>
                <w:b/>
              </w:rPr>
              <w:t>Tatuado con lentes</w:t>
            </w:r>
          </w:p>
        </w:tc>
        <w:tc>
          <w:tcPr>
            <w:tcW w:w="0" w:type="auto"/>
            <w:tcBorders>
              <w:top w:val="single" w:sz="4" w:space="0" w:color="auto"/>
              <w:left w:val="nil"/>
              <w:bottom w:val="single" w:sz="4" w:space="0" w:color="auto"/>
              <w:right w:val="nil"/>
            </w:tcBorders>
            <w:shd w:val="clear" w:color="auto" w:fill="auto"/>
            <w:vAlign w:val="center"/>
          </w:tcPr>
          <w:p w:rsidR="006D3B17" w:rsidRPr="00A5584D" w:rsidRDefault="006D3B17" w:rsidP="006D3B17">
            <w:pPr>
              <w:jc w:val="center"/>
              <w:rPr>
                <w:b/>
              </w:rPr>
            </w:pPr>
            <w:r w:rsidRPr="00A5584D">
              <w:rPr>
                <w:b/>
              </w:rPr>
              <w:t>No tatuado</w:t>
            </w:r>
          </w:p>
          <w:p w:rsidR="006D3B17" w:rsidRPr="00A5584D" w:rsidRDefault="006D3B17" w:rsidP="006D3B17">
            <w:pPr>
              <w:jc w:val="center"/>
              <w:rPr>
                <w:b/>
              </w:rPr>
            </w:pPr>
            <w:r w:rsidRPr="00A5584D">
              <w:rPr>
                <w:b/>
              </w:rPr>
              <w:t xml:space="preserve">VS </w:t>
            </w:r>
          </w:p>
          <w:p w:rsidR="006D3B17" w:rsidRPr="00A5584D" w:rsidRDefault="006D3B17" w:rsidP="006D3B17">
            <w:pPr>
              <w:jc w:val="center"/>
              <w:rPr>
                <w:b/>
              </w:rPr>
            </w:pPr>
            <w:r w:rsidRPr="00A5584D">
              <w:rPr>
                <w:b/>
              </w:rPr>
              <w:t>Tatuado con lentes</w:t>
            </w:r>
          </w:p>
        </w:tc>
      </w:tr>
      <w:tr w:rsidR="006D3B17" w:rsidRPr="00A5584D" w:rsidTr="008B7770">
        <w:trPr>
          <w:jc w:val="center"/>
        </w:trPr>
        <w:tc>
          <w:tcPr>
            <w:tcW w:w="1377" w:type="dxa"/>
            <w:vMerge w:val="restart"/>
            <w:tcBorders>
              <w:top w:val="nil"/>
              <w:left w:val="nil"/>
              <w:bottom w:val="nil"/>
              <w:right w:val="nil"/>
            </w:tcBorders>
            <w:shd w:val="clear" w:color="auto" w:fill="auto"/>
            <w:vAlign w:val="center"/>
          </w:tcPr>
          <w:p w:rsidR="006D3B17" w:rsidRPr="00A5584D" w:rsidRDefault="006D3B17" w:rsidP="006D3B17">
            <w:pPr>
              <w:jc w:val="center"/>
              <w:rPr>
                <w:b/>
              </w:rPr>
            </w:pPr>
            <w:r w:rsidRPr="00A5584D">
              <w:rPr>
                <w:b/>
              </w:rPr>
              <w:t>Participante</w:t>
            </w:r>
          </w:p>
        </w:tc>
        <w:tc>
          <w:tcPr>
            <w:tcW w:w="1011" w:type="dxa"/>
            <w:tcBorders>
              <w:top w:val="nil"/>
              <w:left w:val="nil"/>
              <w:bottom w:val="single" w:sz="4" w:space="0" w:color="auto"/>
              <w:right w:val="nil"/>
            </w:tcBorders>
            <w:shd w:val="clear" w:color="auto" w:fill="auto"/>
            <w:vAlign w:val="center"/>
          </w:tcPr>
          <w:p w:rsidR="006D3B17" w:rsidRPr="00A5584D" w:rsidRDefault="006D3B17" w:rsidP="006D3B17">
            <w:pPr>
              <w:jc w:val="center"/>
              <w:rPr>
                <w:b/>
              </w:rPr>
            </w:pPr>
            <w:r w:rsidRPr="00A5584D">
              <w:rPr>
                <w:b/>
              </w:rPr>
              <w:t>Usa anteojos</w:t>
            </w:r>
          </w:p>
        </w:tc>
        <w:tc>
          <w:tcPr>
            <w:tcW w:w="2005" w:type="dxa"/>
            <w:tcBorders>
              <w:top w:val="single" w:sz="4" w:space="0" w:color="auto"/>
              <w:left w:val="nil"/>
              <w:bottom w:val="single" w:sz="4" w:space="0" w:color="auto"/>
              <w:right w:val="nil"/>
            </w:tcBorders>
            <w:shd w:val="clear" w:color="auto" w:fill="auto"/>
            <w:vAlign w:val="center"/>
          </w:tcPr>
          <w:p w:rsidR="006D3B17" w:rsidRPr="00A5584D" w:rsidRDefault="006D3B17" w:rsidP="006D3B17">
            <w:pPr>
              <w:jc w:val="center"/>
            </w:pPr>
            <w:r w:rsidRPr="00A5584D">
              <w:t>No tatuado</w:t>
            </w:r>
          </w:p>
        </w:tc>
        <w:tc>
          <w:tcPr>
            <w:tcW w:w="0" w:type="auto"/>
            <w:tcBorders>
              <w:top w:val="single" w:sz="4" w:space="0" w:color="auto"/>
              <w:left w:val="nil"/>
              <w:bottom w:val="single" w:sz="4" w:space="0" w:color="auto"/>
              <w:right w:val="nil"/>
            </w:tcBorders>
            <w:shd w:val="clear" w:color="auto" w:fill="auto"/>
            <w:vAlign w:val="center"/>
          </w:tcPr>
          <w:p w:rsidR="006D3B17" w:rsidRPr="00A5584D" w:rsidRDefault="006D3B17" w:rsidP="006D3B17">
            <w:pPr>
              <w:jc w:val="center"/>
            </w:pPr>
            <w:r w:rsidRPr="00A5584D">
              <w:t>Tatuado con lentes</w:t>
            </w:r>
          </w:p>
        </w:tc>
        <w:tc>
          <w:tcPr>
            <w:tcW w:w="0" w:type="auto"/>
            <w:tcBorders>
              <w:top w:val="single" w:sz="4" w:space="0" w:color="auto"/>
              <w:left w:val="nil"/>
              <w:bottom w:val="single" w:sz="4" w:space="0" w:color="auto"/>
              <w:right w:val="nil"/>
            </w:tcBorders>
            <w:shd w:val="clear" w:color="auto" w:fill="auto"/>
            <w:vAlign w:val="center"/>
          </w:tcPr>
          <w:p w:rsidR="006D3B17" w:rsidRPr="00A5584D" w:rsidRDefault="006D3B17" w:rsidP="006D3B17">
            <w:pPr>
              <w:jc w:val="center"/>
              <w:rPr>
                <w:i/>
              </w:rPr>
            </w:pPr>
            <w:r w:rsidRPr="00A5584D">
              <w:rPr>
                <w:i/>
              </w:rPr>
              <w:t>Tatuado con lentes</w:t>
            </w:r>
          </w:p>
        </w:tc>
      </w:tr>
      <w:tr w:rsidR="006D3B17" w:rsidRPr="00A5584D" w:rsidTr="008B7770">
        <w:trPr>
          <w:jc w:val="center"/>
        </w:trPr>
        <w:tc>
          <w:tcPr>
            <w:tcW w:w="1377" w:type="dxa"/>
            <w:vMerge/>
            <w:tcBorders>
              <w:left w:val="nil"/>
              <w:bottom w:val="nil"/>
              <w:right w:val="nil"/>
            </w:tcBorders>
            <w:shd w:val="clear" w:color="auto" w:fill="auto"/>
          </w:tcPr>
          <w:p w:rsidR="006D3B17" w:rsidRPr="00A5584D" w:rsidRDefault="006D3B17" w:rsidP="006D3B17">
            <w:pPr>
              <w:rPr>
                <w:b/>
              </w:rPr>
            </w:pPr>
          </w:p>
        </w:tc>
        <w:tc>
          <w:tcPr>
            <w:tcW w:w="1011" w:type="dxa"/>
            <w:tcBorders>
              <w:top w:val="single" w:sz="4" w:space="0" w:color="auto"/>
              <w:left w:val="nil"/>
              <w:bottom w:val="nil"/>
              <w:right w:val="nil"/>
            </w:tcBorders>
            <w:shd w:val="clear" w:color="auto" w:fill="auto"/>
            <w:vAlign w:val="center"/>
          </w:tcPr>
          <w:p w:rsidR="006D3B17" w:rsidRPr="00A5584D" w:rsidRDefault="006D3B17" w:rsidP="006D3B17">
            <w:pPr>
              <w:jc w:val="center"/>
              <w:rPr>
                <w:b/>
              </w:rPr>
            </w:pPr>
            <w:r w:rsidRPr="00A5584D">
              <w:rPr>
                <w:b/>
              </w:rPr>
              <w:t>No usa anteojos</w:t>
            </w:r>
          </w:p>
        </w:tc>
        <w:tc>
          <w:tcPr>
            <w:tcW w:w="2005" w:type="dxa"/>
            <w:tcBorders>
              <w:top w:val="single" w:sz="4" w:space="0" w:color="auto"/>
              <w:left w:val="nil"/>
              <w:bottom w:val="single" w:sz="4" w:space="0" w:color="auto"/>
              <w:right w:val="nil"/>
            </w:tcBorders>
            <w:shd w:val="clear" w:color="auto" w:fill="auto"/>
            <w:vAlign w:val="center"/>
          </w:tcPr>
          <w:p w:rsidR="006D3B17" w:rsidRPr="00A5584D" w:rsidRDefault="006D3B17" w:rsidP="006D3B17">
            <w:pPr>
              <w:jc w:val="center"/>
            </w:pPr>
            <w:r w:rsidRPr="00A5584D">
              <w:t>No tatuado</w:t>
            </w:r>
          </w:p>
        </w:tc>
        <w:tc>
          <w:tcPr>
            <w:tcW w:w="0" w:type="auto"/>
            <w:tcBorders>
              <w:top w:val="single" w:sz="4" w:space="0" w:color="auto"/>
              <w:left w:val="nil"/>
              <w:bottom w:val="single" w:sz="4" w:space="0" w:color="auto"/>
              <w:right w:val="nil"/>
            </w:tcBorders>
            <w:shd w:val="clear" w:color="auto" w:fill="auto"/>
            <w:vAlign w:val="center"/>
          </w:tcPr>
          <w:p w:rsidR="006D3B17" w:rsidRPr="00A5584D" w:rsidRDefault="006D3B17" w:rsidP="006D3B17">
            <w:pPr>
              <w:jc w:val="center"/>
            </w:pPr>
            <w:r w:rsidRPr="00A5584D">
              <w:t>Tatuado con lentes</w:t>
            </w:r>
          </w:p>
        </w:tc>
        <w:tc>
          <w:tcPr>
            <w:tcW w:w="0" w:type="auto"/>
            <w:tcBorders>
              <w:top w:val="single" w:sz="4" w:space="0" w:color="auto"/>
              <w:left w:val="nil"/>
              <w:bottom w:val="single" w:sz="4" w:space="0" w:color="auto"/>
              <w:right w:val="nil"/>
            </w:tcBorders>
            <w:shd w:val="clear" w:color="auto" w:fill="auto"/>
            <w:vAlign w:val="center"/>
          </w:tcPr>
          <w:p w:rsidR="006D3B17" w:rsidRPr="00A5584D" w:rsidRDefault="006D3B17" w:rsidP="006D3B17">
            <w:pPr>
              <w:jc w:val="center"/>
              <w:rPr>
                <w:i/>
              </w:rPr>
            </w:pPr>
            <w:r w:rsidRPr="00A5584D">
              <w:rPr>
                <w:i/>
              </w:rPr>
              <w:t>No tatuado</w:t>
            </w:r>
          </w:p>
        </w:tc>
      </w:tr>
    </w:tbl>
    <w:p w:rsidR="006D3B17" w:rsidRPr="008B7770" w:rsidRDefault="006D3B17" w:rsidP="006D3B17">
      <w:pPr>
        <w:jc w:val="both"/>
        <w:rPr>
          <w:sz w:val="22"/>
          <w:szCs w:val="22"/>
        </w:rPr>
      </w:pPr>
    </w:p>
    <w:p w:rsidR="006D3B17" w:rsidRPr="00A5584D" w:rsidRDefault="006D3B17" w:rsidP="006D3B17">
      <w:pPr>
        <w:ind w:firstLine="708"/>
        <w:jc w:val="both"/>
        <w:rPr>
          <w:sz w:val="22"/>
          <w:szCs w:val="22"/>
        </w:rPr>
      </w:pPr>
      <w:r w:rsidRPr="00A5584D">
        <w:rPr>
          <w:sz w:val="22"/>
          <w:szCs w:val="22"/>
        </w:rPr>
        <w:t xml:space="preserve">De este modo, no se podría afirmar que el efecto de los anteojos se estuviera dando completamente por la recategorización como sugeriría la autora, es decir, por un proceso mediante el cual los anteojos en una persona tatuada permitirían cambiarla de una categoría negativa a una positiva debido a que éstos activarían estereotipos positivos asociados al profesionalismo, la confianza y la honestidad; ya que de ser así, en el último caso los participantes no deberían haber presentado una preferencia importante por un tipo de persona u otra, ya que la recategorización habría ocurrido y ayudado a disminuir el prejuicio; por lo que ha de existir otra variable más allá de la activación de estereotipos positivos que estaría influyendo. </w:t>
      </w:r>
    </w:p>
    <w:p w:rsidR="006D3B17" w:rsidRPr="00A5584D" w:rsidRDefault="006D3B17" w:rsidP="006D3B17">
      <w:pPr>
        <w:jc w:val="both"/>
        <w:rPr>
          <w:sz w:val="22"/>
          <w:szCs w:val="22"/>
        </w:rPr>
      </w:pPr>
    </w:p>
    <w:p w:rsidR="006D3B17" w:rsidRPr="00A5584D" w:rsidRDefault="006D3B17" w:rsidP="006D3B17">
      <w:pPr>
        <w:ind w:firstLine="708"/>
        <w:jc w:val="both"/>
        <w:rPr>
          <w:color w:val="000000"/>
          <w:sz w:val="22"/>
          <w:szCs w:val="22"/>
          <w:lang w:eastAsia="es-VE"/>
        </w:rPr>
      </w:pPr>
      <w:r w:rsidRPr="00A5584D">
        <w:rPr>
          <w:color w:val="000000"/>
          <w:sz w:val="22"/>
          <w:szCs w:val="22"/>
          <w:lang w:eastAsia="es-VE"/>
        </w:rPr>
        <w:t xml:space="preserve">A partir de lo anterior se puede deducir que, en la investigación de </w:t>
      </w:r>
      <w:r w:rsidR="004A1983">
        <w:rPr>
          <w:color w:val="000000"/>
          <w:sz w:val="22"/>
          <w:szCs w:val="22"/>
          <w:lang w:eastAsia="es-VE"/>
        </w:rPr>
        <w:t>Torrejón</w:t>
      </w:r>
      <w:r w:rsidRPr="00A5584D">
        <w:rPr>
          <w:color w:val="000000"/>
          <w:sz w:val="22"/>
          <w:szCs w:val="22"/>
          <w:lang w:eastAsia="es-VE"/>
        </w:rPr>
        <w:t xml:space="preserve"> (2015), un proceso importante a través del cual se condujo a una valoración más positiva de la persona tatuada no sería la recategorización (al menos con respecto al grupo de participantes con anteojos), sino que podría explicarse por la categorización cruzada, proceso que ocurre cuando los miembros de grupos contrarios se dan cuenta de que comparten una categoría común de pertenencia (Paluck y Green, 2009); pues, si bien los participantes y el exogrupo difieren en varios aspectos (incluyendo la presencia de tatuajes), algunos de ellos presentan un elemento similar: el uso de anteojos, que los hace sentir parte de una entidad social común. </w:t>
      </w:r>
    </w:p>
    <w:p w:rsidR="006D3B17" w:rsidRPr="00A5584D" w:rsidRDefault="006D3B17" w:rsidP="006D3B17">
      <w:pPr>
        <w:jc w:val="both"/>
        <w:rPr>
          <w:sz w:val="22"/>
          <w:szCs w:val="22"/>
        </w:rPr>
      </w:pPr>
    </w:p>
    <w:p w:rsidR="006D3B17" w:rsidRPr="00A5584D" w:rsidRDefault="006D3B17" w:rsidP="00FB6C08">
      <w:pPr>
        <w:ind w:firstLine="708"/>
        <w:jc w:val="both"/>
        <w:rPr>
          <w:color w:val="000000"/>
          <w:sz w:val="22"/>
          <w:szCs w:val="22"/>
          <w:lang w:eastAsia="es-VE"/>
        </w:rPr>
      </w:pPr>
      <w:r w:rsidRPr="00A5584D">
        <w:rPr>
          <w:color w:val="000000"/>
          <w:sz w:val="22"/>
          <w:szCs w:val="22"/>
          <w:lang w:eastAsia="es-VE"/>
        </w:rPr>
        <w:t xml:space="preserve">Estos resultados pueden ser evaluados desde la teoría de la identidad y categorización social de Tajfel (1984), que establece que los seres humanos dividen su mundo social en dos grupos diferentes: </w:t>
      </w:r>
      <w:r w:rsidRPr="00A5584D">
        <w:rPr>
          <w:iCs/>
          <w:color w:val="000000"/>
          <w:sz w:val="22"/>
          <w:szCs w:val="22"/>
          <w:lang w:eastAsia="es-VE"/>
        </w:rPr>
        <w:t>nosotros</w:t>
      </w:r>
      <w:r w:rsidRPr="00A5584D">
        <w:rPr>
          <w:color w:val="000000"/>
          <w:sz w:val="22"/>
          <w:szCs w:val="22"/>
          <w:lang w:eastAsia="es-VE"/>
        </w:rPr>
        <w:t xml:space="preserve"> y </w:t>
      </w:r>
      <w:r w:rsidRPr="00A5584D">
        <w:rPr>
          <w:iCs/>
          <w:color w:val="000000"/>
          <w:sz w:val="22"/>
          <w:szCs w:val="22"/>
          <w:lang w:eastAsia="es-VE"/>
        </w:rPr>
        <w:t>ellos</w:t>
      </w:r>
      <w:r w:rsidRPr="00A5584D">
        <w:rPr>
          <w:color w:val="000000"/>
          <w:sz w:val="22"/>
          <w:szCs w:val="22"/>
          <w:lang w:eastAsia="es-VE"/>
        </w:rPr>
        <w:t>, lo que hace referencia a una categorización social. En este caso, los participantes con anteojos habrían establecido la categoría nosotros-ellos con base en el uso o no de anteojos, en lugar de basarse en la presencia o ausencia de los tatuajes; así, las personas tatuadas con anteojos no fueron percibidas como el exogrupo, al contrario, hubo un proceso de identificación endogrupal basado en el uso de anteojos, entendiendo a la misma como “aquella parte del autoconcepto de un individuo que deriva del conocimiento de su pertenencia a un grupo social junto con el significado valorativo y emocional asociado a dicha pertenencia” (Tajfel, 1984, p. 292). De tal manera, al ser los participantes conscientes de su similitud con las personas tatuadas con anteojos, se activaron en ellos sentimientos y valoraciones más positivas que con aquellos que no tenían anteojos.</w:t>
      </w:r>
    </w:p>
    <w:p w:rsidR="006D3B17" w:rsidRDefault="006D3B17" w:rsidP="006D3B17">
      <w:pPr>
        <w:ind w:firstLine="708"/>
        <w:jc w:val="both"/>
        <w:rPr>
          <w:color w:val="000000"/>
          <w:sz w:val="22"/>
          <w:szCs w:val="22"/>
          <w:lang w:eastAsia="es-VE"/>
        </w:rPr>
      </w:pPr>
      <w:r w:rsidRPr="00A5584D">
        <w:rPr>
          <w:color w:val="000000"/>
          <w:sz w:val="22"/>
          <w:szCs w:val="22"/>
          <w:lang w:eastAsia="es-VE"/>
        </w:rPr>
        <w:lastRenderedPageBreak/>
        <w:t xml:space="preserve">Gracias a la presente investigación, lo expresado anteriormente podría verse realmente comprobado, debido a que en ésta el uso de anteojos por parte de los participantes fue considerado como una variable a controlar, no aceptándose en ninguno de los grupos a personas que utilizaran anteojos. Al no incluir a este tipo de personas en la muestra, no fue posible que se diera el proceso de identificación endogrupal y la categorización cruzada, y por ende, se explica por qué el empleo de los anteojos como señales visuales no verbales no produjo una disminución significativa del prejuicio implícito hacia mujeres tatuadas; igualmente, se vislumbra el papel importante que cumple la identificación endogrupal en la reducción del prejuicio, como efectivamente ocurrió en la investigación de </w:t>
      </w:r>
      <w:r w:rsidR="004A1983">
        <w:rPr>
          <w:color w:val="000000"/>
          <w:sz w:val="22"/>
          <w:szCs w:val="22"/>
          <w:lang w:eastAsia="es-VE"/>
        </w:rPr>
        <w:t>Torrejón</w:t>
      </w:r>
      <w:r w:rsidRPr="00A5584D">
        <w:rPr>
          <w:color w:val="000000"/>
          <w:sz w:val="22"/>
          <w:szCs w:val="22"/>
          <w:lang w:eastAsia="es-VE"/>
        </w:rPr>
        <w:t xml:space="preserve"> (2015) con aquellos participantes que utilizaban anteojos.</w:t>
      </w:r>
    </w:p>
    <w:p w:rsidR="009D4B59" w:rsidRPr="00A5584D" w:rsidRDefault="009D4B59" w:rsidP="006D3B17">
      <w:pPr>
        <w:ind w:firstLine="708"/>
        <w:jc w:val="both"/>
        <w:rPr>
          <w:sz w:val="22"/>
          <w:szCs w:val="22"/>
          <w:lang w:eastAsia="es-VE"/>
        </w:rPr>
      </w:pPr>
    </w:p>
    <w:p w:rsidR="006D3B17" w:rsidRPr="00A5584D" w:rsidRDefault="006D3B17" w:rsidP="006D3B17">
      <w:pPr>
        <w:ind w:firstLine="708"/>
        <w:jc w:val="both"/>
        <w:rPr>
          <w:sz w:val="22"/>
          <w:szCs w:val="22"/>
        </w:rPr>
      </w:pPr>
      <w:r w:rsidRPr="00A5584D">
        <w:rPr>
          <w:sz w:val="22"/>
          <w:szCs w:val="22"/>
        </w:rPr>
        <w:t xml:space="preserve">A la luz de estos hallazgos, se puede dar respuesta a la pregunta que hacía </w:t>
      </w:r>
      <w:r w:rsidR="004A1983">
        <w:rPr>
          <w:sz w:val="22"/>
          <w:szCs w:val="22"/>
        </w:rPr>
        <w:t>Torrejón</w:t>
      </w:r>
      <w:r w:rsidRPr="00A5584D">
        <w:rPr>
          <w:sz w:val="22"/>
          <w:szCs w:val="22"/>
        </w:rPr>
        <w:t xml:space="preserve"> (2015) y guiaba esta investigación, referida a si los anteojos fungían como herramienta para la recategorización o como elemento distractor. Se infiere, entonces, que la efectividad de los anteojos en la reducción del prejuicio, más que deberse a la recategorización por la activación de estereotipos positivos asociados al intelecto, éxito, profesionalismo, confianza y honestidad; o deberse a un simple efecto de distracción sobre el tatuaje, podría deberse al proceso de identificación que ocurre entre el perceptor y el individuo tatuado cuando ambos utilizan anteojos. En el caso de los individuos que no utilizan anteojos, aún no queda claro cuál es el mecanismo subyacente para que éstos prefieran a las personas tatuadas con lentes en un momento y no en otros, ya que la presente investigación no arrojó resultados significativos que dieran luz sobre esto.</w:t>
      </w:r>
    </w:p>
    <w:p w:rsidR="009B60DE" w:rsidRPr="00A5584D" w:rsidRDefault="009B60DE" w:rsidP="006D3B17">
      <w:pPr>
        <w:ind w:firstLine="708"/>
        <w:jc w:val="both"/>
        <w:rPr>
          <w:sz w:val="22"/>
          <w:szCs w:val="22"/>
        </w:rPr>
      </w:pPr>
    </w:p>
    <w:p w:rsidR="006D3B17" w:rsidRPr="00A5584D" w:rsidRDefault="006D3B17" w:rsidP="006D3B17">
      <w:pPr>
        <w:ind w:firstLine="708"/>
        <w:jc w:val="both"/>
        <w:rPr>
          <w:sz w:val="22"/>
          <w:szCs w:val="22"/>
        </w:rPr>
      </w:pPr>
      <w:r w:rsidRPr="00A5584D">
        <w:rPr>
          <w:sz w:val="22"/>
          <w:szCs w:val="22"/>
        </w:rPr>
        <w:t xml:space="preserve">Por ello, investigaciones futuras deberían comparar el efecto de los anteojos como señales visuales no verbales en grupos de participantes con y sin anteojos, de modo que puedan corroborarse exhaustivamente los hallazgos mencionados con respecto al papel de la identificación endogrupal; así como evaluar cuáles son los mecanismos subyacentes que hacen que los anteojos a veces produzcan una disminución en el prejuicio implícito en los participantes que no utilizan lentes de lectura y que por tanto no pueden identificarse endogrupalmente. </w:t>
      </w:r>
    </w:p>
    <w:p w:rsidR="006D3B17" w:rsidRPr="00A5584D" w:rsidRDefault="006D3B17" w:rsidP="006D3B17">
      <w:pPr>
        <w:ind w:firstLine="708"/>
        <w:jc w:val="both"/>
        <w:rPr>
          <w:sz w:val="22"/>
          <w:szCs w:val="22"/>
        </w:rPr>
      </w:pPr>
    </w:p>
    <w:p w:rsidR="006D3B17" w:rsidRPr="00A5584D" w:rsidRDefault="006D3B17" w:rsidP="006D3B17">
      <w:pPr>
        <w:ind w:firstLine="708"/>
        <w:jc w:val="both"/>
        <w:rPr>
          <w:sz w:val="22"/>
          <w:szCs w:val="22"/>
        </w:rPr>
      </w:pPr>
      <w:r w:rsidRPr="00A5584D">
        <w:rPr>
          <w:sz w:val="22"/>
          <w:szCs w:val="22"/>
        </w:rPr>
        <w:t xml:space="preserve">Así mismo, se propone que para estudios posteriores se ahonde en la utilización de diversas y más variadas señales visuales que permitan un proceso de identificación endogrupal similar, el cual parece ser uno de los principales causantes de la reducción positiva del prejuicio, de modo que se continúen diseñando estrategias que puedan ser utilizadas para la disminución del estigma hacia el exogrupo que aquí se refiere. </w:t>
      </w:r>
    </w:p>
    <w:p w:rsidR="006D3B17" w:rsidRPr="00A5584D" w:rsidRDefault="006D3B17" w:rsidP="006D3B17">
      <w:pPr>
        <w:ind w:firstLine="708"/>
        <w:jc w:val="both"/>
        <w:rPr>
          <w:sz w:val="22"/>
          <w:szCs w:val="22"/>
        </w:rPr>
      </w:pPr>
    </w:p>
    <w:p w:rsidR="006D3B17" w:rsidRPr="00A5584D" w:rsidRDefault="003568D1" w:rsidP="006D3B17">
      <w:pPr>
        <w:jc w:val="center"/>
        <w:rPr>
          <w:b/>
          <w:sz w:val="22"/>
          <w:szCs w:val="22"/>
        </w:rPr>
      </w:pPr>
      <w:r w:rsidRPr="00A5584D">
        <w:rPr>
          <w:b/>
          <w:sz w:val="22"/>
          <w:szCs w:val="22"/>
        </w:rPr>
        <w:t>Conclusio</w:t>
      </w:r>
      <w:r w:rsidR="006D3B17" w:rsidRPr="00A5584D">
        <w:rPr>
          <w:b/>
          <w:sz w:val="22"/>
          <w:szCs w:val="22"/>
        </w:rPr>
        <w:t>n</w:t>
      </w:r>
      <w:r w:rsidRPr="00A5584D">
        <w:rPr>
          <w:b/>
          <w:sz w:val="22"/>
          <w:szCs w:val="22"/>
        </w:rPr>
        <w:t>es</w:t>
      </w:r>
    </w:p>
    <w:p w:rsidR="006D3B17" w:rsidRPr="00A5584D" w:rsidRDefault="006D3B17" w:rsidP="006D3B17">
      <w:pPr>
        <w:jc w:val="center"/>
        <w:rPr>
          <w:b/>
          <w:sz w:val="22"/>
          <w:szCs w:val="22"/>
        </w:rPr>
      </w:pPr>
    </w:p>
    <w:p w:rsidR="006D3B17" w:rsidRPr="00A5584D" w:rsidRDefault="006D3B17" w:rsidP="006D3B17">
      <w:pPr>
        <w:ind w:firstLine="708"/>
        <w:jc w:val="both"/>
        <w:rPr>
          <w:sz w:val="22"/>
          <w:szCs w:val="22"/>
        </w:rPr>
      </w:pPr>
      <w:r w:rsidRPr="00A5584D">
        <w:rPr>
          <w:sz w:val="22"/>
          <w:szCs w:val="22"/>
        </w:rPr>
        <w:t xml:space="preserve">Entre las principales implicaciones sociales que se derivan de los hallazgos de esta investigación, se encuentra la ampliación del conocimiento acerca del proceso a través del cual las señales visuales no verbales podrían conducir a una disminución del prejuicio hacia las personas tatuadas, ya que no sólo se considera que pudiese darse por medio de la recategorización, sino también, a través del proceso de identificación endogrupal, el cual a su vez hace posible la categorización cruzada que también conduce a una reducción del prejuicio. </w:t>
      </w:r>
    </w:p>
    <w:p w:rsidR="006D3B17" w:rsidRPr="00A5584D" w:rsidRDefault="006D3B17" w:rsidP="006D3B17">
      <w:pPr>
        <w:ind w:firstLine="708"/>
        <w:jc w:val="both"/>
        <w:rPr>
          <w:sz w:val="22"/>
          <w:szCs w:val="22"/>
        </w:rPr>
      </w:pPr>
    </w:p>
    <w:p w:rsidR="006D3B17" w:rsidRPr="00A5584D" w:rsidRDefault="006D3B17" w:rsidP="006D3B17">
      <w:pPr>
        <w:ind w:firstLine="708"/>
        <w:jc w:val="both"/>
        <w:rPr>
          <w:sz w:val="22"/>
          <w:szCs w:val="22"/>
        </w:rPr>
      </w:pPr>
      <w:r w:rsidRPr="00A5584D">
        <w:rPr>
          <w:sz w:val="22"/>
          <w:szCs w:val="22"/>
        </w:rPr>
        <w:t>De forma tal, que en esta investigación se da luz sobre una nueva vía de reducción de prejuicio que debería ser considerada en investigaciones futuras, abriéndose entonces una línea de investigación innovadora para próximos estudios destinados a probar el papel que desempeñarían diversas señales visuales no verbales en la identificación endogrupal; pues, las mismas son elementos factibles, de gran alcance y de rápida ejecución, por lo que si se corroborara su efectividad para la identificación endogrupal, tal hallazgo sería fructífero para combatir de forma práctica el prejuicio hacia las personas tatuadas presente en la sociedad, lo cual se podría lograr por diversos medios masivos, tales como la televisión, las vallas publicitarias y demás medios de comunicación.</w:t>
      </w:r>
    </w:p>
    <w:p w:rsidR="006D3B17" w:rsidRPr="00A5584D" w:rsidRDefault="006D3B17" w:rsidP="006D3B17">
      <w:pPr>
        <w:ind w:firstLine="709"/>
        <w:jc w:val="both"/>
        <w:rPr>
          <w:sz w:val="22"/>
          <w:szCs w:val="22"/>
        </w:rPr>
      </w:pPr>
      <w:r w:rsidRPr="00A5584D">
        <w:rPr>
          <w:sz w:val="22"/>
          <w:szCs w:val="22"/>
        </w:rPr>
        <w:lastRenderedPageBreak/>
        <w:t xml:space="preserve">Una segunda implicación tiene que ver con el hecho de que el prejuicio hacia las mujeres tatuadas se configura como un problema actual y de gran relevancia social por las consecuencias que produce,  pero que en cambio, no recibe la atención que merece. Puesto que, si bien en la actualidad las mujeres tienen una mayor participación en distintos ámbitos en comparación con décadas pasadas, de igual forma siguen siendo discriminadas en muchas esferas de la vida social, ya que con frecuencia se le asocian características estigmatizantes que afectan la percepción y el trato dirigido hacia ellas (INADI, 2018). </w:t>
      </w:r>
    </w:p>
    <w:p w:rsidR="006D3B17" w:rsidRPr="00A5584D" w:rsidRDefault="006D3B17" w:rsidP="006D3B17">
      <w:pPr>
        <w:ind w:firstLine="709"/>
        <w:jc w:val="both"/>
        <w:rPr>
          <w:sz w:val="22"/>
          <w:szCs w:val="22"/>
        </w:rPr>
      </w:pPr>
    </w:p>
    <w:p w:rsidR="006D3B17" w:rsidRPr="00A5584D" w:rsidRDefault="006D3B17" w:rsidP="006D3B17">
      <w:pPr>
        <w:ind w:firstLine="709"/>
        <w:jc w:val="both"/>
        <w:rPr>
          <w:rFonts w:eastAsia="Calibri"/>
          <w:sz w:val="22"/>
          <w:szCs w:val="22"/>
        </w:rPr>
      </w:pPr>
      <w:r w:rsidRPr="00A5584D">
        <w:rPr>
          <w:rFonts w:eastAsia="Calibri"/>
          <w:sz w:val="22"/>
          <w:szCs w:val="22"/>
        </w:rPr>
        <w:t>La situación se complejiza drásticamente cuando se añade que las mujeres tatuadas son aún más estigmatizadas, siendo consideradas como poco atractivas, vulgares, promiscuas y adictas a la bebida, percepción que se vuelve más negativa conforme aument</w:t>
      </w:r>
      <w:r w:rsidR="00622E1F">
        <w:rPr>
          <w:rFonts w:eastAsia="Calibri"/>
          <w:sz w:val="22"/>
          <w:szCs w:val="22"/>
        </w:rPr>
        <w:t>a el número de tatuajes (</w:t>
      </w:r>
      <w:proofErr w:type="spellStart"/>
      <w:r w:rsidR="00622E1F">
        <w:rPr>
          <w:rFonts w:eastAsia="Calibri"/>
          <w:sz w:val="22"/>
          <w:szCs w:val="22"/>
        </w:rPr>
        <w:t>Swami</w:t>
      </w:r>
      <w:proofErr w:type="spellEnd"/>
      <w:r w:rsidR="00622E1F">
        <w:rPr>
          <w:rFonts w:eastAsia="Calibri"/>
          <w:sz w:val="22"/>
          <w:szCs w:val="22"/>
        </w:rPr>
        <w:t xml:space="preserve"> &amp;</w:t>
      </w:r>
      <w:r w:rsidRPr="00A5584D">
        <w:rPr>
          <w:rFonts w:eastAsia="Calibri"/>
          <w:sz w:val="22"/>
          <w:szCs w:val="22"/>
        </w:rPr>
        <w:t xml:space="preserve"> </w:t>
      </w:r>
      <w:proofErr w:type="spellStart"/>
      <w:r w:rsidRPr="00A5584D">
        <w:rPr>
          <w:rFonts w:eastAsia="Calibri"/>
          <w:sz w:val="22"/>
          <w:szCs w:val="22"/>
        </w:rPr>
        <w:t>Furnham</w:t>
      </w:r>
      <w:proofErr w:type="spellEnd"/>
      <w:r w:rsidRPr="00A5584D">
        <w:rPr>
          <w:rFonts w:eastAsia="Calibri"/>
          <w:sz w:val="22"/>
          <w:szCs w:val="22"/>
        </w:rPr>
        <w:t>, 2007). Está visión negativa de la mujer tatuada puede repercutir tanto en su autoestima como en el abuso e injusticias que podría sufrir por parte de los otros, así como en su posibilidad de inserción en los distintos ámbito</w:t>
      </w:r>
      <w:r w:rsidR="00622E1F">
        <w:rPr>
          <w:rFonts w:eastAsia="Calibri"/>
          <w:sz w:val="22"/>
          <w:szCs w:val="22"/>
        </w:rPr>
        <w:t xml:space="preserve">s sociales (INADI, 2018; </w:t>
      </w:r>
      <w:proofErr w:type="spellStart"/>
      <w:r w:rsidR="00622E1F">
        <w:rPr>
          <w:rFonts w:eastAsia="Calibri"/>
          <w:sz w:val="22"/>
          <w:szCs w:val="22"/>
        </w:rPr>
        <w:t>Swami</w:t>
      </w:r>
      <w:proofErr w:type="spellEnd"/>
      <w:r w:rsidR="00622E1F">
        <w:rPr>
          <w:rFonts w:eastAsia="Calibri"/>
          <w:sz w:val="22"/>
          <w:szCs w:val="22"/>
        </w:rPr>
        <w:t xml:space="preserve"> &amp;</w:t>
      </w:r>
      <w:r w:rsidRPr="00A5584D">
        <w:rPr>
          <w:rFonts w:eastAsia="Calibri"/>
          <w:sz w:val="22"/>
          <w:szCs w:val="22"/>
        </w:rPr>
        <w:t xml:space="preserve"> </w:t>
      </w:r>
      <w:proofErr w:type="spellStart"/>
      <w:r w:rsidRPr="00A5584D">
        <w:rPr>
          <w:rFonts w:eastAsia="Calibri"/>
          <w:sz w:val="22"/>
          <w:szCs w:val="22"/>
        </w:rPr>
        <w:t>Furnham</w:t>
      </w:r>
      <w:proofErr w:type="spellEnd"/>
      <w:r w:rsidRPr="00A5584D">
        <w:rPr>
          <w:rFonts w:eastAsia="Calibri"/>
          <w:sz w:val="22"/>
          <w:szCs w:val="22"/>
        </w:rPr>
        <w:t xml:space="preserve">, 2007). </w:t>
      </w:r>
    </w:p>
    <w:p w:rsidR="006D3B17" w:rsidRPr="00A5584D" w:rsidRDefault="006D3B17" w:rsidP="006D3B17">
      <w:pPr>
        <w:ind w:firstLine="709"/>
        <w:jc w:val="both"/>
        <w:rPr>
          <w:rFonts w:eastAsia="Calibri"/>
          <w:sz w:val="22"/>
          <w:szCs w:val="22"/>
        </w:rPr>
      </w:pPr>
    </w:p>
    <w:p w:rsidR="006D3B17" w:rsidRPr="005F622F" w:rsidRDefault="006D3B17" w:rsidP="006D3B17">
      <w:pPr>
        <w:ind w:firstLine="709"/>
        <w:jc w:val="both"/>
        <w:rPr>
          <w:sz w:val="22"/>
          <w:szCs w:val="22"/>
        </w:rPr>
      </w:pPr>
      <w:r w:rsidRPr="00A5584D">
        <w:rPr>
          <w:sz w:val="22"/>
          <w:szCs w:val="22"/>
        </w:rPr>
        <w:t xml:space="preserve">Adicionalmente, continuar estudiando y diseñando estrategias para mitigar este prejuicio hacia las mujeres tatuadas es altamente relevante e importante socialmente, dado que los estereotipos negativos que enmarcan a las personas tatuadas pueden llegar a hacerlas sufrir de discriminación laboral, llegando a tener menores probabilidades de ser contratadas o de ser aceptadas en su entorno </w:t>
      </w:r>
      <w:r w:rsidRPr="005F622F">
        <w:rPr>
          <w:sz w:val="22"/>
          <w:szCs w:val="22"/>
        </w:rPr>
        <w:t xml:space="preserve">laboral por la presencia de </w:t>
      </w:r>
      <w:r w:rsidR="000A765D" w:rsidRPr="005F622F">
        <w:rPr>
          <w:sz w:val="22"/>
          <w:szCs w:val="22"/>
        </w:rPr>
        <w:t>tatuajes en su cuerpo (</w:t>
      </w:r>
      <w:r w:rsidR="00622E1F">
        <w:rPr>
          <w:sz w:val="22"/>
          <w:szCs w:val="22"/>
        </w:rPr>
        <w:t>Baumann, Timming &amp;</w:t>
      </w:r>
      <w:r w:rsidR="005B25EA">
        <w:rPr>
          <w:sz w:val="22"/>
          <w:szCs w:val="22"/>
        </w:rPr>
        <w:t xml:space="preserve"> Gollan</w:t>
      </w:r>
      <w:r w:rsidRPr="005F622F">
        <w:rPr>
          <w:sz w:val="22"/>
          <w:szCs w:val="22"/>
        </w:rPr>
        <w:t>, 2016; Méndez, 2015</w:t>
      </w:r>
      <w:r w:rsidR="000A765D" w:rsidRPr="005F622F">
        <w:rPr>
          <w:sz w:val="22"/>
          <w:szCs w:val="22"/>
        </w:rPr>
        <w:t xml:space="preserve">; </w:t>
      </w:r>
      <w:r w:rsidR="00622E1F">
        <w:rPr>
          <w:sz w:val="22"/>
          <w:szCs w:val="22"/>
        </w:rPr>
        <w:t>Miller, McGlashan &amp;</w:t>
      </w:r>
      <w:r w:rsidR="005B25EA">
        <w:rPr>
          <w:sz w:val="22"/>
          <w:szCs w:val="22"/>
        </w:rPr>
        <w:t xml:space="preserve"> Eure</w:t>
      </w:r>
      <w:r w:rsidR="00674417" w:rsidRPr="005F622F">
        <w:rPr>
          <w:sz w:val="22"/>
          <w:szCs w:val="22"/>
        </w:rPr>
        <w:t>, 2008</w:t>
      </w:r>
      <w:r w:rsidRPr="005F622F">
        <w:rPr>
          <w:sz w:val="22"/>
          <w:szCs w:val="22"/>
        </w:rPr>
        <w:t>), lo cual implica para este grupo estigmatizado grandes desventajas que pueden afectar su calidad de vida por el hecho de vivir en una sociedad que no acepta a las personas que utilizan como lienzo su piel.</w:t>
      </w:r>
    </w:p>
    <w:p w:rsidR="00B759C0" w:rsidRPr="005F622F" w:rsidRDefault="00B759C0" w:rsidP="006D3B17">
      <w:pPr>
        <w:ind w:firstLine="709"/>
        <w:jc w:val="both"/>
        <w:rPr>
          <w:b/>
          <w:sz w:val="22"/>
          <w:szCs w:val="22"/>
        </w:rPr>
      </w:pPr>
    </w:p>
    <w:p w:rsidR="00B759C0" w:rsidRPr="005F622F" w:rsidRDefault="00B759C0" w:rsidP="006D3B17">
      <w:pPr>
        <w:jc w:val="center"/>
        <w:rPr>
          <w:b/>
          <w:sz w:val="22"/>
          <w:szCs w:val="22"/>
        </w:rPr>
      </w:pPr>
      <w:r w:rsidRPr="005F622F">
        <w:rPr>
          <w:b/>
          <w:sz w:val="22"/>
          <w:szCs w:val="22"/>
        </w:rPr>
        <w:t>Referencias Bibliográficas</w:t>
      </w:r>
    </w:p>
    <w:p w:rsidR="00B759C0" w:rsidRPr="005F622F" w:rsidRDefault="00B759C0" w:rsidP="006D3B17">
      <w:pPr>
        <w:jc w:val="center"/>
        <w:rPr>
          <w:b/>
          <w:sz w:val="22"/>
          <w:szCs w:val="22"/>
        </w:rPr>
      </w:pPr>
    </w:p>
    <w:p w:rsidR="006D3B17" w:rsidRPr="005F622F" w:rsidRDefault="00D54D65" w:rsidP="006D3B17">
      <w:pPr>
        <w:ind w:left="709" w:hanging="709"/>
        <w:jc w:val="both"/>
        <w:rPr>
          <w:sz w:val="22"/>
          <w:szCs w:val="22"/>
          <w:lang w:val="es-VE"/>
        </w:rPr>
      </w:pPr>
      <w:r>
        <w:rPr>
          <w:sz w:val="22"/>
          <w:szCs w:val="22"/>
        </w:rPr>
        <w:t>Baron, R. &amp;</w:t>
      </w:r>
      <w:r w:rsidR="006D3B17" w:rsidRPr="005F622F">
        <w:rPr>
          <w:sz w:val="22"/>
          <w:szCs w:val="22"/>
        </w:rPr>
        <w:t xml:space="preserve"> </w:t>
      </w:r>
      <w:proofErr w:type="spellStart"/>
      <w:r w:rsidR="006D3B17" w:rsidRPr="005F622F">
        <w:rPr>
          <w:sz w:val="22"/>
          <w:szCs w:val="22"/>
        </w:rPr>
        <w:t>Byrne</w:t>
      </w:r>
      <w:proofErr w:type="spellEnd"/>
      <w:r w:rsidR="006D3B17" w:rsidRPr="005F622F">
        <w:rPr>
          <w:sz w:val="22"/>
          <w:szCs w:val="22"/>
        </w:rPr>
        <w:t xml:space="preserve">, D. (2005). </w:t>
      </w:r>
      <w:r w:rsidR="006D3B17" w:rsidRPr="005F622F">
        <w:rPr>
          <w:i/>
          <w:sz w:val="22"/>
          <w:szCs w:val="22"/>
        </w:rPr>
        <w:t xml:space="preserve">Psicología social. </w:t>
      </w:r>
      <w:r w:rsidR="006D3B17" w:rsidRPr="005F622F">
        <w:rPr>
          <w:sz w:val="22"/>
          <w:szCs w:val="22"/>
        </w:rPr>
        <w:t xml:space="preserve">(10ma. </w:t>
      </w:r>
      <w:r w:rsidR="006D3B17" w:rsidRPr="005F622F">
        <w:rPr>
          <w:sz w:val="22"/>
          <w:szCs w:val="22"/>
          <w:lang w:val="es-VE"/>
        </w:rPr>
        <w:t>Ed.).</w:t>
      </w:r>
      <w:r w:rsidR="006D3B17" w:rsidRPr="005F622F">
        <w:rPr>
          <w:i/>
          <w:sz w:val="22"/>
          <w:szCs w:val="22"/>
          <w:lang w:val="es-VE"/>
        </w:rPr>
        <w:t xml:space="preserve"> </w:t>
      </w:r>
      <w:r w:rsidR="006D3B17" w:rsidRPr="005F622F">
        <w:rPr>
          <w:sz w:val="22"/>
          <w:szCs w:val="22"/>
          <w:lang w:val="es-VE"/>
        </w:rPr>
        <w:t xml:space="preserve">Madrid: Pearson Prentice Hall.  </w:t>
      </w:r>
    </w:p>
    <w:p w:rsidR="006D3B17" w:rsidRPr="005F622F" w:rsidRDefault="006D3B17" w:rsidP="006D3B17">
      <w:pPr>
        <w:ind w:left="709" w:hanging="709"/>
        <w:jc w:val="both"/>
        <w:rPr>
          <w:sz w:val="22"/>
          <w:szCs w:val="22"/>
          <w:lang w:val="es-VE"/>
        </w:rPr>
      </w:pPr>
    </w:p>
    <w:p w:rsidR="006D3B17" w:rsidRPr="005F622F" w:rsidRDefault="006D3B17" w:rsidP="006D3B17">
      <w:pPr>
        <w:ind w:left="709" w:hanging="709"/>
        <w:jc w:val="both"/>
        <w:rPr>
          <w:sz w:val="22"/>
          <w:szCs w:val="22"/>
          <w:lang w:val="es-VE"/>
        </w:rPr>
      </w:pPr>
      <w:proofErr w:type="gramStart"/>
      <w:r w:rsidRPr="005F622F">
        <w:rPr>
          <w:sz w:val="22"/>
          <w:szCs w:val="22"/>
          <w:lang w:val="en-US"/>
        </w:rPr>
        <w:t>Baumann, C., T</w:t>
      </w:r>
      <w:r w:rsidR="00665829">
        <w:rPr>
          <w:sz w:val="22"/>
          <w:szCs w:val="22"/>
          <w:lang w:val="en-US"/>
        </w:rPr>
        <w:t>imming, A.</w:t>
      </w:r>
      <w:r w:rsidR="00D54D65">
        <w:rPr>
          <w:sz w:val="22"/>
          <w:szCs w:val="22"/>
          <w:lang w:val="en-US"/>
        </w:rPr>
        <w:t xml:space="preserve"> &amp;</w:t>
      </w:r>
      <w:r w:rsidRPr="005F622F">
        <w:rPr>
          <w:sz w:val="22"/>
          <w:szCs w:val="22"/>
          <w:lang w:val="en-US"/>
        </w:rPr>
        <w:t xml:space="preserve"> </w:t>
      </w:r>
      <w:proofErr w:type="spellStart"/>
      <w:r w:rsidRPr="005F622F">
        <w:rPr>
          <w:sz w:val="22"/>
          <w:szCs w:val="22"/>
          <w:lang w:val="en-US"/>
        </w:rPr>
        <w:t>Gollan</w:t>
      </w:r>
      <w:proofErr w:type="spellEnd"/>
      <w:r w:rsidRPr="005F622F">
        <w:rPr>
          <w:sz w:val="22"/>
          <w:szCs w:val="22"/>
          <w:lang w:val="en-US"/>
        </w:rPr>
        <w:t>, P. (2016).</w:t>
      </w:r>
      <w:proofErr w:type="gramEnd"/>
      <w:r w:rsidRPr="005F622F">
        <w:rPr>
          <w:sz w:val="22"/>
          <w:szCs w:val="22"/>
          <w:lang w:val="en-US"/>
        </w:rPr>
        <w:t xml:space="preserve"> Taboo tattoos? A study of the gendered effects of body art on consumers' attitudes toward visibly tattooed front line staff. </w:t>
      </w:r>
      <w:r w:rsidRPr="005F622F">
        <w:rPr>
          <w:i/>
          <w:sz w:val="22"/>
          <w:szCs w:val="22"/>
          <w:lang w:val="es-VE"/>
        </w:rPr>
        <w:t>Journal of Retailing and Consumer Services, 29</w:t>
      </w:r>
      <w:r w:rsidRPr="005F622F">
        <w:rPr>
          <w:sz w:val="22"/>
          <w:szCs w:val="22"/>
          <w:lang w:val="es-VE"/>
        </w:rPr>
        <w:t>, 31-39.</w:t>
      </w:r>
    </w:p>
    <w:p w:rsidR="006D3B17" w:rsidRPr="005F622F" w:rsidRDefault="006D3B17" w:rsidP="006D3B17">
      <w:pPr>
        <w:ind w:left="709" w:hanging="709"/>
        <w:jc w:val="both"/>
        <w:rPr>
          <w:sz w:val="22"/>
          <w:szCs w:val="22"/>
          <w:lang w:val="es-VE"/>
        </w:rPr>
      </w:pPr>
    </w:p>
    <w:p w:rsidR="006D3B17" w:rsidRPr="005F622F" w:rsidRDefault="006D3B17" w:rsidP="006D3B17">
      <w:pPr>
        <w:ind w:left="709" w:hanging="709"/>
        <w:jc w:val="both"/>
        <w:rPr>
          <w:sz w:val="22"/>
          <w:szCs w:val="22"/>
        </w:rPr>
      </w:pPr>
      <w:r w:rsidRPr="005F622F">
        <w:rPr>
          <w:sz w:val="22"/>
          <w:szCs w:val="22"/>
        </w:rPr>
        <w:t>Bordignon, N. (2005). El desarrollo psicosocial de Eric Erikson. El diagrama epigenético del adulto. </w:t>
      </w:r>
      <w:r w:rsidRPr="005F622F">
        <w:rPr>
          <w:i/>
          <w:sz w:val="22"/>
          <w:szCs w:val="22"/>
        </w:rPr>
        <w:t>Revista Lasallista de Investigación, 2</w:t>
      </w:r>
      <w:r w:rsidRPr="005F622F">
        <w:rPr>
          <w:sz w:val="22"/>
          <w:szCs w:val="22"/>
        </w:rPr>
        <w:t> (2), 50-63. </w:t>
      </w:r>
    </w:p>
    <w:p w:rsidR="006D3B17" w:rsidRPr="005F622F" w:rsidRDefault="006D3B17" w:rsidP="006D3B17">
      <w:pPr>
        <w:ind w:left="709" w:hanging="709"/>
        <w:jc w:val="both"/>
        <w:rPr>
          <w:sz w:val="22"/>
          <w:szCs w:val="22"/>
        </w:rPr>
      </w:pPr>
    </w:p>
    <w:p w:rsidR="006D3B17" w:rsidRPr="005F622F" w:rsidRDefault="00665829" w:rsidP="006D3B17">
      <w:pPr>
        <w:ind w:left="709" w:hanging="709"/>
        <w:jc w:val="both"/>
        <w:rPr>
          <w:sz w:val="22"/>
          <w:szCs w:val="22"/>
          <w:lang w:val="es-VE"/>
        </w:rPr>
      </w:pPr>
      <w:r>
        <w:rPr>
          <w:sz w:val="22"/>
          <w:szCs w:val="22"/>
          <w:lang w:val="es-VE"/>
        </w:rPr>
        <w:t>Broussard, K.</w:t>
      </w:r>
      <w:r w:rsidR="00D54D65">
        <w:rPr>
          <w:sz w:val="22"/>
          <w:szCs w:val="22"/>
          <w:lang w:val="es-VE"/>
        </w:rPr>
        <w:t xml:space="preserve"> &amp;</w:t>
      </w:r>
      <w:r w:rsidR="006D3B17" w:rsidRPr="005F622F">
        <w:rPr>
          <w:sz w:val="22"/>
          <w:szCs w:val="22"/>
          <w:lang w:val="es-VE"/>
        </w:rPr>
        <w:t xml:space="preserve"> </w:t>
      </w:r>
      <w:proofErr w:type="spellStart"/>
      <w:r w:rsidR="006D3B17" w:rsidRPr="005F622F">
        <w:rPr>
          <w:sz w:val="22"/>
          <w:szCs w:val="22"/>
          <w:lang w:val="es-VE"/>
        </w:rPr>
        <w:t>Harton</w:t>
      </w:r>
      <w:proofErr w:type="spellEnd"/>
      <w:r w:rsidR="006D3B17" w:rsidRPr="005F622F">
        <w:rPr>
          <w:sz w:val="22"/>
          <w:szCs w:val="22"/>
          <w:lang w:val="es-VE"/>
        </w:rPr>
        <w:t xml:space="preserve">, H. (2018). Tattoo or taboo? </w:t>
      </w:r>
      <w:r w:rsidR="006D3B17" w:rsidRPr="005F622F">
        <w:rPr>
          <w:sz w:val="22"/>
          <w:szCs w:val="22"/>
          <w:lang w:val="en-US"/>
        </w:rPr>
        <w:t xml:space="preserve">Tattoo stigma and negative attitudes toward tattooed individuals. </w:t>
      </w:r>
      <w:r w:rsidR="006D3B17" w:rsidRPr="005F622F">
        <w:rPr>
          <w:i/>
          <w:sz w:val="22"/>
          <w:szCs w:val="22"/>
          <w:lang w:val="es-VE"/>
        </w:rPr>
        <w:t>The Journal of Social Psychology, 158</w:t>
      </w:r>
      <w:r w:rsidR="006D3B17" w:rsidRPr="005F622F">
        <w:rPr>
          <w:sz w:val="22"/>
          <w:szCs w:val="22"/>
          <w:lang w:val="es-VE"/>
        </w:rPr>
        <w:t>(5), 521-540.</w:t>
      </w:r>
    </w:p>
    <w:p w:rsidR="006D3B17" w:rsidRPr="005F622F" w:rsidRDefault="006D3B17" w:rsidP="006D3B17">
      <w:pPr>
        <w:ind w:left="709" w:hanging="709"/>
        <w:jc w:val="both"/>
        <w:rPr>
          <w:sz w:val="22"/>
          <w:szCs w:val="22"/>
          <w:lang w:val="es-VE"/>
        </w:rPr>
      </w:pPr>
    </w:p>
    <w:p w:rsidR="006D3B17" w:rsidRPr="005F622F" w:rsidRDefault="006D3B17" w:rsidP="006D3B17">
      <w:pPr>
        <w:ind w:left="709" w:hanging="709"/>
        <w:jc w:val="both"/>
        <w:rPr>
          <w:sz w:val="22"/>
          <w:szCs w:val="22"/>
        </w:rPr>
      </w:pPr>
      <w:r w:rsidRPr="005F622F">
        <w:rPr>
          <w:sz w:val="22"/>
          <w:szCs w:val="22"/>
        </w:rPr>
        <w:t xml:space="preserve">Cruz, M. (2003). De lo que dicen las miradas. Comunicar: </w:t>
      </w:r>
      <w:r w:rsidRPr="005F622F">
        <w:rPr>
          <w:i/>
          <w:sz w:val="22"/>
          <w:szCs w:val="22"/>
        </w:rPr>
        <w:t>Revista Científica de Comunicación y Educación, 10</w:t>
      </w:r>
      <w:r w:rsidRPr="005F622F">
        <w:rPr>
          <w:sz w:val="22"/>
          <w:szCs w:val="22"/>
        </w:rPr>
        <w:t xml:space="preserve"> (20), 188-194.</w:t>
      </w:r>
    </w:p>
    <w:p w:rsidR="006D3B17" w:rsidRPr="005F622F" w:rsidRDefault="006D3B17" w:rsidP="006D3B17">
      <w:pPr>
        <w:ind w:left="709" w:hanging="709"/>
        <w:jc w:val="both"/>
        <w:rPr>
          <w:sz w:val="22"/>
          <w:szCs w:val="22"/>
        </w:rPr>
      </w:pPr>
    </w:p>
    <w:p w:rsidR="006D3B17" w:rsidRPr="005F622F" w:rsidRDefault="00D54D65" w:rsidP="006D3B17">
      <w:pPr>
        <w:ind w:left="709" w:hanging="709"/>
        <w:jc w:val="both"/>
        <w:rPr>
          <w:sz w:val="22"/>
          <w:szCs w:val="22"/>
        </w:rPr>
      </w:pPr>
      <w:r>
        <w:rPr>
          <w:sz w:val="22"/>
          <w:szCs w:val="22"/>
          <w:lang w:val="es-VE"/>
        </w:rPr>
        <w:t>Díaz, S., Guerrero, K. &amp;</w:t>
      </w:r>
      <w:r w:rsidR="006D3B17" w:rsidRPr="005F622F">
        <w:rPr>
          <w:sz w:val="22"/>
          <w:szCs w:val="22"/>
          <w:lang w:val="es-VE"/>
        </w:rPr>
        <w:t xml:space="preserve"> Mijares, N. (2018). </w:t>
      </w:r>
      <w:r w:rsidR="006D3B17" w:rsidRPr="005F622F">
        <w:rPr>
          <w:i/>
          <w:sz w:val="22"/>
          <w:szCs w:val="22"/>
        </w:rPr>
        <w:t>Influencia de las señales visuales sobre el prejuicio implícito hacia las personas tatuadas en un grupo de estudiantes universitarios</w:t>
      </w:r>
      <w:r w:rsidR="006D3B17" w:rsidRPr="005F622F">
        <w:rPr>
          <w:sz w:val="22"/>
          <w:szCs w:val="22"/>
        </w:rPr>
        <w:t>. Manuscrito no publicado, Escuela de Psicología, Universidad Central de Venezuela, Caracas.</w:t>
      </w:r>
    </w:p>
    <w:p w:rsidR="006D3B17" w:rsidRPr="005F622F" w:rsidRDefault="006D3B17" w:rsidP="006D3B17">
      <w:pPr>
        <w:ind w:left="709" w:hanging="709"/>
        <w:jc w:val="both"/>
        <w:rPr>
          <w:sz w:val="22"/>
          <w:szCs w:val="22"/>
        </w:rPr>
      </w:pPr>
    </w:p>
    <w:p w:rsidR="006D3B17" w:rsidRPr="005F622F" w:rsidRDefault="006D3B17" w:rsidP="006D3B17">
      <w:pPr>
        <w:pStyle w:val="Bibliografa"/>
        <w:ind w:left="720" w:hanging="709"/>
        <w:jc w:val="both"/>
        <w:rPr>
          <w:noProof/>
          <w:sz w:val="22"/>
          <w:szCs w:val="22"/>
          <w:lang w:val="es-VE"/>
        </w:rPr>
      </w:pPr>
      <w:r w:rsidRPr="005F622F">
        <w:rPr>
          <w:noProof/>
          <w:sz w:val="22"/>
          <w:szCs w:val="22"/>
        </w:rPr>
        <w:t xml:space="preserve">Diccionario de la Real Academia Española. (2018). </w:t>
      </w:r>
      <w:r w:rsidRPr="005F622F">
        <w:rPr>
          <w:i/>
          <w:noProof/>
          <w:sz w:val="22"/>
          <w:szCs w:val="22"/>
        </w:rPr>
        <w:t>Edad.</w:t>
      </w:r>
      <w:r w:rsidRPr="005F622F">
        <w:rPr>
          <w:noProof/>
          <w:sz w:val="22"/>
          <w:szCs w:val="22"/>
        </w:rPr>
        <w:t xml:space="preserve"> </w:t>
      </w:r>
      <w:r w:rsidRPr="005F622F">
        <w:rPr>
          <w:noProof/>
          <w:sz w:val="22"/>
          <w:szCs w:val="22"/>
          <w:lang w:val="es-VE"/>
        </w:rPr>
        <w:t>(23</w:t>
      </w:r>
      <w:r w:rsidRPr="005F622F">
        <w:rPr>
          <w:noProof/>
          <w:sz w:val="22"/>
          <w:szCs w:val="22"/>
          <w:vertAlign w:val="superscript"/>
          <w:lang w:val="es-VE"/>
        </w:rPr>
        <w:t>a</w:t>
      </w:r>
      <w:r w:rsidRPr="005F622F">
        <w:rPr>
          <w:noProof/>
          <w:sz w:val="22"/>
          <w:szCs w:val="22"/>
          <w:lang w:val="es-VE"/>
        </w:rPr>
        <w:t xml:space="preserve"> Ed.). Madrid: Diccionario de la Lengua Española.</w:t>
      </w:r>
    </w:p>
    <w:p w:rsidR="006D3B17" w:rsidRPr="005F622F" w:rsidRDefault="006D3B17" w:rsidP="006D3B17">
      <w:pPr>
        <w:ind w:left="709" w:hanging="709"/>
        <w:jc w:val="both"/>
        <w:rPr>
          <w:sz w:val="22"/>
          <w:szCs w:val="22"/>
          <w:lang w:val="es-VE"/>
        </w:rPr>
      </w:pPr>
    </w:p>
    <w:p w:rsidR="006D3B17" w:rsidRDefault="006D3B17" w:rsidP="006D3B17">
      <w:pPr>
        <w:ind w:left="709" w:hanging="709"/>
        <w:jc w:val="both"/>
        <w:rPr>
          <w:sz w:val="22"/>
          <w:szCs w:val="22"/>
          <w:lang w:val="es-VE"/>
        </w:rPr>
      </w:pPr>
      <w:r w:rsidRPr="005F622F">
        <w:rPr>
          <w:sz w:val="22"/>
          <w:szCs w:val="22"/>
          <w:lang w:val="es-VE"/>
        </w:rPr>
        <w:t xml:space="preserve">Diccionario de la Real Academia Española. (2018). </w:t>
      </w:r>
      <w:r w:rsidRPr="005F622F">
        <w:rPr>
          <w:i/>
          <w:sz w:val="22"/>
          <w:szCs w:val="22"/>
          <w:lang w:val="es-VE"/>
        </w:rPr>
        <w:t>Lentes</w:t>
      </w:r>
      <w:r w:rsidRPr="005F622F">
        <w:rPr>
          <w:sz w:val="22"/>
          <w:szCs w:val="22"/>
          <w:lang w:val="es-VE"/>
        </w:rPr>
        <w:t>. (23a Ed.). Madrid: Diccionario de la Lengua Española.</w:t>
      </w:r>
    </w:p>
    <w:p w:rsidR="002611FD" w:rsidRPr="005F622F" w:rsidRDefault="002611FD" w:rsidP="006D3B17">
      <w:pPr>
        <w:ind w:left="709" w:hanging="709"/>
        <w:jc w:val="both"/>
        <w:rPr>
          <w:sz w:val="22"/>
          <w:szCs w:val="22"/>
          <w:lang w:val="es-VE"/>
        </w:rPr>
      </w:pPr>
    </w:p>
    <w:p w:rsidR="006D3B17" w:rsidRPr="005F622F" w:rsidRDefault="006D3B17" w:rsidP="006D3B17">
      <w:pPr>
        <w:pStyle w:val="Bibliografa"/>
        <w:ind w:left="720" w:hanging="709"/>
        <w:jc w:val="both"/>
        <w:rPr>
          <w:noProof/>
          <w:sz w:val="22"/>
          <w:szCs w:val="22"/>
          <w:lang w:val="es-VE"/>
        </w:rPr>
      </w:pPr>
      <w:r w:rsidRPr="005F622F">
        <w:rPr>
          <w:noProof/>
          <w:sz w:val="22"/>
          <w:szCs w:val="22"/>
        </w:rPr>
        <w:lastRenderedPageBreak/>
        <w:t xml:space="preserve">Diccionario de la Real Academia Española. (2018). </w:t>
      </w:r>
      <w:r w:rsidRPr="005F622F">
        <w:rPr>
          <w:i/>
          <w:noProof/>
          <w:sz w:val="22"/>
          <w:szCs w:val="22"/>
        </w:rPr>
        <w:t>Sexo</w:t>
      </w:r>
      <w:r w:rsidRPr="005F622F">
        <w:rPr>
          <w:noProof/>
          <w:sz w:val="22"/>
          <w:szCs w:val="22"/>
        </w:rPr>
        <w:t xml:space="preserve">. </w:t>
      </w:r>
      <w:r w:rsidRPr="005F622F">
        <w:rPr>
          <w:noProof/>
          <w:sz w:val="22"/>
          <w:szCs w:val="22"/>
          <w:lang w:val="es-VE"/>
        </w:rPr>
        <w:t>(23</w:t>
      </w:r>
      <w:r w:rsidRPr="005F622F">
        <w:rPr>
          <w:noProof/>
          <w:sz w:val="22"/>
          <w:szCs w:val="22"/>
          <w:vertAlign w:val="superscript"/>
          <w:lang w:val="es-VE"/>
        </w:rPr>
        <w:t>a</w:t>
      </w:r>
      <w:r w:rsidRPr="005F622F">
        <w:rPr>
          <w:noProof/>
          <w:sz w:val="22"/>
          <w:szCs w:val="22"/>
          <w:lang w:val="es-VE"/>
        </w:rPr>
        <w:t xml:space="preserve"> Ed.). Madrid: Diccionario de la Lengua Española.</w:t>
      </w:r>
    </w:p>
    <w:p w:rsidR="006D3B17" w:rsidRPr="005F622F" w:rsidRDefault="006D3B17" w:rsidP="006D3B17">
      <w:pPr>
        <w:ind w:left="709" w:hanging="709"/>
        <w:jc w:val="both"/>
        <w:rPr>
          <w:sz w:val="22"/>
          <w:szCs w:val="22"/>
        </w:rPr>
      </w:pPr>
    </w:p>
    <w:p w:rsidR="006D3B17" w:rsidRPr="005F622F" w:rsidRDefault="006D3B17" w:rsidP="006D3B17">
      <w:pPr>
        <w:ind w:left="709" w:hanging="709"/>
        <w:jc w:val="both"/>
        <w:rPr>
          <w:sz w:val="22"/>
          <w:szCs w:val="22"/>
        </w:rPr>
      </w:pPr>
      <w:r w:rsidRPr="005F622F">
        <w:rPr>
          <w:sz w:val="22"/>
          <w:szCs w:val="22"/>
        </w:rPr>
        <w:t xml:space="preserve">Domínguez, L. (2009). La importancia de la comunicación no verbal en el desarrollo cultural de las sociedades. </w:t>
      </w:r>
      <w:r w:rsidRPr="005F622F">
        <w:rPr>
          <w:i/>
          <w:sz w:val="22"/>
          <w:szCs w:val="22"/>
        </w:rPr>
        <w:t>Razón y Palabra, 14</w:t>
      </w:r>
      <w:r w:rsidRPr="005F622F">
        <w:rPr>
          <w:sz w:val="22"/>
          <w:szCs w:val="22"/>
        </w:rPr>
        <w:t xml:space="preserve"> (70), 1-28.</w:t>
      </w:r>
    </w:p>
    <w:p w:rsidR="006D3B17" w:rsidRPr="005F622F" w:rsidRDefault="006D3B17" w:rsidP="006D3B17">
      <w:pPr>
        <w:ind w:left="709" w:hanging="709"/>
        <w:jc w:val="both"/>
        <w:rPr>
          <w:sz w:val="22"/>
          <w:szCs w:val="22"/>
        </w:rPr>
      </w:pPr>
    </w:p>
    <w:p w:rsidR="006D3B17" w:rsidRPr="005F622F" w:rsidRDefault="006D3B17" w:rsidP="006D3B17">
      <w:pPr>
        <w:ind w:left="709" w:hanging="709"/>
        <w:jc w:val="both"/>
        <w:rPr>
          <w:sz w:val="22"/>
          <w:szCs w:val="22"/>
        </w:rPr>
      </w:pPr>
      <w:r w:rsidRPr="005F622F">
        <w:rPr>
          <w:sz w:val="22"/>
          <w:szCs w:val="22"/>
        </w:rPr>
        <w:t xml:space="preserve">Federación de Psicólogos de Venezuela (1981). </w:t>
      </w:r>
      <w:r w:rsidRPr="005F622F">
        <w:rPr>
          <w:i/>
          <w:sz w:val="22"/>
          <w:szCs w:val="22"/>
        </w:rPr>
        <w:t>Código de ética profesional del psicólogo de Venezuela</w:t>
      </w:r>
      <w:r w:rsidRPr="005F622F">
        <w:rPr>
          <w:sz w:val="22"/>
          <w:szCs w:val="22"/>
        </w:rPr>
        <w:t xml:space="preserve">. Caracas: Servicio de Publicaciones, Escuela de Psicología-UCV. </w:t>
      </w:r>
    </w:p>
    <w:p w:rsidR="006D3B17" w:rsidRPr="005F622F" w:rsidRDefault="006D3B17" w:rsidP="006D3B17">
      <w:pPr>
        <w:ind w:left="709" w:hanging="709"/>
        <w:jc w:val="both"/>
        <w:rPr>
          <w:sz w:val="22"/>
          <w:szCs w:val="22"/>
          <w:lang w:val="es-VE"/>
        </w:rPr>
      </w:pPr>
    </w:p>
    <w:p w:rsidR="006D3B17" w:rsidRPr="005F622F" w:rsidRDefault="00665829" w:rsidP="006D3B17">
      <w:pPr>
        <w:ind w:left="709" w:hanging="709"/>
        <w:jc w:val="both"/>
        <w:rPr>
          <w:sz w:val="22"/>
          <w:szCs w:val="22"/>
          <w:lang w:val="en-US"/>
        </w:rPr>
      </w:pPr>
      <w:bookmarkStart w:id="1" w:name="_GoBack"/>
      <w:bookmarkEnd w:id="1"/>
      <w:r>
        <w:rPr>
          <w:sz w:val="22"/>
          <w:szCs w:val="22"/>
          <w:lang w:val="es-VE"/>
        </w:rPr>
        <w:t>Funk, F.</w:t>
      </w:r>
      <w:r w:rsidR="00D54D65">
        <w:rPr>
          <w:sz w:val="22"/>
          <w:szCs w:val="22"/>
          <w:lang w:val="es-VE"/>
        </w:rPr>
        <w:t xml:space="preserve"> &amp;</w:t>
      </w:r>
      <w:r w:rsidR="006D3B17" w:rsidRPr="005F622F">
        <w:rPr>
          <w:sz w:val="22"/>
          <w:szCs w:val="22"/>
          <w:lang w:val="es-VE"/>
        </w:rPr>
        <w:t xml:space="preserve"> </w:t>
      </w:r>
      <w:proofErr w:type="spellStart"/>
      <w:r w:rsidR="006D3B17" w:rsidRPr="005F622F">
        <w:rPr>
          <w:sz w:val="22"/>
          <w:szCs w:val="22"/>
          <w:lang w:val="es-VE"/>
        </w:rPr>
        <w:t>Todorov</w:t>
      </w:r>
      <w:proofErr w:type="spellEnd"/>
      <w:r w:rsidR="006D3B17" w:rsidRPr="005F622F">
        <w:rPr>
          <w:sz w:val="22"/>
          <w:szCs w:val="22"/>
          <w:lang w:val="es-VE"/>
        </w:rPr>
        <w:t xml:space="preserve">, A. (2013). </w:t>
      </w:r>
      <w:r w:rsidR="006D3B17" w:rsidRPr="005F622F">
        <w:rPr>
          <w:sz w:val="22"/>
          <w:szCs w:val="22"/>
          <w:lang w:val="en-US"/>
        </w:rPr>
        <w:t xml:space="preserve">Criminal Stereotypes in the Courtroom: Facial Tattoos Affect Guilt and Punishment Differently. </w:t>
      </w:r>
      <w:r w:rsidR="006D3B17" w:rsidRPr="005F622F">
        <w:rPr>
          <w:i/>
          <w:sz w:val="22"/>
          <w:szCs w:val="22"/>
          <w:lang w:val="en-US"/>
        </w:rPr>
        <w:t>Psychology, Public Policy, and Law, 19</w:t>
      </w:r>
      <w:r>
        <w:rPr>
          <w:i/>
          <w:sz w:val="22"/>
          <w:szCs w:val="22"/>
          <w:lang w:val="en-US"/>
        </w:rPr>
        <w:t xml:space="preserve"> </w:t>
      </w:r>
      <w:r w:rsidR="006D3B17" w:rsidRPr="005F622F">
        <w:rPr>
          <w:sz w:val="22"/>
          <w:szCs w:val="22"/>
          <w:lang w:val="en-US"/>
        </w:rPr>
        <w:t>(4), 466-478.</w:t>
      </w:r>
    </w:p>
    <w:p w:rsidR="006D3B17" w:rsidRPr="005F622F" w:rsidRDefault="006D3B17" w:rsidP="006D3B17">
      <w:pPr>
        <w:ind w:left="709" w:hanging="709"/>
        <w:jc w:val="both"/>
        <w:rPr>
          <w:sz w:val="22"/>
          <w:szCs w:val="22"/>
          <w:lang w:val="en-US"/>
        </w:rPr>
      </w:pPr>
    </w:p>
    <w:p w:rsidR="006D3B17" w:rsidRPr="005F622F" w:rsidRDefault="00D54D65" w:rsidP="006D3B17">
      <w:pPr>
        <w:ind w:left="709" w:hanging="709"/>
        <w:jc w:val="both"/>
        <w:rPr>
          <w:sz w:val="22"/>
          <w:szCs w:val="22"/>
          <w:lang w:val="en-US"/>
        </w:rPr>
      </w:pPr>
      <w:proofErr w:type="gramStart"/>
      <w:r>
        <w:rPr>
          <w:sz w:val="22"/>
          <w:szCs w:val="22"/>
          <w:lang w:val="en-US"/>
        </w:rPr>
        <w:t>Greenwald, A., McGhee, D. &amp;</w:t>
      </w:r>
      <w:r w:rsidR="006D3B17" w:rsidRPr="005F622F">
        <w:rPr>
          <w:sz w:val="22"/>
          <w:szCs w:val="22"/>
          <w:lang w:val="en-US"/>
        </w:rPr>
        <w:t xml:space="preserve"> Schwartz, J. (1998).</w:t>
      </w:r>
      <w:proofErr w:type="gramEnd"/>
      <w:r w:rsidR="006D3B17" w:rsidRPr="005F622F">
        <w:rPr>
          <w:sz w:val="22"/>
          <w:szCs w:val="22"/>
          <w:lang w:val="en-US"/>
        </w:rPr>
        <w:t xml:space="preserve"> Measuring individual differences in implicit cognition: the implicit association test. </w:t>
      </w:r>
      <w:r w:rsidR="006D3B17" w:rsidRPr="005F622F">
        <w:rPr>
          <w:i/>
          <w:sz w:val="22"/>
          <w:szCs w:val="22"/>
          <w:lang w:val="en-US"/>
        </w:rPr>
        <w:t>Journal of Personality and Social Psychology, 74</w:t>
      </w:r>
      <w:r w:rsidR="00665829">
        <w:rPr>
          <w:i/>
          <w:sz w:val="22"/>
          <w:szCs w:val="22"/>
          <w:lang w:val="en-US"/>
        </w:rPr>
        <w:t xml:space="preserve"> </w:t>
      </w:r>
      <w:r w:rsidR="006D3B17" w:rsidRPr="005F622F">
        <w:rPr>
          <w:sz w:val="22"/>
          <w:szCs w:val="22"/>
          <w:lang w:val="en-US"/>
        </w:rPr>
        <w:t>(6), 1464-1480</w:t>
      </w:r>
      <w:r w:rsidR="00665829">
        <w:rPr>
          <w:sz w:val="22"/>
          <w:szCs w:val="22"/>
          <w:lang w:val="en-US"/>
        </w:rPr>
        <w:t>.</w:t>
      </w:r>
    </w:p>
    <w:p w:rsidR="006D3B17" w:rsidRPr="005F622F" w:rsidRDefault="006D3B17" w:rsidP="006D3B17">
      <w:pPr>
        <w:ind w:left="709" w:hanging="709"/>
        <w:jc w:val="both"/>
        <w:rPr>
          <w:sz w:val="22"/>
          <w:szCs w:val="22"/>
          <w:shd w:val="clear" w:color="auto" w:fill="FFFFFF"/>
          <w:lang w:val="en-US"/>
        </w:rPr>
      </w:pPr>
    </w:p>
    <w:p w:rsidR="006D3B17" w:rsidRPr="005F622F" w:rsidRDefault="006D3B17" w:rsidP="006D3B17">
      <w:pPr>
        <w:ind w:left="709" w:hanging="709"/>
        <w:jc w:val="both"/>
        <w:rPr>
          <w:sz w:val="22"/>
          <w:szCs w:val="22"/>
          <w:shd w:val="clear" w:color="auto" w:fill="FFFFFF"/>
          <w:lang w:val="en-US"/>
        </w:rPr>
      </w:pPr>
      <w:r w:rsidRPr="005F622F">
        <w:rPr>
          <w:sz w:val="22"/>
          <w:szCs w:val="22"/>
          <w:shd w:val="clear" w:color="auto" w:fill="FFFFFF"/>
          <w:lang w:val="en-US"/>
        </w:rPr>
        <w:t>Guéguen, N. (2015). Effect of wearing eyeglasses on judgment of socioprofessional group membership. </w:t>
      </w:r>
      <w:r w:rsidRPr="005F622F">
        <w:rPr>
          <w:i/>
          <w:iCs/>
          <w:sz w:val="22"/>
          <w:szCs w:val="22"/>
          <w:shd w:val="clear" w:color="auto" w:fill="FFFFFF"/>
          <w:lang w:val="en-US"/>
        </w:rPr>
        <w:t>Social Behavior and Personality: An international journal</w:t>
      </w:r>
      <w:r w:rsidRPr="005F622F">
        <w:rPr>
          <w:sz w:val="22"/>
          <w:szCs w:val="22"/>
          <w:shd w:val="clear" w:color="auto" w:fill="FFFFFF"/>
          <w:lang w:val="en-US"/>
        </w:rPr>
        <w:t>, </w:t>
      </w:r>
      <w:r w:rsidRPr="005F622F">
        <w:rPr>
          <w:i/>
          <w:iCs/>
          <w:sz w:val="22"/>
          <w:szCs w:val="22"/>
          <w:shd w:val="clear" w:color="auto" w:fill="FFFFFF"/>
          <w:lang w:val="en-US"/>
        </w:rPr>
        <w:t>43</w:t>
      </w:r>
      <w:r w:rsidRPr="005F622F">
        <w:rPr>
          <w:sz w:val="22"/>
          <w:szCs w:val="22"/>
          <w:shd w:val="clear" w:color="auto" w:fill="FFFFFF"/>
          <w:lang w:val="en-US"/>
        </w:rPr>
        <w:t>, 661-666. </w:t>
      </w:r>
    </w:p>
    <w:p w:rsidR="009B60DE" w:rsidRPr="005F622F" w:rsidRDefault="009B60DE" w:rsidP="006D3B17">
      <w:pPr>
        <w:ind w:left="709" w:hanging="709"/>
        <w:jc w:val="both"/>
        <w:rPr>
          <w:sz w:val="22"/>
          <w:szCs w:val="22"/>
          <w:shd w:val="clear" w:color="auto" w:fill="FFFFFF"/>
          <w:lang w:val="en-US"/>
        </w:rPr>
      </w:pPr>
    </w:p>
    <w:p w:rsidR="006D3B17" w:rsidRPr="005F622F" w:rsidRDefault="00D54D65" w:rsidP="006D3B17">
      <w:pPr>
        <w:ind w:left="709" w:hanging="709"/>
        <w:jc w:val="both"/>
        <w:rPr>
          <w:sz w:val="22"/>
          <w:szCs w:val="22"/>
          <w:lang w:val="es-VE"/>
        </w:rPr>
      </w:pPr>
      <w:proofErr w:type="gramStart"/>
      <w:r>
        <w:rPr>
          <w:sz w:val="22"/>
          <w:szCs w:val="22"/>
          <w:lang w:val="en-US"/>
        </w:rPr>
        <w:t>Guerrero, A. &amp;</w:t>
      </w:r>
      <w:r w:rsidR="006D3B17" w:rsidRPr="005F622F">
        <w:rPr>
          <w:sz w:val="22"/>
          <w:szCs w:val="22"/>
          <w:lang w:val="en-US"/>
        </w:rPr>
        <w:t xml:space="preserve"> </w:t>
      </w:r>
      <w:proofErr w:type="spellStart"/>
      <w:r w:rsidR="006D3B17" w:rsidRPr="005F622F">
        <w:rPr>
          <w:sz w:val="22"/>
          <w:szCs w:val="22"/>
          <w:lang w:val="en-US"/>
        </w:rPr>
        <w:t>Zambrano</w:t>
      </w:r>
      <w:proofErr w:type="spellEnd"/>
      <w:r w:rsidR="006D3B17" w:rsidRPr="005F622F">
        <w:rPr>
          <w:sz w:val="22"/>
          <w:szCs w:val="22"/>
          <w:lang w:val="en-US"/>
        </w:rPr>
        <w:t>, C. (2013).</w:t>
      </w:r>
      <w:proofErr w:type="gramEnd"/>
      <w:r w:rsidR="006D3B17" w:rsidRPr="005F622F">
        <w:rPr>
          <w:sz w:val="22"/>
          <w:szCs w:val="22"/>
          <w:lang w:val="en-US"/>
        </w:rPr>
        <w:t xml:space="preserve"> </w:t>
      </w:r>
      <w:r w:rsidR="006D3B17" w:rsidRPr="005F622F">
        <w:rPr>
          <w:sz w:val="22"/>
          <w:szCs w:val="22"/>
        </w:rPr>
        <w:t xml:space="preserve">Prejuicios y estereotipos en estudiantes de la Universidad de Nariño. </w:t>
      </w:r>
      <w:r w:rsidR="006D3B17" w:rsidRPr="005F622F">
        <w:rPr>
          <w:i/>
          <w:sz w:val="22"/>
          <w:szCs w:val="22"/>
          <w:lang w:val="es-VE"/>
        </w:rPr>
        <w:t>Plumilla Educativa</w:t>
      </w:r>
      <w:r w:rsidR="006D3B17" w:rsidRPr="005F622F">
        <w:rPr>
          <w:sz w:val="22"/>
          <w:szCs w:val="22"/>
          <w:lang w:val="es-VE"/>
        </w:rPr>
        <w:t xml:space="preserve">, </w:t>
      </w:r>
      <w:r w:rsidR="006D3B17" w:rsidRPr="005F622F">
        <w:rPr>
          <w:i/>
          <w:sz w:val="22"/>
          <w:szCs w:val="22"/>
          <w:lang w:val="es-VE"/>
        </w:rPr>
        <w:t xml:space="preserve">12 </w:t>
      </w:r>
      <w:r w:rsidR="006D3B17" w:rsidRPr="005F622F">
        <w:rPr>
          <w:sz w:val="22"/>
          <w:szCs w:val="22"/>
          <w:lang w:val="es-VE"/>
        </w:rPr>
        <w:t>(2), 71-92.</w:t>
      </w:r>
    </w:p>
    <w:p w:rsidR="006D3B17" w:rsidRPr="005F622F" w:rsidRDefault="006D3B17" w:rsidP="006D3B17">
      <w:pPr>
        <w:pStyle w:val="Bibliografa"/>
        <w:ind w:left="720" w:hanging="709"/>
        <w:jc w:val="both"/>
        <w:rPr>
          <w:noProof/>
          <w:sz w:val="22"/>
          <w:szCs w:val="22"/>
          <w:lang w:val="es-VE"/>
        </w:rPr>
      </w:pPr>
    </w:p>
    <w:p w:rsidR="006D3B17" w:rsidRPr="005F622F" w:rsidRDefault="00665829" w:rsidP="006D3B17">
      <w:pPr>
        <w:pStyle w:val="Bibliografa"/>
        <w:ind w:left="720" w:hanging="709"/>
        <w:jc w:val="both"/>
        <w:rPr>
          <w:noProof/>
          <w:sz w:val="22"/>
          <w:szCs w:val="22"/>
          <w:lang w:val="en-US"/>
        </w:rPr>
      </w:pPr>
      <w:r>
        <w:rPr>
          <w:noProof/>
          <w:sz w:val="22"/>
          <w:szCs w:val="22"/>
          <w:lang w:val="es-VE"/>
        </w:rPr>
        <w:t>Hernández, R., Fernández, C.</w:t>
      </w:r>
      <w:r w:rsidR="00D54D65">
        <w:rPr>
          <w:noProof/>
          <w:sz w:val="22"/>
          <w:szCs w:val="22"/>
          <w:lang w:val="es-VE"/>
        </w:rPr>
        <w:t xml:space="preserve"> &amp;</w:t>
      </w:r>
      <w:r w:rsidR="006D3B17" w:rsidRPr="005F622F">
        <w:rPr>
          <w:noProof/>
          <w:sz w:val="22"/>
          <w:szCs w:val="22"/>
          <w:lang w:val="es-VE"/>
        </w:rPr>
        <w:t xml:space="preserve"> Baptista, P. (2003). </w:t>
      </w:r>
      <w:r w:rsidR="006D3B17" w:rsidRPr="005F622F">
        <w:rPr>
          <w:i/>
          <w:iCs/>
          <w:noProof/>
          <w:sz w:val="22"/>
          <w:szCs w:val="22"/>
        </w:rPr>
        <w:t>Metodología de la investigación.</w:t>
      </w:r>
      <w:r w:rsidR="006D3B17" w:rsidRPr="005F622F">
        <w:rPr>
          <w:noProof/>
          <w:sz w:val="22"/>
          <w:szCs w:val="22"/>
        </w:rPr>
        <w:t xml:space="preserve"> </w:t>
      </w:r>
      <w:r w:rsidR="006D3B17" w:rsidRPr="005F622F">
        <w:rPr>
          <w:noProof/>
          <w:sz w:val="22"/>
          <w:szCs w:val="22"/>
          <w:lang w:val="en-US"/>
        </w:rPr>
        <w:t>México, DF: mcgraw Hill.</w:t>
      </w:r>
    </w:p>
    <w:p w:rsidR="006D3B17" w:rsidRPr="005F622F" w:rsidRDefault="006D3B17" w:rsidP="006D3B17">
      <w:pPr>
        <w:ind w:left="709" w:hanging="709"/>
        <w:jc w:val="both"/>
        <w:rPr>
          <w:sz w:val="22"/>
          <w:szCs w:val="22"/>
          <w:lang w:val="en-US"/>
        </w:rPr>
      </w:pPr>
    </w:p>
    <w:p w:rsidR="006D3B17" w:rsidRPr="005F622F" w:rsidRDefault="006D3B17" w:rsidP="006D3B17">
      <w:pPr>
        <w:ind w:left="709" w:hanging="709"/>
        <w:jc w:val="both"/>
        <w:rPr>
          <w:sz w:val="22"/>
          <w:szCs w:val="22"/>
        </w:rPr>
      </w:pPr>
      <w:r w:rsidRPr="005F622F">
        <w:rPr>
          <w:sz w:val="22"/>
          <w:szCs w:val="22"/>
          <w:lang w:val="en-US"/>
        </w:rPr>
        <w:t xml:space="preserve">Hill, B. (2016). </w:t>
      </w:r>
      <w:r w:rsidRPr="005F622F">
        <w:rPr>
          <w:i/>
          <w:sz w:val="22"/>
          <w:szCs w:val="22"/>
          <w:lang w:val="en-US"/>
        </w:rPr>
        <w:t>Body modifications: perceptions of tattoos and the examination of gender, tattoo location, and tattoo size</w:t>
      </w:r>
      <w:r w:rsidRPr="005F622F">
        <w:rPr>
          <w:sz w:val="22"/>
          <w:szCs w:val="22"/>
          <w:lang w:val="en-US"/>
        </w:rPr>
        <w:t xml:space="preserve">. </w:t>
      </w:r>
      <w:r w:rsidRPr="005F622F">
        <w:rPr>
          <w:sz w:val="22"/>
          <w:szCs w:val="22"/>
        </w:rPr>
        <w:t>Tesis de Grado Magistral, Universidad Estatal de Texas, EEUU.</w:t>
      </w:r>
    </w:p>
    <w:p w:rsidR="006D3B17" w:rsidRPr="005F622F" w:rsidRDefault="006D3B17" w:rsidP="006D3B17">
      <w:pPr>
        <w:ind w:left="709" w:hanging="709"/>
        <w:jc w:val="both"/>
        <w:rPr>
          <w:rFonts w:eastAsia="Calibri"/>
          <w:sz w:val="22"/>
          <w:szCs w:val="22"/>
        </w:rPr>
      </w:pPr>
    </w:p>
    <w:p w:rsidR="006D3B17" w:rsidRPr="005F622F" w:rsidRDefault="006D3B17" w:rsidP="006D3B17">
      <w:pPr>
        <w:ind w:left="709" w:hanging="709"/>
        <w:jc w:val="both"/>
        <w:rPr>
          <w:rFonts w:eastAsia="Calibri"/>
          <w:sz w:val="22"/>
          <w:szCs w:val="22"/>
        </w:rPr>
      </w:pPr>
      <w:r w:rsidRPr="005F622F">
        <w:rPr>
          <w:rFonts w:eastAsia="Calibri"/>
          <w:sz w:val="22"/>
          <w:szCs w:val="22"/>
        </w:rPr>
        <w:t xml:space="preserve">Instituto Nacional contra la Discriminación, la Xenofobia y el Racismo (INADI). (2018). </w:t>
      </w:r>
      <w:r w:rsidRPr="005F622F">
        <w:rPr>
          <w:rFonts w:eastAsia="Calibri"/>
          <w:i/>
          <w:iCs/>
          <w:sz w:val="22"/>
          <w:szCs w:val="22"/>
        </w:rPr>
        <w:t>Discriminación hacia las mujeres basada en el género</w:t>
      </w:r>
      <w:r w:rsidRPr="005F622F">
        <w:rPr>
          <w:rFonts w:eastAsia="Calibri"/>
          <w:sz w:val="22"/>
          <w:szCs w:val="22"/>
        </w:rPr>
        <w:t>. (2da Edición). Buenos Aires: Editorial del Ministerio de Justicia y Derechos Humanos.</w:t>
      </w:r>
    </w:p>
    <w:p w:rsidR="006D3B17" w:rsidRPr="005F622F" w:rsidRDefault="006D3B17" w:rsidP="006D3B17">
      <w:pPr>
        <w:ind w:left="709" w:hanging="709"/>
        <w:jc w:val="both"/>
        <w:rPr>
          <w:sz w:val="22"/>
          <w:szCs w:val="22"/>
          <w:lang w:val="es-VE"/>
        </w:rPr>
      </w:pPr>
    </w:p>
    <w:p w:rsidR="006D3B17" w:rsidRPr="005F622F" w:rsidRDefault="006D3B17" w:rsidP="006D3B17">
      <w:pPr>
        <w:ind w:left="709" w:hanging="709"/>
        <w:jc w:val="both"/>
        <w:rPr>
          <w:sz w:val="22"/>
          <w:szCs w:val="22"/>
          <w:lang w:val="en-US"/>
        </w:rPr>
      </w:pPr>
      <w:r w:rsidRPr="005F622F">
        <w:rPr>
          <w:sz w:val="22"/>
          <w:szCs w:val="22"/>
          <w:lang w:val="en-US"/>
        </w:rPr>
        <w:t xml:space="preserve">Joyce, N. (2017). </w:t>
      </w:r>
      <w:r w:rsidRPr="005F622F">
        <w:rPr>
          <w:i/>
          <w:sz w:val="22"/>
          <w:szCs w:val="22"/>
          <w:lang w:val="en-US"/>
        </w:rPr>
        <w:t>Mediated Contact</w:t>
      </w:r>
      <w:r w:rsidRPr="005F622F">
        <w:rPr>
          <w:sz w:val="22"/>
          <w:szCs w:val="22"/>
          <w:lang w:val="en-US"/>
        </w:rPr>
        <w:t>. United States: Oxford Research Encyclopedia of Communication.</w:t>
      </w:r>
    </w:p>
    <w:p w:rsidR="006D3B17" w:rsidRPr="005F622F" w:rsidRDefault="006D3B17" w:rsidP="006D3B17">
      <w:pPr>
        <w:ind w:left="709" w:hanging="709"/>
        <w:jc w:val="both"/>
        <w:rPr>
          <w:sz w:val="22"/>
          <w:szCs w:val="22"/>
          <w:lang w:val="en-US"/>
        </w:rPr>
      </w:pPr>
    </w:p>
    <w:p w:rsidR="006D3B17" w:rsidRPr="000C0437" w:rsidRDefault="00D54D65" w:rsidP="006D3B17">
      <w:pPr>
        <w:ind w:left="709" w:hanging="709"/>
        <w:jc w:val="both"/>
        <w:rPr>
          <w:sz w:val="22"/>
          <w:szCs w:val="22"/>
          <w:lang w:val="en-US"/>
        </w:rPr>
      </w:pPr>
      <w:r>
        <w:rPr>
          <w:sz w:val="22"/>
          <w:szCs w:val="22"/>
        </w:rPr>
        <w:t>Kerlinger, F. &amp;</w:t>
      </w:r>
      <w:r w:rsidR="006D3B17" w:rsidRPr="005F622F">
        <w:rPr>
          <w:sz w:val="22"/>
          <w:szCs w:val="22"/>
        </w:rPr>
        <w:t xml:space="preserve"> Lee, H. (2002). </w:t>
      </w:r>
      <w:r w:rsidR="006D3B17" w:rsidRPr="005F622F">
        <w:rPr>
          <w:i/>
          <w:sz w:val="22"/>
          <w:szCs w:val="22"/>
        </w:rPr>
        <w:t>Investigación del comportamiento</w:t>
      </w:r>
      <w:r w:rsidR="006D3B17" w:rsidRPr="005F622F">
        <w:rPr>
          <w:sz w:val="22"/>
          <w:szCs w:val="22"/>
        </w:rPr>
        <w:t xml:space="preserve">. </w:t>
      </w:r>
      <w:r w:rsidR="006D3B17" w:rsidRPr="000C0437">
        <w:rPr>
          <w:sz w:val="22"/>
          <w:szCs w:val="22"/>
          <w:lang w:val="en-US"/>
        </w:rPr>
        <w:t>México, DF: McGraw Hill</w:t>
      </w:r>
      <w:r w:rsidR="00665829">
        <w:rPr>
          <w:sz w:val="22"/>
          <w:szCs w:val="22"/>
          <w:lang w:val="en-US"/>
        </w:rPr>
        <w:t>.</w:t>
      </w:r>
    </w:p>
    <w:p w:rsidR="006D3B17" w:rsidRPr="005F622F" w:rsidRDefault="006D3B17" w:rsidP="006D3B17">
      <w:pPr>
        <w:ind w:left="709" w:hanging="709"/>
        <w:jc w:val="both"/>
        <w:rPr>
          <w:sz w:val="22"/>
          <w:szCs w:val="22"/>
          <w:lang w:val="en-US"/>
        </w:rPr>
      </w:pPr>
    </w:p>
    <w:p w:rsidR="006D3B17" w:rsidRPr="005F622F" w:rsidRDefault="006D3B17" w:rsidP="006D3B17">
      <w:pPr>
        <w:ind w:left="709" w:hanging="709"/>
        <w:jc w:val="both"/>
        <w:rPr>
          <w:sz w:val="22"/>
          <w:szCs w:val="22"/>
          <w:lang w:val="en-US"/>
        </w:rPr>
      </w:pPr>
      <w:r w:rsidRPr="005F622F">
        <w:rPr>
          <w:sz w:val="22"/>
          <w:szCs w:val="22"/>
          <w:lang w:val="en-US"/>
        </w:rPr>
        <w:t xml:space="preserve">Méndez, M. (2015). Attitudes Toward Tattoos in the Workplace. </w:t>
      </w:r>
      <w:r w:rsidRPr="005F622F">
        <w:rPr>
          <w:i/>
          <w:sz w:val="22"/>
          <w:szCs w:val="22"/>
          <w:lang w:val="en-US"/>
        </w:rPr>
        <w:t>Angelo State University Social Sciences Research Journal, 2</w:t>
      </w:r>
      <w:r w:rsidR="00665829">
        <w:rPr>
          <w:i/>
          <w:sz w:val="22"/>
          <w:szCs w:val="22"/>
          <w:lang w:val="en-US"/>
        </w:rPr>
        <w:t xml:space="preserve"> </w:t>
      </w:r>
      <w:r w:rsidRPr="005F622F">
        <w:rPr>
          <w:sz w:val="22"/>
          <w:szCs w:val="22"/>
          <w:lang w:val="en-US"/>
        </w:rPr>
        <w:t>(2), 1-28.</w:t>
      </w:r>
    </w:p>
    <w:p w:rsidR="006D3B17" w:rsidRPr="005F622F" w:rsidRDefault="006D3B17" w:rsidP="006D3B17">
      <w:pPr>
        <w:ind w:left="709" w:hanging="709"/>
        <w:jc w:val="both"/>
        <w:rPr>
          <w:sz w:val="22"/>
          <w:szCs w:val="22"/>
          <w:lang w:val="en-US"/>
        </w:rPr>
      </w:pPr>
    </w:p>
    <w:p w:rsidR="006D3B17" w:rsidRPr="005F622F" w:rsidRDefault="00D54D65" w:rsidP="006D3B17">
      <w:pPr>
        <w:ind w:left="709" w:hanging="709"/>
        <w:jc w:val="both"/>
        <w:rPr>
          <w:sz w:val="22"/>
          <w:szCs w:val="22"/>
          <w:lang w:val="en-US"/>
        </w:rPr>
      </w:pPr>
      <w:r>
        <w:rPr>
          <w:sz w:val="22"/>
          <w:szCs w:val="22"/>
          <w:lang w:val="en-US"/>
        </w:rPr>
        <w:t>Miller, B., McGlashan, K. &amp;</w:t>
      </w:r>
      <w:r w:rsidR="006D3B17" w:rsidRPr="005F622F">
        <w:rPr>
          <w:sz w:val="22"/>
          <w:szCs w:val="22"/>
          <w:lang w:val="en-US"/>
        </w:rPr>
        <w:t xml:space="preserve"> </w:t>
      </w:r>
      <w:proofErr w:type="spellStart"/>
      <w:r w:rsidR="006D3B17" w:rsidRPr="005F622F">
        <w:rPr>
          <w:sz w:val="22"/>
          <w:szCs w:val="22"/>
          <w:lang w:val="en-US"/>
        </w:rPr>
        <w:t>Eure</w:t>
      </w:r>
      <w:proofErr w:type="spellEnd"/>
      <w:r w:rsidR="006D3B17" w:rsidRPr="005F622F">
        <w:rPr>
          <w:sz w:val="22"/>
          <w:szCs w:val="22"/>
          <w:lang w:val="en-US"/>
        </w:rPr>
        <w:t>, J. (200</w:t>
      </w:r>
      <w:r w:rsidR="00674417" w:rsidRPr="005F622F">
        <w:rPr>
          <w:sz w:val="22"/>
          <w:szCs w:val="22"/>
          <w:lang w:val="en-US"/>
        </w:rPr>
        <w:t>8</w:t>
      </w:r>
      <w:r w:rsidR="006D3B17" w:rsidRPr="005F622F">
        <w:rPr>
          <w:sz w:val="22"/>
          <w:szCs w:val="22"/>
          <w:lang w:val="en-US"/>
        </w:rPr>
        <w:t>) Body art in the workplace: piercing the prejudice</w:t>
      </w:r>
      <w:proofErr w:type="gramStart"/>
      <w:r w:rsidR="006D3B17" w:rsidRPr="005F622F">
        <w:rPr>
          <w:sz w:val="22"/>
          <w:szCs w:val="22"/>
          <w:lang w:val="en-US"/>
        </w:rPr>
        <w:t>?,</w:t>
      </w:r>
      <w:proofErr w:type="gramEnd"/>
      <w:r w:rsidR="006D3B17" w:rsidRPr="005F622F">
        <w:rPr>
          <w:sz w:val="22"/>
          <w:szCs w:val="22"/>
          <w:lang w:val="en-US"/>
        </w:rPr>
        <w:t xml:space="preserve"> </w:t>
      </w:r>
      <w:r w:rsidR="006D3B17" w:rsidRPr="005F622F">
        <w:rPr>
          <w:i/>
          <w:sz w:val="22"/>
          <w:szCs w:val="22"/>
          <w:lang w:val="en-US"/>
        </w:rPr>
        <w:t xml:space="preserve">Personnel Review, 38 </w:t>
      </w:r>
      <w:r w:rsidR="006D3B17" w:rsidRPr="005F622F">
        <w:rPr>
          <w:sz w:val="22"/>
          <w:szCs w:val="22"/>
          <w:lang w:val="en-US"/>
        </w:rPr>
        <w:t>(6), 621-640.</w:t>
      </w:r>
    </w:p>
    <w:p w:rsidR="006D3B17" w:rsidRPr="005F622F" w:rsidRDefault="006D3B17" w:rsidP="006D3B17">
      <w:pPr>
        <w:ind w:left="709" w:hanging="709"/>
        <w:jc w:val="both"/>
        <w:rPr>
          <w:sz w:val="22"/>
          <w:szCs w:val="22"/>
          <w:lang w:val="en-US"/>
        </w:rPr>
      </w:pPr>
    </w:p>
    <w:p w:rsidR="006D3B17" w:rsidRPr="005F622F" w:rsidRDefault="00D54D65" w:rsidP="006D3B17">
      <w:pPr>
        <w:ind w:left="709" w:hanging="709"/>
        <w:jc w:val="both"/>
        <w:rPr>
          <w:sz w:val="22"/>
          <w:szCs w:val="22"/>
          <w:lang w:val="es-VE"/>
        </w:rPr>
      </w:pPr>
      <w:r>
        <w:rPr>
          <w:sz w:val="22"/>
          <w:szCs w:val="22"/>
          <w:lang w:val="es-VE"/>
        </w:rPr>
        <w:t>Montes, B. &amp;</w:t>
      </w:r>
      <w:r w:rsidR="006D3B17" w:rsidRPr="005F622F">
        <w:rPr>
          <w:sz w:val="22"/>
          <w:szCs w:val="22"/>
          <w:lang w:val="es-VE"/>
        </w:rPr>
        <w:t xml:space="preserve"> Moya, M. (2006). </w:t>
      </w:r>
      <w:r w:rsidR="006D3B17" w:rsidRPr="005F622F">
        <w:rPr>
          <w:i/>
          <w:sz w:val="22"/>
          <w:szCs w:val="22"/>
          <w:lang w:val="es-VE"/>
        </w:rPr>
        <w:t>Medidas implícitas y explicitas de discriminación y prejuicio.</w:t>
      </w:r>
      <w:r w:rsidR="006D3B17" w:rsidRPr="005F622F">
        <w:rPr>
          <w:sz w:val="22"/>
          <w:szCs w:val="22"/>
          <w:lang w:val="es-VE"/>
        </w:rPr>
        <w:t xml:space="preserve"> Jaen, España: Universidad de Jaen</w:t>
      </w:r>
      <w:r w:rsidR="00376698" w:rsidRPr="005F622F">
        <w:rPr>
          <w:sz w:val="22"/>
          <w:szCs w:val="22"/>
          <w:lang w:val="es-VE"/>
        </w:rPr>
        <w:t xml:space="preserve"> Servicio de Publicaciones e Intercambio</w:t>
      </w:r>
      <w:r w:rsidR="006D3B17" w:rsidRPr="005F622F">
        <w:rPr>
          <w:sz w:val="22"/>
          <w:szCs w:val="22"/>
          <w:lang w:val="es-VE"/>
        </w:rPr>
        <w:t>.</w:t>
      </w:r>
    </w:p>
    <w:p w:rsidR="006D3B17" w:rsidRPr="005F622F" w:rsidRDefault="006D3B17" w:rsidP="006D3B17">
      <w:pPr>
        <w:ind w:left="709" w:hanging="709"/>
        <w:jc w:val="both"/>
        <w:rPr>
          <w:sz w:val="22"/>
          <w:szCs w:val="22"/>
          <w:lang w:val="es-VE"/>
        </w:rPr>
      </w:pPr>
    </w:p>
    <w:p w:rsidR="006D3B17" w:rsidRPr="005F622F" w:rsidRDefault="006D3B17" w:rsidP="006D3B17">
      <w:pPr>
        <w:ind w:left="709" w:hanging="709"/>
        <w:jc w:val="both"/>
        <w:rPr>
          <w:iCs/>
          <w:sz w:val="22"/>
          <w:szCs w:val="22"/>
          <w:shd w:val="clear" w:color="auto" w:fill="FFFFFF"/>
          <w:lang w:val="en-US"/>
        </w:rPr>
      </w:pPr>
      <w:r w:rsidRPr="005F622F">
        <w:rPr>
          <w:sz w:val="22"/>
          <w:szCs w:val="22"/>
          <w:lang w:val="en-US"/>
        </w:rPr>
        <w:t xml:space="preserve">Okamura, Y. (2018a). The Effect of the Shape of Eyeglasses on Judgements Toward Wearers’ Occupations - Replication and Extension of Guéguen (2015). </w:t>
      </w:r>
      <w:r w:rsidRPr="005F622F">
        <w:rPr>
          <w:i/>
          <w:iCs/>
          <w:sz w:val="22"/>
          <w:szCs w:val="22"/>
          <w:shd w:val="clear" w:color="auto" w:fill="FFFFFF"/>
          <w:lang w:val="en-US"/>
        </w:rPr>
        <w:t>Romanian Journal of Psychological Studies (RJPS)</w:t>
      </w:r>
      <w:r w:rsidR="00665829">
        <w:rPr>
          <w:i/>
          <w:iCs/>
          <w:sz w:val="22"/>
          <w:szCs w:val="22"/>
          <w:shd w:val="clear" w:color="auto" w:fill="FFFFFF"/>
          <w:lang w:val="en-US"/>
        </w:rPr>
        <w:t>,</w:t>
      </w:r>
      <w:r w:rsidRPr="005F622F">
        <w:rPr>
          <w:iCs/>
          <w:sz w:val="22"/>
          <w:szCs w:val="22"/>
          <w:shd w:val="clear" w:color="auto" w:fill="FFFFFF"/>
          <w:lang w:val="en-US"/>
        </w:rPr>
        <w:t xml:space="preserve"> </w:t>
      </w:r>
      <w:r w:rsidRPr="005F622F">
        <w:rPr>
          <w:i/>
          <w:iCs/>
          <w:sz w:val="22"/>
          <w:szCs w:val="22"/>
          <w:shd w:val="clear" w:color="auto" w:fill="FFFFFF"/>
          <w:lang w:val="en-US"/>
        </w:rPr>
        <w:t>6</w:t>
      </w:r>
      <w:r w:rsidR="00665829">
        <w:rPr>
          <w:i/>
          <w:iCs/>
          <w:sz w:val="22"/>
          <w:szCs w:val="22"/>
          <w:shd w:val="clear" w:color="auto" w:fill="FFFFFF"/>
          <w:lang w:val="en-US"/>
        </w:rPr>
        <w:t xml:space="preserve"> </w:t>
      </w:r>
      <w:r w:rsidRPr="005F622F">
        <w:rPr>
          <w:iCs/>
          <w:sz w:val="22"/>
          <w:szCs w:val="22"/>
          <w:shd w:val="clear" w:color="auto" w:fill="FFFFFF"/>
          <w:lang w:val="en-US"/>
        </w:rPr>
        <w:t>(1), 17-22.</w:t>
      </w:r>
    </w:p>
    <w:p w:rsidR="006D3B17" w:rsidRPr="005F622F" w:rsidRDefault="006D3B17" w:rsidP="006D3B17">
      <w:pPr>
        <w:ind w:left="709" w:hanging="709"/>
        <w:jc w:val="both"/>
        <w:rPr>
          <w:iCs/>
          <w:sz w:val="22"/>
          <w:szCs w:val="22"/>
          <w:shd w:val="clear" w:color="auto" w:fill="FFFFFF"/>
          <w:lang w:val="en-US"/>
        </w:rPr>
      </w:pPr>
    </w:p>
    <w:p w:rsidR="006D3B17" w:rsidRPr="005F622F" w:rsidRDefault="006D3B17" w:rsidP="006D3B17">
      <w:pPr>
        <w:ind w:left="709" w:hanging="709"/>
        <w:jc w:val="both"/>
        <w:rPr>
          <w:sz w:val="22"/>
          <w:szCs w:val="22"/>
          <w:lang w:val="es-VE"/>
        </w:rPr>
      </w:pPr>
      <w:r w:rsidRPr="005F622F">
        <w:rPr>
          <w:sz w:val="22"/>
          <w:szCs w:val="22"/>
          <w:lang w:val="en-US"/>
        </w:rPr>
        <w:t xml:space="preserve">Okamura, Y. (2018b). Judgments of women wearing eyeglasses: a focus on specific dimensions of physical attractiveness. </w:t>
      </w:r>
      <w:r w:rsidRPr="005F622F">
        <w:rPr>
          <w:i/>
          <w:sz w:val="22"/>
          <w:szCs w:val="22"/>
          <w:lang w:val="es-VE"/>
        </w:rPr>
        <w:t>Romanian Journal of Applied Psychology, 20</w:t>
      </w:r>
      <w:r w:rsidR="00665829">
        <w:rPr>
          <w:i/>
          <w:sz w:val="22"/>
          <w:szCs w:val="22"/>
          <w:lang w:val="es-VE"/>
        </w:rPr>
        <w:t xml:space="preserve"> </w:t>
      </w:r>
      <w:r w:rsidRPr="005F622F">
        <w:rPr>
          <w:sz w:val="22"/>
          <w:szCs w:val="22"/>
          <w:lang w:val="es-VE"/>
        </w:rPr>
        <w:t>(1), 7-10.</w:t>
      </w:r>
    </w:p>
    <w:p w:rsidR="006D3B17" w:rsidRPr="005F622F" w:rsidRDefault="006D3B17" w:rsidP="006D3B17">
      <w:pPr>
        <w:pStyle w:val="Bibliografa"/>
        <w:ind w:left="720" w:hanging="709"/>
        <w:jc w:val="both"/>
        <w:rPr>
          <w:noProof/>
          <w:sz w:val="22"/>
          <w:szCs w:val="22"/>
        </w:rPr>
      </w:pPr>
      <w:r w:rsidRPr="005F622F">
        <w:rPr>
          <w:noProof/>
          <w:sz w:val="22"/>
          <w:szCs w:val="22"/>
        </w:rPr>
        <w:lastRenderedPageBreak/>
        <w:t>Otero, M., Hermida, M., Rodrí</w:t>
      </w:r>
      <w:r w:rsidR="00665829">
        <w:rPr>
          <w:noProof/>
          <w:sz w:val="22"/>
          <w:szCs w:val="22"/>
        </w:rPr>
        <w:t>guez, G., Della, P., García, S.</w:t>
      </w:r>
      <w:r w:rsidR="00D54D65">
        <w:rPr>
          <w:noProof/>
          <w:sz w:val="22"/>
          <w:szCs w:val="22"/>
        </w:rPr>
        <w:t xml:space="preserve"> &amp;</w:t>
      </w:r>
      <w:r w:rsidRPr="005F622F">
        <w:rPr>
          <w:noProof/>
          <w:sz w:val="22"/>
          <w:szCs w:val="22"/>
        </w:rPr>
        <w:t xml:space="preserve"> Cabrera, H. (2006). Tatuajes: revisión. </w:t>
      </w:r>
      <w:r w:rsidRPr="005F622F">
        <w:rPr>
          <w:i/>
          <w:iCs/>
          <w:noProof/>
          <w:sz w:val="22"/>
          <w:szCs w:val="22"/>
        </w:rPr>
        <w:t>Archivos Argentinos de Dermatología, 56</w:t>
      </w:r>
      <w:r w:rsidR="00665829">
        <w:rPr>
          <w:i/>
          <w:iCs/>
          <w:noProof/>
          <w:sz w:val="22"/>
          <w:szCs w:val="22"/>
        </w:rPr>
        <w:t xml:space="preserve"> </w:t>
      </w:r>
      <w:r w:rsidRPr="005F622F">
        <w:rPr>
          <w:noProof/>
          <w:sz w:val="22"/>
          <w:szCs w:val="22"/>
        </w:rPr>
        <w:t>(6), 209-253.</w:t>
      </w:r>
    </w:p>
    <w:p w:rsidR="00D54D65" w:rsidRDefault="00D54D65" w:rsidP="006D3B17">
      <w:pPr>
        <w:ind w:left="709" w:hanging="709"/>
        <w:jc w:val="both"/>
        <w:rPr>
          <w:sz w:val="22"/>
          <w:szCs w:val="22"/>
          <w:lang w:val="es-VE"/>
        </w:rPr>
      </w:pPr>
    </w:p>
    <w:p w:rsidR="006D3B17" w:rsidRPr="005F622F" w:rsidRDefault="00D54D65" w:rsidP="006D3B17">
      <w:pPr>
        <w:ind w:left="709" w:hanging="709"/>
        <w:jc w:val="both"/>
        <w:rPr>
          <w:sz w:val="22"/>
          <w:szCs w:val="22"/>
        </w:rPr>
      </w:pPr>
      <w:proofErr w:type="spellStart"/>
      <w:r>
        <w:rPr>
          <w:sz w:val="22"/>
          <w:szCs w:val="22"/>
          <w:lang w:val="es-VE"/>
        </w:rPr>
        <w:t>Paluck</w:t>
      </w:r>
      <w:proofErr w:type="spellEnd"/>
      <w:r>
        <w:rPr>
          <w:sz w:val="22"/>
          <w:szCs w:val="22"/>
          <w:lang w:val="es-VE"/>
        </w:rPr>
        <w:t>, E. &amp;</w:t>
      </w:r>
      <w:r w:rsidR="006D3B17" w:rsidRPr="005F622F">
        <w:rPr>
          <w:sz w:val="22"/>
          <w:szCs w:val="22"/>
          <w:lang w:val="es-VE"/>
        </w:rPr>
        <w:t xml:space="preserve"> Green, D. (2009). </w:t>
      </w:r>
      <w:r w:rsidR="006D3B17" w:rsidRPr="005F622F">
        <w:rPr>
          <w:sz w:val="22"/>
          <w:szCs w:val="22"/>
          <w:lang w:val="en-US"/>
        </w:rPr>
        <w:t xml:space="preserve">Prejudice Reduction: What Works? A Review and Assessment of Research and Practice. </w:t>
      </w:r>
      <w:r w:rsidR="006D3B17" w:rsidRPr="005F622F">
        <w:rPr>
          <w:i/>
          <w:sz w:val="22"/>
          <w:szCs w:val="22"/>
        </w:rPr>
        <w:t>Annual Review of Psychology, 60 (1)</w:t>
      </w:r>
      <w:r w:rsidR="006D3B17" w:rsidRPr="005F622F">
        <w:rPr>
          <w:sz w:val="22"/>
          <w:szCs w:val="22"/>
        </w:rPr>
        <w:t>, 339-367.</w:t>
      </w:r>
    </w:p>
    <w:p w:rsidR="006D3B17" w:rsidRPr="005F622F" w:rsidRDefault="006D3B17" w:rsidP="006D3B17">
      <w:pPr>
        <w:ind w:left="709" w:hanging="709"/>
        <w:jc w:val="both"/>
        <w:rPr>
          <w:sz w:val="22"/>
          <w:szCs w:val="22"/>
        </w:rPr>
      </w:pPr>
    </w:p>
    <w:p w:rsidR="006D3B17" w:rsidRPr="005F622F" w:rsidRDefault="006D3B17" w:rsidP="006D3B17">
      <w:pPr>
        <w:ind w:left="709" w:hanging="709"/>
        <w:jc w:val="both"/>
        <w:rPr>
          <w:sz w:val="22"/>
          <w:szCs w:val="22"/>
          <w:lang w:val="en-US"/>
        </w:rPr>
      </w:pPr>
      <w:r w:rsidRPr="005F622F">
        <w:rPr>
          <w:sz w:val="22"/>
          <w:szCs w:val="22"/>
        </w:rPr>
        <w:t xml:space="preserve">Pérez, A. (2009). Cuerpos Tatuados, "Almas" Tatuadas: nuevas formas de subjetividad en la contemporaneidad. </w:t>
      </w:r>
      <w:r w:rsidRPr="005F622F">
        <w:rPr>
          <w:i/>
          <w:sz w:val="22"/>
          <w:szCs w:val="22"/>
          <w:lang w:val="en-US"/>
        </w:rPr>
        <w:t>Revista Contemporánea de Antropología, 45</w:t>
      </w:r>
      <w:r w:rsidRPr="005F622F">
        <w:rPr>
          <w:sz w:val="22"/>
          <w:szCs w:val="22"/>
          <w:lang w:val="en-US"/>
        </w:rPr>
        <w:t xml:space="preserve"> (1), 69-94.</w:t>
      </w:r>
    </w:p>
    <w:p w:rsidR="006D3B17" w:rsidRPr="005F622F" w:rsidRDefault="006D3B17" w:rsidP="006D3B17">
      <w:pPr>
        <w:ind w:left="709" w:hanging="709"/>
        <w:jc w:val="both"/>
        <w:rPr>
          <w:sz w:val="22"/>
          <w:szCs w:val="22"/>
          <w:lang w:val="en-US"/>
        </w:rPr>
      </w:pPr>
    </w:p>
    <w:p w:rsidR="006D3B17" w:rsidRPr="005F622F" w:rsidRDefault="006D3B17" w:rsidP="006D3B17">
      <w:pPr>
        <w:ind w:left="709" w:hanging="709"/>
        <w:jc w:val="both"/>
        <w:rPr>
          <w:sz w:val="22"/>
          <w:szCs w:val="22"/>
          <w:lang w:val="en-US"/>
        </w:rPr>
      </w:pPr>
      <w:r w:rsidRPr="005F622F">
        <w:rPr>
          <w:sz w:val="22"/>
          <w:szCs w:val="22"/>
          <w:lang w:val="en-US"/>
        </w:rPr>
        <w:t xml:space="preserve">Pettigrew, T. (1998). Intergroup contact theory. </w:t>
      </w:r>
      <w:r w:rsidRPr="005F622F">
        <w:rPr>
          <w:i/>
          <w:sz w:val="22"/>
          <w:szCs w:val="22"/>
          <w:lang w:val="en-US"/>
        </w:rPr>
        <w:t>Annual Review of Psychology, 49</w:t>
      </w:r>
      <w:r w:rsidRPr="005F622F">
        <w:rPr>
          <w:sz w:val="22"/>
          <w:szCs w:val="22"/>
          <w:lang w:val="en-US"/>
        </w:rPr>
        <w:t xml:space="preserve"> (1), 65-85.</w:t>
      </w:r>
    </w:p>
    <w:p w:rsidR="006D3B17" w:rsidRPr="005F622F" w:rsidRDefault="006D3B17" w:rsidP="006D3B17">
      <w:pPr>
        <w:ind w:left="709" w:hanging="709"/>
        <w:jc w:val="both"/>
        <w:rPr>
          <w:sz w:val="22"/>
          <w:szCs w:val="22"/>
          <w:lang w:val="en-US"/>
        </w:rPr>
      </w:pPr>
    </w:p>
    <w:p w:rsidR="004917BF" w:rsidRPr="006100C7" w:rsidRDefault="004917BF" w:rsidP="006D3B17">
      <w:pPr>
        <w:ind w:left="709" w:hanging="709"/>
        <w:jc w:val="both"/>
        <w:rPr>
          <w:sz w:val="22"/>
          <w:szCs w:val="22"/>
          <w:lang w:val="es-VE"/>
        </w:rPr>
      </w:pPr>
      <w:r w:rsidRPr="005F622F">
        <w:rPr>
          <w:sz w:val="22"/>
          <w:szCs w:val="22"/>
          <w:lang w:val="es-VE"/>
        </w:rPr>
        <w:t xml:space="preserve">Ramírez, E., </w:t>
      </w:r>
      <w:r w:rsidR="00376698" w:rsidRPr="005F622F">
        <w:rPr>
          <w:sz w:val="22"/>
          <w:szCs w:val="22"/>
          <w:lang w:val="es-VE"/>
        </w:rPr>
        <w:t>Estrada</w:t>
      </w:r>
      <w:r w:rsidR="00D54D65">
        <w:rPr>
          <w:sz w:val="22"/>
          <w:szCs w:val="22"/>
          <w:lang w:val="es-VE"/>
        </w:rPr>
        <w:t>, C. &amp;</w:t>
      </w:r>
      <w:r w:rsidRPr="005F622F">
        <w:rPr>
          <w:sz w:val="22"/>
          <w:szCs w:val="22"/>
          <w:lang w:val="es-VE"/>
        </w:rPr>
        <w:t xml:space="preserve"> </w:t>
      </w:r>
      <w:proofErr w:type="spellStart"/>
      <w:r w:rsidRPr="005F622F">
        <w:rPr>
          <w:sz w:val="22"/>
          <w:szCs w:val="22"/>
          <w:lang w:val="es-VE"/>
        </w:rPr>
        <w:t>Yzerbyt</w:t>
      </w:r>
      <w:proofErr w:type="spellEnd"/>
      <w:r w:rsidRPr="005F622F">
        <w:rPr>
          <w:sz w:val="22"/>
          <w:szCs w:val="22"/>
          <w:lang w:val="es-VE"/>
        </w:rPr>
        <w:t>, V. (2016). Estudio correlacional de prejuicio y discriminación implícita y explícita en una muestra magallánica.</w:t>
      </w:r>
      <w:r w:rsidR="00376698" w:rsidRPr="005F622F">
        <w:rPr>
          <w:sz w:val="22"/>
          <w:szCs w:val="22"/>
          <w:lang w:val="es-VE"/>
        </w:rPr>
        <w:t xml:space="preserve"> </w:t>
      </w:r>
      <w:r w:rsidRPr="006100C7">
        <w:rPr>
          <w:i/>
          <w:sz w:val="22"/>
          <w:szCs w:val="22"/>
          <w:lang w:val="es-VE"/>
        </w:rPr>
        <w:t>Atenea</w:t>
      </w:r>
      <w:r w:rsidR="00376698" w:rsidRPr="006100C7">
        <w:rPr>
          <w:sz w:val="22"/>
          <w:szCs w:val="22"/>
          <w:lang w:val="es-VE"/>
        </w:rPr>
        <w:t>, (513), 251-262.</w:t>
      </w:r>
    </w:p>
    <w:p w:rsidR="004917BF" w:rsidRPr="006100C7" w:rsidRDefault="004917BF" w:rsidP="006D3B17">
      <w:pPr>
        <w:ind w:left="709" w:hanging="709"/>
        <w:jc w:val="both"/>
        <w:rPr>
          <w:sz w:val="22"/>
          <w:szCs w:val="22"/>
          <w:lang w:val="es-VE"/>
        </w:rPr>
      </w:pPr>
    </w:p>
    <w:p w:rsidR="006D3B17" w:rsidRPr="005F622F" w:rsidRDefault="006D3B17" w:rsidP="006D3B17">
      <w:pPr>
        <w:ind w:left="709" w:hanging="709"/>
        <w:jc w:val="both"/>
        <w:rPr>
          <w:sz w:val="22"/>
          <w:szCs w:val="22"/>
        </w:rPr>
      </w:pPr>
      <w:r w:rsidRPr="005F622F">
        <w:rPr>
          <w:sz w:val="22"/>
          <w:szCs w:val="22"/>
          <w:lang w:val="es-VE"/>
        </w:rPr>
        <w:t xml:space="preserve">Sánchez, R. (2014). </w:t>
      </w:r>
      <w:r w:rsidRPr="005F622F">
        <w:rPr>
          <w:sz w:val="22"/>
          <w:szCs w:val="22"/>
        </w:rPr>
        <w:t xml:space="preserve">Evaluación psicológica de la comunicación relacional no verbal. </w:t>
      </w:r>
      <w:r w:rsidRPr="005F622F">
        <w:rPr>
          <w:i/>
          <w:sz w:val="22"/>
          <w:szCs w:val="22"/>
        </w:rPr>
        <w:t>Pensando Psicología, 10</w:t>
      </w:r>
      <w:r w:rsidRPr="005F622F">
        <w:rPr>
          <w:sz w:val="22"/>
          <w:szCs w:val="22"/>
        </w:rPr>
        <w:t xml:space="preserve"> (17), 27-42.</w:t>
      </w:r>
    </w:p>
    <w:p w:rsidR="009B60DE" w:rsidRPr="005F622F" w:rsidRDefault="009B60DE" w:rsidP="006D3B17">
      <w:pPr>
        <w:ind w:left="709" w:hanging="709"/>
        <w:jc w:val="both"/>
        <w:rPr>
          <w:sz w:val="22"/>
          <w:szCs w:val="22"/>
        </w:rPr>
      </w:pPr>
    </w:p>
    <w:p w:rsidR="006D3B17" w:rsidRPr="005F622F" w:rsidRDefault="00D54D65" w:rsidP="006D3B17">
      <w:pPr>
        <w:ind w:left="709" w:hanging="709"/>
        <w:jc w:val="both"/>
        <w:rPr>
          <w:color w:val="000000"/>
          <w:sz w:val="22"/>
          <w:szCs w:val="22"/>
          <w:shd w:val="clear" w:color="auto" w:fill="FFFFFF"/>
        </w:rPr>
      </w:pPr>
      <w:r>
        <w:rPr>
          <w:sz w:val="22"/>
          <w:szCs w:val="22"/>
          <w:lang w:val="es-VE"/>
        </w:rPr>
        <w:t>Soto, I., Carstens, L. &amp;</w:t>
      </w:r>
      <w:r w:rsidR="006D3B17" w:rsidRPr="005F622F">
        <w:rPr>
          <w:sz w:val="22"/>
          <w:szCs w:val="22"/>
          <w:lang w:val="es-VE"/>
        </w:rPr>
        <w:t xml:space="preserve"> </w:t>
      </w:r>
      <w:proofErr w:type="spellStart"/>
      <w:r w:rsidR="006D3B17" w:rsidRPr="005F622F">
        <w:rPr>
          <w:sz w:val="22"/>
          <w:szCs w:val="22"/>
          <w:lang w:val="es-VE"/>
        </w:rPr>
        <w:t>Burke</w:t>
      </w:r>
      <w:proofErr w:type="spellEnd"/>
      <w:r w:rsidR="006D3B17" w:rsidRPr="005F622F">
        <w:rPr>
          <w:sz w:val="22"/>
          <w:szCs w:val="22"/>
          <w:lang w:val="es-VE"/>
        </w:rPr>
        <w:t xml:space="preserve">, J. (2019). </w:t>
      </w:r>
      <w:r w:rsidR="006D3B17" w:rsidRPr="005F622F">
        <w:rPr>
          <w:i/>
          <w:color w:val="000000"/>
          <w:sz w:val="22"/>
          <w:szCs w:val="22"/>
          <w:shd w:val="clear" w:color="auto" w:fill="FFFFFF"/>
        </w:rPr>
        <w:t xml:space="preserve">The California ELD Standards Companion, Grades 9-12. </w:t>
      </w:r>
      <w:r w:rsidR="006D3B17" w:rsidRPr="005F622F">
        <w:rPr>
          <w:color w:val="000000"/>
          <w:sz w:val="22"/>
          <w:szCs w:val="22"/>
          <w:shd w:val="clear" w:color="auto" w:fill="FFFFFF"/>
        </w:rPr>
        <w:t>California: Corwin Press.</w:t>
      </w:r>
    </w:p>
    <w:p w:rsidR="006D3B17" w:rsidRPr="005F622F" w:rsidRDefault="006D3B17" w:rsidP="006D3B17">
      <w:pPr>
        <w:ind w:left="709" w:hanging="709"/>
        <w:jc w:val="both"/>
        <w:rPr>
          <w:sz w:val="22"/>
          <w:szCs w:val="22"/>
        </w:rPr>
      </w:pPr>
    </w:p>
    <w:p w:rsidR="006D3B17" w:rsidRPr="005F622F" w:rsidRDefault="00665829" w:rsidP="006D3B17">
      <w:pPr>
        <w:ind w:left="709" w:hanging="709"/>
        <w:jc w:val="both"/>
        <w:rPr>
          <w:sz w:val="22"/>
          <w:szCs w:val="22"/>
          <w:lang w:val="es-VE"/>
        </w:rPr>
      </w:pPr>
      <w:r>
        <w:rPr>
          <w:sz w:val="22"/>
          <w:szCs w:val="22"/>
        </w:rPr>
        <w:t>Swami, V.</w:t>
      </w:r>
      <w:r w:rsidR="00D54D65">
        <w:rPr>
          <w:sz w:val="22"/>
          <w:szCs w:val="22"/>
        </w:rPr>
        <w:t xml:space="preserve"> &amp;</w:t>
      </w:r>
      <w:r w:rsidR="006D3B17" w:rsidRPr="005F622F">
        <w:rPr>
          <w:sz w:val="22"/>
          <w:szCs w:val="22"/>
        </w:rPr>
        <w:t xml:space="preserve"> </w:t>
      </w:r>
      <w:proofErr w:type="spellStart"/>
      <w:r w:rsidR="006D3B17" w:rsidRPr="005F622F">
        <w:rPr>
          <w:sz w:val="22"/>
          <w:szCs w:val="22"/>
        </w:rPr>
        <w:t>Furnham</w:t>
      </w:r>
      <w:proofErr w:type="spellEnd"/>
      <w:r w:rsidR="006D3B17" w:rsidRPr="005F622F">
        <w:rPr>
          <w:sz w:val="22"/>
          <w:szCs w:val="22"/>
        </w:rPr>
        <w:t xml:space="preserve">, A. (2007). </w:t>
      </w:r>
      <w:r w:rsidR="006D3B17" w:rsidRPr="005F622F">
        <w:rPr>
          <w:sz w:val="22"/>
          <w:szCs w:val="22"/>
          <w:lang w:val="en-US"/>
        </w:rPr>
        <w:t xml:space="preserve">Unattractive, promiscuous and heavy drinkers: Perceptions of women with tattoos. </w:t>
      </w:r>
      <w:r w:rsidR="006D3B17" w:rsidRPr="005F622F">
        <w:rPr>
          <w:i/>
          <w:sz w:val="22"/>
          <w:szCs w:val="22"/>
          <w:lang w:val="es-VE"/>
        </w:rPr>
        <w:t>Body Image, 4</w:t>
      </w:r>
      <w:r>
        <w:rPr>
          <w:i/>
          <w:sz w:val="22"/>
          <w:szCs w:val="22"/>
          <w:lang w:val="es-VE"/>
        </w:rPr>
        <w:t xml:space="preserve"> </w:t>
      </w:r>
      <w:r w:rsidR="006D3B17" w:rsidRPr="005F622F">
        <w:rPr>
          <w:sz w:val="22"/>
          <w:szCs w:val="22"/>
          <w:lang w:val="es-VE"/>
        </w:rPr>
        <w:t>(4), 343-352.</w:t>
      </w:r>
    </w:p>
    <w:p w:rsidR="006D3B17" w:rsidRPr="005F622F" w:rsidRDefault="006D3B17" w:rsidP="006D3B17">
      <w:pPr>
        <w:ind w:left="709" w:hanging="709"/>
        <w:jc w:val="both"/>
        <w:rPr>
          <w:sz w:val="22"/>
          <w:szCs w:val="22"/>
        </w:rPr>
      </w:pPr>
    </w:p>
    <w:p w:rsidR="006D3B17" w:rsidRPr="005F622F" w:rsidRDefault="006D3B17" w:rsidP="006D3B17">
      <w:pPr>
        <w:ind w:left="709" w:hanging="709"/>
        <w:jc w:val="both"/>
        <w:rPr>
          <w:sz w:val="22"/>
          <w:szCs w:val="22"/>
          <w:lang w:val="en-US"/>
        </w:rPr>
      </w:pPr>
      <w:r w:rsidRPr="005F622F">
        <w:rPr>
          <w:sz w:val="22"/>
          <w:szCs w:val="22"/>
        </w:rPr>
        <w:t xml:space="preserve">Tajfel, H. (1984). </w:t>
      </w:r>
      <w:r w:rsidRPr="005F622F">
        <w:rPr>
          <w:i/>
          <w:sz w:val="22"/>
          <w:szCs w:val="22"/>
        </w:rPr>
        <w:t>Grupos humanos y categorías sociales: Estudios de Psicología Social</w:t>
      </w:r>
      <w:r w:rsidRPr="005F622F">
        <w:rPr>
          <w:sz w:val="22"/>
          <w:szCs w:val="22"/>
        </w:rPr>
        <w:t xml:space="preserve">. </w:t>
      </w:r>
      <w:r w:rsidRPr="005F622F">
        <w:rPr>
          <w:sz w:val="22"/>
          <w:szCs w:val="22"/>
          <w:lang w:val="en-US"/>
        </w:rPr>
        <w:t>Barcelona, España: Editorial Herder.</w:t>
      </w:r>
    </w:p>
    <w:p w:rsidR="006D3B17" w:rsidRPr="005F622F" w:rsidRDefault="006D3B17" w:rsidP="006D3B17">
      <w:pPr>
        <w:ind w:left="709" w:hanging="709"/>
        <w:jc w:val="both"/>
        <w:rPr>
          <w:sz w:val="22"/>
          <w:szCs w:val="22"/>
          <w:lang w:val="en-US"/>
        </w:rPr>
      </w:pPr>
    </w:p>
    <w:p w:rsidR="006D3B17" w:rsidRPr="005F622F" w:rsidRDefault="00D54D65" w:rsidP="006D3B17">
      <w:pPr>
        <w:ind w:left="709" w:hanging="709"/>
        <w:jc w:val="both"/>
        <w:rPr>
          <w:sz w:val="22"/>
          <w:szCs w:val="22"/>
          <w:lang w:val="en-US"/>
        </w:rPr>
      </w:pPr>
      <w:proofErr w:type="gramStart"/>
      <w:r>
        <w:rPr>
          <w:sz w:val="22"/>
          <w:szCs w:val="22"/>
          <w:lang w:val="en-US"/>
        </w:rPr>
        <w:t>Timming, A. &amp;</w:t>
      </w:r>
      <w:r w:rsidR="006D3B17" w:rsidRPr="005F622F">
        <w:rPr>
          <w:sz w:val="22"/>
          <w:szCs w:val="22"/>
          <w:lang w:val="en-US"/>
        </w:rPr>
        <w:t xml:space="preserve"> </w:t>
      </w:r>
      <w:proofErr w:type="spellStart"/>
      <w:r w:rsidR="006D3B17" w:rsidRPr="005F622F">
        <w:rPr>
          <w:sz w:val="22"/>
          <w:szCs w:val="22"/>
          <w:lang w:val="en-US"/>
        </w:rPr>
        <w:t>Perrett</w:t>
      </w:r>
      <w:proofErr w:type="spellEnd"/>
      <w:r w:rsidR="006D3B17" w:rsidRPr="005F622F">
        <w:rPr>
          <w:sz w:val="22"/>
          <w:szCs w:val="22"/>
          <w:lang w:val="en-US"/>
        </w:rPr>
        <w:t>, D. (2017).</w:t>
      </w:r>
      <w:proofErr w:type="gramEnd"/>
      <w:r w:rsidR="006D3B17" w:rsidRPr="005F622F">
        <w:rPr>
          <w:sz w:val="22"/>
          <w:szCs w:val="22"/>
          <w:lang w:val="en-US"/>
        </w:rPr>
        <w:t xml:space="preserve"> An experimental study of the effects of tattoo genre on perceived trustworthiness: Not all tattoos are created equal. </w:t>
      </w:r>
      <w:r w:rsidR="006D3B17" w:rsidRPr="005F622F">
        <w:rPr>
          <w:i/>
          <w:sz w:val="22"/>
          <w:szCs w:val="22"/>
          <w:lang w:val="en-US"/>
        </w:rPr>
        <w:t xml:space="preserve">Journal of Trust Research, 7 </w:t>
      </w:r>
      <w:r w:rsidR="006D3B17" w:rsidRPr="005F622F">
        <w:rPr>
          <w:sz w:val="22"/>
          <w:szCs w:val="22"/>
          <w:lang w:val="en-US"/>
        </w:rPr>
        <w:t>(2), 115-128.</w:t>
      </w:r>
    </w:p>
    <w:p w:rsidR="006D3B17" w:rsidRPr="005F622F" w:rsidRDefault="006D3B17" w:rsidP="006D3B17">
      <w:pPr>
        <w:ind w:left="709" w:hanging="709"/>
        <w:jc w:val="both"/>
        <w:rPr>
          <w:sz w:val="22"/>
          <w:szCs w:val="22"/>
          <w:lang w:val="en-US"/>
        </w:rPr>
      </w:pPr>
    </w:p>
    <w:p w:rsidR="006D3B17" w:rsidRPr="005F622F" w:rsidRDefault="006D3B17" w:rsidP="006D3B17">
      <w:pPr>
        <w:ind w:left="709" w:hanging="709"/>
        <w:jc w:val="both"/>
        <w:rPr>
          <w:sz w:val="22"/>
          <w:szCs w:val="22"/>
          <w:lang w:val="en-US"/>
        </w:rPr>
      </w:pPr>
      <w:r w:rsidRPr="005F622F">
        <w:rPr>
          <w:sz w:val="22"/>
          <w:szCs w:val="22"/>
          <w:lang w:val="en-US"/>
        </w:rPr>
        <w:t>Ti</w:t>
      </w:r>
      <w:r w:rsidR="00D54D65">
        <w:rPr>
          <w:sz w:val="22"/>
          <w:szCs w:val="22"/>
          <w:lang w:val="en-US"/>
        </w:rPr>
        <w:t>mming, A., Nickson, D., Re, D. &amp;</w:t>
      </w:r>
      <w:r w:rsidRPr="005F622F">
        <w:rPr>
          <w:sz w:val="22"/>
          <w:szCs w:val="22"/>
          <w:lang w:val="en-US"/>
        </w:rPr>
        <w:t xml:space="preserve"> </w:t>
      </w:r>
      <w:proofErr w:type="spellStart"/>
      <w:r w:rsidRPr="005F622F">
        <w:rPr>
          <w:sz w:val="22"/>
          <w:szCs w:val="22"/>
          <w:lang w:val="en-US"/>
        </w:rPr>
        <w:t>Perrett</w:t>
      </w:r>
      <w:proofErr w:type="spellEnd"/>
      <w:r w:rsidRPr="005F622F">
        <w:rPr>
          <w:sz w:val="22"/>
          <w:szCs w:val="22"/>
          <w:lang w:val="en-US"/>
        </w:rPr>
        <w:t>, D.</w:t>
      </w:r>
      <w:r w:rsidRPr="005B25EA">
        <w:rPr>
          <w:sz w:val="22"/>
          <w:szCs w:val="22"/>
          <w:lang w:val="en-US"/>
        </w:rPr>
        <w:t xml:space="preserve"> </w:t>
      </w:r>
      <w:r w:rsidRPr="005F622F">
        <w:rPr>
          <w:sz w:val="22"/>
          <w:szCs w:val="22"/>
          <w:lang w:val="en-US"/>
        </w:rPr>
        <w:t xml:space="preserve">(2015). What do you think of my ink? </w:t>
      </w:r>
      <w:r w:rsidR="00A17061" w:rsidRPr="005F622F">
        <w:rPr>
          <w:sz w:val="22"/>
          <w:szCs w:val="22"/>
          <w:lang w:val="en-US"/>
        </w:rPr>
        <w:t>A</w:t>
      </w:r>
      <w:r w:rsidRPr="005F622F">
        <w:rPr>
          <w:sz w:val="22"/>
          <w:szCs w:val="22"/>
          <w:lang w:val="en-US"/>
        </w:rPr>
        <w:t xml:space="preserve">ssessing the effects of body art on employment chances. </w:t>
      </w:r>
      <w:r w:rsidRPr="005F622F">
        <w:rPr>
          <w:i/>
          <w:sz w:val="22"/>
          <w:szCs w:val="22"/>
          <w:lang w:val="en-US"/>
        </w:rPr>
        <w:t>Hum Resour Manage, 56</w:t>
      </w:r>
      <w:r w:rsidRPr="005F622F">
        <w:rPr>
          <w:sz w:val="22"/>
          <w:szCs w:val="22"/>
          <w:lang w:val="en-US"/>
        </w:rPr>
        <w:t>, 133-149</w:t>
      </w:r>
    </w:p>
    <w:p w:rsidR="006D3B17" w:rsidRPr="005F622F" w:rsidRDefault="006D3B17" w:rsidP="006D3B17">
      <w:pPr>
        <w:ind w:left="709" w:hanging="709"/>
        <w:jc w:val="both"/>
        <w:rPr>
          <w:sz w:val="22"/>
          <w:szCs w:val="22"/>
          <w:lang w:val="en-US"/>
        </w:rPr>
      </w:pPr>
    </w:p>
    <w:p w:rsidR="006D3B17" w:rsidRPr="005F622F" w:rsidRDefault="004A1983" w:rsidP="006D3B17">
      <w:pPr>
        <w:ind w:left="709" w:hanging="709"/>
        <w:jc w:val="both"/>
        <w:rPr>
          <w:sz w:val="22"/>
          <w:szCs w:val="22"/>
          <w:lang w:val="es-VE"/>
        </w:rPr>
      </w:pPr>
      <w:r>
        <w:rPr>
          <w:sz w:val="22"/>
          <w:szCs w:val="22"/>
          <w:lang w:val="en-US"/>
        </w:rPr>
        <w:t>Torrejón</w:t>
      </w:r>
      <w:r w:rsidR="006D3B17" w:rsidRPr="005F622F">
        <w:rPr>
          <w:sz w:val="22"/>
          <w:szCs w:val="22"/>
          <w:lang w:val="en-US"/>
        </w:rPr>
        <w:t xml:space="preserve">, A. (2015). </w:t>
      </w:r>
      <w:r w:rsidR="006D3B17" w:rsidRPr="005F622F">
        <w:rPr>
          <w:i/>
          <w:sz w:val="22"/>
          <w:szCs w:val="22"/>
          <w:lang w:val="en-US"/>
        </w:rPr>
        <w:t>Reducing implicit prejudice towards tattooed individuals with eyeglasses</w:t>
      </w:r>
      <w:r w:rsidR="006D3B17" w:rsidRPr="005F622F">
        <w:rPr>
          <w:sz w:val="22"/>
          <w:szCs w:val="22"/>
          <w:lang w:val="en-US"/>
        </w:rPr>
        <w:t xml:space="preserve">. </w:t>
      </w:r>
      <w:r w:rsidR="006D3B17" w:rsidRPr="005F622F">
        <w:rPr>
          <w:sz w:val="22"/>
          <w:szCs w:val="22"/>
          <w:lang w:val="es-VE"/>
        </w:rPr>
        <w:t>Tesis de grado no publicada, University of Arizona, Estados Unidos.</w:t>
      </w:r>
    </w:p>
    <w:p w:rsidR="006D3B17" w:rsidRPr="005F622F" w:rsidRDefault="006D3B17" w:rsidP="006D3B17">
      <w:pPr>
        <w:ind w:left="709" w:hanging="709"/>
        <w:jc w:val="both"/>
        <w:rPr>
          <w:sz w:val="22"/>
          <w:szCs w:val="22"/>
          <w:lang w:val="es-VE"/>
        </w:rPr>
      </w:pPr>
    </w:p>
    <w:p w:rsidR="006D3B17" w:rsidRPr="005F622F" w:rsidRDefault="006D3B17" w:rsidP="006D3B17">
      <w:pPr>
        <w:ind w:left="709" w:hanging="709"/>
        <w:jc w:val="both"/>
        <w:rPr>
          <w:sz w:val="22"/>
          <w:szCs w:val="22"/>
          <w:lang w:val="es-VE"/>
        </w:rPr>
      </w:pPr>
      <w:r w:rsidRPr="005F622F">
        <w:rPr>
          <w:sz w:val="22"/>
          <w:szCs w:val="22"/>
          <w:lang w:val="es-VE"/>
        </w:rPr>
        <w:t>Tosi, J., Le</w:t>
      </w:r>
      <w:r w:rsidR="00D54D65">
        <w:rPr>
          <w:sz w:val="22"/>
          <w:szCs w:val="22"/>
          <w:lang w:val="es-VE"/>
        </w:rPr>
        <w:t>desma, R., Poó, F., Montez, S. &amp;</w:t>
      </w:r>
      <w:r w:rsidRPr="005F622F">
        <w:rPr>
          <w:sz w:val="22"/>
          <w:szCs w:val="22"/>
          <w:lang w:val="es-VE"/>
        </w:rPr>
        <w:t xml:space="preserve"> López, S. (2016). El Test de Asociaciones Implícitas (Implicit Association Test). Una Revisión Metodológica. </w:t>
      </w:r>
      <w:r w:rsidRPr="005F622F">
        <w:rPr>
          <w:i/>
          <w:sz w:val="22"/>
          <w:szCs w:val="22"/>
          <w:lang w:val="es-VE"/>
        </w:rPr>
        <w:t>Revista Iberoamericana de Diagnóstico y Evaluación, 46</w:t>
      </w:r>
      <w:r w:rsidRPr="005F622F">
        <w:rPr>
          <w:sz w:val="22"/>
          <w:szCs w:val="22"/>
          <w:lang w:val="es-VE"/>
        </w:rPr>
        <w:t>(11), 175-187.</w:t>
      </w:r>
    </w:p>
    <w:p w:rsidR="006D3B17" w:rsidRPr="005F622F" w:rsidRDefault="006D3B17" w:rsidP="006D3B17">
      <w:pPr>
        <w:ind w:left="709" w:hanging="709"/>
        <w:jc w:val="both"/>
        <w:rPr>
          <w:sz w:val="22"/>
          <w:szCs w:val="22"/>
          <w:lang w:val="es-VE"/>
        </w:rPr>
      </w:pPr>
    </w:p>
    <w:p w:rsidR="006D3B17" w:rsidRPr="005F622F" w:rsidRDefault="006D3B17" w:rsidP="006D3B17">
      <w:pPr>
        <w:ind w:left="709" w:hanging="709"/>
        <w:jc w:val="both"/>
        <w:rPr>
          <w:sz w:val="22"/>
          <w:szCs w:val="22"/>
          <w:lang w:val="en-US"/>
        </w:rPr>
      </w:pPr>
      <w:r w:rsidRPr="005F622F">
        <w:rPr>
          <w:sz w:val="22"/>
          <w:szCs w:val="22"/>
          <w:lang w:val="es-VE"/>
        </w:rPr>
        <w:t xml:space="preserve">Walzer, A.  </w:t>
      </w:r>
      <w:r w:rsidRPr="005F622F">
        <w:rPr>
          <w:sz w:val="22"/>
          <w:szCs w:val="22"/>
          <w:lang w:val="en-US"/>
        </w:rPr>
        <w:t xml:space="preserve">(2016). Media and contemporary tattoo. </w:t>
      </w:r>
      <w:r w:rsidRPr="005F622F">
        <w:rPr>
          <w:i/>
          <w:sz w:val="22"/>
          <w:szCs w:val="22"/>
          <w:lang w:val="en-US"/>
        </w:rPr>
        <w:t>Communication and Society 29</w:t>
      </w:r>
      <w:r w:rsidRPr="005F622F">
        <w:rPr>
          <w:sz w:val="22"/>
          <w:szCs w:val="22"/>
          <w:lang w:val="en-US"/>
        </w:rPr>
        <w:t xml:space="preserve"> (1), 69-81.</w:t>
      </w:r>
    </w:p>
    <w:p w:rsidR="006D3B17" w:rsidRPr="005F622F" w:rsidRDefault="006D3B17" w:rsidP="006D3B17">
      <w:pPr>
        <w:ind w:left="709" w:hanging="709"/>
        <w:jc w:val="both"/>
        <w:rPr>
          <w:sz w:val="22"/>
          <w:szCs w:val="22"/>
          <w:lang w:val="en-US"/>
        </w:rPr>
      </w:pPr>
    </w:p>
    <w:p w:rsidR="006D3B17" w:rsidRPr="005F622F" w:rsidRDefault="006D3B17" w:rsidP="006D3B17">
      <w:pPr>
        <w:ind w:left="709" w:hanging="709"/>
        <w:jc w:val="both"/>
        <w:rPr>
          <w:sz w:val="22"/>
          <w:szCs w:val="22"/>
          <w:lang w:val="en-US"/>
        </w:rPr>
      </w:pPr>
      <w:r w:rsidRPr="005F622F">
        <w:rPr>
          <w:sz w:val="22"/>
          <w:szCs w:val="22"/>
          <w:lang w:val="en-US"/>
        </w:rPr>
        <w:t xml:space="preserve">Wilson, G. (2012). </w:t>
      </w:r>
      <w:r w:rsidRPr="005F622F">
        <w:rPr>
          <w:i/>
          <w:sz w:val="22"/>
          <w:szCs w:val="22"/>
          <w:lang w:val="en-US"/>
        </w:rPr>
        <w:t>A practical guide to Body Language: Read and send the right signals</w:t>
      </w:r>
      <w:r w:rsidRPr="005F622F">
        <w:rPr>
          <w:sz w:val="22"/>
          <w:szCs w:val="22"/>
          <w:lang w:val="en-US"/>
        </w:rPr>
        <w:t>. London, England: Icon Books.</w:t>
      </w:r>
    </w:p>
    <w:p w:rsidR="006D3B17" w:rsidRPr="005F622F" w:rsidRDefault="006D3B17" w:rsidP="006D3B17">
      <w:pPr>
        <w:ind w:left="709" w:hanging="709"/>
        <w:jc w:val="both"/>
        <w:rPr>
          <w:sz w:val="22"/>
          <w:szCs w:val="22"/>
          <w:lang w:val="en-US"/>
        </w:rPr>
      </w:pPr>
    </w:p>
    <w:p w:rsidR="006D3B17" w:rsidRPr="005F622F" w:rsidRDefault="006D3B17" w:rsidP="006D3B17">
      <w:pPr>
        <w:ind w:left="709" w:hanging="709"/>
        <w:jc w:val="both"/>
        <w:rPr>
          <w:sz w:val="22"/>
          <w:szCs w:val="22"/>
          <w:lang w:val="en-US"/>
        </w:rPr>
      </w:pPr>
      <w:proofErr w:type="gramStart"/>
      <w:r w:rsidRPr="005F622F">
        <w:rPr>
          <w:sz w:val="22"/>
          <w:szCs w:val="22"/>
          <w:lang w:val="en-US"/>
        </w:rPr>
        <w:t>Wohlr</w:t>
      </w:r>
      <w:r w:rsidR="00D54D65">
        <w:rPr>
          <w:sz w:val="22"/>
          <w:szCs w:val="22"/>
          <w:lang w:val="en-US"/>
        </w:rPr>
        <w:t>ab, S., Fink, B., Kappeler, P. &amp;</w:t>
      </w:r>
      <w:r w:rsidRPr="005F622F">
        <w:rPr>
          <w:sz w:val="22"/>
          <w:szCs w:val="22"/>
          <w:lang w:val="en-US"/>
        </w:rPr>
        <w:t xml:space="preserve"> Brewer, G. (2008).</w:t>
      </w:r>
      <w:proofErr w:type="gramEnd"/>
      <w:r w:rsidRPr="005F622F">
        <w:rPr>
          <w:sz w:val="22"/>
          <w:szCs w:val="22"/>
          <w:lang w:val="en-US"/>
        </w:rPr>
        <w:t xml:space="preserve"> Perception of human body modification. </w:t>
      </w:r>
      <w:r w:rsidRPr="005F622F">
        <w:rPr>
          <w:i/>
          <w:sz w:val="22"/>
          <w:szCs w:val="22"/>
          <w:lang w:val="en-US"/>
        </w:rPr>
        <w:t>Personality and Individual Differences, 46</w:t>
      </w:r>
      <w:r w:rsidRPr="005F622F">
        <w:rPr>
          <w:sz w:val="22"/>
          <w:szCs w:val="22"/>
          <w:lang w:val="en-US"/>
        </w:rPr>
        <w:t>, 202-206.</w:t>
      </w:r>
    </w:p>
    <w:p w:rsidR="006D3B17" w:rsidRPr="005F622F" w:rsidRDefault="006D3B17" w:rsidP="006D3B17">
      <w:pPr>
        <w:ind w:left="709" w:hanging="709"/>
        <w:jc w:val="both"/>
        <w:rPr>
          <w:sz w:val="22"/>
          <w:szCs w:val="22"/>
          <w:lang w:val="en-US"/>
        </w:rPr>
      </w:pPr>
    </w:p>
    <w:p w:rsidR="006D3B17" w:rsidRPr="005F622F" w:rsidRDefault="006D3B17" w:rsidP="006D3B17">
      <w:pPr>
        <w:ind w:left="709" w:hanging="709"/>
        <w:jc w:val="both"/>
        <w:rPr>
          <w:rFonts w:eastAsiaTheme="minorHAnsi"/>
          <w:sz w:val="22"/>
          <w:szCs w:val="22"/>
          <w:lang w:val="en-US" w:eastAsia="en-US"/>
        </w:rPr>
      </w:pPr>
      <w:proofErr w:type="gramStart"/>
      <w:r w:rsidRPr="005F622F">
        <w:rPr>
          <w:sz w:val="22"/>
          <w:szCs w:val="22"/>
          <w:lang w:val="en-US"/>
        </w:rPr>
        <w:t>Zestcott</w:t>
      </w:r>
      <w:r w:rsidR="00D54D65">
        <w:rPr>
          <w:sz w:val="22"/>
          <w:szCs w:val="22"/>
          <w:lang w:val="en-US"/>
        </w:rPr>
        <w:t>, C., Bean, M. &amp;</w:t>
      </w:r>
      <w:r w:rsidR="00674417" w:rsidRPr="005F622F">
        <w:rPr>
          <w:sz w:val="22"/>
          <w:szCs w:val="22"/>
          <w:lang w:val="en-US"/>
        </w:rPr>
        <w:t xml:space="preserve"> Stone, J. (2017</w:t>
      </w:r>
      <w:r w:rsidRPr="005F622F">
        <w:rPr>
          <w:sz w:val="22"/>
          <w:szCs w:val="22"/>
          <w:lang w:val="en-US"/>
        </w:rPr>
        <w:t>).</w:t>
      </w:r>
      <w:proofErr w:type="gramEnd"/>
      <w:r w:rsidRPr="005F622F">
        <w:rPr>
          <w:sz w:val="22"/>
          <w:szCs w:val="22"/>
          <w:lang w:val="en-US"/>
        </w:rPr>
        <w:t xml:space="preserve"> Evidence of negative implicit attitudes toward individuals with a tattoo near the face. </w:t>
      </w:r>
      <w:r w:rsidRPr="005F622F">
        <w:rPr>
          <w:rFonts w:eastAsiaTheme="minorHAnsi"/>
          <w:i/>
          <w:sz w:val="22"/>
          <w:szCs w:val="22"/>
          <w:lang w:val="en-US" w:eastAsia="en-US"/>
        </w:rPr>
        <w:t>Group Processes y Intergroup Relations, 20</w:t>
      </w:r>
      <w:r w:rsidRPr="005F622F">
        <w:rPr>
          <w:rFonts w:eastAsiaTheme="minorHAnsi"/>
          <w:sz w:val="22"/>
          <w:szCs w:val="22"/>
          <w:lang w:val="en-US" w:eastAsia="en-US"/>
        </w:rPr>
        <w:t>, 186–201.</w:t>
      </w:r>
    </w:p>
    <w:p w:rsidR="006D3B17" w:rsidRPr="005F622F" w:rsidRDefault="006D3B17" w:rsidP="006D3B17">
      <w:pPr>
        <w:ind w:left="709" w:hanging="709"/>
        <w:jc w:val="both"/>
        <w:rPr>
          <w:rFonts w:eastAsiaTheme="minorHAnsi"/>
          <w:sz w:val="22"/>
          <w:szCs w:val="22"/>
          <w:lang w:val="en-US" w:eastAsia="en-US"/>
        </w:rPr>
      </w:pPr>
    </w:p>
    <w:p w:rsidR="006D3B17" w:rsidRPr="006D3B17" w:rsidRDefault="006D3B17" w:rsidP="006D3B17">
      <w:pPr>
        <w:ind w:left="709" w:hanging="709"/>
        <w:jc w:val="both"/>
        <w:rPr>
          <w:sz w:val="22"/>
          <w:szCs w:val="22"/>
          <w:lang w:val="en-US"/>
        </w:rPr>
      </w:pPr>
      <w:proofErr w:type="gramStart"/>
      <w:r w:rsidRPr="005F622F">
        <w:rPr>
          <w:sz w:val="22"/>
          <w:szCs w:val="22"/>
          <w:lang w:val="en-US"/>
        </w:rPr>
        <w:lastRenderedPageBreak/>
        <w:t>Zestcott, C., Tompk</w:t>
      </w:r>
      <w:r w:rsidR="00665829">
        <w:rPr>
          <w:sz w:val="22"/>
          <w:szCs w:val="22"/>
          <w:lang w:val="en-US"/>
        </w:rPr>
        <w:t>ins, T., Kozak, M., Livesay, K.</w:t>
      </w:r>
      <w:r w:rsidR="00D54D65">
        <w:rPr>
          <w:sz w:val="22"/>
          <w:szCs w:val="22"/>
          <w:lang w:val="en-US"/>
        </w:rPr>
        <w:t xml:space="preserve"> &amp;</w:t>
      </w:r>
      <w:r w:rsidRPr="005F622F">
        <w:rPr>
          <w:sz w:val="22"/>
          <w:szCs w:val="22"/>
          <w:lang w:val="en-US"/>
        </w:rPr>
        <w:t xml:space="preserve"> K, Chan. (2018).</w:t>
      </w:r>
      <w:proofErr w:type="gramEnd"/>
      <w:r w:rsidRPr="005F622F">
        <w:rPr>
          <w:sz w:val="22"/>
          <w:szCs w:val="22"/>
          <w:lang w:val="en-US"/>
        </w:rPr>
        <w:t xml:space="preserve"> What do you think about ink? An examination of implicit and explicit attitudes toward tattooed individuals. </w:t>
      </w:r>
      <w:r w:rsidRPr="005F622F">
        <w:rPr>
          <w:i/>
          <w:sz w:val="22"/>
          <w:szCs w:val="22"/>
          <w:lang w:val="en-US"/>
        </w:rPr>
        <w:t>The Journal of Social Psychology, 158</w:t>
      </w:r>
      <w:r w:rsidRPr="005F622F">
        <w:rPr>
          <w:sz w:val="22"/>
          <w:szCs w:val="22"/>
          <w:lang w:val="en-US"/>
        </w:rPr>
        <w:t>(1), 7-22.</w:t>
      </w:r>
    </w:p>
    <w:sectPr w:rsidR="006D3B17" w:rsidRPr="006D3B17" w:rsidSect="00435695">
      <w:pgSz w:w="12240" w:h="15840"/>
      <w:pgMar w:top="1418" w:right="1418"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7C32" w:rsidRDefault="00127C32" w:rsidP="00345E71">
      <w:r>
        <w:separator/>
      </w:r>
    </w:p>
  </w:endnote>
  <w:endnote w:type="continuationSeparator" w:id="0">
    <w:p w:rsidR="00127C32" w:rsidRDefault="00127C32" w:rsidP="00345E7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7C32" w:rsidRDefault="00127C32" w:rsidP="00345E71">
      <w:r>
        <w:separator/>
      </w:r>
    </w:p>
  </w:footnote>
  <w:footnote w:type="continuationSeparator" w:id="0">
    <w:p w:rsidR="00127C32" w:rsidRDefault="00127C32" w:rsidP="00345E7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52DF7"/>
    <w:multiLevelType w:val="hybridMultilevel"/>
    <w:tmpl w:val="2E76D014"/>
    <w:lvl w:ilvl="0" w:tplc="0C0A0001">
      <w:start w:val="1"/>
      <w:numFmt w:val="bullet"/>
      <w:lvlText w:val=""/>
      <w:lvlJc w:val="left"/>
      <w:pPr>
        <w:ind w:left="720" w:hanging="360"/>
      </w:pPr>
      <w:rPr>
        <w:rFonts w:ascii="Symbol" w:hAnsi="Symbol" w:hint="default"/>
        <w:color w:val="auto"/>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
    <w:nsid w:val="27CA1D18"/>
    <w:multiLevelType w:val="hybridMultilevel"/>
    <w:tmpl w:val="A184C6E6"/>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
    <w:nsid w:val="42FA4507"/>
    <w:multiLevelType w:val="hybridMultilevel"/>
    <w:tmpl w:val="D89A1A1E"/>
    <w:lvl w:ilvl="0" w:tplc="FCCA8DAE">
      <w:numFmt w:val="bullet"/>
      <w:lvlText w:val="-"/>
      <w:lvlJc w:val="left"/>
      <w:pPr>
        <w:ind w:left="720" w:hanging="360"/>
      </w:pPr>
      <w:rPr>
        <w:rFonts w:ascii="Arial" w:eastAsia="Times New Roman" w:hAnsi="Arial" w:cs="Arial" w:hint="default"/>
        <w:color w:val="auto"/>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3">
    <w:nsid w:val="5DC35256"/>
    <w:multiLevelType w:val="hybridMultilevel"/>
    <w:tmpl w:val="EE54C9C2"/>
    <w:lvl w:ilvl="0" w:tplc="FCCA8DAE">
      <w:numFmt w:val="bullet"/>
      <w:lvlText w:val="-"/>
      <w:lvlJc w:val="left"/>
      <w:pPr>
        <w:ind w:left="720" w:hanging="360"/>
      </w:pPr>
      <w:rPr>
        <w:rFonts w:ascii="Arial" w:eastAsia="Times New Roman" w:hAnsi="Arial" w:cs="Aria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4">
    <w:nsid w:val="5FE21F8D"/>
    <w:multiLevelType w:val="hybridMultilevel"/>
    <w:tmpl w:val="484CFA08"/>
    <w:lvl w:ilvl="0" w:tplc="200A0001">
      <w:start w:val="1"/>
      <w:numFmt w:val="bullet"/>
      <w:lvlText w:val=""/>
      <w:lvlJc w:val="left"/>
      <w:pPr>
        <w:ind w:left="1428" w:hanging="360"/>
      </w:pPr>
      <w:rPr>
        <w:rFonts w:ascii="Symbol" w:hAnsi="Symbol" w:hint="default"/>
      </w:rPr>
    </w:lvl>
    <w:lvl w:ilvl="1" w:tplc="200A0003" w:tentative="1">
      <w:start w:val="1"/>
      <w:numFmt w:val="bullet"/>
      <w:lvlText w:val="o"/>
      <w:lvlJc w:val="left"/>
      <w:pPr>
        <w:ind w:left="2148" w:hanging="360"/>
      </w:pPr>
      <w:rPr>
        <w:rFonts w:ascii="Courier New" w:hAnsi="Courier New" w:cs="Courier New" w:hint="default"/>
      </w:rPr>
    </w:lvl>
    <w:lvl w:ilvl="2" w:tplc="200A0005" w:tentative="1">
      <w:start w:val="1"/>
      <w:numFmt w:val="bullet"/>
      <w:lvlText w:val=""/>
      <w:lvlJc w:val="left"/>
      <w:pPr>
        <w:ind w:left="2868" w:hanging="360"/>
      </w:pPr>
      <w:rPr>
        <w:rFonts w:ascii="Wingdings" w:hAnsi="Wingdings" w:hint="default"/>
      </w:rPr>
    </w:lvl>
    <w:lvl w:ilvl="3" w:tplc="200A0001" w:tentative="1">
      <w:start w:val="1"/>
      <w:numFmt w:val="bullet"/>
      <w:lvlText w:val=""/>
      <w:lvlJc w:val="left"/>
      <w:pPr>
        <w:ind w:left="3588" w:hanging="360"/>
      </w:pPr>
      <w:rPr>
        <w:rFonts w:ascii="Symbol" w:hAnsi="Symbol" w:hint="default"/>
      </w:rPr>
    </w:lvl>
    <w:lvl w:ilvl="4" w:tplc="200A0003" w:tentative="1">
      <w:start w:val="1"/>
      <w:numFmt w:val="bullet"/>
      <w:lvlText w:val="o"/>
      <w:lvlJc w:val="left"/>
      <w:pPr>
        <w:ind w:left="4308" w:hanging="360"/>
      </w:pPr>
      <w:rPr>
        <w:rFonts w:ascii="Courier New" w:hAnsi="Courier New" w:cs="Courier New" w:hint="default"/>
      </w:rPr>
    </w:lvl>
    <w:lvl w:ilvl="5" w:tplc="200A0005" w:tentative="1">
      <w:start w:val="1"/>
      <w:numFmt w:val="bullet"/>
      <w:lvlText w:val=""/>
      <w:lvlJc w:val="left"/>
      <w:pPr>
        <w:ind w:left="5028" w:hanging="360"/>
      </w:pPr>
      <w:rPr>
        <w:rFonts w:ascii="Wingdings" w:hAnsi="Wingdings" w:hint="default"/>
      </w:rPr>
    </w:lvl>
    <w:lvl w:ilvl="6" w:tplc="200A0001" w:tentative="1">
      <w:start w:val="1"/>
      <w:numFmt w:val="bullet"/>
      <w:lvlText w:val=""/>
      <w:lvlJc w:val="left"/>
      <w:pPr>
        <w:ind w:left="5748" w:hanging="360"/>
      </w:pPr>
      <w:rPr>
        <w:rFonts w:ascii="Symbol" w:hAnsi="Symbol" w:hint="default"/>
      </w:rPr>
    </w:lvl>
    <w:lvl w:ilvl="7" w:tplc="200A0003" w:tentative="1">
      <w:start w:val="1"/>
      <w:numFmt w:val="bullet"/>
      <w:lvlText w:val="o"/>
      <w:lvlJc w:val="left"/>
      <w:pPr>
        <w:ind w:left="6468" w:hanging="360"/>
      </w:pPr>
      <w:rPr>
        <w:rFonts w:ascii="Courier New" w:hAnsi="Courier New" w:cs="Courier New" w:hint="default"/>
      </w:rPr>
    </w:lvl>
    <w:lvl w:ilvl="8" w:tplc="200A0005" w:tentative="1">
      <w:start w:val="1"/>
      <w:numFmt w:val="bullet"/>
      <w:lvlText w:val=""/>
      <w:lvlJc w:val="left"/>
      <w:pPr>
        <w:ind w:left="7188" w:hanging="360"/>
      </w:pPr>
      <w:rPr>
        <w:rFonts w:ascii="Wingdings" w:hAnsi="Wingdings" w:hint="default"/>
      </w:rPr>
    </w:lvl>
  </w:abstractNum>
  <w:abstractNum w:abstractNumId="5">
    <w:nsid w:val="6619198B"/>
    <w:multiLevelType w:val="multilevel"/>
    <w:tmpl w:val="2A6A77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4"/>
  </w:num>
  <w:num w:numId="3">
    <w:abstractNumId w:val="1"/>
  </w:num>
  <w:num w:numId="4">
    <w:abstractNumId w:val="3"/>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7621E"/>
    <w:rsid w:val="000235C1"/>
    <w:rsid w:val="00025DA8"/>
    <w:rsid w:val="000667CD"/>
    <w:rsid w:val="00072747"/>
    <w:rsid w:val="000727A5"/>
    <w:rsid w:val="000774E7"/>
    <w:rsid w:val="000A3F2C"/>
    <w:rsid w:val="000A548F"/>
    <w:rsid w:val="000A765D"/>
    <w:rsid w:val="000C0437"/>
    <w:rsid w:val="000C1E46"/>
    <w:rsid w:val="000C61A9"/>
    <w:rsid w:val="000D0B3D"/>
    <w:rsid w:val="000D3144"/>
    <w:rsid w:val="000D415D"/>
    <w:rsid w:val="000D4D3D"/>
    <w:rsid w:val="000D6052"/>
    <w:rsid w:val="000E3568"/>
    <w:rsid w:val="00120266"/>
    <w:rsid w:val="001223BB"/>
    <w:rsid w:val="00123FB0"/>
    <w:rsid w:val="00127C32"/>
    <w:rsid w:val="001343CD"/>
    <w:rsid w:val="00155EBA"/>
    <w:rsid w:val="00157803"/>
    <w:rsid w:val="001603E0"/>
    <w:rsid w:val="00161CAA"/>
    <w:rsid w:val="00173260"/>
    <w:rsid w:val="00180CC1"/>
    <w:rsid w:val="00181E09"/>
    <w:rsid w:val="00194A75"/>
    <w:rsid w:val="001A6600"/>
    <w:rsid w:val="001A6E62"/>
    <w:rsid w:val="001C5CB6"/>
    <w:rsid w:val="001C62D9"/>
    <w:rsid w:val="001D16B2"/>
    <w:rsid w:val="001E6379"/>
    <w:rsid w:val="001F00C6"/>
    <w:rsid w:val="001F1B87"/>
    <w:rsid w:val="0020572E"/>
    <w:rsid w:val="00213676"/>
    <w:rsid w:val="0022430A"/>
    <w:rsid w:val="00233C14"/>
    <w:rsid w:val="0023612F"/>
    <w:rsid w:val="00240CAF"/>
    <w:rsid w:val="00243614"/>
    <w:rsid w:val="002533C7"/>
    <w:rsid w:val="0025560A"/>
    <w:rsid w:val="002611FD"/>
    <w:rsid w:val="002869A8"/>
    <w:rsid w:val="00287579"/>
    <w:rsid w:val="002876D2"/>
    <w:rsid w:val="002B03F3"/>
    <w:rsid w:val="002B0902"/>
    <w:rsid w:val="002B4AE6"/>
    <w:rsid w:val="002C2F4C"/>
    <w:rsid w:val="002E026E"/>
    <w:rsid w:val="002E4F2C"/>
    <w:rsid w:val="002F45D0"/>
    <w:rsid w:val="002F534D"/>
    <w:rsid w:val="002F6A14"/>
    <w:rsid w:val="002F72E5"/>
    <w:rsid w:val="0030287A"/>
    <w:rsid w:val="00302E1E"/>
    <w:rsid w:val="00313C8F"/>
    <w:rsid w:val="00321594"/>
    <w:rsid w:val="00345E71"/>
    <w:rsid w:val="00347418"/>
    <w:rsid w:val="00347B90"/>
    <w:rsid w:val="00352F5A"/>
    <w:rsid w:val="00355495"/>
    <w:rsid w:val="003568D1"/>
    <w:rsid w:val="003634BC"/>
    <w:rsid w:val="003702C9"/>
    <w:rsid w:val="00372130"/>
    <w:rsid w:val="00373061"/>
    <w:rsid w:val="00376698"/>
    <w:rsid w:val="00381AC2"/>
    <w:rsid w:val="0039686A"/>
    <w:rsid w:val="003A2784"/>
    <w:rsid w:val="003A5204"/>
    <w:rsid w:val="003A5CCF"/>
    <w:rsid w:val="003B184C"/>
    <w:rsid w:val="003B5004"/>
    <w:rsid w:val="003D327B"/>
    <w:rsid w:val="003D4DC6"/>
    <w:rsid w:val="003D5E65"/>
    <w:rsid w:val="003E525D"/>
    <w:rsid w:val="003F1269"/>
    <w:rsid w:val="003F3233"/>
    <w:rsid w:val="003F7FE9"/>
    <w:rsid w:val="004054AB"/>
    <w:rsid w:val="00407DBE"/>
    <w:rsid w:val="00413301"/>
    <w:rsid w:val="004246BB"/>
    <w:rsid w:val="004331AF"/>
    <w:rsid w:val="00435695"/>
    <w:rsid w:val="00441E92"/>
    <w:rsid w:val="004473EF"/>
    <w:rsid w:val="00451123"/>
    <w:rsid w:val="00452C0E"/>
    <w:rsid w:val="00454777"/>
    <w:rsid w:val="00462A07"/>
    <w:rsid w:val="0046551D"/>
    <w:rsid w:val="004672AC"/>
    <w:rsid w:val="00471C87"/>
    <w:rsid w:val="00472836"/>
    <w:rsid w:val="00476069"/>
    <w:rsid w:val="0047621E"/>
    <w:rsid w:val="004917BF"/>
    <w:rsid w:val="004A0D0D"/>
    <w:rsid w:val="004A1983"/>
    <w:rsid w:val="004A31AF"/>
    <w:rsid w:val="004A31BC"/>
    <w:rsid w:val="004B3781"/>
    <w:rsid w:val="004C3F4E"/>
    <w:rsid w:val="004C4064"/>
    <w:rsid w:val="004C48B5"/>
    <w:rsid w:val="004C6F14"/>
    <w:rsid w:val="004C7958"/>
    <w:rsid w:val="004D0130"/>
    <w:rsid w:val="004D44D8"/>
    <w:rsid w:val="004D77A5"/>
    <w:rsid w:val="004F3AEA"/>
    <w:rsid w:val="004F572C"/>
    <w:rsid w:val="0050735A"/>
    <w:rsid w:val="00513E88"/>
    <w:rsid w:val="00522BAA"/>
    <w:rsid w:val="0053382D"/>
    <w:rsid w:val="00535E0E"/>
    <w:rsid w:val="005371E2"/>
    <w:rsid w:val="005573D5"/>
    <w:rsid w:val="00563A15"/>
    <w:rsid w:val="00564181"/>
    <w:rsid w:val="0058180B"/>
    <w:rsid w:val="00583476"/>
    <w:rsid w:val="00586D23"/>
    <w:rsid w:val="005977F9"/>
    <w:rsid w:val="005B25EA"/>
    <w:rsid w:val="005B7196"/>
    <w:rsid w:val="005C6470"/>
    <w:rsid w:val="005D4FE8"/>
    <w:rsid w:val="005F1699"/>
    <w:rsid w:val="005F26A3"/>
    <w:rsid w:val="005F622F"/>
    <w:rsid w:val="00606925"/>
    <w:rsid w:val="006100C7"/>
    <w:rsid w:val="00616974"/>
    <w:rsid w:val="00622E1F"/>
    <w:rsid w:val="006349E1"/>
    <w:rsid w:val="00636693"/>
    <w:rsid w:val="00645B36"/>
    <w:rsid w:val="00657142"/>
    <w:rsid w:val="00660C00"/>
    <w:rsid w:val="00665829"/>
    <w:rsid w:val="006712D1"/>
    <w:rsid w:val="00674417"/>
    <w:rsid w:val="0069183D"/>
    <w:rsid w:val="0069207E"/>
    <w:rsid w:val="006A24DE"/>
    <w:rsid w:val="006B557D"/>
    <w:rsid w:val="006D3B17"/>
    <w:rsid w:val="006E63F6"/>
    <w:rsid w:val="006E7867"/>
    <w:rsid w:val="007009A3"/>
    <w:rsid w:val="00723935"/>
    <w:rsid w:val="00730D78"/>
    <w:rsid w:val="00733D0F"/>
    <w:rsid w:val="0073424C"/>
    <w:rsid w:val="0074093E"/>
    <w:rsid w:val="00741C8A"/>
    <w:rsid w:val="0075190A"/>
    <w:rsid w:val="00772712"/>
    <w:rsid w:val="007C3566"/>
    <w:rsid w:val="007D5F83"/>
    <w:rsid w:val="007F21B6"/>
    <w:rsid w:val="007F5E43"/>
    <w:rsid w:val="007F6C3A"/>
    <w:rsid w:val="007F7608"/>
    <w:rsid w:val="00804BA6"/>
    <w:rsid w:val="00814FE2"/>
    <w:rsid w:val="00815F36"/>
    <w:rsid w:val="008279DC"/>
    <w:rsid w:val="00841EAD"/>
    <w:rsid w:val="008502A1"/>
    <w:rsid w:val="00874202"/>
    <w:rsid w:val="00885763"/>
    <w:rsid w:val="00895D52"/>
    <w:rsid w:val="008A2C4D"/>
    <w:rsid w:val="008A37D8"/>
    <w:rsid w:val="008A6D69"/>
    <w:rsid w:val="008A73FE"/>
    <w:rsid w:val="008B7770"/>
    <w:rsid w:val="008C507E"/>
    <w:rsid w:val="008D7C60"/>
    <w:rsid w:val="008E17EB"/>
    <w:rsid w:val="008F6601"/>
    <w:rsid w:val="009027F2"/>
    <w:rsid w:val="00907671"/>
    <w:rsid w:val="00910069"/>
    <w:rsid w:val="00922FB8"/>
    <w:rsid w:val="0093247A"/>
    <w:rsid w:val="00946328"/>
    <w:rsid w:val="00950152"/>
    <w:rsid w:val="009716E8"/>
    <w:rsid w:val="00975D01"/>
    <w:rsid w:val="00985976"/>
    <w:rsid w:val="009A100D"/>
    <w:rsid w:val="009B60DE"/>
    <w:rsid w:val="009D3625"/>
    <w:rsid w:val="009D4B59"/>
    <w:rsid w:val="009E3DD8"/>
    <w:rsid w:val="009F312C"/>
    <w:rsid w:val="00A05A64"/>
    <w:rsid w:val="00A17061"/>
    <w:rsid w:val="00A257E7"/>
    <w:rsid w:val="00A27742"/>
    <w:rsid w:val="00A37B90"/>
    <w:rsid w:val="00A40D40"/>
    <w:rsid w:val="00A44F27"/>
    <w:rsid w:val="00A5584D"/>
    <w:rsid w:val="00A562BB"/>
    <w:rsid w:val="00A84DFB"/>
    <w:rsid w:val="00AA5D79"/>
    <w:rsid w:val="00AB7003"/>
    <w:rsid w:val="00AC7EB2"/>
    <w:rsid w:val="00AD22B2"/>
    <w:rsid w:val="00AE3F2D"/>
    <w:rsid w:val="00B03273"/>
    <w:rsid w:val="00B1179E"/>
    <w:rsid w:val="00B22661"/>
    <w:rsid w:val="00B241EF"/>
    <w:rsid w:val="00B2758E"/>
    <w:rsid w:val="00B33CA4"/>
    <w:rsid w:val="00B45AA4"/>
    <w:rsid w:val="00B53BAE"/>
    <w:rsid w:val="00B65349"/>
    <w:rsid w:val="00B75842"/>
    <w:rsid w:val="00B75973"/>
    <w:rsid w:val="00B759C0"/>
    <w:rsid w:val="00B91AF1"/>
    <w:rsid w:val="00B926EF"/>
    <w:rsid w:val="00BC4E45"/>
    <w:rsid w:val="00BD5DA1"/>
    <w:rsid w:val="00BF3090"/>
    <w:rsid w:val="00BF5D09"/>
    <w:rsid w:val="00BF6581"/>
    <w:rsid w:val="00C32C6B"/>
    <w:rsid w:val="00C57D70"/>
    <w:rsid w:val="00C7546C"/>
    <w:rsid w:val="00C80F3E"/>
    <w:rsid w:val="00C82554"/>
    <w:rsid w:val="00C855C1"/>
    <w:rsid w:val="00C918A6"/>
    <w:rsid w:val="00CA2072"/>
    <w:rsid w:val="00CC36F1"/>
    <w:rsid w:val="00CC4B47"/>
    <w:rsid w:val="00CC4F54"/>
    <w:rsid w:val="00CD4F98"/>
    <w:rsid w:val="00CF071B"/>
    <w:rsid w:val="00D06346"/>
    <w:rsid w:val="00D066E9"/>
    <w:rsid w:val="00D266B6"/>
    <w:rsid w:val="00D307C4"/>
    <w:rsid w:val="00D32772"/>
    <w:rsid w:val="00D477ED"/>
    <w:rsid w:val="00D54D65"/>
    <w:rsid w:val="00D56D86"/>
    <w:rsid w:val="00D61036"/>
    <w:rsid w:val="00D65589"/>
    <w:rsid w:val="00D9320A"/>
    <w:rsid w:val="00DA230E"/>
    <w:rsid w:val="00DA261B"/>
    <w:rsid w:val="00DA37CE"/>
    <w:rsid w:val="00DC12D8"/>
    <w:rsid w:val="00DE4FB4"/>
    <w:rsid w:val="00DF45C5"/>
    <w:rsid w:val="00DF7695"/>
    <w:rsid w:val="00E0038A"/>
    <w:rsid w:val="00E17E9C"/>
    <w:rsid w:val="00E210A3"/>
    <w:rsid w:val="00E32232"/>
    <w:rsid w:val="00E52063"/>
    <w:rsid w:val="00E62039"/>
    <w:rsid w:val="00E643D1"/>
    <w:rsid w:val="00E918FF"/>
    <w:rsid w:val="00E9475A"/>
    <w:rsid w:val="00EB15FE"/>
    <w:rsid w:val="00ED10F5"/>
    <w:rsid w:val="00ED1A24"/>
    <w:rsid w:val="00ED27AA"/>
    <w:rsid w:val="00EE69CA"/>
    <w:rsid w:val="00EE74C5"/>
    <w:rsid w:val="00EE7BE8"/>
    <w:rsid w:val="00EF3A3A"/>
    <w:rsid w:val="00EF57B3"/>
    <w:rsid w:val="00EF6A24"/>
    <w:rsid w:val="00F03C21"/>
    <w:rsid w:val="00F123B9"/>
    <w:rsid w:val="00F145BC"/>
    <w:rsid w:val="00F27FD4"/>
    <w:rsid w:val="00F37FF7"/>
    <w:rsid w:val="00F40DDA"/>
    <w:rsid w:val="00F56D51"/>
    <w:rsid w:val="00F57D19"/>
    <w:rsid w:val="00F62285"/>
    <w:rsid w:val="00F67D34"/>
    <w:rsid w:val="00F93CB8"/>
    <w:rsid w:val="00F9464A"/>
    <w:rsid w:val="00F966F7"/>
    <w:rsid w:val="00F972BB"/>
    <w:rsid w:val="00FA04E4"/>
    <w:rsid w:val="00FA6CD4"/>
    <w:rsid w:val="00FB6C08"/>
    <w:rsid w:val="00FC541E"/>
    <w:rsid w:val="00FD03E8"/>
    <w:rsid w:val="00FD2951"/>
    <w:rsid w:val="00FF60D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21E"/>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B1179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9">
    <w:name w:val="heading 9"/>
    <w:basedOn w:val="Normal"/>
    <w:next w:val="Normal"/>
    <w:link w:val="Ttulo9Car"/>
    <w:qFormat/>
    <w:rsid w:val="0047621E"/>
    <w:pPr>
      <w:keepNext/>
      <w:pBdr>
        <w:top w:val="single" w:sz="6" w:space="1" w:color="auto"/>
        <w:left w:val="single" w:sz="6" w:space="1" w:color="auto"/>
        <w:bottom w:val="single" w:sz="6" w:space="1" w:color="auto"/>
        <w:right w:val="single" w:sz="6" w:space="1" w:color="auto"/>
      </w:pBdr>
      <w:outlineLvl w:val="8"/>
    </w:pPr>
    <w:rPr>
      <w:rFonts w:ascii="Arial" w:hAnsi="Arial"/>
      <w:b/>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9Car">
    <w:name w:val="Título 9 Car"/>
    <w:basedOn w:val="Fuentedeprrafopredeter"/>
    <w:link w:val="Ttulo9"/>
    <w:rsid w:val="0047621E"/>
    <w:rPr>
      <w:rFonts w:ascii="Arial" w:eastAsia="Times New Roman" w:hAnsi="Arial" w:cs="Times New Roman"/>
      <w:b/>
      <w:i/>
      <w:sz w:val="24"/>
      <w:szCs w:val="24"/>
      <w:lang w:val="es-ES" w:eastAsia="es-ES"/>
    </w:rPr>
  </w:style>
  <w:style w:type="paragraph" w:styleId="HTMLconformatoprevio">
    <w:name w:val="HTML Preformatted"/>
    <w:basedOn w:val="Normal"/>
    <w:link w:val="HTMLconformatoprevioCar"/>
    <w:uiPriority w:val="99"/>
    <w:semiHidden/>
    <w:unhideWhenUsed/>
    <w:rsid w:val="00313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VE" w:eastAsia="es-VE"/>
    </w:rPr>
  </w:style>
  <w:style w:type="character" w:customStyle="1" w:styleId="HTMLconformatoprevioCar">
    <w:name w:val="HTML con formato previo Car"/>
    <w:basedOn w:val="Fuentedeprrafopredeter"/>
    <w:link w:val="HTMLconformatoprevio"/>
    <w:uiPriority w:val="99"/>
    <w:semiHidden/>
    <w:rsid w:val="00313C8F"/>
    <w:rPr>
      <w:rFonts w:ascii="Courier New" w:eastAsia="Times New Roman" w:hAnsi="Courier New" w:cs="Courier New"/>
      <w:sz w:val="20"/>
      <w:szCs w:val="20"/>
      <w:lang w:eastAsia="es-VE"/>
    </w:rPr>
  </w:style>
  <w:style w:type="paragraph" w:customStyle="1" w:styleId="Normal1">
    <w:name w:val="Normal1"/>
    <w:rsid w:val="00B91AF1"/>
    <w:pPr>
      <w:spacing w:after="0" w:line="240" w:lineRule="auto"/>
    </w:pPr>
    <w:rPr>
      <w:rFonts w:ascii="Times New Roman" w:eastAsia="Times New Roman" w:hAnsi="Times New Roman" w:cs="Times New Roman"/>
      <w:sz w:val="24"/>
      <w:szCs w:val="24"/>
      <w:lang w:val="es-ES" w:eastAsia="es-VE"/>
    </w:rPr>
  </w:style>
  <w:style w:type="paragraph" w:styleId="Bibliografa">
    <w:name w:val="Bibliography"/>
    <w:basedOn w:val="Normal"/>
    <w:next w:val="Normal"/>
    <w:uiPriority w:val="37"/>
    <w:unhideWhenUsed/>
    <w:rsid w:val="0058180B"/>
  </w:style>
  <w:style w:type="character" w:styleId="Hipervnculo">
    <w:name w:val="Hyperlink"/>
    <w:basedOn w:val="Fuentedeprrafopredeter"/>
    <w:uiPriority w:val="99"/>
    <w:semiHidden/>
    <w:unhideWhenUsed/>
    <w:rsid w:val="005F1699"/>
    <w:rPr>
      <w:color w:val="0000FF"/>
      <w:u w:val="single"/>
    </w:rPr>
  </w:style>
  <w:style w:type="character" w:customStyle="1" w:styleId="Ttulo1Car">
    <w:name w:val="Título 1 Car"/>
    <w:basedOn w:val="Fuentedeprrafopredeter"/>
    <w:link w:val="Ttulo1"/>
    <w:uiPriority w:val="9"/>
    <w:rsid w:val="00B1179E"/>
    <w:rPr>
      <w:rFonts w:asciiTheme="majorHAnsi" w:eastAsiaTheme="majorEastAsia" w:hAnsiTheme="majorHAnsi" w:cstheme="majorBidi"/>
      <w:b/>
      <w:bCs/>
      <w:color w:val="365F91" w:themeColor="accent1" w:themeShade="BF"/>
      <w:sz w:val="28"/>
      <w:szCs w:val="28"/>
      <w:lang w:val="es-ES" w:eastAsia="es-ES"/>
    </w:rPr>
  </w:style>
  <w:style w:type="paragraph" w:styleId="Prrafodelista">
    <w:name w:val="List Paragraph"/>
    <w:basedOn w:val="Normal"/>
    <w:uiPriority w:val="34"/>
    <w:qFormat/>
    <w:rsid w:val="00DA261B"/>
    <w:pPr>
      <w:ind w:left="720"/>
      <w:contextualSpacing/>
    </w:pPr>
  </w:style>
  <w:style w:type="character" w:styleId="Refdecomentario">
    <w:name w:val="annotation reference"/>
    <w:basedOn w:val="Fuentedeprrafopredeter"/>
    <w:uiPriority w:val="99"/>
    <w:semiHidden/>
    <w:unhideWhenUsed/>
    <w:rsid w:val="00321594"/>
    <w:rPr>
      <w:sz w:val="16"/>
      <w:szCs w:val="16"/>
    </w:rPr>
  </w:style>
  <w:style w:type="paragraph" w:styleId="Textocomentario">
    <w:name w:val="annotation text"/>
    <w:basedOn w:val="Normal"/>
    <w:link w:val="TextocomentarioCar"/>
    <w:uiPriority w:val="99"/>
    <w:semiHidden/>
    <w:unhideWhenUsed/>
    <w:rsid w:val="00321594"/>
    <w:rPr>
      <w:sz w:val="20"/>
      <w:szCs w:val="20"/>
    </w:rPr>
  </w:style>
  <w:style w:type="character" w:customStyle="1" w:styleId="TextocomentarioCar">
    <w:name w:val="Texto comentario Car"/>
    <w:basedOn w:val="Fuentedeprrafopredeter"/>
    <w:link w:val="Textocomentario"/>
    <w:uiPriority w:val="99"/>
    <w:semiHidden/>
    <w:rsid w:val="00321594"/>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21594"/>
    <w:rPr>
      <w:b/>
      <w:bCs/>
    </w:rPr>
  </w:style>
  <w:style w:type="character" w:customStyle="1" w:styleId="AsuntodelcomentarioCar">
    <w:name w:val="Asunto del comentario Car"/>
    <w:basedOn w:val="TextocomentarioCar"/>
    <w:link w:val="Asuntodelcomentario"/>
    <w:uiPriority w:val="99"/>
    <w:semiHidden/>
    <w:rsid w:val="00321594"/>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321594"/>
    <w:rPr>
      <w:rFonts w:ascii="Tahoma" w:hAnsi="Tahoma" w:cs="Tahoma"/>
      <w:sz w:val="16"/>
      <w:szCs w:val="16"/>
    </w:rPr>
  </w:style>
  <w:style w:type="character" w:customStyle="1" w:styleId="TextodegloboCar">
    <w:name w:val="Texto de globo Car"/>
    <w:basedOn w:val="Fuentedeprrafopredeter"/>
    <w:link w:val="Textodeglobo"/>
    <w:uiPriority w:val="99"/>
    <w:semiHidden/>
    <w:rsid w:val="00321594"/>
    <w:rPr>
      <w:rFonts w:ascii="Tahoma" w:eastAsia="Times New Roman" w:hAnsi="Tahoma" w:cs="Tahoma"/>
      <w:sz w:val="16"/>
      <w:szCs w:val="16"/>
      <w:lang w:val="es-ES" w:eastAsia="es-ES"/>
    </w:rPr>
  </w:style>
  <w:style w:type="paragraph" w:customStyle="1" w:styleId="Normal2">
    <w:name w:val="Normal2"/>
    <w:rsid w:val="002E026E"/>
    <w:pPr>
      <w:spacing w:after="0" w:line="240" w:lineRule="auto"/>
    </w:pPr>
    <w:rPr>
      <w:rFonts w:ascii="Times New Roman" w:eastAsia="Times New Roman" w:hAnsi="Times New Roman" w:cs="Times New Roman"/>
      <w:sz w:val="24"/>
      <w:szCs w:val="24"/>
      <w:lang w:val="es-ES" w:eastAsia="es-VE"/>
    </w:rPr>
  </w:style>
  <w:style w:type="paragraph" w:styleId="Revisin">
    <w:name w:val="Revision"/>
    <w:hidden/>
    <w:uiPriority w:val="99"/>
    <w:semiHidden/>
    <w:rsid w:val="00451123"/>
    <w:pPr>
      <w:spacing w:after="0" w:line="240" w:lineRule="auto"/>
    </w:pPr>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B759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6D3B17"/>
    <w:pPr>
      <w:spacing w:before="100" w:beforeAutospacing="1" w:after="100" w:afterAutospacing="1"/>
    </w:pPr>
    <w:rPr>
      <w:lang w:val="es-VE" w:eastAsia="es-VE"/>
    </w:rPr>
  </w:style>
  <w:style w:type="paragraph" w:styleId="Encabezado">
    <w:name w:val="header"/>
    <w:basedOn w:val="Normal"/>
    <w:link w:val="EncabezadoCar"/>
    <w:uiPriority w:val="99"/>
    <w:unhideWhenUsed/>
    <w:rsid w:val="00345E71"/>
    <w:pPr>
      <w:tabs>
        <w:tab w:val="center" w:pos="4419"/>
        <w:tab w:val="right" w:pos="8838"/>
      </w:tabs>
    </w:pPr>
  </w:style>
  <w:style w:type="character" w:customStyle="1" w:styleId="EncabezadoCar">
    <w:name w:val="Encabezado Car"/>
    <w:basedOn w:val="Fuentedeprrafopredeter"/>
    <w:link w:val="Encabezado"/>
    <w:uiPriority w:val="99"/>
    <w:rsid w:val="00345E71"/>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45E71"/>
    <w:pPr>
      <w:tabs>
        <w:tab w:val="center" w:pos="4419"/>
        <w:tab w:val="right" w:pos="8838"/>
      </w:tabs>
    </w:pPr>
  </w:style>
  <w:style w:type="character" w:customStyle="1" w:styleId="PiedepginaCar">
    <w:name w:val="Pie de página Car"/>
    <w:basedOn w:val="Fuentedeprrafopredeter"/>
    <w:link w:val="Piedepgina"/>
    <w:uiPriority w:val="99"/>
    <w:rsid w:val="00345E71"/>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VE" w:eastAsia="es-V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5835254">
      <w:bodyDiv w:val="1"/>
      <w:marLeft w:val="0"/>
      <w:marRight w:val="0"/>
      <w:marTop w:val="0"/>
      <w:marBottom w:val="0"/>
      <w:divBdr>
        <w:top w:val="none" w:sz="0" w:space="0" w:color="auto"/>
        <w:left w:val="none" w:sz="0" w:space="0" w:color="auto"/>
        <w:bottom w:val="none" w:sz="0" w:space="0" w:color="auto"/>
        <w:right w:val="none" w:sz="0" w:space="0" w:color="auto"/>
      </w:divBdr>
    </w:div>
    <w:div w:id="66459444">
      <w:bodyDiv w:val="1"/>
      <w:marLeft w:val="0"/>
      <w:marRight w:val="0"/>
      <w:marTop w:val="0"/>
      <w:marBottom w:val="0"/>
      <w:divBdr>
        <w:top w:val="none" w:sz="0" w:space="0" w:color="auto"/>
        <w:left w:val="none" w:sz="0" w:space="0" w:color="auto"/>
        <w:bottom w:val="none" w:sz="0" w:space="0" w:color="auto"/>
        <w:right w:val="none" w:sz="0" w:space="0" w:color="auto"/>
      </w:divBdr>
    </w:div>
    <w:div w:id="433864096">
      <w:bodyDiv w:val="1"/>
      <w:marLeft w:val="0"/>
      <w:marRight w:val="0"/>
      <w:marTop w:val="0"/>
      <w:marBottom w:val="0"/>
      <w:divBdr>
        <w:top w:val="none" w:sz="0" w:space="0" w:color="auto"/>
        <w:left w:val="none" w:sz="0" w:space="0" w:color="auto"/>
        <w:bottom w:val="none" w:sz="0" w:space="0" w:color="auto"/>
        <w:right w:val="none" w:sz="0" w:space="0" w:color="auto"/>
      </w:divBdr>
    </w:div>
    <w:div w:id="436371332">
      <w:bodyDiv w:val="1"/>
      <w:marLeft w:val="0"/>
      <w:marRight w:val="0"/>
      <w:marTop w:val="0"/>
      <w:marBottom w:val="0"/>
      <w:divBdr>
        <w:top w:val="none" w:sz="0" w:space="0" w:color="auto"/>
        <w:left w:val="none" w:sz="0" w:space="0" w:color="auto"/>
        <w:bottom w:val="none" w:sz="0" w:space="0" w:color="auto"/>
        <w:right w:val="none" w:sz="0" w:space="0" w:color="auto"/>
      </w:divBdr>
    </w:div>
    <w:div w:id="851920074">
      <w:bodyDiv w:val="1"/>
      <w:marLeft w:val="0"/>
      <w:marRight w:val="0"/>
      <w:marTop w:val="0"/>
      <w:marBottom w:val="0"/>
      <w:divBdr>
        <w:top w:val="none" w:sz="0" w:space="0" w:color="auto"/>
        <w:left w:val="none" w:sz="0" w:space="0" w:color="auto"/>
        <w:bottom w:val="none" w:sz="0" w:space="0" w:color="auto"/>
        <w:right w:val="none" w:sz="0" w:space="0" w:color="auto"/>
      </w:divBdr>
    </w:div>
    <w:div w:id="1070271556">
      <w:bodyDiv w:val="1"/>
      <w:marLeft w:val="0"/>
      <w:marRight w:val="0"/>
      <w:marTop w:val="0"/>
      <w:marBottom w:val="0"/>
      <w:divBdr>
        <w:top w:val="none" w:sz="0" w:space="0" w:color="auto"/>
        <w:left w:val="none" w:sz="0" w:space="0" w:color="auto"/>
        <w:bottom w:val="none" w:sz="0" w:space="0" w:color="auto"/>
        <w:right w:val="none" w:sz="0" w:space="0" w:color="auto"/>
      </w:divBdr>
    </w:div>
    <w:div w:id="1087506569">
      <w:bodyDiv w:val="1"/>
      <w:marLeft w:val="0"/>
      <w:marRight w:val="0"/>
      <w:marTop w:val="0"/>
      <w:marBottom w:val="0"/>
      <w:divBdr>
        <w:top w:val="none" w:sz="0" w:space="0" w:color="auto"/>
        <w:left w:val="none" w:sz="0" w:space="0" w:color="auto"/>
        <w:bottom w:val="none" w:sz="0" w:space="0" w:color="auto"/>
        <w:right w:val="none" w:sz="0" w:space="0" w:color="auto"/>
      </w:divBdr>
    </w:div>
    <w:div w:id="1343434938">
      <w:bodyDiv w:val="1"/>
      <w:marLeft w:val="0"/>
      <w:marRight w:val="0"/>
      <w:marTop w:val="0"/>
      <w:marBottom w:val="0"/>
      <w:divBdr>
        <w:top w:val="none" w:sz="0" w:space="0" w:color="auto"/>
        <w:left w:val="none" w:sz="0" w:space="0" w:color="auto"/>
        <w:bottom w:val="none" w:sz="0" w:space="0" w:color="auto"/>
        <w:right w:val="none" w:sz="0" w:space="0" w:color="auto"/>
      </w:divBdr>
    </w:div>
    <w:div w:id="1600799403">
      <w:bodyDiv w:val="1"/>
      <w:marLeft w:val="0"/>
      <w:marRight w:val="0"/>
      <w:marTop w:val="0"/>
      <w:marBottom w:val="0"/>
      <w:divBdr>
        <w:top w:val="none" w:sz="0" w:space="0" w:color="auto"/>
        <w:left w:val="none" w:sz="0" w:space="0" w:color="auto"/>
        <w:bottom w:val="none" w:sz="0" w:space="0" w:color="auto"/>
        <w:right w:val="none" w:sz="0" w:space="0" w:color="auto"/>
      </w:divBdr>
    </w:div>
    <w:div w:id="1699623255">
      <w:bodyDiv w:val="1"/>
      <w:marLeft w:val="0"/>
      <w:marRight w:val="0"/>
      <w:marTop w:val="0"/>
      <w:marBottom w:val="0"/>
      <w:divBdr>
        <w:top w:val="none" w:sz="0" w:space="0" w:color="auto"/>
        <w:left w:val="none" w:sz="0" w:space="0" w:color="auto"/>
        <w:bottom w:val="none" w:sz="0" w:space="0" w:color="auto"/>
        <w:right w:val="none" w:sz="0" w:space="0" w:color="auto"/>
      </w:divBdr>
    </w:div>
    <w:div w:id="207493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Fun13</b:Tag>
    <b:SourceType>JournalArticle</b:SourceType>
    <b:Guid>{1E73F16C-700A-451E-9937-5CCAC2FDD500}</b:Guid>
    <b:Author>
      <b:Author>
        <b:NameList>
          <b:Person>
            <b:Last>Funk</b:Last>
            <b:First>F</b:First>
          </b:Person>
          <b:Person>
            <b:Last>Todorov</b:Last>
            <b:First>A</b:First>
          </b:Person>
        </b:NameList>
      </b:Author>
    </b:Author>
    <b:Title>Criminal Stereotypes in the Courtroom: Facial Tattoos Affect Guilt and Punishment Differently</b:Title>
    <b:Year>2013</b:Year>
    <b:JournalName>Psychology, Public Policy, and Law</b:JournalName>
    <b:Pages>466-478</b:Pages>
    <b:Volume>19</b:Volume>
    <b:Issue>4</b:Issue>
    <b:RefOrder>1</b:RefOrder>
  </b:Source>
  <b:Source>
    <b:Tag>Mén15</b:Tag>
    <b:SourceType>JournalArticle</b:SourceType>
    <b:Guid>{9F0043EC-9EC1-4DFC-B98B-99BA21BE944E}</b:Guid>
    <b:Author>
      <b:Author>
        <b:NameList>
          <b:Person>
            <b:Last>Méndez</b:Last>
            <b:First>M</b:First>
          </b:Person>
        </b:NameList>
      </b:Author>
    </b:Author>
    <b:Title>Attitudes Toward Tattoos in the Workplace</b:Title>
    <b:JournalName>Angelo State University Social Sciences Research Journal</b:JournalName>
    <b:Year>2015</b:Year>
    <b:Pages>1-28</b:Pages>
    <b:Volume>2</b:Volume>
    <b:Issue>2</b:Issue>
    <b:RefOrder>2</b:RefOrder>
  </b:Source>
  <b:Source>
    <b:Tag>Pal09</b:Tag>
    <b:SourceType>JournalArticle</b:SourceType>
    <b:Guid>{0BF56678-20A8-4E95-B3A9-EC6617250D95}</b:Guid>
    <b:LCID>1033</b:LCID>
    <b:Author>
      <b:Author>
        <b:NameList>
          <b:Person>
            <b:Last>Paluck</b:Last>
            <b:First>E</b:First>
          </b:Person>
          <b:Person>
            <b:Last>Green</b:Last>
            <b:First>D</b:First>
          </b:Person>
        </b:NameList>
      </b:Author>
    </b:Author>
    <b:Title>Prejudice Reduction: What Works? A Review and Assessment of Research and Practice</b:Title>
    <b:Year>2009</b:Year>
    <b:JournalName>Annual Review of Psychology</b:JournalName>
    <b:Pages>339-367</b:Pages>
    <b:Volume>60</b:Volume>
    <b:RefOrder>3</b:RefOrder>
  </b:Source>
  <b:Source>
    <b:Tag>Swa07</b:Tag>
    <b:SourceType>JournalArticle</b:SourceType>
    <b:Guid>{D1DF354A-F411-4643-AB07-D04D49973328}</b:Guid>
    <b:LCID>1033</b:LCID>
    <b:Author>
      <b:Author>
        <b:NameList>
          <b:Person>
            <b:Last>Swami</b:Last>
            <b:First>V</b:First>
          </b:Person>
          <b:Person>
            <b:Last>Furnham</b:Last>
            <b:First>A</b:First>
          </b:Person>
        </b:NameList>
      </b:Author>
    </b:Author>
    <b:Title>Unattractive, promiscuous and heavy drinkers: Perceptions of women with tattoos</b:Title>
    <b:JournalName>Body Image</b:JournalName>
    <b:Year>2007</b:Year>
    <b:Pages>343-352</b:Pages>
    <b:Volume>4</b:Volume>
    <b:Issue>4</b:Issue>
    <b:RefOrder>4</b:RefOrder>
  </b:Source>
  <b:Source>
    <b:Tag>Tim17</b:Tag>
    <b:SourceType>JournalArticle</b:SourceType>
    <b:Guid>{DE1228F1-7D19-44E5-B052-8BEC18D89079}</b:Guid>
    <b:LCID>1033</b:LCID>
    <b:Author>
      <b:Author>
        <b:NameList>
          <b:Person>
            <b:Last>Timming</b:Last>
            <b:First>A</b:First>
          </b:Person>
          <b:Person>
            <b:Last>Perrett</b:Last>
            <b:First>D</b:First>
          </b:Person>
        </b:NameList>
      </b:Author>
    </b:Author>
    <b:Title>An experimental study of the effects of tattoo genre on perceived trustworthiness: Not all tattoos are created equal</b:Title>
    <b:JournalName>Journal of Trust Research</b:JournalName>
    <b:Year>2017</b:Year>
    <b:Pages>115-128</b:Pages>
    <b:Volume>7</b:Volume>
    <b:Issue>2</b:Issue>
    <b:RefOrder>5</b:RefOrder>
  </b:Source>
  <b:Source>
    <b:Tag>Zes18</b:Tag>
    <b:SourceType>JournalArticle</b:SourceType>
    <b:Guid>{A88F4F02-30F9-4EA6-8A2E-5835F1ACDA34}</b:Guid>
    <b:LCID>1033</b:LCID>
    <b:Author>
      <b:Author>
        <b:NameList>
          <b:Person>
            <b:Last>Zestcott</b:Last>
            <b:First>C</b:First>
          </b:Person>
          <b:Person>
            <b:Last>Tompkins</b:Last>
            <b:First>T</b:First>
          </b:Person>
          <b:Person>
            <b:Last>Kozak</b:Last>
            <b:First>M</b:First>
          </b:Person>
          <b:Person>
            <b:Last>Livesay</b:Last>
            <b:First>K</b:First>
          </b:Person>
          <b:Person>
            <b:Last>K</b:Last>
            <b:First>Chan</b:First>
          </b:Person>
        </b:NameList>
      </b:Author>
    </b:Author>
    <b:Title>What do you think about ink? An examination of implicit and explicit attitudes toward tattooed individuals</b:Title>
    <b:JournalName>The Journal of Social Psychology</b:JournalName>
    <b:Year>2018</b:Year>
    <b:Pages>7-22</b:Pages>
    <b:Volume>158</b:Volume>
    <b:Issue>1</b:Issue>
    <b:RefOrder>6</b:RefOrder>
  </b:Source>
  <b:Source>
    <b:Tag>Her03</b:Tag>
    <b:SourceType>Book</b:SourceType>
    <b:Guid>{9003D23E-66A6-49F5-BC53-1C119DAB636A}</b:Guid>
    <b:Author>
      <b:Author>
        <b:NameList>
          <b:Person>
            <b:Last>Hernández</b:Last>
            <b:First>R</b:First>
          </b:Person>
          <b:Person>
            <b:Last>Fernández</b:Last>
            <b:First>C</b:First>
          </b:Person>
          <b:Person>
            <b:Last>Baptista</b:Last>
            <b:First>P</b:First>
          </b:Person>
        </b:NameList>
      </b:Author>
    </b:Author>
    <b:Title>Metodología de la Investigación</b:Title>
    <b:Year>2003</b:Year>
    <b:City>México, DF</b:City>
    <b:Publisher>McGraw Hill</b:Publisher>
    <b:RefOrder>7</b:RefOrder>
  </b:Source>
</b:Sources>
</file>

<file path=customXml/itemProps1.xml><?xml version="1.0" encoding="utf-8"?>
<ds:datastoreItem xmlns:ds="http://schemas.openxmlformats.org/officeDocument/2006/customXml" ds:itemID="{E1EC6EF4-8318-4C6B-96E1-EEFC6216B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TotalTime>
  <Pages>19</Pages>
  <Words>9986</Words>
  <Characters>54923</Characters>
  <Application>Microsoft Office Word</Application>
  <DocSecurity>0</DocSecurity>
  <Lines>457</Lines>
  <Paragraphs>129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64780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BELÉN</dc:creator>
  <cp:lastModifiedBy>Carolina</cp:lastModifiedBy>
  <cp:revision>55</cp:revision>
  <cp:lastPrinted>2019-07-13T15:06:00Z</cp:lastPrinted>
  <dcterms:created xsi:type="dcterms:W3CDTF">2019-07-03T16:31:00Z</dcterms:created>
  <dcterms:modified xsi:type="dcterms:W3CDTF">2020-02-28T12:08:00Z</dcterms:modified>
</cp:coreProperties>
</file>