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tblInd w:w="70" w:type="dxa"/>
        <w:tblLayout w:type="fixed"/>
        <w:tblCellMar>
          <w:left w:w="70" w:type="dxa"/>
          <w:right w:w="70" w:type="dxa"/>
        </w:tblCellMar>
        <w:tblLook w:val="0000" w:firstRow="0" w:lastRow="0" w:firstColumn="0" w:lastColumn="0" w:noHBand="0" w:noVBand="0"/>
      </w:tblPr>
      <w:tblGrid>
        <w:gridCol w:w="1418"/>
        <w:gridCol w:w="8302"/>
      </w:tblGrid>
      <w:tr w:rsidR="00820F0E" w:rsidRPr="00FB3F44" w:rsidTr="00730D2E">
        <w:trPr>
          <w:trHeight w:hRule="exact" w:val="2345"/>
        </w:trPr>
        <w:tc>
          <w:tcPr>
            <w:tcW w:w="1418" w:type="dxa"/>
            <w:vAlign w:val="center"/>
          </w:tcPr>
          <w:p w:rsidR="00820F0E" w:rsidRPr="00FB3F44" w:rsidRDefault="00820F0E" w:rsidP="00730D2E">
            <w:pPr>
              <w:spacing w:line="240" w:lineRule="auto"/>
              <w:jc w:val="both"/>
              <w:rPr>
                <w:rFonts w:cs="Times New Roman"/>
                <w:b/>
                <w:szCs w:val="24"/>
              </w:rPr>
            </w:pPr>
            <w:r w:rsidRPr="00FB3F44">
              <w:rPr>
                <w:rFonts w:cs="Times New Roman"/>
                <w:b/>
                <w:noProof/>
                <w:szCs w:val="24"/>
                <w:lang w:eastAsia="pt-BR"/>
              </w:rPr>
              <w:drawing>
                <wp:inline distT="0" distB="0" distL="0" distR="0" wp14:anchorId="121453B2" wp14:editId="30DB9D05">
                  <wp:extent cx="781050" cy="1104900"/>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clrChange>
                              <a:clrFrom>
                                <a:srgbClr val="FEFEFE"/>
                              </a:clrFrom>
                              <a:clrTo>
                                <a:srgbClr val="FEFEFE">
                                  <a:alpha val="0"/>
                                </a:srgbClr>
                              </a:clrTo>
                            </a:clrChange>
                          </a:blip>
                          <a:srcRect/>
                          <a:stretch>
                            <a:fillRect/>
                          </a:stretch>
                        </pic:blipFill>
                        <pic:spPr bwMode="auto">
                          <a:xfrm>
                            <a:off x="0" y="0"/>
                            <a:ext cx="781050" cy="1104900"/>
                          </a:xfrm>
                          <a:prstGeom prst="rect">
                            <a:avLst/>
                          </a:prstGeom>
                          <a:noFill/>
                          <a:ln w="9525">
                            <a:noFill/>
                            <a:miter lim="800000"/>
                            <a:headEnd/>
                            <a:tailEnd/>
                          </a:ln>
                        </pic:spPr>
                      </pic:pic>
                    </a:graphicData>
                  </a:graphic>
                </wp:inline>
              </w:drawing>
            </w:r>
          </w:p>
          <w:p w:rsidR="00820F0E" w:rsidRPr="00FB3F44" w:rsidRDefault="00820F0E" w:rsidP="00730D2E">
            <w:pPr>
              <w:spacing w:line="240" w:lineRule="auto"/>
              <w:jc w:val="center"/>
              <w:rPr>
                <w:rFonts w:cs="Times New Roman"/>
                <w:szCs w:val="24"/>
              </w:rPr>
            </w:pPr>
          </w:p>
        </w:tc>
        <w:tc>
          <w:tcPr>
            <w:tcW w:w="8302" w:type="dxa"/>
          </w:tcPr>
          <w:p w:rsidR="00820F0E" w:rsidRPr="00976E8B" w:rsidRDefault="00820F0E" w:rsidP="00730D2E">
            <w:pPr>
              <w:spacing w:line="240" w:lineRule="auto"/>
              <w:ind w:hanging="30"/>
              <w:jc w:val="right"/>
              <w:rPr>
                <w:rFonts w:cs="Times New Roman"/>
                <w:szCs w:val="24"/>
              </w:rPr>
            </w:pPr>
            <w:r w:rsidRPr="00976E8B">
              <w:rPr>
                <w:rFonts w:cs="Times New Roman"/>
                <w:szCs w:val="24"/>
              </w:rPr>
              <w:t xml:space="preserve">Prof. Dr. </w:t>
            </w:r>
            <w:proofErr w:type="spellStart"/>
            <w:r w:rsidRPr="00976E8B">
              <w:rPr>
                <w:rFonts w:cs="Times New Roman"/>
                <w:szCs w:val="24"/>
              </w:rPr>
              <w:t>Valdiney</w:t>
            </w:r>
            <w:proofErr w:type="spellEnd"/>
            <w:r w:rsidRPr="00976E8B">
              <w:rPr>
                <w:rFonts w:cs="Times New Roman"/>
                <w:szCs w:val="24"/>
              </w:rPr>
              <w:t xml:space="preserve"> V. Gouveia</w:t>
            </w:r>
          </w:p>
          <w:p w:rsidR="00820F0E" w:rsidRPr="00FB3F44" w:rsidRDefault="00820F0E" w:rsidP="00730D2E">
            <w:pPr>
              <w:spacing w:line="240" w:lineRule="auto"/>
              <w:ind w:hanging="30"/>
              <w:jc w:val="right"/>
              <w:rPr>
                <w:rFonts w:cs="Times New Roman"/>
                <w:szCs w:val="24"/>
              </w:rPr>
            </w:pPr>
            <w:r w:rsidRPr="00FB3F44">
              <w:rPr>
                <w:rFonts w:cs="Times New Roman"/>
                <w:szCs w:val="24"/>
              </w:rPr>
              <w:t>Universidade Federal da Paraíba</w:t>
            </w:r>
          </w:p>
          <w:p w:rsidR="00820F0E" w:rsidRPr="00FB3F44" w:rsidRDefault="00820F0E" w:rsidP="00730D2E">
            <w:pPr>
              <w:spacing w:line="240" w:lineRule="auto"/>
              <w:ind w:hanging="30"/>
              <w:jc w:val="right"/>
              <w:rPr>
                <w:rFonts w:cs="Times New Roman"/>
                <w:szCs w:val="24"/>
              </w:rPr>
            </w:pPr>
            <w:r w:rsidRPr="00FB3F44">
              <w:rPr>
                <w:rFonts w:cs="Times New Roman"/>
                <w:szCs w:val="24"/>
              </w:rPr>
              <w:t>CCHLA – Departamento de Psicologia</w:t>
            </w:r>
          </w:p>
          <w:p w:rsidR="00820F0E" w:rsidRPr="00FB3F44" w:rsidRDefault="00820F0E" w:rsidP="00730D2E">
            <w:pPr>
              <w:spacing w:line="240" w:lineRule="auto"/>
              <w:ind w:hanging="28"/>
              <w:jc w:val="right"/>
              <w:rPr>
                <w:rFonts w:cs="Times New Roman"/>
                <w:szCs w:val="24"/>
              </w:rPr>
            </w:pPr>
            <w:r w:rsidRPr="00FB3F44">
              <w:rPr>
                <w:rFonts w:cs="Times New Roman"/>
                <w:szCs w:val="24"/>
              </w:rPr>
              <w:t>58.051–990</w:t>
            </w:r>
            <w:r w:rsidRPr="00FB3F44">
              <w:rPr>
                <w:rFonts w:cs="Times New Roman"/>
                <w:szCs w:val="24"/>
              </w:rPr>
              <w:tab/>
              <w:t>João Pessoa, PB – Brasil</w:t>
            </w:r>
          </w:p>
          <w:p w:rsidR="00820F0E" w:rsidRPr="00FB3F44" w:rsidRDefault="00820F0E" w:rsidP="00730D2E">
            <w:pPr>
              <w:spacing w:line="240" w:lineRule="auto"/>
              <w:ind w:hanging="30"/>
              <w:jc w:val="right"/>
              <w:rPr>
                <w:rFonts w:cs="Times New Roman"/>
                <w:szCs w:val="24"/>
              </w:rPr>
            </w:pPr>
            <w:r>
              <w:rPr>
                <w:rFonts w:cs="Times New Roman"/>
                <w:noProof/>
                <w:szCs w:val="24"/>
                <w:lang w:eastAsia="pt-BR"/>
              </w:rPr>
              <mc:AlternateContent>
                <mc:Choice Requires="wps">
                  <w:drawing>
                    <wp:anchor distT="0" distB="0" distL="114300" distR="114300" simplePos="0" relativeHeight="251659264" behindDoc="0" locked="0" layoutInCell="1" allowOverlap="1" wp14:anchorId="74239BFC" wp14:editId="15240437">
                      <wp:simplePos x="0" y="0"/>
                      <wp:positionH relativeFrom="column">
                        <wp:posOffset>-38100</wp:posOffset>
                      </wp:positionH>
                      <wp:positionV relativeFrom="paragraph">
                        <wp:posOffset>4445</wp:posOffset>
                      </wp:positionV>
                      <wp:extent cx="5252085" cy="0"/>
                      <wp:effectExtent l="15240" t="14605" r="19050" b="234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5208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02F8E" id="Line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10.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" strokeweight="2.25pt"/>
                  </w:pict>
                </mc:Fallback>
              </mc:AlternateContent>
            </w:r>
            <w:r w:rsidRPr="00FB3F44">
              <w:rPr>
                <w:rFonts w:cs="Times New Roman"/>
                <w:szCs w:val="24"/>
              </w:rPr>
              <w:t>Tel.: (83) 3216 7924</w:t>
            </w:r>
          </w:p>
          <w:p w:rsidR="00820F0E" w:rsidRPr="00FB3F44" w:rsidRDefault="00820F0E" w:rsidP="00730D2E">
            <w:pPr>
              <w:spacing w:line="240" w:lineRule="auto"/>
              <w:ind w:hanging="30"/>
              <w:jc w:val="right"/>
              <w:rPr>
                <w:rFonts w:cs="Times New Roman"/>
                <w:szCs w:val="24"/>
              </w:rPr>
            </w:pPr>
            <w:r w:rsidRPr="00FB3F44">
              <w:rPr>
                <w:rFonts w:cs="Times New Roman"/>
                <w:szCs w:val="24"/>
              </w:rPr>
              <w:t>Fax (83) 32167064</w:t>
            </w:r>
          </w:p>
          <w:p w:rsidR="00820F0E" w:rsidRPr="00FB3F44" w:rsidRDefault="00820F0E" w:rsidP="00730D2E">
            <w:pPr>
              <w:spacing w:line="240" w:lineRule="auto"/>
              <w:ind w:hanging="30"/>
              <w:jc w:val="right"/>
              <w:rPr>
                <w:rFonts w:cs="Times New Roman"/>
                <w:szCs w:val="24"/>
              </w:rPr>
            </w:pPr>
            <w:r w:rsidRPr="00FB3F44">
              <w:rPr>
                <w:rFonts w:cs="Times New Roman"/>
                <w:szCs w:val="24"/>
              </w:rPr>
              <w:t xml:space="preserve">E-mail: </w:t>
            </w:r>
            <w:r>
              <w:rPr>
                <w:rFonts w:cs="Times New Roman"/>
                <w:szCs w:val="24"/>
              </w:rPr>
              <w:t>vvgouveia</w:t>
            </w:r>
            <w:r w:rsidRPr="00FB3F44">
              <w:rPr>
                <w:rFonts w:cs="Times New Roman"/>
                <w:szCs w:val="24"/>
              </w:rPr>
              <w:t>@gmail.com</w:t>
            </w:r>
          </w:p>
          <w:p w:rsidR="00820F0E" w:rsidRPr="00FB3F44" w:rsidRDefault="00820F0E" w:rsidP="00730D2E">
            <w:pPr>
              <w:spacing w:line="240" w:lineRule="auto"/>
              <w:ind w:firstLine="4110"/>
              <w:jc w:val="both"/>
              <w:rPr>
                <w:rFonts w:cs="Times New Roman"/>
                <w:szCs w:val="24"/>
              </w:rPr>
            </w:pPr>
          </w:p>
          <w:p w:rsidR="00820F0E" w:rsidRPr="00FB3F44" w:rsidRDefault="00820F0E" w:rsidP="00730D2E">
            <w:pPr>
              <w:spacing w:line="240" w:lineRule="auto"/>
              <w:ind w:firstLine="3530"/>
              <w:jc w:val="both"/>
              <w:rPr>
                <w:rFonts w:cs="Times New Roman"/>
                <w:szCs w:val="24"/>
              </w:rPr>
            </w:pPr>
          </w:p>
          <w:p w:rsidR="00820F0E" w:rsidRPr="00FB3F44" w:rsidRDefault="00820F0E" w:rsidP="00730D2E">
            <w:pPr>
              <w:spacing w:line="240" w:lineRule="auto"/>
              <w:ind w:firstLine="3350"/>
              <w:jc w:val="both"/>
              <w:rPr>
                <w:rFonts w:cs="Times New Roman"/>
                <w:b/>
                <w:szCs w:val="24"/>
              </w:rPr>
            </w:pPr>
          </w:p>
        </w:tc>
      </w:tr>
    </w:tbl>
    <w:p w:rsidR="00820F0E" w:rsidRPr="00FB3F44" w:rsidRDefault="00820F0E" w:rsidP="00820F0E">
      <w:pPr>
        <w:spacing w:line="240" w:lineRule="auto"/>
        <w:jc w:val="both"/>
        <w:rPr>
          <w:rFonts w:cs="Times New Roman"/>
          <w:b/>
          <w:szCs w:val="24"/>
        </w:rPr>
      </w:pPr>
    </w:p>
    <w:p w:rsidR="00820F0E" w:rsidRPr="00EE6DFB" w:rsidRDefault="00820F0E" w:rsidP="00820F0E">
      <w:pPr>
        <w:spacing w:line="240" w:lineRule="auto"/>
        <w:jc w:val="both"/>
        <w:rPr>
          <w:rFonts w:cs="Times New Roman"/>
          <w:i/>
          <w:szCs w:val="24"/>
        </w:rPr>
      </w:pPr>
      <w:r w:rsidRPr="00EE6DFB">
        <w:rPr>
          <w:rFonts w:cs="Times New Roman"/>
          <w:szCs w:val="24"/>
        </w:rPr>
        <w:t xml:space="preserve">Prof. Dr. </w:t>
      </w:r>
      <w:r>
        <w:rPr>
          <w:rFonts w:cs="Times New Roman"/>
          <w:szCs w:val="24"/>
        </w:rPr>
        <w:t>Nelson Portillo</w:t>
      </w:r>
    </w:p>
    <w:p w:rsidR="00820F0E" w:rsidRPr="00FB3F44" w:rsidRDefault="00820F0E" w:rsidP="00820F0E">
      <w:pPr>
        <w:jc w:val="both"/>
        <w:rPr>
          <w:rFonts w:cs="Times New Roman"/>
          <w:szCs w:val="24"/>
        </w:rPr>
      </w:pPr>
      <w:proofErr w:type="spellStart"/>
      <w:r w:rsidRPr="004D2FD2">
        <w:rPr>
          <w:i/>
        </w:rPr>
        <w:t>Interamerican</w:t>
      </w:r>
      <w:proofErr w:type="spellEnd"/>
      <w:r w:rsidRPr="004D2FD2">
        <w:rPr>
          <w:i/>
        </w:rPr>
        <w:t xml:space="preserve"> </w:t>
      </w:r>
      <w:proofErr w:type="spellStart"/>
      <w:r w:rsidRPr="004D2FD2">
        <w:rPr>
          <w:i/>
        </w:rPr>
        <w:t>Journal</w:t>
      </w:r>
      <w:proofErr w:type="spellEnd"/>
      <w:r w:rsidRPr="004D2FD2">
        <w:rPr>
          <w:i/>
        </w:rPr>
        <w:t xml:space="preserve"> </w:t>
      </w:r>
      <w:proofErr w:type="spellStart"/>
      <w:r w:rsidRPr="004D2FD2">
        <w:rPr>
          <w:i/>
        </w:rPr>
        <w:t>of</w:t>
      </w:r>
      <w:proofErr w:type="spellEnd"/>
      <w:r w:rsidRPr="004D2FD2">
        <w:rPr>
          <w:i/>
        </w:rPr>
        <w:t xml:space="preserve"> </w:t>
      </w:r>
      <w:proofErr w:type="spellStart"/>
      <w:r w:rsidRPr="004D2FD2">
        <w:rPr>
          <w:i/>
        </w:rPr>
        <w:t>Psychology</w:t>
      </w:r>
      <w:proofErr w:type="spellEnd"/>
    </w:p>
    <w:p w:rsidR="00820F0E" w:rsidRPr="00FB3F44" w:rsidRDefault="00820F0E" w:rsidP="00820F0E">
      <w:pPr>
        <w:jc w:val="both"/>
        <w:rPr>
          <w:rFonts w:cs="Times New Roman"/>
          <w:szCs w:val="24"/>
        </w:rPr>
      </w:pPr>
    </w:p>
    <w:p w:rsidR="00820F0E" w:rsidRPr="00FB3F44" w:rsidRDefault="00820F0E" w:rsidP="00820F0E">
      <w:pPr>
        <w:jc w:val="right"/>
        <w:rPr>
          <w:rFonts w:cs="Times New Roman"/>
          <w:szCs w:val="24"/>
        </w:rPr>
      </w:pPr>
      <w:r w:rsidRPr="00FB3F44">
        <w:rPr>
          <w:rFonts w:cs="Times New Roman"/>
          <w:szCs w:val="24"/>
        </w:rPr>
        <w:t xml:space="preserve">João Pessoa, </w:t>
      </w:r>
      <w:r>
        <w:rPr>
          <w:rFonts w:cs="Times New Roman"/>
          <w:szCs w:val="24"/>
        </w:rPr>
        <w:t>2</w:t>
      </w:r>
      <w:r w:rsidR="004D2FD2">
        <w:rPr>
          <w:rFonts w:cs="Times New Roman"/>
          <w:szCs w:val="24"/>
        </w:rPr>
        <w:t>8</w:t>
      </w:r>
      <w:r w:rsidRPr="00FB3F44">
        <w:rPr>
          <w:rFonts w:cs="Times New Roman"/>
          <w:szCs w:val="24"/>
        </w:rPr>
        <w:t xml:space="preserve"> de </w:t>
      </w:r>
      <w:r>
        <w:rPr>
          <w:rFonts w:cs="Times New Roman"/>
          <w:szCs w:val="24"/>
        </w:rPr>
        <w:t>julho</w:t>
      </w:r>
      <w:r w:rsidRPr="00FB3F44">
        <w:rPr>
          <w:rFonts w:cs="Times New Roman"/>
          <w:szCs w:val="24"/>
        </w:rPr>
        <w:t xml:space="preserve"> de 201</w:t>
      </w:r>
      <w:r>
        <w:rPr>
          <w:rFonts w:cs="Times New Roman"/>
          <w:szCs w:val="24"/>
        </w:rPr>
        <w:t>5</w:t>
      </w:r>
    </w:p>
    <w:p w:rsidR="00820F0E" w:rsidRPr="00FB3F44" w:rsidRDefault="00820F0E" w:rsidP="00820F0E">
      <w:pPr>
        <w:spacing w:line="480" w:lineRule="auto"/>
        <w:ind w:firstLine="708"/>
        <w:jc w:val="both"/>
        <w:rPr>
          <w:rFonts w:cs="Times New Roman"/>
          <w:szCs w:val="24"/>
        </w:rPr>
      </w:pPr>
      <w:r w:rsidRPr="00FB3F44">
        <w:rPr>
          <w:rFonts w:cs="Times New Roman"/>
          <w:szCs w:val="24"/>
        </w:rPr>
        <w:t>Prezad</w:t>
      </w:r>
      <w:r>
        <w:rPr>
          <w:rFonts w:cs="Times New Roman"/>
          <w:szCs w:val="24"/>
        </w:rPr>
        <w:t>o Editor</w:t>
      </w:r>
      <w:r w:rsidRPr="00FB3F44">
        <w:rPr>
          <w:rFonts w:cs="Times New Roman"/>
          <w:szCs w:val="24"/>
        </w:rPr>
        <w:t>,</w:t>
      </w:r>
    </w:p>
    <w:p w:rsidR="00820F0E" w:rsidRDefault="00820F0E" w:rsidP="00820F0E">
      <w:pPr>
        <w:spacing w:line="240" w:lineRule="auto"/>
        <w:ind w:firstLine="708"/>
        <w:jc w:val="both"/>
        <w:rPr>
          <w:rFonts w:cs="Times New Roman"/>
          <w:szCs w:val="24"/>
        </w:rPr>
      </w:pPr>
      <w:r w:rsidRPr="00FB3F44">
        <w:rPr>
          <w:rFonts w:cs="Times New Roman"/>
          <w:szCs w:val="24"/>
        </w:rPr>
        <w:t>Primeiramente</w:t>
      </w:r>
      <w:r>
        <w:rPr>
          <w:rFonts w:cs="Times New Roman"/>
          <w:szCs w:val="24"/>
        </w:rPr>
        <w:t>, gostaríamos de parabenizá-l</w:t>
      </w:r>
      <w:r>
        <w:rPr>
          <w:rFonts w:cs="Times New Roman"/>
          <w:szCs w:val="24"/>
        </w:rPr>
        <w:t>o</w:t>
      </w:r>
      <w:r w:rsidRPr="00DE2F11">
        <w:rPr>
          <w:rFonts w:cs="Times New Roman"/>
          <w:szCs w:val="24"/>
        </w:rPr>
        <w:t xml:space="preserve"> pelo competente trabalho realizado em nome do Conselho Editorial e dos </w:t>
      </w:r>
      <w:proofErr w:type="spellStart"/>
      <w:r w:rsidRPr="00DE2F11">
        <w:rPr>
          <w:rFonts w:cs="Times New Roman"/>
          <w:szCs w:val="24"/>
        </w:rPr>
        <w:t>pareceristas</w:t>
      </w:r>
      <w:proofErr w:type="spellEnd"/>
      <w:r w:rsidRPr="00DE2F11">
        <w:rPr>
          <w:rFonts w:cs="Times New Roman"/>
          <w:szCs w:val="24"/>
        </w:rPr>
        <w:t xml:space="preserve"> </w:t>
      </w:r>
      <w:r w:rsidRPr="00DE2F11">
        <w:rPr>
          <w:rFonts w:cs="Times New Roman"/>
          <w:i/>
          <w:szCs w:val="24"/>
        </w:rPr>
        <w:t>ad hoc</w:t>
      </w:r>
      <w:r w:rsidRPr="00DE2F11">
        <w:rPr>
          <w:rFonts w:cs="Times New Roman"/>
          <w:szCs w:val="24"/>
        </w:rPr>
        <w:t xml:space="preserve"> da </w:t>
      </w:r>
      <w:proofErr w:type="spellStart"/>
      <w:r w:rsidRPr="00820F0E">
        <w:rPr>
          <w:i/>
        </w:rPr>
        <w:t>Interamerican</w:t>
      </w:r>
      <w:proofErr w:type="spellEnd"/>
      <w:r w:rsidRPr="00820F0E">
        <w:rPr>
          <w:i/>
        </w:rPr>
        <w:t xml:space="preserve"> </w:t>
      </w:r>
      <w:proofErr w:type="spellStart"/>
      <w:r w:rsidRPr="00820F0E">
        <w:rPr>
          <w:i/>
        </w:rPr>
        <w:t>Journal</w:t>
      </w:r>
      <w:proofErr w:type="spellEnd"/>
      <w:r w:rsidRPr="00820F0E">
        <w:rPr>
          <w:i/>
        </w:rPr>
        <w:t xml:space="preserve"> </w:t>
      </w:r>
      <w:proofErr w:type="spellStart"/>
      <w:r w:rsidRPr="00820F0E">
        <w:rPr>
          <w:i/>
        </w:rPr>
        <w:t>of</w:t>
      </w:r>
      <w:proofErr w:type="spellEnd"/>
      <w:r w:rsidRPr="00820F0E">
        <w:rPr>
          <w:i/>
        </w:rPr>
        <w:t xml:space="preserve"> </w:t>
      </w:r>
      <w:proofErr w:type="spellStart"/>
      <w:r w:rsidRPr="00820F0E">
        <w:rPr>
          <w:i/>
        </w:rPr>
        <w:t>Psychology</w:t>
      </w:r>
      <w:proofErr w:type="spellEnd"/>
      <w:r w:rsidRPr="00DE2F11">
        <w:rPr>
          <w:rFonts w:cs="Times New Roman"/>
          <w:szCs w:val="24"/>
        </w:rPr>
        <w:t>. Foi com satisfação que recebemos o parecer encaminhado para o nosso manuscrito, intitulado “</w:t>
      </w:r>
      <w:r>
        <w:rPr>
          <w:szCs w:val="24"/>
        </w:rPr>
        <w:t xml:space="preserve">AVALIANDO O LADO SOMBRIO DA PERSONALIDADE: EVIDÊNCIAS PSICOMÉTRICAS DO </w:t>
      </w:r>
      <w:r w:rsidRPr="00820F0E">
        <w:rPr>
          <w:i/>
          <w:szCs w:val="24"/>
        </w:rPr>
        <w:t>DARK TRIAD DIRTY DOZEN</w:t>
      </w:r>
      <w:r w:rsidRPr="00FB3F44">
        <w:rPr>
          <w:rFonts w:cs="Times New Roman"/>
          <w:szCs w:val="24"/>
        </w:rPr>
        <w:t xml:space="preserve">”. Aproveitamos para agradecer </w:t>
      </w:r>
      <w:r>
        <w:rPr>
          <w:rFonts w:cs="Times New Roman"/>
          <w:szCs w:val="24"/>
        </w:rPr>
        <w:t xml:space="preserve">igualmente </w:t>
      </w:r>
      <w:r w:rsidRPr="00FB3F44">
        <w:rPr>
          <w:rFonts w:cs="Times New Roman"/>
          <w:szCs w:val="24"/>
        </w:rPr>
        <w:t xml:space="preserve">pelo excelente trabalho do </w:t>
      </w:r>
      <w:proofErr w:type="spellStart"/>
      <w:r w:rsidRPr="00FB3F44">
        <w:rPr>
          <w:rFonts w:cs="Times New Roman"/>
          <w:szCs w:val="24"/>
        </w:rPr>
        <w:t>parecerista</w:t>
      </w:r>
      <w:proofErr w:type="spellEnd"/>
      <w:r w:rsidRPr="00FB3F44">
        <w:rPr>
          <w:rFonts w:cs="Times New Roman"/>
          <w:szCs w:val="24"/>
        </w:rPr>
        <w:t>, que f</w:t>
      </w:r>
      <w:r>
        <w:rPr>
          <w:rFonts w:cs="Times New Roman"/>
          <w:szCs w:val="24"/>
        </w:rPr>
        <w:t>e</w:t>
      </w:r>
      <w:r w:rsidRPr="00FB3F44">
        <w:rPr>
          <w:rFonts w:cs="Times New Roman"/>
          <w:szCs w:val="24"/>
        </w:rPr>
        <w:t>z uma leitura cuidadosa do texto, apresentando contribuições importantes, que pensamos melhoraram sobremaneira sua qualidade. De fato, consideramos todas as solicitações e recomendaç</w:t>
      </w:r>
      <w:r>
        <w:rPr>
          <w:rFonts w:cs="Times New Roman"/>
          <w:szCs w:val="24"/>
        </w:rPr>
        <w:t>ões pertinentes. Neste senti</w:t>
      </w:r>
      <w:r w:rsidRPr="00FB3F44">
        <w:rPr>
          <w:rFonts w:cs="Times New Roman"/>
          <w:szCs w:val="24"/>
        </w:rPr>
        <w:t xml:space="preserve">do, procuramos apresentar nesta oportunidade uma versão nova do manuscrito que as atenda e reflita o padrão de excelência e cientificidade desta revista. No corpo do texto em anexo será possível identificar as modificações feitas, que estão assinaladas em </w:t>
      </w:r>
      <w:r w:rsidRPr="00EE6DFB">
        <w:rPr>
          <w:rFonts w:cs="Times New Roman"/>
          <w:color w:val="0000FF"/>
          <w:szCs w:val="24"/>
        </w:rPr>
        <w:t>azul</w:t>
      </w:r>
      <w:r w:rsidRPr="00FB3F44">
        <w:rPr>
          <w:rFonts w:cs="Times New Roman"/>
          <w:szCs w:val="24"/>
        </w:rPr>
        <w:t xml:space="preserve">. Detalhamos </w:t>
      </w:r>
      <w:r>
        <w:rPr>
          <w:rFonts w:cs="Times New Roman"/>
          <w:szCs w:val="24"/>
        </w:rPr>
        <w:t xml:space="preserve">cada uma </w:t>
      </w:r>
      <w:r w:rsidRPr="00FB3F44">
        <w:rPr>
          <w:rFonts w:cs="Times New Roman"/>
          <w:szCs w:val="24"/>
        </w:rPr>
        <w:t>a seguir</w:t>
      </w:r>
      <w:r>
        <w:rPr>
          <w:rFonts w:cs="Times New Roman"/>
          <w:szCs w:val="24"/>
        </w:rPr>
        <w:t>,</w:t>
      </w:r>
      <w:r w:rsidRPr="00FB3F44">
        <w:rPr>
          <w:rFonts w:cs="Times New Roman"/>
          <w:szCs w:val="24"/>
        </w:rPr>
        <w:t xml:space="preserve"> </w:t>
      </w:r>
      <w:r>
        <w:rPr>
          <w:rFonts w:cs="Times New Roman"/>
          <w:szCs w:val="24"/>
        </w:rPr>
        <w:t xml:space="preserve">especificando </w:t>
      </w:r>
      <w:r w:rsidRPr="00FB3F44">
        <w:rPr>
          <w:rFonts w:cs="Times New Roman"/>
          <w:szCs w:val="24"/>
        </w:rPr>
        <w:t xml:space="preserve">os comentários </w:t>
      </w:r>
      <w:r>
        <w:rPr>
          <w:rFonts w:cs="Times New Roman"/>
          <w:szCs w:val="24"/>
        </w:rPr>
        <w:t>realizados:</w:t>
      </w:r>
    </w:p>
    <w:p w:rsidR="00820F0E" w:rsidRDefault="00820F0E" w:rsidP="00ED7352">
      <w:pPr>
        <w:jc w:val="center"/>
        <w:rPr>
          <w:lang w:val="en-US"/>
        </w:rPr>
      </w:pPr>
    </w:p>
    <w:p w:rsidR="00ED7352" w:rsidRPr="008235D1" w:rsidRDefault="00ED7352" w:rsidP="00ED7352">
      <w:pPr>
        <w:jc w:val="center"/>
        <w:rPr>
          <w:lang w:val="en-US"/>
        </w:rPr>
      </w:pPr>
      <w:proofErr w:type="spellStart"/>
      <w:r w:rsidRPr="008235D1">
        <w:rPr>
          <w:lang w:val="en-US"/>
        </w:rPr>
        <w:t>Parecer</w:t>
      </w:r>
      <w:proofErr w:type="spellEnd"/>
    </w:p>
    <w:p w:rsidR="00ED7352" w:rsidRPr="008235D1" w:rsidRDefault="00ED7352" w:rsidP="00ED7352">
      <w:pPr>
        <w:rPr>
          <w:lang w:val="en-US"/>
        </w:rPr>
      </w:pPr>
    </w:p>
    <w:p w:rsidR="00ED7352" w:rsidRPr="008235D1" w:rsidRDefault="00ED7352" w:rsidP="00E5602A">
      <w:pPr>
        <w:jc w:val="both"/>
        <w:rPr>
          <w:lang w:val="en-US"/>
        </w:rPr>
      </w:pPr>
      <w:proofErr w:type="spellStart"/>
      <w:r w:rsidRPr="008235D1">
        <w:rPr>
          <w:lang w:val="en-US"/>
        </w:rPr>
        <w:t>Revista</w:t>
      </w:r>
      <w:proofErr w:type="spellEnd"/>
      <w:r w:rsidRPr="008235D1">
        <w:rPr>
          <w:lang w:val="en-US"/>
        </w:rPr>
        <w:t xml:space="preserve">: </w:t>
      </w:r>
      <w:proofErr w:type="spellStart"/>
      <w:r w:rsidRPr="008235D1">
        <w:rPr>
          <w:i/>
          <w:lang w:val="en-US"/>
        </w:rPr>
        <w:t>Interamerican</w:t>
      </w:r>
      <w:proofErr w:type="spellEnd"/>
      <w:r w:rsidRPr="008235D1">
        <w:rPr>
          <w:i/>
          <w:lang w:val="en-US"/>
        </w:rPr>
        <w:t xml:space="preserve"> Journal of Psychology</w:t>
      </w:r>
    </w:p>
    <w:p w:rsidR="00ED7352" w:rsidRDefault="00ED7352" w:rsidP="00E5602A">
      <w:pPr>
        <w:jc w:val="both"/>
      </w:pPr>
      <w:r w:rsidRPr="00467E12">
        <w:t>Manuscrito: Avaliando o lado sombrio da personalidade: evid</w:t>
      </w:r>
      <w:r>
        <w:t xml:space="preserve">ências psicométricas do </w:t>
      </w:r>
      <w:proofErr w:type="spellStart"/>
      <w:r w:rsidRPr="00467E12">
        <w:rPr>
          <w:i/>
        </w:rPr>
        <w:t>Dark</w:t>
      </w:r>
      <w:proofErr w:type="spellEnd"/>
      <w:r w:rsidRPr="00467E12">
        <w:rPr>
          <w:i/>
        </w:rPr>
        <w:t xml:space="preserve"> </w:t>
      </w:r>
      <w:proofErr w:type="spellStart"/>
      <w:r w:rsidRPr="00467E12">
        <w:rPr>
          <w:i/>
        </w:rPr>
        <w:t>Triad</w:t>
      </w:r>
      <w:proofErr w:type="spellEnd"/>
      <w:r w:rsidRPr="00467E12">
        <w:rPr>
          <w:i/>
        </w:rPr>
        <w:t xml:space="preserve"> </w:t>
      </w:r>
      <w:proofErr w:type="spellStart"/>
      <w:r w:rsidRPr="00467E12">
        <w:rPr>
          <w:i/>
        </w:rPr>
        <w:t>Dirty</w:t>
      </w:r>
      <w:proofErr w:type="spellEnd"/>
      <w:r w:rsidRPr="00467E12">
        <w:rPr>
          <w:i/>
        </w:rPr>
        <w:t xml:space="preserve"> </w:t>
      </w:r>
      <w:proofErr w:type="spellStart"/>
      <w:r w:rsidRPr="00467E12">
        <w:rPr>
          <w:i/>
        </w:rPr>
        <w:t>Dozen</w:t>
      </w:r>
      <w:proofErr w:type="spellEnd"/>
    </w:p>
    <w:p w:rsidR="00ED7352" w:rsidRDefault="00ED7352" w:rsidP="00ED7352"/>
    <w:p w:rsidR="00ED7352" w:rsidRDefault="00ED7352" w:rsidP="00E5602A">
      <w:pPr>
        <w:jc w:val="both"/>
      </w:pPr>
      <w:r>
        <w:t xml:space="preserve">O manuscrito apresenta dois estudos enfocando a tradução e testes empíricos da validade do instrumento </w:t>
      </w:r>
      <w:proofErr w:type="spellStart"/>
      <w:r w:rsidRPr="00F55CBF">
        <w:rPr>
          <w:i/>
        </w:rPr>
        <w:t>Dirty</w:t>
      </w:r>
      <w:proofErr w:type="spellEnd"/>
      <w:r w:rsidRPr="00F55CBF">
        <w:rPr>
          <w:i/>
        </w:rPr>
        <w:t xml:space="preserve"> </w:t>
      </w:r>
      <w:proofErr w:type="spellStart"/>
      <w:r w:rsidRPr="00F55CBF">
        <w:rPr>
          <w:i/>
        </w:rPr>
        <w:t>Dozen</w:t>
      </w:r>
      <w:proofErr w:type="spellEnd"/>
      <w:r>
        <w:t xml:space="preserve"> no contexto brasileiro. Trata-se de um manuscrito bem escrito e fundamentado; sem dúvida, representa uma contribuição à literatura, um trabalho com excelente potencial para publicação. Os comentários que seguem têm por objetivo oferecer uma crítica construtiva com vista a refinar o manuscrito para sua forma final de publicação.</w:t>
      </w:r>
    </w:p>
    <w:p w:rsidR="00ED7352" w:rsidRDefault="00ED7352" w:rsidP="00E5602A">
      <w:pPr>
        <w:jc w:val="both"/>
      </w:pPr>
    </w:p>
    <w:p w:rsidR="00ED7352" w:rsidRPr="00B80B38" w:rsidRDefault="00ED7352" w:rsidP="00E5602A">
      <w:pPr>
        <w:jc w:val="both"/>
        <w:rPr>
          <w:b/>
        </w:rPr>
      </w:pPr>
      <w:r w:rsidRPr="00B80B38">
        <w:rPr>
          <w:b/>
        </w:rPr>
        <w:t xml:space="preserve">1. Seria importante obter uma revisão do título em Inglês e do </w:t>
      </w:r>
      <w:r w:rsidRPr="00B80B38">
        <w:rPr>
          <w:b/>
          <w:i/>
        </w:rPr>
        <w:t>abstract</w:t>
      </w:r>
      <w:r w:rsidRPr="00B80B38">
        <w:rPr>
          <w:b/>
        </w:rPr>
        <w:t xml:space="preserve"> por um falante nativo.</w:t>
      </w:r>
    </w:p>
    <w:p w:rsidR="008235D1" w:rsidRDefault="008235D1" w:rsidP="00E5602A">
      <w:pPr>
        <w:jc w:val="both"/>
      </w:pPr>
    </w:p>
    <w:p w:rsidR="00ED7352" w:rsidRDefault="008235D1" w:rsidP="00E5602A">
      <w:pPr>
        <w:jc w:val="both"/>
      </w:pPr>
      <w:r>
        <w:t xml:space="preserve">Atendendo à solicitação do </w:t>
      </w:r>
      <w:proofErr w:type="spellStart"/>
      <w:r>
        <w:t>parecerista</w:t>
      </w:r>
      <w:proofErr w:type="spellEnd"/>
      <w:r>
        <w:t>, o título em inglês e o abstract foram revisados</w:t>
      </w:r>
      <w:r w:rsidR="0077289B">
        <w:t>.</w:t>
      </w:r>
    </w:p>
    <w:p w:rsidR="008235D1" w:rsidRDefault="008235D1" w:rsidP="00E5602A">
      <w:pPr>
        <w:jc w:val="both"/>
      </w:pPr>
    </w:p>
    <w:p w:rsidR="00B80B38" w:rsidRPr="00B80B38" w:rsidRDefault="00ED7352" w:rsidP="00E5602A">
      <w:pPr>
        <w:jc w:val="both"/>
        <w:rPr>
          <w:b/>
        </w:rPr>
      </w:pPr>
      <w:r w:rsidRPr="00B80B38">
        <w:rPr>
          <w:b/>
        </w:rPr>
        <w:lastRenderedPageBreak/>
        <w:t>2. No resumo e no texto, talvez os autores pudessem reavaliar a pertinência do uso do termo “corroborou”.</w:t>
      </w:r>
    </w:p>
    <w:p w:rsidR="00B80B38" w:rsidRDefault="00B80B38" w:rsidP="00E5602A">
      <w:pPr>
        <w:jc w:val="both"/>
      </w:pPr>
    </w:p>
    <w:p w:rsidR="00ED7352" w:rsidRDefault="00B80B38" w:rsidP="00E5602A">
      <w:pPr>
        <w:jc w:val="both"/>
      </w:pPr>
      <w:r>
        <w:t>Solicitação pertinente, sendo o termo “corroborou” substituído por “</w:t>
      </w:r>
      <w:r w:rsidRPr="00B80B38">
        <w:rPr>
          <w:rFonts w:ascii="Times" w:hAnsi="Times" w:cs="Times New Roman"/>
          <w:szCs w:val="24"/>
        </w:rPr>
        <w:t>indicou que o melhor ajuste foi do</w:t>
      </w:r>
      <w:r w:rsidRPr="000A675B">
        <w:rPr>
          <w:rFonts w:ascii="Times" w:hAnsi="Times" w:cs="Times New Roman"/>
          <w:szCs w:val="24"/>
        </w:rPr>
        <w:t xml:space="preserve"> modelo </w:t>
      </w:r>
      <w:proofErr w:type="spellStart"/>
      <w:r w:rsidRPr="000A675B">
        <w:rPr>
          <w:rFonts w:ascii="Times" w:hAnsi="Times" w:cs="Times New Roman"/>
          <w:szCs w:val="24"/>
        </w:rPr>
        <w:t>bifator</w:t>
      </w:r>
      <w:proofErr w:type="spellEnd"/>
      <w:r>
        <w:t>”</w:t>
      </w:r>
      <w:r w:rsidR="0077289B">
        <w:t>.</w:t>
      </w:r>
    </w:p>
    <w:p w:rsidR="00ED7352" w:rsidRDefault="00ED7352" w:rsidP="00E5602A">
      <w:pPr>
        <w:jc w:val="both"/>
      </w:pPr>
    </w:p>
    <w:p w:rsidR="00ED7352" w:rsidRDefault="00ED7352" w:rsidP="00E5602A">
      <w:pPr>
        <w:jc w:val="both"/>
        <w:rPr>
          <w:b/>
        </w:rPr>
      </w:pPr>
      <w:r w:rsidRPr="00CF2EA7">
        <w:rPr>
          <w:b/>
        </w:rPr>
        <w:t>3. Na página 4, o termo “malévolo” poderia ser substituído por outra palavra menos carregada de juízo de valor.</w:t>
      </w:r>
    </w:p>
    <w:p w:rsidR="00CF2EA7" w:rsidRDefault="00CF2EA7" w:rsidP="00E5602A">
      <w:pPr>
        <w:jc w:val="both"/>
        <w:rPr>
          <w:b/>
        </w:rPr>
      </w:pPr>
    </w:p>
    <w:p w:rsidR="00CF2EA7" w:rsidRPr="00CF2EA7" w:rsidRDefault="00CF2EA7" w:rsidP="00E5602A">
      <w:pPr>
        <w:jc w:val="both"/>
      </w:pPr>
      <w:r w:rsidRPr="00CF2EA7">
        <w:t>Solicitação prontamente atendida, substituindo o termo “malévolo” por “nocivo”</w:t>
      </w:r>
      <w:r w:rsidR="0077289B">
        <w:t>.</w:t>
      </w:r>
    </w:p>
    <w:p w:rsidR="00ED7352" w:rsidRDefault="00ED7352" w:rsidP="00E5602A">
      <w:pPr>
        <w:jc w:val="both"/>
      </w:pPr>
    </w:p>
    <w:p w:rsidR="00ED7352" w:rsidRPr="004D5EDF" w:rsidRDefault="00ED7352" w:rsidP="00E5602A">
      <w:pPr>
        <w:jc w:val="both"/>
        <w:rPr>
          <w:b/>
        </w:rPr>
      </w:pPr>
      <w:r w:rsidRPr="004D5EDF">
        <w:rPr>
          <w:b/>
        </w:rPr>
        <w:t xml:space="preserve">4. A primeira análise apresentada na seção de resultados do estudo 1, uma MANOVA, assume uma estrutura de três fatores subjacentes aos itens. Na sequência, são apresentadas análises com o objetivo de testar essa estrutura. Sendo a MANOVA especificada condicionada à adequação da estrutura fatorial em questão, seria mais coerente se essa análise de comparação de grupos viesse </w:t>
      </w:r>
      <w:r w:rsidRPr="004D5EDF">
        <w:rPr>
          <w:b/>
          <w:i/>
        </w:rPr>
        <w:t>após</w:t>
      </w:r>
      <w:r w:rsidRPr="004D5EDF">
        <w:rPr>
          <w:b/>
        </w:rPr>
        <w:t xml:space="preserve"> a investigação e a escolha da estrutura fatorial, e não </w:t>
      </w:r>
      <w:r w:rsidRPr="004D5EDF">
        <w:rPr>
          <w:b/>
          <w:i/>
        </w:rPr>
        <w:t>antes</w:t>
      </w:r>
      <w:r w:rsidRPr="004D5EDF">
        <w:rPr>
          <w:b/>
        </w:rPr>
        <w:t>. Minha sugestão, portanto, é iniciar pelas análises de estrutura interna, e então conduzir comparações a partir da estrutura encontrada na primeira parte das análises.</w:t>
      </w:r>
    </w:p>
    <w:p w:rsidR="004D5EDF" w:rsidRDefault="004D5EDF" w:rsidP="00E5602A">
      <w:pPr>
        <w:jc w:val="both"/>
      </w:pPr>
    </w:p>
    <w:p w:rsidR="004D5EDF" w:rsidRDefault="004D5EDF" w:rsidP="00E5602A">
      <w:pPr>
        <w:jc w:val="both"/>
      </w:pPr>
      <w:r>
        <w:t xml:space="preserve">Efetuaram-se as alterações sugeridas pelo </w:t>
      </w:r>
      <w:proofErr w:type="spellStart"/>
      <w:r>
        <w:t>parecerista</w:t>
      </w:r>
      <w:proofErr w:type="spellEnd"/>
      <w:r>
        <w:t>, iniciando a seção dos resultados com a estrutura fatorial, e, em seguida, realizando-se as análises buscando avaliar o poder discriminativo dos itens.</w:t>
      </w:r>
    </w:p>
    <w:p w:rsidR="00ED7352" w:rsidRDefault="00ED7352" w:rsidP="00E5602A">
      <w:pPr>
        <w:jc w:val="both"/>
      </w:pPr>
    </w:p>
    <w:p w:rsidR="00ED7352" w:rsidRPr="00A063E1" w:rsidRDefault="00ED7352" w:rsidP="00E5602A">
      <w:pPr>
        <w:jc w:val="both"/>
        <w:rPr>
          <w:b/>
        </w:rPr>
      </w:pPr>
      <w:r w:rsidRPr="00A063E1">
        <w:rPr>
          <w:b/>
        </w:rPr>
        <w:t xml:space="preserve">5. Os autores argumentam, na introdução, que psicopatia, narcisismo e maquiavelismo são entidades intrinsicamente relacionadas. Entretanto, as análises de componentes principais foram conduzidas com rotação </w:t>
      </w:r>
      <w:proofErr w:type="spellStart"/>
      <w:r w:rsidRPr="00A063E1">
        <w:rPr>
          <w:b/>
        </w:rPr>
        <w:t>varimax</w:t>
      </w:r>
      <w:proofErr w:type="spellEnd"/>
      <w:r w:rsidRPr="00A063E1">
        <w:rPr>
          <w:b/>
        </w:rPr>
        <w:t xml:space="preserve">, que assume exatamente o contrário, ou seja, que são traços independentes. Tendo em vista esse aspecto e as limitações do uso da análise de componentes principais com rotação </w:t>
      </w:r>
      <w:proofErr w:type="spellStart"/>
      <w:r w:rsidRPr="00A063E1">
        <w:rPr>
          <w:b/>
        </w:rPr>
        <w:t>varimax</w:t>
      </w:r>
      <w:proofErr w:type="spellEnd"/>
      <w:r w:rsidRPr="00A063E1">
        <w:rPr>
          <w:b/>
        </w:rPr>
        <w:t xml:space="preserve"> na investigação de variáveis psicológicas, deixo a sugestão de que os autores usem um método oblíquo de rotação, talvez acompanhado de uma estimação robusta com correlações </w:t>
      </w:r>
      <w:proofErr w:type="spellStart"/>
      <w:r w:rsidRPr="00A063E1">
        <w:rPr>
          <w:b/>
        </w:rPr>
        <w:t>policóricas</w:t>
      </w:r>
      <w:proofErr w:type="spellEnd"/>
      <w:r w:rsidRPr="00A063E1">
        <w:rPr>
          <w:b/>
        </w:rPr>
        <w:t xml:space="preserve">. Outro aspecto é que constam algumas cargas fatoriais cruzadas acima de 0,30 na tabela 1 (possivelmente, resultado do uso da rotação ortogonal), que poderiam estar destacadas em negrito e serem também objeto da discussão dos resultados. </w:t>
      </w:r>
    </w:p>
    <w:p w:rsidR="00ED7352" w:rsidRPr="00A063E1" w:rsidRDefault="00ED7352" w:rsidP="00E5602A">
      <w:pPr>
        <w:jc w:val="both"/>
        <w:rPr>
          <w:b/>
        </w:rPr>
      </w:pPr>
    </w:p>
    <w:p w:rsidR="00ED7352" w:rsidRPr="00A063E1" w:rsidRDefault="00ED7352" w:rsidP="00E5602A">
      <w:pPr>
        <w:jc w:val="both"/>
        <w:rPr>
          <w:b/>
          <w:lang w:val="en-US"/>
        </w:rPr>
      </w:pPr>
      <w:proofErr w:type="spellStart"/>
      <w:r w:rsidRPr="00A063E1">
        <w:rPr>
          <w:b/>
        </w:rPr>
        <w:t>Asún</w:t>
      </w:r>
      <w:proofErr w:type="spellEnd"/>
      <w:r w:rsidRPr="00A063E1">
        <w:rPr>
          <w:b/>
        </w:rPr>
        <w:t xml:space="preserve">, R. A., </w:t>
      </w:r>
      <w:proofErr w:type="spellStart"/>
      <w:r w:rsidRPr="00A063E1">
        <w:rPr>
          <w:b/>
        </w:rPr>
        <w:t>Rdz</w:t>
      </w:r>
      <w:proofErr w:type="spellEnd"/>
      <w:r w:rsidRPr="00A063E1">
        <w:rPr>
          <w:b/>
        </w:rPr>
        <w:t xml:space="preserve">-Navarro, K., &amp; Alvarado, J. M. (2015). </w:t>
      </w:r>
      <w:r w:rsidRPr="00A063E1">
        <w:rPr>
          <w:b/>
          <w:lang w:val="en-US"/>
        </w:rPr>
        <w:t xml:space="preserve">Developing Multidimensional </w:t>
      </w:r>
      <w:proofErr w:type="spellStart"/>
      <w:r w:rsidRPr="00A063E1">
        <w:rPr>
          <w:b/>
          <w:lang w:val="en-US"/>
        </w:rPr>
        <w:t>Likert</w:t>
      </w:r>
      <w:proofErr w:type="spellEnd"/>
      <w:r w:rsidRPr="00A063E1">
        <w:rPr>
          <w:b/>
          <w:lang w:val="en-US"/>
        </w:rPr>
        <w:t xml:space="preserve"> Scales Using Item Factor Analysis: The Case of Four-point Items. </w:t>
      </w:r>
      <w:r w:rsidRPr="00A063E1">
        <w:rPr>
          <w:b/>
          <w:i/>
          <w:lang w:val="en-US"/>
        </w:rPr>
        <w:t>Sociological Methods &amp; Research</w:t>
      </w:r>
      <w:r w:rsidRPr="00A063E1">
        <w:rPr>
          <w:b/>
          <w:lang w:val="en-US"/>
        </w:rPr>
        <w:t xml:space="preserve">, 0049124114566716–. </w:t>
      </w:r>
      <w:proofErr w:type="gramStart"/>
      <w:r w:rsidRPr="00A063E1">
        <w:rPr>
          <w:b/>
          <w:lang w:val="en-US"/>
        </w:rPr>
        <w:t>doi:</w:t>
      </w:r>
      <w:proofErr w:type="gramEnd"/>
      <w:r w:rsidRPr="00A063E1">
        <w:rPr>
          <w:b/>
          <w:lang w:val="en-US"/>
        </w:rPr>
        <w:t>10.1177/0049124114566716</w:t>
      </w:r>
    </w:p>
    <w:p w:rsidR="00ED7352" w:rsidRPr="00A063E1" w:rsidRDefault="00ED7352" w:rsidP="00E5602A">
      <w:pPr>
        <w:jc w:val="both"/>
        <w:rPr>
          <w:b/>
        </w:rPr>
      </w:pPr>
      <w:proofErr w:type="spellStart"/>
      <w:r w:rsidRPr="00A063E1">
        <w:rPr>
          <w:b/>
          <w:lang w:val="en-US"/>
        </w:rPr>
        <w:t>Gorsuch</w:t>
      </w:r>
      <w:proofErr w:type="spellEnd"/>
      <w:r w:rsidRPr="00A063E1">
        <w:rPr>
          <w:b/>
          <w:lang w:val="en-US"/>
        </w:rPr>
        <w:t xml:space="preserve">, R. L. (1990). Common Factor Analysis versus Component Analysis: Some Well and Little Known Facts. </w:t>
      </w:r>
      <w:proofErr w:type="spellStart"/>
      <w:r w:rsidRPr="00A063E1">
        <w:rPr>
          <w:b/>
          <w:i/>
        </w:rPr>
        <w:t>Multivariate</w:t>
      </w:r>
      <w:proofErr w:type="spellEnd"/>
      <w:r w:rsidRPr="00A063E1">
        <w:rPr>
          <w:b/>
          <w:i/>
        </w:rPr>
        <w:t xml:space="preserve"> </w:t>
      </w:r>
      <w:proofErr w:type="spellStart"/>
      <w:r w:rsidRPr="00A063E1">
        <w:rPr>
          <w:b/>
          <w:i/>
        </w:rPr>
        <w:t>Behavioral</w:t>
      </w:r>
      <w:proofErr w:type="spellEnd"/>
      <w:r w:rsidRPr="00A063E1">
        <w:rPr>
          <w:b/>
          <w:i/>
        </w:rPr>
        <w:t xml:space="preserve"> </w:t>
      </w:r>
      <w:proofErr w:type="spellStart"/>
      <w:r w:rsidRPr="00A063E1">
        <w:rPr>
          <w:b/>
          <w:i/>
        </w:rPr>
        <w:t>Research</w:t>
      </w:r>
      <w:proofErr w:type="spellEnd"/>
      <w:r w:rsidRPr="00A063E1">
        <w:rPr>
          <w:b/>
          <w:i/>
        </w:rPr>
        <w:t>, 25</w:t>
      </w:r>
      <w:r w:rsidRPr="00A063E1">
        <w:rPr>
          <w:b/>
        </w:rPr>
        <w:t xml:space="preserve">(1), 33–39. </w:t>
      </w:r>
      <w:proofErr w:type="gramStart"/>
      <w:r w:rsidRPr="00A063E1">
        <w:rPr>
          <w:b/>
        </w:rPr>
        <w:t>doi</w:t>
      </w:r>
      <w:proofErr w:type="gramEnd"/>
      <w:r w:rsidRPr="00A063E1">
        <w:rPr>
          <w:b/>
        </w:rPr>
        <w:t>:10.1207/s15327906mbr2501_3</w:t>
      </w:r>
    </w:p>
    <w:p w:rsidR="00A063E1" w:rsidRDefault="00A063E1" w:rsidP="00E5602A">
      <w:pPr>
        <w:jc w:val="both"/>
      </w:pPr>
    </w:p>
    <w:p w:rsidR="00A063E1" w:rsidRDefault="00A063E1" w:rsidP="00E5602A">
      <w:pPr>
        <w:jc w:val="both"/>
      </w:pPr>
      <w:r>
        <w:lastRenderedPageBreak/>
        <w:t xml:space="preserve">Excelente observação. Nesta versão atual do manuscrito refizemos a análise utilizando rotação oblíqua, seguindo a recomendação do </w:t>
      </w:r>
      <w:proofErr w:type="spellStart"/>
      <w:r>
        <w:t>parecerista</w:t>
      </w:r>
      <w:proofErr w:type="spellEnd"/>
      <w:r>
        <w:t>.</w:t>
      </w:r>
    </w:p>
    <w:p w:rsidR="00ED7352" w:rsidRDefault="00ED7352" w:rsidP="00E5602A">
      <w:pPr>
        <w:jc w:val="both"/>
      </w:pPr>
    </w:p>
    <w:p w:rsidR="00ED7352" w:rsidRPr="00A063E1" w:rsidRDefault="00ED7352" w:rsidP="00E5602A">
      <w:pPr>
        <w:jc w:val="both"/>
        <w:rPr>
          <w:b/>
        </w:rPr>
      </w:pPr>
      <w:r w:rsidRPr="00A063E1">
        <w:rPr>
          <w:b/>
        </w:rPr>
        <w:t xml:space="preserve">6. Dada a possível natureza </w:t>
      </w:r>
      <w:proofErr w:type="spellStart"/>
      <w:r w:rsidRPr="00A063E1">
        <w:rPr>
          <w:b/>
        </w:rPr>
        <w:t>bifator</w:t>
      </w:r>
      <w:proofErr w:type="spellEnd"/>
      <w:r w:rsidRPr="00A063E1">
        <w:rPr>
          <w:b/>
        </w:rPr>
        <w:t xml:space="preserve"> da estrutura latente do instrumento, seria interessante que os autores relatassem também a fidedignidade pelo coeficiente Ômega de </w:t>
      </w:r>
      <w:proofErr w:type="spellStart"/>
      <w:r w:rsidRPr="00A063E1">
        <w:rPr>
          <w:b/>
        </w:rPr>
        <w:t>McDonald</w:t>
      </w:r>
      <w:proofErr w:type="spellEnd"/>
      <w:r w:rsidRPr="00A063E1">
        <w:rPr>
          <w:b/>
        </w:rPr>
        <w:t xml:space="preserve"> para as duas amostras. Essa análise viabilizaria também o teste exploratório de uma estrutura </w:t>
      </w:r>
      <w:proofErr w:type="spellStart"/>
      <w:r w:rsidRPr="00A063E1">
        <w:rPr>
          <w:b/>
        </w:rPr>
        <w:t>bifator</w:t>
      </w:r>
      <w:proofErr w:type="spellEnd"/>
      <w:r w:rsidRPr="00A063E1">
        <w:rPr>
          <w:b/>
        </w:rPr>
        <w:t xml:space="preserve">, uma possibilidade interessante e não explorada no primeiro estudo do manuscrito. O pacote </w:t>
      </w:r>
      <w:proofErr w:type="spellStart"/>
      <w:r w:rsidRPr="00A063E1">
        <w:rPr>
          <w:b/>
        </w:rPr>
        <w:t>psych</w:t>
      </w:r>
      <w:proofErr w:type="spellEnd"/>
      <w:r w:rsidRPr="00A063E1">
        <w:rPr>
          <w:b/>
        </w:rPr>
        <w:t xml:space="preserve"> do programa R possui a função </w:t>
      </w:r>
      <w:proofErr w:type="spellStart"/>
      <w:r w:rsidRPr="00A063E1">
        <w:rPr>
          <w:b/>
          <w:i/>
        </w:rPr>
        <w:t>omega</w:t>
      </w:r>
      <w:proofErr w:type="spellEnd"/>
      <w:r w:rsidRPr="00A063E1">
        <w:rPr>
          <w:b/>
        </w:rPr>
        <w:t xml:space="preserve">, que realiza ambas as análises prontamente, incluindo a possibilidade de escolher uma matriz de correlações </w:t>
      </w:r>
      <w:proofErr w:type="spellStart"/>
      <w:r w:rsidRPr="00A063E1">
        <w:rPr>
          <w:b/>
        </w:rPr>
        <w:t>policóricas</w:t>
      </w:r>
      <w:proofErr w:type="spellEnd"/>
      <w:r w:rsidRPr="00A063E1">
        <w:rPr>
          <w:b/>
        </w:rPr>
        <w:t>.</w:t>
      </w:r>
    </w:p>
    <w:p w:rsidR="00A063E1" w:rsidRDefault="00A063E1" w:rsidP="00E5602A">
      <w:pPr>
        <w:jc w:val="both"/>
      </w:pPr>
    </w:p>
    <w:p w:rsidR="00A063E1" w:rsidRDefault="00A063E1" w:rsidP="00E5602A">
      <w:pPr>
        <w:jc w:val="both"/>
      </w:pPr>
      <w:r>
        <w:t xml:space="preserve">Pontuações pertinentes, não obstante, tendo em conta as limitações do alfa de </w:t>
      </w:r>
      <w:proofErr w:type="spellStart"/>
      <w:r>
        <w:t>Cronbach</w:t>
      </w:r>
      <w:proofErr w:type="spellEnd"/>
      <w:r>
        <w:t>, optou-se por avaliar a consistência interna por</w:t>
      </w:r>
      <w:r w:rsidR="00FD0A9E">
        <w:t xml:space="preserve"> meio da média das</w:t>
      </w:r>
      <w:r>
        <w:t xml:space="preserve"> correlações </w:t>
      </w:r>
      <w:proofErr w:type="spellStart"/>
      <w:r>
        <w:t>inter-itens</w:t>
      </w:r>
      <w:proofErr w:type="spellEnd"/>
      <w:r>
        <w:t>.</w:t>
      </w:r>
    </w:p>
    <w:p w:rsidR="00A063E1" w:rsidRPr="00A063E1" w:rsidRDefault="00A063E1" w:rsidP="00E5602A">
      <w:pPr>
        <w:jc w:val="both"/>
        <w:rPr>
          <w:b/>
        </w:rPr>
      </w:pPr>
    </w:p>
    <w:p w:rsidR="00ED7352" w:rsidRPr="00A677CD" w:rsidRDefault="00ED7352" w:rsidP="00E5602A">
      <w:pPr>
        <w:jc w:val="both"/>
        <w:rPr>
          <w:b/>
        </w:rPr>
      </w:pPr>
      <w:r w:rsidRPr="00A677CD">
        <w:rPr>
          <w:b/>
        </w:rPr>
        <w:t>7. Sugiro incluir, no estudo 1, uma tabela com as análises correlacionais entre os fatores do DTDD e do BFI (tríade negra nas linhas, cinco grandes fatores nas colunas). Isso permitirá aos leitores fazerem uma melhor apreciação do padrão de correlações encontrados, viabilizando ainda que, futuramente, essas correlações sejam recuperadas por outros pesquisadores, com o propósito de um estudo de meta-análise.</w:t>
      </w:r>
    </w:p>
    <w:p w:rsidR="00A677CD" w:rsidRDefault="00A677CD" w:rsidP="00E5602A">
      <w:pPr>
        <w:jc w:val="both"/>
      </w:pPr>
    </w:p>
    <w:p w:rsidR="00A677CD" w:rsidRDefault="00A677CD" w:rsidP="00E5602A">
      <w:pPr>
        <w:jc w:val="both"/>
      </w:pPr>
      <w:r>
        <w:t xml:space="preserve">Atendendo à solicitação do </w:t>
      </w:r>
      <w:proofErr w:type="spellStart"/>
      <w:r>
        <w:t>parecerista</w:t>
      </w:r>
      <w:proofErr w:type="spellEnd"/>
      <w:r>
        <w:t>, nesta versão do manuscrito incluímos uma tabela indicando o padrão de correlações entre BFI e DTDD</w:t>
      </w:r>
    </w:p>
    <w:p w:rsidR="00ED7352" w:rsidRDefault="00ED7352" w:rsidP="00E5602A">
      <w:pPr>
        <w:jc w:val="both"/>
      </w:pPr>
    </w:p>
    <w:p w:rsidR="00ED7352" w:rsidRDefault="00ED7352" w:rsidP="00E5602A">
      <w:pPr>
        <w:jc w:val="both"/>
        <w:rPr>
          <w:b/>
        </w:rPr>
      </w:pPr>
      <w:r w:rsidRPr="009A1C9A">
        <w:rPr>
          <w:b/>
        </w:rPr>
        <w:t xml:space="preserve">8. No estudo 2, os autores poderiam descrever melhor como foi especificado o modelo </w:t>
      </w:r>
      <w:proofErr w:type="spellStart"/>
      <w:r w:rsidRPr="009A1C9A">
        <w:rPr>
          <w:b/>
        </w:rPr>
        <w:t>bifator</w:t>
      </w:r>
      <w:proofErr w:type="spellEnd"/>
      <w:r w:rsidRPr="009A1C9A">
        <w:rPr>
          <w:b/>
        </w:rPr>
        <w:t xml:space="preserve">. Por exemplo, não está claro se as covariâncias entre os fatores específicos foram especificadas como nulas ou foram então livremente estimadas. Outros detalhes, como saber se a variância do fator geral foi fixada em 1.0 (ou então um peso de regressão para um dos itens foi fixado em 1.0), poderiam ser também de utilidade a pesquisadores menos experientes nessas análises e que queiram utilizá-las em seus próprios estudos (tendo em vista as dificuldades típicas de conseguir rodar esses modelos </w:t>
      </w:r>
      <w:proofErr w:type="spellStart"/>
      <w:r w:rsidRPr="009A1C9A">
        <w:rPr>
          <w:b/>
        </w:rPr>
        <w:t>bifator</w:t>
      </w:r>
      <w:proofErr w:type="spellEnd"/>
      <w:r w:rsidRPr="009A1C9A">
        <w:rPr>
          <w:b/>
        </w:rPr>
        <w:t xml:space="preserve">). Sendo o modelo </w:t>
      </w:r>
      <w:proofErr w:type="spellStart"/>
      <w:r w:rsidRPr="009A1C9A">
        <w:rPr>
          <w:b/>
        </w:rPr>
        <w:t>bifator</w:t>
      </w:r>
      <w:proofErr w:type="spellEnd"/>
      <w:r w:rsidRPr="009A1C9A">
        <w:rPr>
          <w:b/>
        </w:rPr>
        <w:t xml:space="preserve"> a solução com melhor ajuste, seria uma ideia interessante apresentar uma tabela com as cargas fatoriais estimadas, para que o leitor conheça melhor e possa avaliar criticamente o principal resultado encontrado no estudo 2. Sem a tabela com essas cargas fatoriais, ficam questões em aberto. Por exemplo, todos os itens carregaram no fator geral? Houve carga residual nos fatores específicos exatamente como o esperado? Os itens de algum dos fatores se mostraram mais saturados no fator geral e menos em seu respectivo fator específico? Espero que essas questões possam orientar os autores na revisão de seu manuscrito. Novamente, seria também pertinente apresentar a fidedignidade pelo coeficiente ômega, dada a solução </w:t>
      </w:r>
      <w:proofErr w:type="spellStart"/>
      <w:r w:rsidRPr="009A1C9A">
        <w:rPr>
          <w:b/>
        </w:rPr>
        <w:t>bifator</w:t>
      </w:r>
      <w:proofErr w:type="spellEnd"/>
      <w:r w:rsidRPr="009A1C9A">
        <w:rPr>
          <w:b/>
        </w:rPr>
        <w:t xml:space="preserve"> encontrada.</w:t>
      </w:r>
    </w:p>
    <w:p w:rsidR="009A1C9A" w:rsidRDefault="009A1C9A" w:rsidP="00E5602A">
      <w:pPr>
        <w:jc w:val="both"/>
      </w:pPr>
    </w:p>
    <w:p w:rsidR="009A1C9A" w:rsidRPr="009A1C9A" w:rsidRDefault="009A1C9A" w:rsidP="00E5602A">
      <w:pPr>
        <w:jc w:val="both"/>
      </w:pPr>
      <w:r w:rsidRPr="009A1C9A">
        <w:t>Excelente</w:t>
      </w:r>
      <w:r>
        <w:t xml:space="preserve">s observações do </w:t>
      </w:r>
      <w:proofErr w:type="spellStart"/>
      <w:r>
        <w:t>parecerista</w:t>
      </w:r>
      <w:proofErr w:type="spellEnd"/>
      <w:r>
        <w:t xml:space="preserve">. Nesta nova versão do manuscrito foi incluída a figura com o modelo </w:t>
      </w:r>
      <w:proofErr w:type="spellStart"/>
      <w:r>
        <w:t>bifator</w:t>
      </w:r>
      <w:proofErr w:type="spellEnd"/>
      <w:r>
        <w:t xml:space="preserve">, indicando graficamente como este é estruturado, além de </w:t>
      </w:r>
      <w:r>
        <w:lastRenderedPageBreak/>
        <w:t>informar as saturações dos itens nos seus respectivos fatores específicos, bem como no fator geral.</w:t>
      </w:r>
    </w:p>
    <w:p w:rsidR="00ED7352" w:rsidRDefault="00ED7352" w:rsidP="00E5602A">
      <w:pPr>
        <w:jc w:val="both"/>
      </w:pPr>
    </w:p>
    <w:p w:rsidR="00ED7352" w:rsidRDefault="00ED7352" w:rsidP="00E5602A">
      <w:pPr>
        <w:jc w:val="both"/>
        <w:rPr>
          <w:b/>
        </w:rPr>
      </w:pPr>
      <w:r w:rsidRPr="009A1C9A">
        <w:rPr>
          <w:b/>
        </w:rPr>
        <w:t>9. Parabenizo os autores por apresentarem limitações do estudo na seção de discussão. Todavia, talvez fosse mais pertinente que essas limitações viessem ao final da seção, sendo, primeiramente, descritos os principais achados da presente investigação.</w:t>
      </w:r>
    </w:p>
    <w:p w:rsidR="0083745A" w:rsidRPr="0083745A" w:rsidRDefault="0083745A" w:rsidP="00E5602A">
      <w:pPr>
        <w:jc w:val="both"/>
      </w:pPr>
      <w:r w:rsidRPr="0083745A">
        <w:t xml:space="preserve">Seguindo as orientações do </w:t>
      </w:r>
      <w:proofErr w:type="spellStart"/>
      <w:r w:rsidRPr="0083745A">
        <w:t>parecerista</w:t>
      </w:r>
      <w:proofErr w:type="spellEnd"/>
      <w:r w:rsidRPr="0083745A">
        <w:t xml:space="preserve">, as limitações foram descritas após </w:t>
      </w:r>
      <w:r>
        <w:t>a apresentação dos resultados principais.</w:t>
      </w:r>
    </w:p>
    <w:p w:rsidR="00ED7352" w:rsidRDefault="00ED7352" w:rsidP="00E5602A">
      <w:pPr>
        <w:jc w:val="both"/>
      </w:pPr>
    </w:p>
    <w:p w:rsidR="00ED7352" w:rsidRPr="0083745A" w:rsidRDefault="00ED7352" w:rsidP="00E5602A">
      <w:pPr>
        <w:jc w:val="both"/>
        <w:rPr>
          <w:b/>
        </w:rPr>
      </w:pPr>
      <w:r>
        <w:t xml:space="preserve">10. </w:t>
      </w:r>
      <w:r w:rsidRPr="0083745A">
        <w:rPr>
          <w:b/>
        </w:rPr>
        <w:t xml:space="preserve">Recentemente, o </w:t>
      </w:r>
      <w:proofErr w:type="spellStart"/>
      <w:r w:rsidRPr="0083745A">
        <w:rPr>
          <w:b/>
          <w:i/>
        </w:rPr>
        <w:t>Journal</w:t>
      </w:r>
      <w:proofErr w:type="spellEnd"/>
      <w:r w:rsidRPr="0083745A">
        <w:rPr>
          <w:b/>
          <w:i/>
        </w:rPr>
        <w:t xml:space="preserve"> </w:t>
      </w:r>
      <w:proofErr w:type="spellStart"/>
      <w:r w:rsidRPr="0083745A">
        <w:rPr>
          <w:b/>
          <w:i/>
        </w:rPr>
        <w:t>of</w:t>
      </w:r>
      <w:proofErr w:type="spellEnd"/>
      <w:r w:rsidRPr="0083745A">
        <w:rPr>
          <w:b/>
          <w:i/>
        </w:rPr>
        <w:t xml:space="preserve"> Individual </w:t>
      </w:r>
      <w:proofErr w:type="spellStart"/>
      <w:r w:rsidRPr="0083745A">
        <w:rPr>
          <w:b/>
          <w:i/>
        </w:rPr>
        <w:t>Differences</w:t>
      </w:r>
      <w:proofErr w:type="spellEnd"/>
      <w:r w:rsidRPr="0083745A">
        <w:rPr>
          <w:b/>
          <w:i/>
        </w:rPr>
        <w:t xml:space="preserve"> </w:t>
      </w:r>
      <w:r w:rsidRPr="0083745A">
        <w:rPr>
          <w:b/>
        </w:rPr>
        <w:t>(ano 2014, volume 35, número 4) publicou uma edição especial sobre instrumentos psicométricos breves.</w:t>
      </w:r>
      <w:r w:rsidRPr="0083745A">
        <w:rPr>
          <w:b/>
          <w:i/>
        </w:rPr>
        <w:t xml:space="preserve"> </w:t>
      </w:r>
      <w:r w:rsidRPr="0083745A">
        <w:rPr>
          <w:b/>
        </w:rPr>
        <w:t>Creio que os autores poderiam recorrer aos artigos publicados nessa edição para incrementar a discussão, ao final, sobre as vantagens do uso de instrumentos breves. Embora eu concorde com os autores do presente trabalho no que diz respeito aos benefícios do uso dessas ferramentas curtas, ainda há pesquisadores que não fazem uso delas por conta de preconceitos ou crenças sem uma fundamentação empírica – motivo pelo qual aprofundar esse tópico pode ser interessante.</w:t>
      </w:r>
    </w:p>
    <w:p w:rsidR="00ED7352" w:rsidRDefault="00ED7352" w:rsidP="00E5602A">
      <w:pPr>
        <w:jc w:val="both"/>
      </w:pPr>
    </w:p>
    <w:p w:rsidR="008B3912" w:rsidRDefault="00EC1CE4" w:rsidP="00E5602A">
      <w:pPr>
        <w:jc w:val="both"/>
      </w:pPr>
      <w:r>
        <w:t xml:space="preserve">Nesta versão do manuscrito buscou-se ressaltar a relevância do uso de medidas reduzidas, indicando que, além da DTDD, foi utilizada uma medida reduzida dos </w:t>
      </w:r>
      <w:r w:rsidRPr="00EC1CE4">
        <w:rPr>
          <w:i/>
        </w:rPr>
        <w:t xml:space="preserve">big </w:t>
      </w:r>
      <w:proofErr w:type="spellStart"/>
      <w:r w:rsidRPr="00EC1CE4">
        <w:rPr>
          <w:i/>
        </w:rPr>
        <w:t>five</w:t>
      </w:r>
      <w:proofErr w:type="spellEnd"/>
      <w:r>
        <w:t xml:space="preserve">, mantendo o </w:t>
      </w:r>
      <w:r w:rsidR="00B76FCF">
        <w:t xml:space="preserve">mesmo </w:t>
      </w:r>
      <w:r>
        <w:t>padrão de relações de estudos que se utilizam de medidas longas</w:t>
      </w:r>
      <w:r w:rsidR="008B3912">
        <w:t>.</w:t>
      </w:r>
    </w:p>
    <w:p w:rsidR="008B3912" w:rsidRDefault="008B3912" w:rsidP="00E5602A">
      <w:pPr>
        <w:jc w:val="both"/>
      </w:pPr>
    </w:p>
    <w:p w:rsidR="008B3912" w:rsidRPr="008B3912" w:rsidRDefault="008B3912" w:rsidP="00E5602A">
      <w:pPr>
        <w:spacing w:line="480" w:lineRule="auto"/>
        <w:ind w:firstLine="720"/>
        <w:jc w:val="both"/>
      </w:pPr>
      <w:r w:rsidRPr="008B3912">
        <w:rPr>
          <w:rFonts w:cs="Times New Roman"/>
          <w:szCs w:val="24"/>
        </w:rPr>
        <w:t>Por fim, destaca-se que foi realizada uma revisão minuciosa de todo o texto, além das referências e citações. Deste modo, em razão das modificações empreendidas no manuscrito, confiamos</w:t>
      </w:r>
      <w:bookmarkStart w:id="0" w:name="_GoBack"/>
      <w:bookmarkEnd w:id="0"/>
      <w:r w:rsidRPr="008B3912">
        <w:rPr>
          <w:rFonts w:cs="Times New Roman"/>
          <w:szCs w:val="24"/>
        </w:rPr>
        <w:t xml:space="preserve"> que a versão ora apresentada reúne qualidade suficiente para compor um dos números da </w:t>
      </w:r>
      <w:proofErr w:type="spellStart"/>
      <w:r w:rsidRPr="008B3912">
        <w:rPr>
          <w:rFonts w:cs="Times New Roman"/>
          <w:i/>
          <w:szCs w:val="24"/>
        </w:rPr>
        <w:t>Interamerican</w:t>
      </w:r>
      <w:proofErr w:type="spellEnd"/>
      <w:r w:rsidRPr="008B3912">
        <w:rPr>
          <w:rFonts w:cs="Times New Roman"/>
          <w:i/>
          <w:szCs w:val="24"/>
        </w:rPr>
        <w:t xml:space="preserve"> </w:t>
      </w:r>
      <w:proofErr w:type="spellStart"/>
      <w:r w:rsidRPr="008B3912">
        <w:rPr>
          <w:rFonts w:cs="Times New Roman"/>
          <w:i/>
          <w:szCs w:val="24"/>
        </w:rPr>
        <w:t>Journal</w:t>
      </w:r>
      <w:proofErr w:type="spellEnd"/>
      <w:r w:rsidRPr="008B3912">
        <w:rPr>
          <w:rFonts w:cs="Times New Roman"/>
          <w:i/>
          <w:szCs w:val="24"/>
        </w:rPr>
        <w:t xml:space="preserve"> </w:t>
      </w:r>
      <w:proofErr w:type="spellStart"/>
      <w:r w:rsidRPr="008B3912">
        <w:rPr>
          <w:rFonts w:cs="Times New Roman"/>
          <w:i/>
          <w:szCs w:val="24"/>
        </w:rPr>
        <w:t>of</w:t>
      </w:r>
      <w:proofErr w:type="spellEnd"/>
      <w:r w:rsidRPr="008B3912">
        <w:rPr>
          <w:rFonts w:cs="Times New Roman"/>
          <w:i/>
          <w:szCs w:val="24"/>
        </w:rPr>
        <w:t xml:space="preserve"> </w:t>
      </w:r>
      <w:proofErr w:type="spellStart"/>
      <w:r w:rsidRPr="008B3912">
        <w:rPr>
          <w:rFonts w:cs="Times New Roman"/>
          <w:i/>
          <w:szCs w:val="24"/>
        </w:rPr>
        <w:t>Psychology</w:t>
      </w:r>
      <w:proofErr w:type="spellEnd"/>
      <w:r>
        <w:rPr>
          <w:rFonts w:cs="Times New Roman"/>
          <w:i/>
          <w:szCs w:val="24"/>
        </w:rPr>
        <w:t>.</w:t>
      </w:r>
      <w:r w:rsidRPr="008B3912">
        <w:rPr>
          <w:rFonts w:cs="Times New Roman"/>
          <w:szCs w:val="24"/>
        </w:rPr>
        <w:t xml:space="preserve"> Entretanto, colocamo-nos à disposição em caso de eventual(</w:t>
      </w:r>
      <w:proofErr w:type="spellStart"/>
      <w:r w:rsidRPr="008B3912">
        <w:rPr>
          <w:rFonts w:cs="Times New Roman"/>
          <w:szCs w:val="24"/>
        </w:rPr>
        <w:t>is</w:t>
      </w:r>
      <w:proofErr w:type="spellEnd"/>
      <w:r w:rsidRPr="008B3912">
        <w:rPr>
          <w:rFonts w:cs="Times New Roman"/>
          <w:szCs w:val="24"/>
        </w:rPr>
        <w:t>) sugestão(</w:t>
      </w:r>
      <w:proofErr w:type="spellStart"/>
      <w:r w:rsidRPr="008B3912">
        <w:rPr>
          <w:rFonts w:cs="Times New Roman"/>
          <w:szCs w:val="24"/>
        </w:rPr>
        <w:t>ões</w:t>
      </w:r>
      <w:proofErr w:type="spellEnd"/>
      <w:r w:rsidRPr="008B3912">
        <w:rPr>
          <w:rFonts w:cs="Times New Roman"/>
          <w:szCs w:val="24"/>
        </w:rPr>
        <w:t>).</w:t>
      </w:r>
    </w:p>
    <w:p w:rsidR="008B3912" w:rsidRDefault="008B3912" w:rsidP="008B3912">
      <w:pPr>
        <w:spacing w:line="360" w:lineRule="auto"/>
        <w:jc w:val="right"/>
        <w:rPr>
          <w:rFonts w:cs="Times New Roman"/>
          <w:szCs w:val="24"/>
        </w:rPr>
      </w:pPr>
      <w:r w:rsidRPr="0048010D">
        <w:rPr>
          <w:rFonts w:cs="Times New Roman"/>
          <w:szCs w:val="24"/>
        </w:rPr>
        <w:t xml:space="preserve"> Atenciosamente,</w:t>
      </w:r>
    </w:p>
    <w:p w:rsidR="008B3912" w:rsidRDefault="008B3912" w:rsidP="008B3912">
      <w:pPr>
        <w:spacing w:line="240" w:lineRule="auto"/>
        <w:jc w:val="right"/>
        <w:rPr>
          <w:rFonts w:cs="Times New Roman"/>
          <w:szCs w:val="24"/>
        </w:rPr>
      </w:pPr>
      <w:proofErr w:type="spellStart"/>
      <w:r>
        <w:rPr>
          <w:rFonts w:cs="Times New Roman"/>
          <w:szCs w:val="24"/>
        </w:rPr>
        <w:t>Valdiney</w:t>
      </w:r>
      <w:proofErr w:type="spellEnd"/>
      <w:r>
        <w:rPr>
          <w:rFonts w:cs="Times New Roman"/>
          <w:szCs w:val="24"/>
        </w:rPr>
        <w:t xml:space="preserve"> V. Gouveia</w:t>
      </w:r>
    </w:p>
    <w:p w:rsidR="008B3912" w:rsidRDefault="008B3912" w:rsidP="008B3912">
      <w:pPr>
        <w:spacing w:line="240" w:lineRule="auto"/>
        <w:jc w:val="right"/>
        <w:rPr>
          <w:rFonts w:cs="Times New Roman"/>
          <w:szCs w:val="24"/>
        </w:rPr>
      </w:pPr>
      <w:r>
        <w:rPr>
          <w:rFonts w:cs="Times New Roman"/>
          <w:szCs w:val="24"/>
        </w:rPr>
        <w:t>Renan P. Monteiro</w:t>
      </w:r>
    </w:p>
    <w:p w:rsidR="008B3912" w:rsidRDefault="008B3912" w:rsidP="008B3912">
      <w:pPr>
        <w:spacing w:line="240" w:lineRule="auto"/>
        <w:jc w:val="right"/>
        <w:rPr>
          <w:rFonts w:cs="Times New Roman"/>
          <w:szCs w:val="24"/>
        </w:rPr>
      </w:pPr>
      <w:proofErr w:type="spellStart"/>
      <w:r>
        <w:rPr>
          <w:rFonts w:cs="Times New Roman"/>
          <w:szCs w:val="24"/>
        </w:rPr>
        <w:t>Rildésia</w:t>
      </w:r>
      <w:proofErr w:type="spellEnd"/>
      <w:r>
        <w:rPr>
          <w:rFonts w:cs="Times New Roman"/>
          <w:szCs w:val="24"/>
        </w:rPr>
        <w:t xml:space="preserve"> S. V. Gouveia</w:t>
      </w:r>
    </w:p>
    <w:p w:rsidR="008B3912" w:rsidRDefault="008B3912" w:rsidP="008B3912">
      <w:pPr>
        <w:spacing w:line="240" w:lineRule="auto"/>
        <w:jc w:val="right"/>
        <w:rPr>
          <w:rFonts w:cs="Times New Roman"/>
          <w:szCs w:val="24"/>
        </w:rPr>
      </w:pPr>
      <w:r>
        <w:rPr>
          <w:rFonts w:cs="Times New Roman"/>
          <w:szCs w:val="24"/>
        </w:rPr>
        <w:t>Rebecca Alves Aguiar Athayde</w:t>
      </w:r>
    </w:p>
    <w:p w:rsidR="008B3912" w:rsidRPr="00867535" w:rsidRDefault="008B3912" w:rsidP="008B3912">
      <w:pPr>
        <w:spacing w:line="240" w:lineRule="auto"/>
        <w:jc w:val="right"/>
        <w:rPr>
          <w:rFonts w:cs="Times New Roman"/>
          <w:szCs w:val="24"/>
        </w:rPr>
      </w:pPr>
      <w:r>
        <w:rPr>
          <w:rFonts w:cs="Times New Roman"/>
          <w:szCs w:val="24"/>
        </w:rPr>
        <w:t>Thiago Medeiros Cavalcanti</w:t>
      </w:r>
    </w:p>
    <w:p w:rsidR="008B3912" w:rsidRPr="00EC1CE4" w:rsidRDefault="008B3912"/>
    <w:sectPr w:rsidR="008B3912" w:rsidRPr="00EC1C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52"/>
    <w:rsid w:val="002738E3"/>
    <w:rsid w:val="00403EF9"/>
    <w:rsid w:val="004D2FD2"/>
    <w:rsid w:val="004D5EDF"/>
    <w:rsid w:val="0077289B"/>
    <w:rsid w:val="00820F0E"/>
    <w:rsid w:val="008235D1"/>
    <w:rsid w:val="0083745A"/>
    <w:rsid w:val="00855ACB"/>
    <w:rsid w:val="008B3912"/>
    <w:rsid w:val="009A1C9A"/>
    <w:rsid w:val="00A063E1"/>
    <w:rsid w:val="00A677CD"/>
    <w:rsid w:val="00AB3ED0"/>
    <w:rsid w:val="00B76FCF"/>
    <w:rsid w:val="00B80B38"/>
    <w:rsid w:val="00CB487D"/>
    <w:rsid w:val="00CF2EA7"/>
    <w:rsid w:val="00D337A8"/>
    <w:rsid w:val="00E5602A"/>
    <w:rsid w:val="00E84E76"/>
    <w:rsid w:val="00EC1CE4"/>
    <w:rsid w:val="00ED7352"/>
    <w:rsid w:val="00FD0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C72D91A-54F1-4C28-93CB-F82EC34D4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352"/>
    <w:pPr>
      <w:spacing w:line="276" w:lineRule="auto"/>
      <w:contextualSpacing/>
    </w:pPr>
    <w:rPr>
      <w:rFonts w:ascii="Times New Roman" w:eastAsiaTheme="minorHAnsi" w:hAnsi="Times New Roman"/>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B3912"/>
    <w:pPr>
      <w:spacing w:after="200"/>
      <w:ind w:left="720"/>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1469</Words>
  <Characters>7934</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Boston College Lynch School of Education</Company>
  <LinksUpToDate>false</LinksUpToDate>
  <CharactersWithSpaces>9385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Portillo</dc:creator>
  <cp:keywords/>
  <dc:description/>
  <cp:lastModifiedBy>Renan</cp:lastModifiedBy>
  <cp:revision>3</cp:revision>
  <dcterms:created xsi:type="dcterms:W3CDTF">2015-07-28T17:52:00Z</dcterms:created>
  <dcterms:modified xsi:type="dcterms:W3CDTF">2015-07-28T17:53:00Z</dcterms:modified>
  <cp:category/>
</cp:coreProperties>
</file>