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199F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377" w:right="3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2B36E6CB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right="-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trabalho tem como objetivo o entendimento de relacionamentos abusivos por meio da Teoria do Apego, abordando o conceito de violência, quais os tipos de violência dentro de relacionamentos íntimos (Física, Sexual, Verbal e Psicológica), além de avaliar as correlações entre as causas de comportamentos abusivos e os efeitos na vida de quem os sofre. Participaram desse estudo 464 mulheres e 85 Homens, respondendo à Experiencie in Close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(ECR), à Escala de Abuso em Relacionamento Íntimos (ARI) e Abuso em Relacionamento Íntimos baseado no comportamento do respondente em relação ao outro (ARI-E) e um questionário demográfico por meio eletrônico. Os resultados indicaram que as escalas ARI e ECR apresentam boas propriedades psicométricas. Com relação à violência sofrida, as mulheres relataram sofrer violência física significativamente maior do que homens, enquanto homens relataram sofrer uma violência psicológica e atitudes controladoras significativamente maior que mulheres. Esse estudo sugere que, a escala ARI tem bons indicadores de validade e confiabilidade na avaliação da violência em relacionamentos íntimos.</w:t>
      </w:r>
    </w:p>
    <w:p w14:paraId="7440C14D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right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 chaves: </w:t>
      </w:r>
      <w:bookmarkStart w:id="2" w:name="_Hlk37176223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Relacionamentos abusivos; Teoria do apego; Vinculação.</w:t>
      </w:r>
      <w:bookmarkEnd w:id="2"/>
    </w:p>
    <w:p w14:paraId="734492B7" w14:textId="77777777" w:rsidR="00670839" w:rsidRPr="00470439" w:rsidRDefault="00670839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right="3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BD7E7A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1fob9te" w:colFirst="0" w:colLast="0"/>
      <w:bookmarkEnd w:id="3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08A9DBE0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aims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abusive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addressing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types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Physical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Sexual, Verbal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explanations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correlations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causes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abusive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behaviors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effects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lives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suffer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464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responding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Experiencie in Close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(ECR),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Abuse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(ARI)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Abuse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behavior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(ARI-E)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demographic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questionnaire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ECR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scales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psychometric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properties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suffered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significantly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greater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physical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attitudes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significantly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higher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suggests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indicators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validity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reliability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assessing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64D3C6" w14:textId="77777777" w:rsidR="00670839" w:rsidRPr="00470439" w:rsidRDefault="00EB47C3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37176151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Words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Abusive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Theory</w:t>
      </w:r>
      <w:proofErr w:type="spellEnd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bookmarkEnd w:id="4"/>
    <w:p w14:paraId="721D43FE" w14:textId="77777777" w:rsidR="00670839" w:rsidRPr="00470439" w:rsidRDefault="00670839" w:rsidP="00470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0A502" w14:textId="77777777" w:rsidR="00670839" w:rsidRPr="00470439" w:rsidRDefault="00EB47C3" w:rsidP="0047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17E74008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possível qualificar a violência como um fato cotidiano e universal, que sobre-existe desde os primórdios das civilizações. Como qualquer conceito relacionado a processos culturais amplos, carrega uma carga semântica rica, cuja complexidade é expressão da própria variedade social humana. Para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Piosiadlo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Fonseca, 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Gessner</w:t>
      </w:r>
      <w:proofErr w:type="spellEnd"/>
      <w:proofErr w:type="gram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(2014), embora exista um consenso razoável a respeito do que seja a violência, o contexto temporal é determinante no grau de aceitação das suas variadas modalidades. A Organização Mundial de Saúde (OMS) define a violência como ação que tem como resultado possível de pior intensidade a morte e em gradações menores lesões físicas, comprometimento do desenvolvimento do indivíduo que a sofre ou dano psicológico, ação empreendida pelo uso da força física ou do poder, na forma de ameaça ou de violência atual, de maneira intencional – contra si ou outra pessoa, contra comunidades ou agrupamentos (Krug,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Dahlberg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Mercy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Zwi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 &amp; Lozano, 2002).</w:t>
      </w:r>
    </w:p>
    <w:p w14:paraId="1D902197" w14:textId="77777777" w:rsidR="00670839" w:rsidRPr="00470439" w:rsidRDefault="00EB47C3" w:rsidP="00470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Paiva e Figueiredo (2004, p. 244) julgam que o “conhecimento empírico é consensual quanto à presença de algum índice de disfunção ou de abuso no contexto das relações íntimas”. As pesquisas sobre a violência em relacionamentos íntimos de adolescentes são bem numerosas no mundo anglo-saxão (Cornelius &amp;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Resseguie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, 2007,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Hickman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Jaycox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Aronoff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, 2004, Ting, 2009), o que talvez seja indicativo tanto do destaque social dado ao tema na última década quanto da gravidade das suas consequências. Um exame rápido dos estudos de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Barnett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, Miller-Perrin e Perrin (1997) ou Henderson, Bartholomew,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Trinke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Kwong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(2005) revela que o abuso em relacionamento íntimo no começo da vida adulta é, pelo menos, frequente. Nos Estados Unidos, 10% das meninas de 12 a 15 anos e 22% das garotas entre 16 e 19 anos foram mortas entre os anos de 1993 e 1999, vítimas de seus namorados (Murta, Santos, Martins, &amp; Oliveira, 2013).</w:t>
      </w:r>
    </w:p>
    <w:p w14:paraId="3D65578D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Cerca de 87% de mais de 3000 jovens adultos de dez estados brasileiros entrevistados já foram vítimas de algum tipo de abuso (Oliveira, Assis,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Njaine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&amp; Oliveira, 2011). As várias modalidades do abuso (físico, psicológico, verbal, sexual) acontecem de maneira interrelacionada na maior parte das vezes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Aldrighi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2004,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Anacona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2008). O abuso é, também, como já mencionado, bidirecional e multicausal (Williams,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Ghandour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Kub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2008), proveniente de elementos familiares, culturais e pessoais – ter sofrido abuso sexual ou conviver em comunidades pronunciadamente sexistas (Caridade &amp; Machado, 2006,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Dilillo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Giuffre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Tremblay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&amp; Peterson, 2001), ter testemunhado repetidas vezes o abuso entre os próprios pais ou familiares próximos ou ser portador de problemas graves de controle emocional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Anacona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2008; Ting, 2009), entre outros.</w:t>
      </w:r>
    </w:p>
    <w:p w14:paraId="73DC90D0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violência em relacionamentos íntimos é uma questão de saúde, já que suas implicações na saúde física e mental das pessoas envolvidas não pode ser ignorada. Interessa-nos aqui, sobretudo o abuso no relacionamento íntimo como um fenômeno que influi sobre o quadro da saúde mental dos indivíduos. Entre as consequências psicológicas mais graves do abuso estão o estresse pós-traumático, a queda na autoestima e a ideação suicida, todos prevalentes no sexo feminino (Caridade &amp; Machado, 2006). Um efeito grave da violência nos relacionamentos íntimos é que a violência iniciada na fase de namoro acabe em diversos casos por ser determinante do padrão de comportamento na coabitação matrimonial (Chan,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Straus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Brownridge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Tiwari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&amp; Leung, 2008). É fundamental considerar que o namoro é o momento da relação onde são construídas as relações conjugais futuras. Assim sendo, é possível que o namoro possa servir como um fator decisivo para prevenção da violência nos relacionamentos íntimos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Flake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Barros,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Schraiber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&amp; Menezes, 2013).</w:t>
      </w:r>
    </w:p>
    <w:p w14:paraId="6FAC7E89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Até a década de 1980, porém, a maior parte dos estudos lidava apenas com a violência conjugal. A partir de então, o seu escopo tem sido ampliado para o namoro e até mesmo a intimidade de um tipo mais casual. Há estudos importantes sobre a violência em relacionamentos íntimos na fase escolar, que indicam que de 15 a 43% da violência vivida por jovens nesta fase ocorrem dentro das dependências escolares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Flake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</w:p>
    <w:p w14:paraId="477F3B17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Segundo Paiva e Figueiredo (2003), o relacionamento abusivo é caracterizado pela recorrência significativa de atos de violência. Não é um tema “novo”, e remete a muitos anos de uma história de opressões de gênero e de sexualidade, em especial às mulheres. O abuso no relacionamento íntimo tem efeitos nocivos na qualidade de vida, na saúde mental e física da vítima. Algumas pesquisas (Caridade &amp; Machado, 2006; Matos, 2006; Paiva &amp; Figueiredo, 2003) indicam ser cada vez mais frequente o comportamento abusivo dentro dos relacionamentos íntimos. É sabido que homens, embora em uma escala muito menor, também sofrem com abuso em relacionamentos íntimos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Hohendorf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Habigzang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Koller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2017), mas a literatura científica apresenta mais dados sobre as mulheres (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Hohendorff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Santos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Dell’Aglio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2015). É essencial realizar uma problematização acerca das bases 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materiais, subjetivas e sociais que sustentam essa realidade cruel e tão naturalizada pela ideologia dominante.</w:t>
      </w:r>
    </w:p>
    <w:p w14:paraId="770ABBCA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teoria do apego/vinculação afetiva adulta de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Hazan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Shaver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(1987) apresenta possibilidades de ser usada como chave de leitura do fenômeno do abuso nos relacionamentos íntimos. Baseadas nas experiências e nos padrões típicos de interação com as figuras significativas durante a infância, cada pessoa eventualmente constrói “modelos internos dinâmicos” que irão guiar os seus comportamentos interpessoais posteriores (Paiva &amp; Figueiredo, 2003). É a partir desses modelos que a mesma estabelece expectativas acerca do que pode esperar de si e dos outros em relacionamentos.</w:t>
      </w:r>
    </w:p>
    <w:p w14:paraId="71D33DCC" w14:textId="77777777" w:rsidR="00670839" w:rsidRPr="00470439" w:rsidRDefault="00EB47C3" w:rsidP="0047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ab/>
        <w:t>Apesar da importância do tema da violência conjugal para a sociedade, são escassos os instrumentos para a medida do fenômeno. O objetivo desse estudo foi avaliar evidências de validade de uma escala para avaliar a violência que os respondentes praticam e a violência que os participantes sofrem em seus relacionamentos. Também objetivou-se avaliar diferenças de gênero na violência conjugal sofrida e praticada, bem como a relação desta escala com estilos de apego.</w:t>
      </w:r>
    </w:p>
    <w:p w14:paraId="4FF6C068" w14:textId="77777777" w:rsidR="00670839" w:rsidRPr="00470439" w:rsidRDefault="00670839" w:rsidP="0047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03504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Método</w:t>
      </w:r>
    </w:p>
    <w:p w14:paraId="623EAF1F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3znysh7" w:colFirst="0" w:colLast="0"/>
      <w:bookmarkEnd w:id="5"/>
      <w:r w:rsidRPr="004704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Participantes</w:t>
      </w:r>
    </w:p>
    <w:p w14:paraId="19D11BD8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 pesquisa teve a participação de 549 pessoas, sendo 85 homens (15,5%) e 464 mulheres (84,5%). A idade dos participantes foi de 14 e 62 anos, com uma média de 25,2 anos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DP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7,4). A amostra foi composta por uma maioria de heterossexuais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=440, 80,1%), mas com um considerável número de bissexuais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=87, 15,8%) e homossexuais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=22, 4,0%). Mais da metade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=326, 59,4%) eram estudantes. As principais religiões encontradas foram Catolicismo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=167, 30,4%) e Espiritismo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=63, 11,5%), sendo que um considerável número se declarou sem religião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=118, 21,5%) ou Ateu/Agnóstico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=79, 14,4%). Quanto ao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status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relacionamento no momento da realização da coleta de dados, a maioria namora ou já namorou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=411, 74,9%), seguido de casados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 82, 14,9%), relacionamentos sem compromisso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=41, 7,5%) e divorciados/viúvos (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=13, 2,4%).</w:t>
      </w:r>
    </w:p>
    <w:p w14:paraId="0625F04F" w14:textId="77777777" w:rsidR="00670839" w:rsidRPr="00470439" w:rsidRDefault="00670839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0BB12" w14:textId="77777777" w:rsidR="00670839" w:rsidRPr="00470439" w:rsidRDefault="00EB47C3" w:rsidP="00470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2et92p0" w:colFirst="0" w:colLast="0"/>
      <w:bookmarkEnd w:id="6"/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t>Instrumentos</w:t>
      </w:r>
    </w:p>
    <w:p w14:paraId="7D95A077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aplicado um protocolo dividido em quatro partes. A primeira foi um questionário demográfico; a segunda foi uma adaptação de um teste disponível no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norte americano de apoio a vítimas de abuso em relacionamento íntimo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Love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Respect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(2016). Essa adaptação deu origem a Escala de Abuso em Relacionamento Íntimos (ARI) que se subdivide em Abuso em Relacionamento Íntimos baseado no comportamento do outro em relação ao respondente (ARI-O) e Abuso em Relacionamento Íntimos baseado no comportamento do respondente em relação ao outro (ARI-E). A terceira está baseada no trabalho de Natividade 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Shiramizu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(2015), que se propõe aferir apego adulto através do instrumento traduzido e adaptado para o Brasil: Experience in Close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Inventory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(ECR) (Brennan, Clark,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Shaver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1998). A quarta e última parte, uma questão aberta para relatar experiências em relacionamento abusivo.</w:t>
      </w:r>
    </w:p>
    <w:p w14:paraId="7039EA0B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questionário, as dimensões evitação e ansiedade, foram inferidos através de 10 afirmações nas quais os participantes responderam em uma escala de sete pontos o quanto concordavam com os itens, em que o ponto 1 corresponde a ‘discordo fortemente’ e o 7, a ‘concordo fortemente’ para a escala ECR adaptada e reduzida para o Brasil (Natividade 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Shiramizu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2015). O ARI possui 25 afirmações cada, nas quais o respondente teria que em uma escala de cinco pontos variando em “nunca”, “raramente”, “às vezes”, “frequentemente” e “sempre” assinalar a frequência que os comportamentos acontecem no 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relacionamento. Não foram encontrados estudos psicométricos anteriores ao presente estudo com a escala ARI.</w:t>
      </w:r>
    </w:p>
    <w:p w14:paraId="78D488BA" w14:textId="77777777" w:rsidR="00670839" w:rsidRPr="00470439" w:rsidRDefault="00670839" w:rsidP="00470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E3498" w14:textId="77777777" w:rsidR="00670839" w:rsidRPr="00470439" w:rsidRDefault="00EB47C3" w:rsidP="00470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yjcwt" w:colFirst="0" w:colLast="0"/>
      <w:bookmarkEnd w:id="7"/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t>Procedimentos</w:t>
      </w:r>
    </w:p>
    <w:p w14:paraId="468469C9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coletas de dados foram realizadas de modo individual, por meio da aplicação de um questionário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plataforma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Googleforms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®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sobre o qual os participantes foram instruídos pela pesquisadora. O questionário foi divulgado em grupos de redes sociais e sites de vítimas de abuso, estudantes universitários e via aplicativos de mensagens por telefone celular. Os participantes também foram solicitados a compartilhar o questionário em seu círculo de amizades (método da bola de neve).</w:t>
      </w:r>
    </w:p>
    <w:p w14:paraId="60DB1132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Os procedimentos éticos, conforme dispostos na resolução 510/2016 do Conselho Nacional de Saúde, foram cuidadosamente observados. Os participantes foram informados por meio de um Termo de Consentimento Livre e Esclarecido sobre as condições de estudo e selecionaram a opção concordando com a sua participação no estudo.</w:t>
      </w:r>
    </w:p>
    <w:p w14:paraId="4F2F8873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relação entre apego e no nível de abuso também foi analisada por correlação de Pearson. As médias de homens e mulheres foram comparadas por meio de teste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Student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Os dados foram analisados por meio de análise fatorial exploratória com extração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Principal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Axis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Factoring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rotação oblíqua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Direct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Oblimin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todas as escalas exceto para a escala ARI-E na qual foi realizada uma análise fatorial confirmatória. Foram calculados os valores de alfa de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Cronbach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avaliar a consistência interna dos instrumentos e seus respectivos fatores. </w:t>
      </w:r>
    </w:p>
    <w:p w14:paraId="6D928315" w14:textId="77777777" w:rsidR="00670839" w:rsidRPr="00470439" w:rsidRDefault="00670839" w:rsidP="0047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BBEA2" w14:textId="77777777" w:rsidR="00670839" w:rsidRPr="00470439" w:rsidRDefault="00EB47C3" w:rsidP="00470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458D0606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 primeiro passo foi realizar uma análise exploratória da escala ARI-O. Observou-se que a escala ARI-O teve um 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Kaiser-Meyer-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Olkin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KMO) de 0,95 e um Teste de Esfericidade de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Bartlett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significativo (χ²=9880,3;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gl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=300 e 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&lt;0,001). Esses valores indicam uma boa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fatorabilidade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da matriz de correlações. A partir do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scree</w:t>
      </w:r>
      <w:proofErr w:type="spellEnd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plot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(Figura1), é possível inferir, com certa segurança, que a escala tem três fatores. A análise paralela também sugere a estrutura com 3 fatores. Estes fatores foram denominados: violência física, violência psicológica e atitudes controladoras. A Tabela 1 apresenta a carga fatorial de cada item em seu respectivo fator que, em geral, são elevadas.</w:t>
      </w:r>
    </w:p>
    <w:p w14:paraId="4BB06069" w14:textId="77777777" w:rsidR="00B36B05" w:rsidRPr="00470439" w:rsidRDefault="00B36B05" w:rsidP="00470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A9C51" wp14:editId="3C0F4875">
            <wp:extent cx="4303987" cy="2459421"/>
            <wp:effectExtent l="0" t="0" r="190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698" cy="24855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6F76F5" w14:textId="77777777" w:rsidR="00B36B05" w:rsidRPr="00470439" w:rsidRDefault="00B36B05" w:rsidP="00470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Figura 1.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Scree</w:t>
      </w:r>
      <w:proofErr w:type="spellEnd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plot</w:t>
      </w:r>
      <w:proofErr w:type="spellEnd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 xml:space="preserve"> da ARI-O</w:t>
      </w:r>
    </w:p>
    <w:p w14:paraId="76A50B8F" w14:textId="77777777" w:rsidR="00B36B05" w:rsidRPr="00470439" w:rsidRDefault="00B36B05" w:rsidP="0047043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Tabela 1. Carga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Pattern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itens nos fatores da ARI-O</w:t>
      </w:r>
    </w:p>
    <w:tbl>
      <w:tblPr>
        <w:tblStyle w:val="a"/>
        <w:tblW w:w="6500" w:type="dxa"/>
        <w:tblInd w:w="1004" w:type="dxa"/>
        <w:tblLayout w:type="fixed"/>
        <w:tblLook w:val="0000" w:firstRow="0" w:lastRow="0" w:firstColumn="0" w:lastColumn="0" w:noHBand="0" w:noVBand="0"/>
      </w:tblPr>
      <w:tblGrid>
        <w:gridCol w:w="1159"/>
        <w:gridCol w:w="1781"/>
        <w:gridCol w:w="1781"/>
        <w:gridCol w:w="1779"/>
      </w:tblGrid>
      <w:tr w:rsidR="00B36B05" w:rsidRPr="00470439" w14:paraId="6D0F1E10" w14:textId="77777777" w:rsidTr="0009545C">
        <w:trPr>
          <w:trHeight w:val="315"/>
        </w:trPr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B968E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F96A5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Violência</w:t>
            </w:r>
          </w:p>
          <w:p w14:paraId="46723778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Psicológica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6C6CD9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Violência</w:t>
            </w:r>
          </w:p>
          <w:p w14:paraId="33C9C8E9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2D6F2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</w:t>
            </w:r>
          </w:p>
        </w:tc>
      </w:tr>
      <w:tr w:rsidR="00B36B05" w:rsidRPr="00470439" w14:paraId="4C512002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78012A4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O-3</w:t>
            </w:r>
          </w:p>
        </w:tc>
        <w:tc>
          <w:tcPr>
            <w:tcW w:w="1781" w:type="dxa"/>
            <w:shd w:val="clear" w:color="auto" w:fill="FFFFFF"/>
          </w:tcPr>
          <w:p w14:paraId="5FC0816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-0,932</w:t>
            </w:r>
          </w:p>
        </w:tc>
        <w:tc>
          <w:tcPr>
            <w:tcW w:w="1781" w:type="dxa"/>
            <w:shd w:val="clear" w:color="auto" w:fill="FFFFFF"/>
          </w:tcPr>
          <w:p w14:paraId="7730ED29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2B07263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121DF76B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5F45D06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</w:t>
            </w:r>
          </w:p>
        </w:tc>
        <w:tc>
          <w:tcPr>
            <w:tcW w:w="1781" w:type="dxa"/>
            <w:shd w:val="clear" w:color="auto" w:fill="FFFFFF"/>
          </w:tcPr>
          <w:p w14:paraId="14580969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-0,865</w:t>
            </w:r>
          </w:p>
        </w:tc>
        <w:tc>
          <w:tcPr>
            <w:tcW w:w="1781" w:type="dxa"/>
            <w:shd w:val="clear" w:color="auto" w:fill="FFFFFF"/>
          </w:tcPr>
          <w:p w14:paraId="106DB167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5B3B6EF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388B03C2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2A981F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</w:t>
            </w:r>
          </w:p>
        </w:tc>
        <w:tc>
          <w:tcPr>
            <w:tcW w:w="1781" w:type="dxa"/>
            <w:shd w:val="clear" w:color="auto" w:fill="FFFFFF"/>
          </w:tcPr>
          <w:p w14:paraId="5BEC90A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-0,823</w:t>
            </w:r>
          </w:p>
        </w:tc>
        <w:tc>
          <w:tcPr>
            <w:tcW w:w="1781" w:type="dxa"/>
            <w:shd w:val="clear" w:color="auto" w:fill="FFFFFF"/>
          </w:tcPr>
          <w:p w14:paraId="1D75B33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4769952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123E9E63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481BEB1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O-4</w:t>
            </w:r>
          </w:p>
        </w:tc>
        <w:tc>
          <w:tcPr>
            <w:tcW w:w="1781" w:type="dxa"/>
            <w:shd w:val="clear" w:color="auto" w:fill="FFFFFF"/>
          </w:tcPr>
          <w:p w14:paraId="721795D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-0,695</w:t>
            </w:r>
          </w:p>
        </w:tc>
        <w:tc>
          <w:tcPr>
            <w:tcW w:w="1781" w:type="dxa"/>
            <w:shd w:val="clear" w:color="auto" w:fill="FFFFFF"/>
          </w:tcPr>
          <w:p w14:paraId="0DDD59CA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7FCA62D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751A1C95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074EEC2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O-15</w:t>
            </w:r>
          </w:p>
        </w:tc>
        <w:tc>
          <w:tcPr>
            <w:tcW w:w="1781" w:type="dxa"/>
            <w:shd w:val="clear" w:color="auto" w:fill="FFFFFF"/>
          </w:tcPr>
          <w:p w14:paraId="79C61969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0,645</w:t>
            </w:r>
          </w:p>
        </w:tc>
        <w:tc>
          <w:tcPr>
            <w:tcW w:w="1781" w:type="dxa"/>
            <w:shd w:val="clear" w:color="auto" w:fill="FFFFFF"/>
          </w:tcPr>
          <w:p w14:paraId="3FC9C668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3ACD67F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7A09424A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05C786A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O-16</w:t>
            </w:r>
          </w:p>
        </w:tc>
        <w:tc>
          <w:tcPr>
            <w:tcW w:w="1781" w:type="dxa"/>
            <w:shd w:val="clear" w:color="auto" w:fill="FFFFFF"/>
          </w:tcPr>
          <w:p w14:paraId="528483C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0,639</w:t>
            </w:r>
          </w:p>
        </w:tc>
        <w:tc>
          <w:tcPr>
            <w:tcW w:w="1781" w:type="dxa"/>
            <w:shd w:val="clear" w:color="auto" w:fill="FFFFFF"/>
          </w:tcPr>
          <w:p w14:paraId="40BFAF4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14B4E03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04E9C41E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5040FB3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O-21</w:t>
            </w:r>
          </w:p>
        </w:tc>
        <w:tc>
          <w:tcPr>
            <w:tcW w:w="1781" w:type="dxa"/>
            <w:shd w:val="clear" w:color="auto" w:fill="FFFFFF"/>
          </w:tcPr>
          <w:p w14:paraId="67F1F08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0,619</w:t>
            </w:r>
          </w:p>
        </w:tc>
        <w:tc>
          <w:tcPr>
            <w:tcW w:w="1781" w:type="dxa"/>
            <w:shd w:val="clear" w:color="auto" w:fill="FFFFFF"/>
          </w:tcPr>
          <w:p w14:paraId="47A44CF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0528AFB7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24226766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1715751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O-17</w:t>
            </w:r>
          </w:p>
        </w:tc>
        <w:tc>
          <w:tcPr>
            <w:tcW w:w="1781" w:type="dxa"/>
            <w:shd w:val="clear" w:color="auto" w:fill="FFFFFF"/>
          </w:tcPr>
          <w:p w14:paraId="2D38A93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0,534</w:t>
            </w:r>
          </w:p>
        </w:tc>
        <w:tc>
          <w:tcPr>
            <w:tcW w:w="1781" w:type="dxa"/>
            <w:shd w:val="clear" w:color="auto" w:fill="FFFFFF"/>
          </w:tcPr>
          <w:p w14:paraId="71BFE0D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6920A337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2AC2DEBC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56E5758A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O-5</w:t>
            </w:r>
          </w:p>
        </w:tc>
        <w:tc>
          <w:tcPr>
            <w:tcW w:w="1781" w:type="dxa"/>
            <w:shd w:val="clear" w:color="auto" w:fill="FFFFFF"/>
          </w:tcPr>
          <w:p w14:paraId="3BDB25E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0,531</w:t>
            </w:r>
          </w:p>
        </w:tc>
        <w:tc>
          <w:tcPr>
            <w:tcW w:w="1781" w:type="dxa"/>
            <w:shd w:val="clear" w:color="auto" w:fill="FFFFFF"/>
          </w:tcPr>
          <w:p w14:paraId="6149983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5F61172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6400FEFB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10E78D6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O-14</w:t>
            </w:r>
          </w:p>
        </w:tc>
        <w:tc>
          <w:tcPr>
            <w:tcW w:w="1781" w:type="dxa"/>
            <w:shd w:val="clear" w:color="auto" w:fill="FFFFFF"/>
          </w:tcPr>
          <w:p w14:paraId="1E29016A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0,498</w:t>
            </w:r>
          </w:p>
        </w:tc>
        <w:tc>
          <w:tcPr>
            <w:tcW w:w="1781" w:type="dxa"/>
            <w:shd w:val="clear" w:color="auto" w:fill="FFFFFF"/>
          </w:tcPr>
          <w:p w14:paraId="2627F42F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65CF7D2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5A2DAED9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1542DDC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O-23</w:t>
            </w:r>
          </w:p>
        </w:tc>
        <w:tc>
          <w:tcPr>
            <w:tcW w:w="1781" w:type="dxa"/>
            <w:shd w:val="clear" w:color="auto" w:fill="FFFFFF"/>
          </w:tcPr>
          <w:p w14:paraId="4142885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307526C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0,884</w:t>
            </w:r>
          </w:p>
        </w:tc>
        <w:tc>
          <w:tcPr>
            <w:tcW w:w="1779" w:type="dxa"/>
            <w:shd w:val="clear" w:color="auto" w:fill="FFFFFF"/>
          </w:tcPr>
          <w:p w14:paraId="195E8554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1FE63C5D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59991A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O-20</w:t>
            </w:r>
          </w:p>
        </w:tc>
        <w:tc>
          <w:tcPr>
            <w:tcW w:w="1781" w:type="dxa"/>
            <w:shd w:val="clear" w:color="auto" w:fill="FFFFFF"/>
          </w:tcPr>
          <w:p w14:paraId="0F76615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4B80B84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0,830</w:t>
            </w:r>
          </w:p>
        </w:tc>
        <w:tc>
          <w:tcPr>
            <w:tcW w:w="1779" w:type="dxa"/>
            <w:shd w:val="clear" w:color="auto" w:fill="FFFFFF"/>
          </w:tcPr>
          <w:p w14:paraId="242AFADA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506E19B8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5EA673F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O-22</w:t>
            </w:r>
          </w:p>
        </w:tc>
        <w:tc>
          <w:tcPr>
            <w:tcW w:w="1781" w:type="dxa"/>
            <w:shd w:val="clear" w:color="auto" w:fill="FFFFFF"/>
          </w:tcPr>
          <w:p w14:paraId="32BC46D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7BF76E9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0,821</w:t>
            </w:r>
          </w:p>
        </w:tc>
        <w:tc>
          <w:tcPr>
            <w:tcW w:w="1779" w:type="dxa"/>
            <w:shd w:val="clear" w:color="auto" w:fill="FFFFFF"/>
          </w:tcPr>
          <w:p w14:paraId="5E5A7CA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7811053F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ADD810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O-18</w:t>
            </w:r>
          </w:p>
        </w:tc>
        <w:tc>
          <w:tcPr>
            <w:tcW w:w="1781" w:type="dxa"/>
            <w:shd w:val="clear" w:color="auto" w:fill="FFFFFF"/>
          </w:tcPr>
          <w:p w14:paraId="0EAB096A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5294D94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1779" w:type="dxa"/>
            <w:shd w:val="clear" w:color="auto" w:fill="FFFFFF"/>
          </w:tcPr>
          <w:p w14:paraId="335FAA3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2E9DAF20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40032DD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O-24</w:t>
            </w:r>
          </w:p>
        </w:tc>
        <w:tc>
          <w:tcPr>
            <w:tcW w:w="1781" w:type="dxa"/>
            <w:shd w:val="clear" w:color="auto" w:fill="FFFFFF"/>
          </w:tcPr>
          <w:p w14:paraId="5503210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74169D5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0,562</w:t>
            </w:r>
          </w:p>
        </w:tc>
        <w:tc>
          <w:tcPr>
            <w:tcW w:w="1779" w:type="dxa"/>
            <w:shd w:val="clear" w:color="auto" w:fill="FFFFFF"/>
          </w:tcPr>
          <w:p w14:paraId="229E513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63682C23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72542EC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O-25</w:t>
            </w:r>
          </w:p>
        </w:tc>
        <w:tc>
          <w:tcPr>
            <w:tcW w:w="1781" w:type="dxa"/>
            <w:shd w:val="clear" w:color="auto" w:fill="FFFFFF"/>
          </w:tcPr>
          <w:p w14:paraId="22942F9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29F2617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0,408</w:t>
            </w:r>
          </w:p>
        </w:tc>
        <w:tc>
          <w:tcPr>
            <w:tcW w:w="1779" w:type="dxa"/>
            <w:shd w:val="clear" w:color="auto" w:fill="FFFFFF"/>
          </w:tcPr>
          <w:p w14:paraId="5292C3A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016F3275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E72387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O-19</w:t>
            </w:r>
          </w:p>
        </w:tc>
        <w:tc>
          <w:tcPr>
            <w:tcW w:w="1781" w:type="dxa"/>
            <w:shd w:val="clear" w:color="auto" w:fill="FFFFFF"/>
          </w:tcPr>
          <w:p w14:paraId="6EEC3F4F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7845A7F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0,405</w:t>
            </w:r>
          </w:p>
        </w:tc>
        <w:tc>
          <w:tcPr>
            <w:tcW w:w="1779" w:type="dxa"/>
            <w:shd w:val="clear" w:color="auto" w:fill="FFFFFF"/>
          </w:tcPr>
          <w:p w14:paraId="234AA38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05" w:rsidRPr="00470439" w14:paraId="028476CC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1EF548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O-9</w:t>
            </w:r>
          </w:p>
        </w:tc>
        <w:tc>
          <w:tcPr>
            <w:tcW w:w="1781" w:type="dxa"/>
            <w:shd w:val="clear" w:color="auto" w:fill="FFFFFF"/>
          </w:tcPr>
          <w:p w14:paraId="758A5DF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0,344</w:t>
            </w:r>
          </w:p>
        </w:tc>
        <w:tc>
          <w:tcPr>
            <w:tcW w:w="1781" w:type="dxa"/>
            <w:shd w:val="clear" w:color="auto" w:fill="FFFFFF"/>
          </w:tcPr>
          <w:p w14:paraId="584498E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5AAB8E7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</w:tr>
      <w:tr w:rsidR="00B36B05" w:rsidRPr="00470439" w14:paraId="406D99AC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ECE193F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O-7</w:t>
            </w:r>
          </w:p>
        </w:tc>
        <w:tc>
          <w:tcPr>
            <w:tcW w:w="1781" w:type="dxa"/>
            <w:shd w:val="clear" w:color="auto" w:fill="FFFFFF"/>
          </w:tcPr>
          <w:p w14:paraId="33AB5504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4EE93DBD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64F259D8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0,609</w:t>
            </w:r>
          </w:p>
        </w:tc>
      </w:tr>
      <w:tr w:rsidR="00B36B05" w:rsidRPr="00470439" w14:paraId="3B28EAB4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47AD2C08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O-12</w:t>
            </w:r>
          </w:p>
        </w:tc>
        <w:tc>
          <w:tcPr>
            <w:tcW w:w="1781" w:type="dxa"/>
            <w:shd w:val="clear" w:color="auto" w:fill="FFFFFF"/>
          </w:tcPr>
          <w:p w14:paraId="597F12D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0,410</w:t>
            </w:r>
          </w:p>
        </w:tc>
        <w:tc>
          <w:tcPr>
            <w:tcW w:w="1781" w:type="dxa"/>
            <w:shd w:val="clear" w:color="auto" w:fill="FFFFFF"/>
          </w:tcPr>
          <w:p w14:paraId="7B036799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4CAA4514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0,576</w:t>
            </w:r>
          </w:p>
        </w:tc>
      </w:tr>
      <w:tr w:rsidR="00B36B05" w:rsidRPr="00470439" w14:paraId="6AB49B40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BC0DE7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O-10</w:t>
            </w:r>
          </w:p>
        </w:tc>
        <w:tc>
          <w:tcPr>
            <w:tcW w:w="1781" w:type="dxa"/>
            <w:shd w:val="clear" w:color="auto" w:fill="FFFFFF"/>
          </w:tcPr>
          <w:p w14:paraId="21229A33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781" w:type="dxa"/>
            <w:shd w:val="clear" w:color="auto" w:fill="FFFFFF"/>
          </w:tcPr>
          <w:p w14:paraId="478267C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70D306B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0,487</w:t>
            </w:r>
          </w:p>
        </w:tc>
      </w:tr>
      <w:tr w:rsidR="00B36B05" w:rsidRPr="00470439" w14:paraId="0A8767B4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2DB4D64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O-11</w:t>
            </w:r>
          </w:p>
        </w:tc>
        <w:tc>
          <w:tcPr>
            <w:tcW w:w="1781" w:type="dxa"/>
            <w:shd w:val="clear" w:color="auto" w:fill="FFFFFF"/>
          </w:tcPr>
          <w:p w14:paraId="0D8CDDC0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0,320</w:t>
            </w:r>
          </w:p>
        </w:tc>
        <w:tc>
          <w:tcPr>
            <w:tcW w:w="1781" w:type="dxa"/>
            <w:shd w:val="clear" w:color="auto" w:fill="FFFFFF"/>
          </w:tcPr>
          <w:p w14:paraId="7023C991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27F8B01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</w:tr>
      <w:tr w:rsidR="00B36B05" w:rsidRPr="00470439" w14:paraId="38CF34A1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07A20A9C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O-13</w:t>
            </w:r>
          </w:p>
        </w:tc>
        <w:tc>
          <w:tcPr>
            <w:tcW w:w="1781" w:type="dxa"/>
            <w:shd w:val="clear" w:color="auto" w:fill="FFFFFF"/>
          </w:tcPr>
          <w:p w14:paraId="6E7DA83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65AAF987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6B33AF0B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0,469</w:t>
            </w:r>
          </w:p>
        </w:tc>
      </w:tr>
      <w:tr w:rsidR="00B36B05" w:rsidRPr="00470439" w14:paraId="45EB01D5" w14:textId="77777777" w:rsidTr="0009545C">
        <w:trPr>
          <w:trHeight w:val="315"/>
        </w:trPr>
        <w:tc>
          <w:tcPr>
            <w:tcW w:w="1159" w:type="dxa"/>
            <w:shd w:val="clear" w:color="auto" w:fill="FFFFFF"/>
          </w:tcPr>
          <w:p w14:paraId="0022D33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O-6</w:t>
            </w:r>
          </w:p>
        </w:tc>
        <w:tc>
          <w:tcPr>
            <w:tcW w:w="1781" w:type="dxa"/>
            <w:shd w:val="clear" w:color="auto" w:fill="FFFFFF"/>
          </w:tcPr>
          <w:p w14:paraId="530EA154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</w:tcPr>
          <w:p w14:paraId="734FE902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/>
          </w:tcPr>
          <w:p w14:paraId="5BAAE39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0,437</w:t>
            </w:r>
          </w:p>
        </w:tc>
      </w:tr>
      <w:tr w:rsidR="00B36B05" w:rsidRPr="00470439" w14:paraId="0840AAFD" w14:textId="77777777" w:rsidTr="0009545C">
        <w:trPr>
          <w:trHeight w:val="315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/>
          </w:tcPr>
          <w:p w14:paraId="63B2359F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O-8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  <w:shd w:val="clear" w:color="auto" w:fill="FFFFFF"/>
          </w:tcPr>
          <w:p w14:paraId="46C00E85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000000"/>
            </w:tcBorders>
            <w:shd w:val="clear" w:color="auto" w:fill="FFFFFF"/>
          </w:tcPr>
          <w:p w14:paraId="50F9E48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/>
            </w:tcBorders>
            <w:shd w:val="clear" w:color="auto" w:fill="FFFFFF"/>
          </w:tcPr>
          <w:p w14:paraId="1DC0CB36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0,304</w:t>
            </w:r>
          </w:p>
        </w:tc>
      </w:tr>
      <w:tr w:rsidR="00B36B05" w:rsidRPr="00470439" w14:paraId="111C47B9" w14:textId="77777777" w:rsidTr="0009545C">
        <w:trPr>
          <w:trHeight w:val="300"/>
        </w:trPr>
        <w:tc>
          <w:tcPr>
            <w:tcW w:w="6500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33EC739E" w14:textId="77777777" w:rsidR="00B36B05" w:rsidRPr="00470439" w:rsidRDefault="00B36B05" w:rsidP="004704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Nota: Método de extração: Principal </w:t>
            </w: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Axis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Factoring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36B05" w:rsidRPr="00470439" w14:paraId="41660748" w14:textId="77777777" w:rsidTr="0009545C">
        <w:trPr>
          <w:trHeight w:val="315"/>
        </w:trPr>
        <w:tc>
          <w:tcPr>
            <w:tcW w:w="6500" w:type="dxa"/>
            <w:gridSpan w:val="4"/>
            <w:shd w:val="clear" w:color="auto" w:fill="FFFFFF"/>
          </w:tcPr>
          <w:p w14:paraId="04F83716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Método de rotação: </w:t>
            </w: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Oblimin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normalização de </w:t>
            </w:r>
            <w:proofErr w:type="gram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Kaiser .</w:t>
            </w:r>
            <w:proofErr w:type="gramEnd"/>
          </w:p>
        </w:tc>
      </w:tr>
      <w:tr w:rsidR="00B36B05" w:rsidRPr="00470439" w14:paraId="59618865" w14:textId="77777777" w:rsidTr="0009545C">
        <w:trPr>
          <w:trHeight w:val="315"/>
        </w:trPr>
        <w:tc>
          <w:tcPr>
            <w:tcW w:w="6500" w:type="dxa"/>
            <w:gridSpan w:val="4"/>
            <w:shd w:val="clear" w:color="auto" w:fill="FFFFFF"/>
          </w:tcPr>
          <w:p w14:paraId="02322928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rotação convergiu em 9 interações. </w:t>
            </w:r>
          </w:p>
        </w:tc>
      </w:tr>
    </w:tbl>
    <w:p w14:paraId="5896CFA9" w14:textId="636D32E7" w:rsidR="00670839" w:rsidRPr="00470439" w:rsidRDefault="00EB47C3" w:rsidP="0047043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Para fazer a avaliação da escala ARI-E, foi realizada uma análise fatorial confirmatória, a partir do modelo encontrado na análise fatorial exploratória da ARI-O (que foi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retestado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em uma Análise Fatorial Confirmatória). Foi testado, ainda, um modelo alternativo com todos os itens carregando em um único fator. Pode-se perceber, na comparação das estruturas da ARI-O com a ARI-E, que o CFI e o TLI pioraram, mas o RMSEA permaneceu praticamente igual. O χ², entretanto, apresentou um menor desajuste (Tabela 2). Também se comparou uma solução da escala ARI-E com um fator só, piorando bastante todos os índices de ajustes, o que demonstra que essa solução com um fator não obteve nenhum suporte empírico. Embora não tenha repetido os índices de ajuste da escala ARI-O, a solução com três fatores da ARI-E tem um ajuste melhor do que a solução com um fator. Para manter a comparabilidade das estruturas da ARI-O com a ARI-E, optou-se 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lastRenderedPageBreak/>
        <w:t>pela escala com três fatores, que obteve um maior suporte empírico que a solução com um fator.</w:t>
      </w:r>
    </w:p>
    <w:p w14:paraId="128FAEF7" w14:textId="77777777" w:rsidR="00B36B05" w:rsidRPr="00470439" w:rsidRDefault="00B36B05" w:rsidP="00470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Tabela 2. Análise Fatorial confirmatória da ARI-O e da ARI-E</w:t>
      </w:r>
    </w:p>
    <w:tbl>
      <w:tblPr>
        <w:tblStyle w:val="a0"/>
        <w:tblW w:w="67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78"/>
        <w:gridCol w:w="1902"/>
        <w:gridCol w:w="1713"/>
        <w:gridCol w:w="1712"/>
      </w:tblGrid>
      <w:tr w:rsidR="00B36B05" w:rsidRPr="00470439" w14:paraId="02D9A0C7" w14:textId="77777777" w:rsidTr="0009545C">
        <w:trPr>
          <w:trHeight w:val="330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07F5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60DC1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ARI-O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9774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ARI-E_3F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11E07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ARI-E_1F</w:t>
            </w:r>
          </w:p>
        </w:tc>
      </w:tr>
      <w:tr w:rsidR="00B36B05" w:rsidRPr="00470439" w14:paraId="7B651158" w14:textId="77777777" w:rsidTr="0009545C">
        <w:trPr>
          <w:trHeight w:val="330"/>
        </w:trPr>
        <w:tc>
          <w:tcPr>
            <w:tcW w:w="137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1F9A88A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RMSEA</w:t>
            </w:r>
          </w:p>
        </w:tc>
        <w:tc>
          <w:tcPr>
            <w:tcW w:w="190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1C3BA74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171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CD4BDF3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0,091</w:t>
            </w:r>
          </w:p>
        </w:tc>
        <w:tc>
          <w:tcPr>
            <w:tcW w:w="171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887C388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0,111</w:t>
            </w:r>
          </w:p>
        </w:tc>
      </w:tr>
      <w:tr w:rsidR="00B36B05" w:rsidRPr="00470439" w14:paraId="493A04BF" w14:textId="77777777" w:rsidTr="0009545C">
        <w:trPr>
          <w:trHeight w:val="330"/>
        </w:trPr>
        <w:tc>
          <w:tcPr>
            <w:tcW w:w="1378" w:type="dxa"/>
            <w:shd w:val="clear" w:color="auto" w:fill="auto"/>
            <w:vAlign w:val="bottom"/>
          </w:tcPr>
          <w:p w14:paraId="6F574E1C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TLI</w:t>
            </w:r>
          </w:p>
        </w:tc>
        <w:tc>
          <w:tcPr>
            <w:tcW w:w="1902" w:type="dxa"/>
            <w:shd w:val="clear" w:color="auto" w:fill="auto"/>
            <w:vAlign w:val="bottom"/>
          </w:tcPr>
          <w:p w14:paraId="035C6CCE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0,848</w:t>
            </w:r>
          </w:p>
        </w:tc>
        <w:tc>
          <w:tcPr>
            <w:tcW w:w="1713" w:type="dxa"/>
            <w:shd w:val="clear" w:color="auto" w:fill="auto"/>
            <w:vAlign w:val="bottom"/>
          </w:tcPr>
          <w:p w14:paraId="0BC6CC38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0,691</w:t>
            </w:r>
          </w:p>
        </w:tc>
        <w:tc>
          <w:tcPr>
            <w:tcW w:w="1712" w:type="dxa"/>
            <w:shd w:val="clear" w:color="auto" w:fill="auto"/>
            <w:vAlign w:val="bottom"/>
          </w:tcPr>
          <w:p w14:paraId="6495285B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0,545</w:t>
            </w:r>
          </w:p>
        </w:tc>
      </w:tr>
      <w:tr w:rsidR="00B36B05" w:rsidRPr="00470439" w14:paraId="6D389FDC" w14:textId="77777777" w:rsidTr="0009545C">
        <w:trPr>
          <w:trHeight w:val="330"/>
        </w:trPr>
        <w:tc>
          <w:tcPr>
            <w:tcW w:w="1378" w:type="dxa"/>
            <w:shd w:val="clear" w:color="auto" w:fill="auto"/>
            <w:vAlign w:val="bottom"/>
          </w:tcPr>
          <w:p w14:paraId="51D4FD7C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</w:t>
            </w:r>
          </w:p>
        </w:tc>
        <w:tc>
          <w:tcPr>
            <w:tcW w:w="1902" w:type="dxa"/>
            <w:shd w:val="clear" w:color="auto" w:fill="auto"/>
            <w:vAlign w:val="bottom"/>
          </w:tcPr>
          <w:p w14:paraId="730D5FAD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0,862</w:t>
            </w:r>
          </w:p>
        </w:tc>
        <w:tc>
          <w:tcPr>
            <w:tcW w:w="1713" w:type="dxa"/>
            <w:shd w:val="clear" w:color="auto" w:fill="auto"/>
            <w:vAlign w:val="bottom"/>
          </w:tcPr>
          <w:p w14:paraId="631C63AF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712" w:type="dxa"/>
            <w:shd w:val="clear" w:color="auto" w:fill="auto"/>
            <w:vAlign w:val="bottom"/>
          </w:tcPr>
          <w:p w14:paraId="532929E2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B36B05" w:rsidRPr="00470439" w14:paraId="75B4BDAB" w14:textId="77777777" w:rsidTr="0009545C">
        <w:trPr>
          <w:trHeight w:val="330"/>
        </w:trPr>
        <w:tc>
          <w:tcPr>
            <w:tcW w:w="1378" w:type="dxa"/>
            <w:shd w:val="clear" w:color="auto" w:fill="auto"/>
            <w:vAlign w:val="bottom"/>
          </w:tcPr>
          <w:p w14:paraId="3059B62E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χ²</w:t>
            </w:r>
          </w:p>
        </w:tc>
        <w:tc>
          <w:tcPr>
            <w:tcW w:w="1902" w:type="dxa"/>
            <w:shd w:val="clear" w:color="auto" w:fill="auto"/>
            <w:vAlign w:val="bottom"/>
          </w:tcPr>
          <w:p w14:paraId="7CAED4E7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713" w:type="dxa"/>
            <w:shd w:val="clear" w:color="auto" w:fill="auto"/>
            <w:vAlign w:val="bottom"/>
          </w:tcPr>
          <w:p w14:paraId="5A2AAC16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712" w:type="dxa"/>
            <w:shd w:val="clear" w:color="auto" w:fill="auto"/>
            <w:vAlign w:val="bottom"/>
          </w:tcPr>
          <w:p w14:paraId="32189FBC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4727</w:t>
            </w:r>
          </w:p>
        </w:tc>
      </w:tr>
      <w:tr w:rsidR="00B36B05" w:rsidRPr="00470439" w14:paraId="706831EC" w14:textId="77777777" w:rsidTr="0009545C">
        <w:trPr>
          <w:trHeight w:val="330"/>
        </w:trPr>
        <w:tc>
          <w:tcPr>
            <w:tcW w:w="13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DD492D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19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14D0729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187221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DF4BB4" w14:textId="77777777" w:rsidR="00B36B05" w:rsidRPr="00470439" w:rsidRDefault="00B36B05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14:paraId="68501C8C" w14:textId="77777777" w:rsidR="00B36B05" w:rsidRPr="00470439" w:rsidRDefault="00B36B05" w:rsidP="00470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975A1" w14:textId="2213F018" w:rsidR="006708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A Tabela 3</w:t>
      </w:r>
      <w:r w:rsidRPr="00470439">
        <w:rPr>
          <w:rFonts w:ascii="Times New Roman" w:hAnsi="Times New Roman" w:cs="Times New Roman"/>
          <w:sz w:val="24"/>
          <w:szCs w:val="24"/>
        </w:rPr>
        <w:t xml:space="preserve"> 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>compara a carga fatorial da ARI-O com a ARI-E na análise fatorial confirmatória. Na referida Tabela, pode-se analisar item por item para a verificação de quais são os itens que na escala ARI-O de fato carregaram o fator e que na escala ARI-E tiveram uma carga bem menor. Assim, é provável que os participantes tenham interpretado aquele item como sendo de algum outro fator, e não como sendo um item associado naquele fator: seja violência psicológica, física ou atitudes controladoras.</w:t>
      </w:r>
    </w:p>
    <w:p w14:paraId="1CCD0E0B" w14:textId="77777777" w:rsidR="0009545C" w:rsidRPr="00470439" w:rsidRDefault="0009545C" w:rsidP="0047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 w:rsidRPr="00470439">
        <w:rPr>
          <w:rFonts w:ascii="Times New Roman" w:eastAsia="Times New Roman" w:hAnsi="Times New Roman" w:cs="Times New Roman"/>
          <w:sz w:val="24"/>
          <w:szCs w:val="24"/>
        </w:rPr>
        <w:t>Tabela 3. Comparação da carga fatorial da ARI-O e ARI-E</w:t>
      </w:r>
    </w:p>
    <w:tbl>
      <w:tblPr>
        <w:tblStyle w:val="a1"/>
        <w:tblW w:w="97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71"/>
        <w:gridCol w:w="1295"/>
        <w:gridCol w:w="1015"/>
        <w:gridCol w:w="695"/>
        <w:gridCol w:w="202"/>
        <w:gridCol w:w="1747"/>
        <w:gridCol w:w="1295"/>
        <w:gridCol w:w="1015"/>
        <w:gridCol w:w="696"/>
      </w:tblGrid>
      <w:tr w:rsidR="0009545C" w:rsidRPr="00470439" w14:paraId="0C2C28E8" w14:textId="77777777" w:rsidTr="0009545C">
        <w:trPr>
          <w:trHeight w:val="315"/>
          <w:jc w:val="center"/>
        </w:trPr>
        <w:tc>
          <w:tcPr>
            <w:tcW w:w="17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A0841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C31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ARI-O</w:t>
            </w:r>
          </w:p>
        </w:tc>
        <w:tc>
          <w:tcPr>
            <w:tcW w:w="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0327D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1B243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681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ARI-E</w:t>
            </w:r>
          </w:p>
        </w:tc>
      </w:tr>
      <w:tr w:rsidR="0009545C" w:rsidRPr="00470439" w14:paraId="79E50519" w14:textId="77777777" w:rsidTr="0009545C">
        <w:trPr>
          <w:trHeight w:val="630"/>
          <w:jc w:val="center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163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3E05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Estimativa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2AD6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 Padrão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2C73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18CC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9B8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D5D08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Estimativa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DAB3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 Padrão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8F98C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09545C" w:rsidRPr="00470439" w14:paraId="6CB1B997" w14:textId="77777777" w:rsidTr="0009545C">
        <w:trPr>
          <w:trHeight w:val="46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6201851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Psicológica 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F5CC59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5515D93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23B3AB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14:paraId="75497F7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1FABB60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Psicológica 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973BEA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865F3C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A45A40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66CFEAD7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929C00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1B8B53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60CF5B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A3C500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66D77D8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3F875F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DD28C9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67C96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5A5703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6160206A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51711EB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BB4E9F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80702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85ACC9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7E67FA4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5F9307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3C5016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7D37A7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70F4F4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6D27E40B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3FC87E5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9A4994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998E1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FEDCD6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20ED73E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08376E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E76230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52BE2C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FA8789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43120ABB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2E645F0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B9D572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24FF9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C6EBCF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2F55346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2C7AB2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0FEEF2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29BDA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F5D8DB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7F9BE88A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263287C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B8F504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-0,883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406B69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09784C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5FCD18B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A3AD3B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DD8F12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6A7CDD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9184A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5E18C349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B34F47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993364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-0,864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96DCD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A439F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0C519D2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207309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8DF227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-0,696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33AD9E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3C600C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21582CD3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708B50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416BA1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6ED123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FE195D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2C3F01C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832DAA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1FAD91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-0,523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F67F9F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ED36B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174C4E6E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4EBC4C2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8C35D0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-0,768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9D480A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85764F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6BC97F0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C1BB9F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EBAF57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-0,627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567351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36D687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4FAA9746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65699F3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00DBEE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-0,692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A604C3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581C8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2E4BB61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994A59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6A1253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-0,259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F1C770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0F4A8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3CD8138A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5E7A32D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0FE51B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-0,798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791452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17A09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0477D6F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47F42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11BE21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-0,604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5BD695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7F186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351C496C" w14:textId="77777777" w:rsidTr="0009545C">
        <w:trPr>
          <w:trHeight w:val="315"/>
          <w:jc w:val="center"/>
        </w:trPr>
        <w:tc>
          <w:tcPr>
            <w:tcW w:w="17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2731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B6310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83435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BC299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955C4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01ED8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0236E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FFF94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0A103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4CB25AD4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939866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EE70DC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107EFF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88CE54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5045219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725C8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F7EA8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90835B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00E73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1EA57483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15365E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7796EE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9FF32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B40D0B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70943F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24A246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63745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72D6D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3A7FD1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7EB233E6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4C73838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68AC0B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1110E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DC2BD5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62E5C43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3A61CB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6A8A06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E1E55E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CD33C0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2D174AF0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57E05A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O-18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EAB9E5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8E5BB0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04401E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2C0B0F3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F54295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E-18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AC3DA4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9AD66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D1FEEC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5920B411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1A2B77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A647D9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32AFF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F968E9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5DE8551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514922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38546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90B235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57FA0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57DE368D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56A8C6D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O-25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3E2128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EEBE9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C13252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5585827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DEAF0A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E-25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91E7C2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18D9D0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0CE5D4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1F5B5EC6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02DFA86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O-19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94D11F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CB7560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06C097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6BB4A3B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BF8F91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97808D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CF92AF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F29C1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4AE646E8" w14:textId="77777777" w:rsidTr="0009545C">
        <w:trPr>
          <w:trHeight w:val="630"/>
          <w:jc w:val="center"/>
        </w:trPr>
        <w:tc>
          <w:tcPr>
            <w:tcW w:w="17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F96C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589A7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2A0A2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D4C5C0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B31E1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95E27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E037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76C47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BEED4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6DCD2015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F3B10E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804CAA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DF6D5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8737CE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418C586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0284C1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4FD1FE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DBD7DD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9917F4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2BD5ED74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154BC8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AD1DE2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044B79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744F16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1AECECE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E4A465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7A712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54637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679058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6AA70F85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490333B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AE3AC4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B54ED7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427E27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392824C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417EAF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9EE00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061B0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47C03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4B9B7F85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260B4AF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A47C3E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33CE3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47ABE2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63DE353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EAC3E4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0DEAFB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A08E67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27E1FE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4F11A4AD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2777E28A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D3A9E1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CF25D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EC0C1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5797A2E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6F51FAC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70F446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BF99E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800A2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68122A19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2E7510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O-13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1C144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343553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929F6C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49EC0BA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F88C33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E-13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CB5E6E1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9670DB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18721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545C" w:rsidRPr="00470439" w14:paraId="5B6704DB" w14:textId="77777777" w:rsidTr="0009545C">
        <w:trPr>
          <w:trHeight w:val="315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BE5E94F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E34489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6D1172E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730923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shd w:val="clear" w:color="auto" w:fill="auto"/>
            <w:vAlign w:val="center"/>
          </w:tcPr>
          <w:p w14:paraId="4E32843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3071F9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35426D2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E6211E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355533C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</w:tr>
      <w:tr w:rsidR="0009545C" w:rsidRPr="00470439" w14:paraId="09045048" w14:textId="77777777" w:rsidTr="0009545C">
        <w:trPr>
          <w:trHeight w:val="315"/>
          <w:jc w:val="center"/>
        </w:trPr>
        <w:tc>
          <w:tcPr>
            <w:tcW w:w="17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21A2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O-8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226C8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68D9D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39A66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7172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FA2FB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E-8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C6E65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73F227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DBDB9" w14:textId="77777777" w:rsidR="0009545C" w:rsidRPr="00470439" w:rsidRDefault="0009545C" w:rsidP="0047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42BE6247" w14:textId="77777777" w:rsidR="0009545C" w:rsidRPr="00470439" w:rsidRDefault="0009545C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2055464" w14:textId="5E036173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Os valores de alpha de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Crombach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foram muito bons em todos os fatores da escala ARI-O: Violência Física (α = 0,86), Violência Psicológica (α = 0,87) e Atitudes Controladoras (α = 0,94). Com relação à escala ARI-E, os indicadores de confiabilidade foram menores, mas ainda assim, considerados aceitáveis: Violência Física (α = 0,83), Atitudes Controladoras (α = 0,71), Violência Psicológica (α = 0,64). Desse modo, juntou-se todos os itens de todas as escalas e criou-se uma média de todos os itens que compõem cada fator, obtendo um 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score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do fator. Foi feito um escore para evitação e um para ansiedade, na ECR; um para violência psicológica, um para violência física e outro para atitudes controladoras, nas escalas ARI-E e ARI-O.</w:t>
      </w:r>
    </w:p>
    <w:p w14:paraId="31835632" w14:textId="77777777" w:rsidR="00670839" w:rsidRPr="00470439" w:rsidRDefault="00EB47C3" w:rsidP="004704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Comparou-se os 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scores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dos fatores de homens e mulheres, para que se pudesse descobrir diferenças de sexo com relação a cada tipo de violência e estilos de apego. Fez-se a comparação de médias com o 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 xml:space="preserve">Teste t de </w:t>
      </w:r>
      <w:proofErr w:type="spellStart"/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. Observa-se então, que o estilo de apego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evitativo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foi mais comum em homens, enquanto as mulheres apresentaram 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scores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significativamente mais altos no apego ansioso. Quanto aos tipos de violência, não foi encontrada diferença significativa na escala ARI-E, ou seja, os respondentes não diferem em gênero na violência que admitem cometer, mesmo que tenha havido uma tendência à significância na ARI-E Atitudes Controladoras. No que tange a ARI-O, foi encontrada uma diferença de médias de gênero nas três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sub-escalas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>. Homens percebem que sofrem significativamente mais atitudes controladoras e violência psicológica, enquanto mulheres sofrem significativamente mais com as violências físicas.</w:t>
      </w:r>
    </w:p>
    <w:p w14:paraId="0902EE9C" w14:textId="687C87EE" w:rsidR="00470439" w:rsidRDefault="00EB47C3" w:rsidP="004704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Observando o fator atitudes controladoras, verificou-se que as médias dos homens na ARI-E é maior do que na ARI-O. Assim, eles relatam praticar mais atitudes controladoras do que sofrer. O mesmo fato pode ser observado nas mulheres nos fatores atitudes controladoras e violência psicológica. Ressalta-se que, com relação à violência psicológica, menores escores indicam maior nível de violência. Isso significa que os homens se percebem mais frequentemente como vítimas de violência psicológica do que as mulheres, o que não quer dizer, necessariamente, que as mulheres a pratiquem mais que os homens.</w:t>
      </w:r>
    </w:p>
    <w:p w14:paraId="22FD3066" w14:textId="77777777" w:rsidR="00470439" w:rsidRPr="00470439" w:rsidRDefault="00470439" w:rsidP="004704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23F793" w14:textId="77777777" w:rsidR="0009545C" w:rsidRPr="00470439" w:rsidRDefault="0009545C" w:rsidP="00470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Tabela 4. Comparação por sexo nos escores da ECR-Brasil, ARI-O e ARI-E</w:t>
      </w:r>
    </w:p>
    <w:tbl>
      <w:tblPr>
        <w:tblStyle w:val="a2"/>
        <w:tblW w:w="94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2"/>
        <w:gridCol w:w="1154"/>
        <w:gridCol w:w="623"/>
        <w:gridCol w:w="905"/>
        <w:gridCol w:w="1029"/>
        <w:gridCol w:w="900"/>
        <w:gridCol w:w="781"/>
        <w:gridCol w:w="1064"/>
        <w:gridCol w:w="1058"/>
      </w:tblGrid>
      <w:tr w:rsidR="0009545C" w:rsidRPr="00470439" w14:paraId="5396FD3B" w14:textId="77777777" w:rsidTr="0009545C">
        <w:trPr>
          <w:trHeight w:val="668"/>
        </w:trPr>
        <w:tc>
          <w:tcPr>
            <w:tcW w:w="1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D856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0FA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BD6E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2AF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Média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37C5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Desvio</w:t>
            </w:r>
          </w:p>
          <w:p w14:paraId="32916BF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Padrão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C6A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Erro</w:t>
            </w:r>
          </w:p>
          <w:p w14:paraId="235FE72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Padrão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3D85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t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FC0F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AE6D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09545C" w:rsidRPr="00470439" w14:paraId="39A577D1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627D979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Evitação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72CC5C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BAB77C5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C1EA7A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13229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21C72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76E2F385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-2,109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7BA51DE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087989B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0,035*</w:t>
            </w:r>
          </w:p>
        </w:tc>
      </w:tr>
      <w:tr w:rsidR="0009545C" w:rsidRPr="00470439" w14:paraId="3F7F8691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1BF25F33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3C3AEBF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7A29C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8A2B8F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59E187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CA2E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5EA281DC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1B5CBE20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4FF68600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34222DEB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1A5A36F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Ansiedade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1FBE78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7EE875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4CB68F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A8629A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F8399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48C72F5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2,642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1C70581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1CEFBC9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0,008*</w:t>
            </w:r>
          </w:p>
        </w:tc>
      </w:tr>
      <w:tr w:rsidR="0009545C" w:rsidRPr="00470439" w14:paraId="3F37D452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1E485409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57CC919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DF95FA2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2D6C2A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3F5B99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DC94B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5D4119CC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25879C99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5E8F6C3A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55332A5F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5BD9332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 - O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8CC93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2113A72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9FC08F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4F0FEF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7220B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015E2EA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-3,404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152F8CA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152,626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5C3415B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0,001*</w:t>
            </w:r>
          </w:p>
        </w:tc>
      </w:tr>
      <w:tr w:rsidR="0009545C" w:rsidRPr="00470439" w14:paraId="196074FF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26ED68E9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7CDE89C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058C76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8E5825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7C5527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F97CD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393632BF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6F45948A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5B605317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3399576F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247513B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 - E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A82D682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86C107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4BFA95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7D1980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C2EBF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56E4047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-1,869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048CA5A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22BC79C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0,062</w:t>
            </w:r>
          </w:p>
        </w:tc>
      </w:tr>
      <w:tr w:rsidR="0009545C" w:rsidRPr="00470439" w14:paraId="6EC2A014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1CBC0C60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75338A8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5572E9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CA3624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2FED8B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CD064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1575A563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5D567C2A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59E62FBF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5A7DE50D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3B841C7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 – O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645158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572E56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2997AB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505F11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FF9A3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5BCBD7B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4,159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361E857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209,034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4BF393E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0,000*</w:t>
            </w:r>
          </w:p>
        </w:tc>
      </w:tr>
      <w:tr w:rsidR="0009545C" w:rsidRPr="00470439" w14:paraId="3451BD04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2AC8FF49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7BF66C02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79A766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BBDE41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EE39AB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B4762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32260EF0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7917D364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2215AB1A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27131D25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3ECD219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 – E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E8F51B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3F810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E449F7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9A6502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5CC8C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0E90069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1,462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465A7A0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196,799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1808DD0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0,145</w:t>
            </w:r>
          </w:p>
        </w:tc>
      </w:tr>
      <w:tr w:rsidR="0009545C" w:rsidRPr="00470439" w14:paraId="4AF83D8E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2351ED9C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191532F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D52126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098512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E6F3D2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8A138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081B0BE4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10A3DD02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79624B86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20A9D312" w14:textId="77777777" w:rsidTr="0009545C">
        <w:trPr>
          <w:trHeight w:val="315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14:paraId="305E3D6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 - O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A65DFC6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1467C7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822547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80E8A7B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E36E3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60074203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2,028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117C62C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157,022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6BE73A05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0,044*</w:t>
            </w:r>
          </w:p>
        </w:tc>
      </w:tr>
      <w:tr w:rsidR="0009545C" w:rsidRPr="00470439" w14:paraId="718E4256" w14:textId="77777777" w:rsidTr="0009545C">
        <w:trPr>
          <w:trHeight w:val="315"/>
        </w:trPr>
        <w:tc>
          <w:tcPr>
            <w:tcW w:w="1902" w:type="dxa"/>
            <w:vMerge/>
            <w:shd w:val="clear" w:color="auto" w:fill="auto"/>
            <w:vAlign w:val="center"/>
          </w:tcPr>
          <w:p w14:paraId="2E1319C1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DCFCE2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8240A6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9B0DF26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16D8FB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2E5FC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551E27E5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00ED4FBE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2B18CD71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16A50E30" w14:textId="77777777" w:rsidTr="0009545C">
        <w:trPr>
          <w:trHeight w:val="315"/>
        </w:trPr>
        <w:tc>
          <w:tcPr>
            <w:tcW w:w="190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3E43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 - E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9A7546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35E747F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9A80DF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F2DABA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1F1277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81" w:type="dxa"/>
            <w:vMerge w:val="restart"/>
            <w:shd w:val="clear" w:color="auto" w:fill="FFFFFF"/>
            <w:vAlign w:val="center"/>
          </w:tcPr>
          <w:p w14:paraId="41142F2E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-0,173</w:t>
            </w: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14:paraId="3E62CA48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 w14:paraId="6EF70C7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0,863</w:t>
            </w:r>
          </w:p>
        </w:tc>
      </w:tr>
      <w:tr w:rsidR="0009545C" w:rsidRPr="00470439" w14:paraId="2978828E" w14:textId="77777777" w:rsidTr="0009545C">
        <w:trPr>
          <w:trHeight w:val="315"/>
        </w:trPr>
        <w:tc>
          <w:tcPr>
            <w:tcW w:w="190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1E17AF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F8304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D2269D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0401C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83B60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ABD79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81" w:type="dxa"/>
            <w:vMerge/>
            <w:shd w:val="clear" w:color="auto" w:fill="FFFFFF"/>
            <w:vAlign w:val="center"/>
          </w:tcPr>
          <w:p w14:paraId="3BE39E81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14:paraId="264482A5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FFF"/>
            <w:vAlign w:val="center"/>
          </w:tcPr>
          <w:p w14:paraId="2D54CE3B" w14:textId="77777777" w:rsidR="0009545C" w:rsidRPr="00470439" w:rsidRDefault="0009545C" w:rsidP="00470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45C" w:rsidRPr="00470439" w14:paraId="7452E899" w14:textId="77777777" w:rsidTr="0009545C">
        <w:trPr>
          <w:trHeight w:val="315"/>
        </w:trPr>
        <w:tc>
          <w:tcPr>
            <w:tcW w:w="9416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35424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Nota: * </w:t>
            </w: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&lt;0,05</w:t>
            </w:r>
          </w:p>
          <w:p w14:paraId="093B61BA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sz w:val="24"/>
                <w:szCs w:val="24"/>
              </w:rPr>
              <w:t>Menores escores de violência psicológica indicam maiores níveis de violência.</w:t>
            </w:r>
          </w:p>
          <w:p w14:paraId="4620D331" w14:textId="77777777" w:rsidR="0009545C" w:rsidRPr="00470439" w:rsidRDefault="0009545C" w:rsidP="004704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3F08A4" w14:textId="77777777" w:rsidR="00670839" w:rsidRPr="00470439" w:rsidRDefault="00EB47C3" w:rsidP="004704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Observando a Tabela 5, percebe-se elevadas correlações entre Atitudes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Controladoras-O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Físico-O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= -0,639) indicando que quanto mais a pessoa percebe que sofre violência física, menos ela percebe que sofre atitudes controladoras e vice-versa; Atitudes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Controladoras-O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Psicológico-O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= -0,728) indicando que pessoas que sofrem com atitudes controladoras, também percebem a violência psicológica (note-se que menores escores de violência psicológica, indicam maior violência sofrida) e por fim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Físico-O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Psicológico-O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>= 0,552) indica que a pessoa que sofre com violência física tende a não sofrer com a violência psicológica. Em resumo, os dados mostram que a violência psicológica e as atitudes controladoras andam em um mesmo sentido, enquanto a violência física anda em sentido oposto.</w:t>
      </w:r>
    </w:p>
    <w:p w14:paraId="4A3B6826" w14:textId="77777777" w:rsidR="00670839" w:rsidRPr="00470439" w:rsidRDefault="00EB47C3" w:rsidP="0047043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 apego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evitativo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encontrou uma correlação fraca com as atitudes controladoras sofridas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>= -0,332). Ao mesmo tempo, a ansiedade correlacionou-se com as atitudes controladoras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>=-0,307) e a violência psicológica praticadas pelo participante (</w:t>
      </w:r>
      <w:r w:rsidRPr="004704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70439">
        <w:rPr>
          <w:rFonts w:ascii="Times New Roman" w:eastAsia="Times New Roman" w:hAnsi="Times New Roman" w:cs="Times New Roman"/>
          <w:sz w:val="24"/>
          <w:szCs w:val="24"/>
        </w:rPr>
        <w:t>=0,380), no sentido de que uma maior ansiedade está associada com a realização de poucas atitudes controladoras e pouca violência psicológica. Não foram encontradas correlações de grande magnitude com a idade.</w:t>
      </w:r>
    </w:p>
    <w:p w14:paraId="2AE61290" w14:textId="7822C7FC" w:rsidR="0009545C" w:rsidRPr="00470439" w:rsidRDefault="0009545C" w:rsidP="0047043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lastRenderedPageBreak/>
        <w:t>Tabela 5. Correlação de Pearson entre idade e a ECR-Brasil, ARI-O e ARI-E</w:t>
      </w:r>
    </w:p>
    <w:p w14:paraId="695F0F1F" w14:textId="7ED40CC6" w:rsidR="00EB06FC" w:rsidRPr="00470439" w:rsidRDefault="00EB06FC" w:rsidP="0047043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FAF314" w14:textId="77777777" w:rsidR="00EB06FC" w:rsidRPr="00470439" w:rsidRDefault="00EB06FC" w:rsidP="0047043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5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907"/>
        <w:gridCol w:w="907"/>
        <w:gridCol w:w="680"/>
        <w:gridCol w:w="680"/>
        <w:gridCol w:w="680"/>
        <w:gridCol w:w="680"/>
        <w:gridCol w:w="680"/>
        <w:gridCol w:w="964"/>
      </w:tblGrid>
      <w:tr w:rsidR="00EB06FC" w:rsidRPr="00470439" w14:paraId="4688A7D5" w14:textId="6D5EF040" w:rsidTr="0018003C">
        <w:trPr>
          <w:cantSplit/>
          <w:trHeight w:val="1644"/>
        </w:trPr>
        <w:tc>
          <w:tcPr>
            <w:tcW w:w="680" w:type="dxa"/>
            <w:vMerge w:val="restart"/>
            <w:textDirection w:val="tbRl"/>
          </w:tcPr>
          <w:p w14:paraId="5DF85D2D" w14:textId="69AF0072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sz w:val="24"/>
                <w:szCs w:val="24"/>
              </w:rPr>
              <w:t>Menores escores de violência psicológica indicam maior nível de violência.</w:t>
            </w:r>
          </w:p>
        </w:tc>
        <w:tc>
          <w:tcPr>
            <w:tcW w:w="680" w:type="dxa"/>
            <w:vMerge w:val="restart"/>
            <w:textDirection w:val="tbRl"/>
            <w:vAlign w:val="center"/>
          </w:tcPr>
          <w:p w14:paraId="5DBF3C41" w14:textId="7C5B8488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**. Correlação significativa (</w:t>
            </w: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&lt;0,01- </w:t>
            </w: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bi-caudal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0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14:paraId="2FACD0A7" w14:textId="145D6382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*. Correlação significativa (</w:t>
            </w:r>
            <w:r w:rsidRPr="004704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&lt;0,05 - </w:t>
            </w: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bi-caudal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08F6B771" w14:textId="39348A5C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Evitação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7BE81AC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Ansiedade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474F11F9" w14:textId="77777777" w:rsidR="0018003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</w:t>
            </w:r>
          </w:p>
          <w:p w14:paraId="12573A81" w14:textId="2EBA976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2A095C3F" w14:textId="77777777" w:rsidR="0018003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Atitudes Controladoras</w:t>
            </w:r>
          </w:p>
          <w:p w14:paraId="376C18FE" w14:textId="50F6E05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9078F9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Físico-O</w:t>
            </w:r>
            <w:proofErr w:type="spellEnd"/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21D042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Físico-E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E3513A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Psicológico-O</w:t>
            </w:r>
            <w:proofErr w:type="spellEnd"/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53FAC1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Psicológico-E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6B9874E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E33B611" w14:textId="2543B1C3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06FC" w:rsidRPr="00470439" w14:paraId="10D3EEC8" w14:textId="50DC9CE4" w:rsidTr="0018003C">
        <w:trPr>
          <w:cantSplit/>
          <w:trHeight w:val="1077"/>
        </w:trPr>
        <w:tc>
          <w:tcPr>
            <w:tcW w:w="680" w:type="dxa"/>
            <w:vMerge/>
            <w:textDirection w:val="tbRl"/>
          </w:tcPr>
          <w:p w14:paraId="622FB75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5DD58C4A" w14:textId="1C1B6649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47E9C4DC" w14:textId="0C777524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7D43E4FA" w14:textId="13CD595B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0B44FF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106CAE65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-0,332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346B0F3E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-0,293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A3479FF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0,191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A38CF2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06FE8C2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0,202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04108EF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-0,041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4A0083F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0,111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A7BB444" w14:textId="310739C4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Evitação</w:t>
            </w:r>
          </w:p>
        </w:tc>
      </w:tr>
      <w:tr w:rsidR="00EB06FC" w:rsidRPr="00470439" w14:paraId="498D36EB" w14:textId="36BF5B96" w:rsidTr="0018003C">
        <w:trPr>
          <w:cantSplit/>
          <w:trHeight w:val="1247"/>
        </w:trPr>
        <w:tc>
          <w:tcPr>
            <w:tcW w:w="680" w:type="dxa"/>
            <w:vMerge/>
            <w:textDirection w:val="tbRl"/>
          </w:tcPr>
          <w:p w14:paraId="0178EF54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4D2ABCB8" w14:textId="5B986C20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111F2F7D" w14:textId="6473E526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0E75812E" w14:textId="6E320CBA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CE98D2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36D95AB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-0,273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4B7A5C9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-0,307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03E466D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0,113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02080F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0,149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A00548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0,102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9B6AB5C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0,380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4FD8C1BC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-0,107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6295CE3" w14:textId="7D3FE951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Ansiedade</w:t>
            </w:r>
          </w:p>
        </w:tc>
      </w:tr>
      <w:tr w:rsidR="00EB06FC" w:rsidRPr="00470439" w14:paraId="6D1E2C2A" w14:textId="5BDD50AC" w:rsidTr="0018003C">
        <w:trPr>
          <w:cantSplit/>
          <w:trHeight w:val="1587"/>
        </w:trPr>
        <w:tc>
          <w:tcPr>
            <w:tcW w:w="680" w:type="dxa"/>
            <w:vMerge/>
            <w:textDirection w:val="tbRl"/>
          </w:tcPr>
          <w:p w14:paraId="77DDF414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6009E550" w14:textId="17822BFB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281CB323" w14:textId="7B96B77B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67502D7D" w14:textId="746D81E2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9EDF8D1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096F2CB1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09122FB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0,418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9BD0F71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-0,639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5062FF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-0,220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96B601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-0,728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751224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-0,127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4E9CB6D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-0,058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DCF3B42" w14:textId="77777777" w:rsidR="0018003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Aitudes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Controladoras</w:t>
            </w:r>
          </w:p>
          <w:p w14:paraId="546CB904" w14:textId="47ADB395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</w:t>
            </w:r>
          </w:p>
        </w:tc>
      </w:tr>
      <w:tr w:rsidR="00EB06FC" w:rsidRPr="00470439" w14:paraId="5BFD5CD5" w14:textId="6A02A2D2" w:rsidTr="0018003C">
        <w:trPr>
          <w:cantSplit/>
          <w:trHeight w:val="1587"/>
        </w:trPr>
        <w:tc>
          <w:tcPr>
            <w:tcW w:w="680" w:type="dxa"/>
            <w:vMerge/>
            <w:textDirection w:val="tbRl"/>
          </w:tcPr>
          <w:p w14:paraId="5510216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37E54B84" w14:textId="18E99BF1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5BE8DCC6" w14:textId="76AF232C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15A8C908" w14:textId="70111F40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734EC3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14567ED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554D439E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027D6BF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-0,305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36628C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-0,451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136B6B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-0,249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B0BE685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-0,441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2972899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-0,089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3C2FA90" w14:textId="77777777" w:rsidR="0018003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Aitudes</w:t>
            </w:r>
            <w:proofErr w:type="spellEnd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Controladoras</w:t>
            </w:r>
          </w:p>
          <w:p w14:paraId="022D405D" w14:textId="422154E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</w:t>
            </w:r>
          </w:p>
        </w:tc>
      </w:tr>
      <w:tr w:rsidR="00EB06FC" w:rsidRPr="00470439" w14:paraId="730A2DC0" w14:textId="1D0ADCBF" w:rsidTr="0018003C">
        <w:trPr>
          <w:cantSplit/>
          <w:trHeight w:val="907"/>
        </w:trPr>
        <w:tc>
          <w:tcPr>
            <w:tcW w:w="680" w:type="dxa"/>
            <w:vMerge/>
            <w:textDirection w:val="tbRl"/>
          </w:tcPr>
          <w:p w14:paraId="504F4F6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6DB1A4A8" w14:textId="66DD3BE3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0408484F" w14:textId="728EDC98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0C2AAF1A" w14:textId="0F6A81F5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C8C3D01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0B0D30EC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141A943F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AB5E57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F2FEE81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0,402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CDD852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0,552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94A358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0,146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4EF39E3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4C33E44" w14:textId="21B19CEA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Físico-O</w:t>
            </w:r>
            <w:proofErr w:type="spellEnd"/>
          </w:p>
        </w:tc>
      </w:tr>
      <w:tr w:rsidR="00EB06FC" w:rsidRPr="00470439" w14:paraId="6C3FE6AC" w14:textId="11388DFF" w:rsidTr="0018003C">
        <w:trPr>
          <w:cantSplit/>
          <w:trHeight w:val="907"/>
        </w:trPr>
        <w:tc>
          <w:tcPr>
            <w:tcW w:w="680" w:type="dxa"/>
            <w:vMerge/>
            <w:textDirection w:val="tbRl"/>
          </w:tcPr>
          <w:p w14:paraId="33106A0E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453B6C07" w14:textId="0DA5F764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15E60840" w14:textId="5306C188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11AD9830" w14:textId="4CCAA9EF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BB41C8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57B7AF5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3CCDF12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3A90B2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71DDAE4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F63431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0,201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7E123A52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0,337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C5461FD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1AC3A91" w14:textId="35DD7C53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Físico-E</w:t>
            </w:r>
          </w:p>
        </w:tc>
      </w:tr>
      <w:tr w:rsidR="00EB06FC" w:rsidRPr="00470439" w14:paraId="11864EBB" w14:textId="074F98BB" w:rsidTr="0018003C">
        <w:trPr>
          <w:cantSplit/>
          <w:trHeight w:val="1361"/>
        </w:trPr>
        <w:tc>
          <w:tcPr>
            <w:tcW w:w="680" w:type="dxa"/>
            <w:vMerge/>
            <w:textDirection w:val="tbRl"/>
          </w:tcPr>
          <w:p w14:paraId="73845BB5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4C318C79" w14:textId="17C173CE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3DA2682D" w14:textId="13AC186B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7C2AF1D2" w14:textId="34D72B3C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168BF88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12CA3AF9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73451375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C0867C4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2981923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AD2EA72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8790689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0,115</w:t>
            </w: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5FC77A2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3A2FF6D" w14:textId="0CF7424A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Psicológico-O</w:t>
            </w:r>
            <w:proofErr w:type="spellEnd"/>
          </w:p>
        </w:tc>
      </w:tr>
      <w:tr w:rsidR="00EB06FC" w:rsidRPr="00470439" w14:paraId="204FF30C" w14:textId="6F2DA2A1" w:rsidTr="0018003C">
        <w:trPr>
          <w:cantSplit/>
          <w:trHeight w:val="1361"/>
        </w:trPr>
        <w:tc>
          <w:tcPr>
            <w:tcW w:w="680" w:type="dxa"/>
            <w:vMerge/>
            <w:textDirection w:val="tbRl"/>
          </w:tcPr>
          <w:p w14:paraId="3A2BF95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tbRl"/>
          </w:tcPr>
          <w:p w14:paraId="6B86CC8B" w14:textId="37BF1F99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3B8134F5" w14:textId="23E6E25D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227DA8C4" w14:textId="1A8355D9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9C01AF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69D7D65D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18479D0E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E60F1D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829763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29A97BB8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65FC03DB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02CC36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-0,018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4C4F6DF" w14:textId="04B6C4F6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Psicológico-E</w:t>
            </w:r>
          </w:p>
        </w:tc>
      </w:tr>
      <w:tr w:rsidR="00EB06FC" w:rsidRPr="00470439" w14:paraId="112B5379" w14:textId="533F9091" w:rsidTr="0018003C">
        <w:trPr>
          <w:cantSplit/>
          <w:trHeight w:val="907"/>
        </w:trPr>
        <w:tc>
          <w:tcPr>
            <w:tcW w:w="680" w:type="dxa"/>
            <w:vMerge/>
            <w:textDirection w:val="tbRl"/>
          </w:tcPr>
          <w:p w14:paraId="31F8289A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extDirection w:val="tbRl"/>
          </w:tcPr>
          <w:p w14:paraId="2072FF54" w14:textId="44094065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textDirection w:val="tbRl"/>
          </w:tcPr>
          <w:p w14:paraId="3E50608E" w14:textId="2D61EAA1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4BDECA3A" w14:textId="66D96DA6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3D00FDC5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6A143B3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textDirection w:val="tbRl"/>
            <w:vAlign w:val="center"/>
          </w:tcPr>
          <w:p w14:paraId="2530A63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66561C6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0A64C1F3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567132A9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tbRl"/>
            <w:vAlign w:val="center"/>
          </w:tcPr>
          <w:p w14:paraId="4FB15DC0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2667F37" w14:textId="77777777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899F66C" w14:textId="72AECE0E" w:rsidR="00EB06FC" w:rsidRPr="00470439" w:rsidRDefault="00EB06FC" w:rsidP="0047043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Idade</w:t>
            </w:r>
          </w:p>
        </w:tc>
      </w:tr>
    </w:tbl>
    <w:p w14:paraId="7E156A73" w14:textId="614C1683" w:rsidR="00670839" w:rsidRPr="00470439" w:rsidRDefault="00EB47C3" w:rsidP="00470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Discussão</w:t>
      </w:r>
    </w:p>
    <w:p w14:paraId="16A1B36B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Com a conscientização acerca da violência sobre a mulher como degradação dos princípios básicos dos direitos humanos, aumentou-se a percepção da manutenção dessas práticas em diferentes locais ao longo do mundo. O “despertar” social dessa temática reafirma a relevância em se pesquisar e trazer a luz dos fatos a estruturação sócio-histórica e científica da violência sofrida pelas mulheres dentro de relacionamentos íntimos. Esse “despertar” se dá como consequência do novo posicionamento da mulher perante a sociedade e ela mesma, provocado pela maior transparência nas relações interpessoais, movimentos públicos e políticos, rede de apoio às vítimas e a própria manifestação destas sobre as violências que sofrem.</w:t>
      </w:r>
    </w:p>
    <w:p w14:paraId="546CCA3D" w14:textId="77777777" w:rsidR="00670839" w:rsidRPr="00470439" w:rsidRDefault="00EB47C3" w:rsidP="004704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Somente a partir dos anos noventa, uma série de fatores despertaram o interesse a respeito da temática sobre relacionamentos abusivos. Dentre esses fatores, estão a necessidade de desenvolver novas ferramentas teóricas que permitissem aumentar a sua compreensão e a sua abordagem; a necessidade do desenvolvimento de novas metodologias de aproximação ao objeto que permitissem “registrá-lo” e caracterizá-lo, culminando em uma ampla gama de publicações acerca do tema (Matos, 2006).</w:t>
      </w:r>
    </w:p>
    <w:p w14:paraId="6C97731A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Esse estudo evidenciou boas propriedades para as escalas ARI-E e ARI-O. Dada a escassez de instrumentos de medida na área da violência em relacionamentos íntimos, este estudo apresenta uma ferramenta importante na detecção desse problema social. Mesmo que a estrutura fatorial precise ser lapidada em outros estudos, a escala ARI é precisa e tem boas propriedades psicométricas. Assim, este estudo colabora com a crescente tendência de se investigar instrumentos associados a relacionamentos no Brasil (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Cassepp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>-Borges &amp; De Andrade, 2013).</w:t>
      </w:r>
    </w:p>
    <w:p w14:paraId="0927B0B3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Os itens que tiveram uma carga fatorial muito diferente na ARI-O e ARI-E foram 1, 2, 3, 4, 5 no fator Violência Psicológica e 8 e 11 no fator Violência Física. Nota-se que os itens invertidos da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sub-escala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da violência psicológica tiveram uma carga fatorial forte com o seu fator na ARI-O, o que não foi repetido na ARI-E. Isso significa que esses itens se refiram a uma violência psicológica somente quando a pessoa sofre a violência, mas não quando a pessoa pratica a violência. Como exemplo temos o item 2. Quando se refere a um comportamento do outro para com o respondente (Incentiva-me a tentar coisas novas) ele é associado ao inverso da violência psicológica. Quando é um comportamento do respondente para com o outro (Incentivo a tentar coisas novas) não está associado a uma violência psicológica. </w:t>
      </w:r>
    </w:p>
    <w:p w14:paraId="52B26711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O fato é que a escala ARI precisa de aprimoramentos, a fim de que possa ter a sua invariância demonstrada. Entretanto, esse problema pode se referir não a uma distorção na escala, mas a uma distorção no próprio comportamento dos participantes, que vem a estrutura fatorial da violência que sofrem como diferente da estrutura fatorial da violência que praticam. A violência psicológica é tão sutil que, quando praticada pelo respondente, ela não é percebida como uma violência. Mas quando o respondente sofre, isso é violento e tem algum impacto. Com relação a atitudes controladoras, percebeu-se que os itens 8 e 11 se referem a questão de vestimenta apenas são considerados atitudes controladoras quando o respondente sofre esse comportamento (ARI-O). Pode-se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hipotetizar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que isso tenha relação com o fato </w:t>
      </w:r>
      <w:proofErr w:type="gramStart"/>
      <w:r w:rsidRPr="00470439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amostra ser composta por 84,5% de mulheres. Controlar a vestimenta, por exemplo, é um comportamento mais masculino do que feminino, como aponta Marques (2005).</w:t>
      </w:r>
    </w:p>
    <w:p w14:paraId="2128DF2E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lastRenderedPageBreak/>
        <w:t>Apesar do grande volume de publicações de publicações sugerindo uma violência por parte dos homens em relação à mulher (Matos, 2006; Marques, 2005; Miranda, 2010; Caridade &amp; Machado,2006), este estudo sugere que isso é verdadeiro somente em relação à violência física. As atitudes controladoras e violência psicológica parecem ser mais praticadas pelo sexo feminino do que pelo masculino. Entretanto, há uma restrição nesse dado, pois a amostra é foi escolhida por conveniência. Acredita-se que pessoas que sofrem quaisquer tipo abuso, independente do gênero, têm uma maior tendência a responder a um questionário sobre o tema. Assim, a amostra de homens e mulheres que responderam o questionário pode não ser representativa do universo de homens e mulheres na sociedade.</w:t>
      </w:r>
    </w:p>
    <w:p w14:paraId="38069FAF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A partir dos resultados encontrados nas correlações de Pearson, percebeu-se uma leve influência do apego em relação à violência. A correlação negativa entre o apego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evitativo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e atitudes controladoras sofridas pode ser explicada pelo fato de que as pessoas que possuem apego </w:t>
      </w:r>
      <w:proofErr w:type="spellStart"/>
      <w:r w:rsidRPr="00470439">
        <w:rPr>
          <w:rFonts w:ascii="Times New Roman" w:eastAsia="Times New Roman" w:hAnsi="Times New Roman" w:cs="Times New Roman"/>
          <w:sz w:val="24"/>
          <w:szCs w:val="24"/>
        </w:rPr>
        <w:t>evitativo</w:t>
      </w:r>
      <w:proofErr w:type="spellEnd"/>
      <w:r w:rsidRPr="00470439">
        <w:rPr>
          <w:rFonts w:ascii="Times New Roman" w:eastAsia="Times New Roman" w:hAnsi="Times New Roman" w:cs="Times New Roman"/>
          <w:sz w:val="24"/>
          <w:szCs w:val="24"/>
        </w:rPr>
        <w:t xml:space="preserve"> tendem a se distanciar de pessoas controladoras. Ao mesmo tempo, pessoas com apego ansioso tendem a praticar menos violência psicológica e atitudes controladoras. Uma hipótese para isso é a de que pessoas com apego ansioso sintam algum medo de perder o seu parceiro e por isso controlem mais esses impulsos.</w:t>
      </w:r>
    </w:p>
    <w:p w14:paraId="7128CA59" w14:textId="77777777" w:rsidR="00670839" w:rsidRPr="00470439" w:rsidRDefault="00EB47C3" w:rsidP="0047043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Embora haja, neste estudo, a correlação estatística entre os diferentes tipos de abusos e violências em busca do entendimento de sua origem, a abordagem estatística inviabiliza o entendimento da contextualização da relação entre vítima e abusador. Abordagens quantitativas desconsideram fatores circunstanciais acerca do evento, tais como as causas e razões que levaram à ocorrência, possíveis sequências de atos entre os envolvidos e a percepção do abuso propriamente dito pela ótica da vítima.</w:t>
      </w:r>
    </w:p>
    <w:p w14:paraId="44E7A700" w14:textId="77777777" w:rsidR="00670839" w:rsidRPr="00470439" w:rsidRDefault="00EB47C3" w:rsidP="004704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sz w:val="24"/>
          <w:szCs w:val="24"/>
        </w:rPr>
        <w:t>Por meio desta ótica, nota-se que há muitas opções de atuação dentro da Psicologia em função da redução de transtornos causados dentro de relacionamentos abusivos, considerando que muitas das relações de possíveis causas e efeitos potenciais são vastamente estudados por esta área do conhecimento. Seja com atuação direta acompanhando o casal no entendimento da relação em clínicas particulares ou recebendo pessoas que necessitem de ajuda em locais especializados em apoio à vítima, tal qual em uma Delegacia da Mulher, o auxílio profissional de um psicólogo prova ser essencial em casos de violência conjugal. Espera-se que este trabalho possa contribuir para o alinhamento entre teoria e prática durante a busca pela compreensão de comportamentos descritos e suas origens, tornando-se suporte auxiliar aos profissionais analíticos e/ou pesquisadores focados no tema.</w:t>
      </w:r>
    </w:p>
    <w:p w14:paraId="05FE8FC8" w14:textId="77777777" w:rsidR="00670839" w:rsidRPr="00470439" w:rsidRDefault="00EB47C3" w:rsidP="00470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264EF8B9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Aldrighi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(2004). Prevalência e cronicidade da violência física no namoro entre jovens universitários do estado de São Paulo.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Psicologia, Teoria e Prática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(1),105-120.</w:t>
      </w:r>
    </w:p>
    <w:p w14:paraId="3EA88967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Anacona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 A. (2008).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Prevalencia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factores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problemáticas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asociadas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noviazgo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una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revisión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literatura.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Avances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Psicología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Latinoamericana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(2), 227-241.</w:t>
      </w:r>
    </w:p>
    <w:p w14:paraId="62AC1719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Barnett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O. W., Miller-Perrin, C. L., &amp; Perrin, R. D. (1997).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Family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across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lifespan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Thousand Oaks, CA: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Sage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FEFC62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Brennan, K., Clark, C. L.,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Shaver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R. (1998).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Selfreport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measurement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adult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integrative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overview. In J.A. Simpson &amp; P.R.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Shaver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(1985).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(p. 46-76). New York: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Guilford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Press.</w:t>
      </w:r>
    </w:p>
    <w:p w14:paraId="207BE60C" w14:textId="69F4296E" w:rsidR="0018003C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Cassepp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-Borges, V., &amp; De Andrade, A. L. (2013). Uma breve história das tentativas para medir atributos dos relacionamentos amorosos em língua portuguesa.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Estudos de Psicologia (Natal), 18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631-638. </w:t>
      </w:r>
      <w:hyperlink r:id="rId8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https://doi.org/10.1590/S1413-294X2013000400011</w:t>
        </w:r>
      </w:hyperlink>
    </w:p>
    <w:p w14:paraId="4E0DCC99" w14:textId="77777777" w:rsidR="0018003C" w:rsidRPr="00470439" w:rsidRDefault="0018003C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00AE5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Caridade, S., &amp; Machado, C. (2006). Violência na intimidade juvenil: da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vitimação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perpetração.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Análise Psicológica, 4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(24), 485-493. https://doi.org/10.14417/ap.541</w:t>
      </w:r>
    </w:p>
    <w:p w14:paraId="5F52981E" w14:textId="3D1C6536" w:rsidR="0018003C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Chan, K. L.,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Straus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A.,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Brownridge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A.,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Tiwari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&amp; Leung, W. C. (2008).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Prevalence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partner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suicidal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ideation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female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worldwide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Midwifery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&amp;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Womens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Health,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53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(6), 529-537. </w:t>
      </w:r>
      <w:hyperlink r:id="rId9" w:history="1">
        <w:r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https://doi.org/10.1016/j.jmwh.2008.04.016</w:t>
        </w:r>
      </w:hyperlink>
    </w:p>
    <w:p w14:paraId="5162E0F5" w14:textId="0874CDFF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Cornelius, T. L.,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Resseguie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(2007).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Primary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secondary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review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Aggression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Violent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Behavior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12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364-375. </w:t>
      </w:r>
      <w:hyperlink r:id="rId10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https://doi.org/10.1016/j.avb.2006.09.006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95CEF1E" w14:textId="722D2564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Dilillo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Giuffre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Tremblay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G. C., &amp; Peterson, L. (2001). 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closer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partner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sexual abuse.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Interpersonal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(2),116-132. </w:t>
      </w:r>
      <w:hyperlink r:id="rId11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https://doi.org/10.1177/088626001016002002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E431D" w14:textId="207B0D4D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Flake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A., Barros, C.,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Schraiber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B., &amp; Menezes, P. R. (2013). Violência por parceiro íntimo entre estudantes de duas universidades do Estado de São Paulo, Brasil.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Revista Brasileira de Epidemiologia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801-816. </w:t>
      </w:r>
      <w:hyperlink r:id="rId12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https://doi.org/10.1590/S1415-790X2013000400001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19AFC" w14:textId="14210D1B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Hazan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Shaver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 (1987).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Romantic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conceptualized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personality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social psychology,52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511-524. </w:t>
      </w:r>
      <w:hyperlink r:id="rId13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https://doi.org/10.1037/0022-3514.52.3.511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537B29" w14:textId="199CA38C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Henderson, A. J. Z., Bartholomew, K.,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Trinke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S.J.,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Kwong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J. (2005).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loving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hurting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exploration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abuse in 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sample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Family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20(4), 219-230. </w:t>
      </w:r>
      <w:hyperlink r:id="rId14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https://doi.org/10.1007/s10896-005-5985-y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A87D8E" w14:textId="2D881765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Hickman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J.,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Jaycox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H.,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Aronoff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(2004).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prevalence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gender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effectiveness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Trauma,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&amp; Abuse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123-142. </w:t>
      </w:r>
      <w:hyperlink r:id="rId15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http://doi.org/10.1177/1524838003262332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E58A20" w14:textId="747E570E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Hohendorff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V.,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Habigzang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F.,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Koller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H. (2007). A boy,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victim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nobody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really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buys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?':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Dynamics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sexual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against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boys.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Child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Abuse &amp; </w:t>
      </w:r>
      <w:proofErr w:type="spellStart"/>
      <w:proofErr w:type="gram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Neglect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70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53-64. </w:t>
      </w:r>
      <w:hyperlink r:id="rId16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https://doi.org/10.1016/j.chiabu.2017.05.008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F0C9CA" w14:textId="144B5512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Hohendorff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V., Santos, S. S.,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Dell’Aglio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D. (2015). Estudo de caso sobre a revelação da violência sexual contra meninos.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Contextos Clínicos, 8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46-54. </w:t>
      </w:r>
      <w:hyperlink r:id="rId17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https://doi.org/10.4013/ctc.2015.81.05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7A0DE5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Krug, E. G,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Dahlberg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L.,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Mercy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A.,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Zwi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A. B. &amp; Lozano, R. (2002).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World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report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Geneva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World Health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73D6EB" w14:textId="0DC29FBA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Love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Respect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Are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a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healthy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relationship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Disponível em </w:t>
      </w:r>
      <w:hyperlink r:id="rId18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http://www.loveisrespect.org/for-someone-else/is-my-relationship-healthy-quiz/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08CF35" w14:textId="4433669F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Marques, T. M. (2005).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Violência conjugal: estudo sobre a permanência da mulher em relacionamentos abusivos.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Dissertação de Mestrado não publicada - Universidade Federal de Uberlândia, Uberlândia, Minas Gerais. Disponível em </w:t>
      </w:r>
      <w:hyperlink r:id="rId19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https://repositorio.ufu.br/handle/123456789/17261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021C4B" w14:textId="3B4FCD80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Matos, M. A. V. (2006).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Violência nas relações de intimidade: estudo sobre a mudança psicoterapêutica na mulher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Tese de Doutorado em Psicologia. Disponível em </w:t>
      </w:r>
      <w:hyperlink r:id="rId20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http://hdl.handle.net/1822/5735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041C46" w14:textId="1148ABB2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Miranda, M. P. M., Paula, C. S.,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Bordin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I. A. (2010). Violência conjugal física contra a mulher na vida: prevalência e impacto imediato na saúde, trabalho e família.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Revista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Panamericana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Salud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Pública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27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300-308. </w:t>
      </w:r>
      <w:hyperlink r:id="rId21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https://doi.org/10.1590/S1020-49892010000400009</w:t>
        </w:r>
      </w:hyperlink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BD77A8" w14:textId="5E2C2A85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Murta, S. G, Santos B. R. P., Martins, C. P. S., &amp; Oliveira, B. (2013). Prevenção primária à violência no namoro: uma revisão de literatura.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Contextos Clínicos,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117-131. </w:t>
      </w:r>
      <w:hyperlink r:id="rId22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http://doi.org/10.4013/ctc.2013.62.05</w:t>
        </w:r>
      </w:hyperlink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A433C9" w14:textId="765D79A5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Natividade, J. C.,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Shiramizu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 K. M. (2015). Uma medida de apego: versão brasileira da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Close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-Reduzida (ECR-R-Brasil).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Psicologia USP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484-494. </w:t>
      </w:r>
      <w:hyperlink r:id="rId23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https://doi.org/10.1590/0103-656420140086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6371FF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Oliveira, Q. B. M., Assis, S. G.,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Njaine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Oliveira, R.V.C. (2011). Violência nas relações afetivo-sexuais. In: C. M.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Minayo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G. Assis, &amp; K.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Njaine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Amor e violência: um paradoxo das relações de namoro e do 'ficar' entre jovens brasileiros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 Rio de Janeiro: Fiocruz, pp. 87-141.</w:t>
      </w:r>
    </w:p>
    <w:p w14:paraId="4E192485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Paiva, C., &amp; Figueiredo, B. (2003) Abuso no Relacionamento Íntimo com o Companheiro: Definição, Prevalência, Causas e Efeitos,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Psicologia, Saúde &amp; Doenças, 4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(2), 165-184.</w:t>
      </w:r>
    </w:p>
    <w:p w14:paraId="359AD6D6" w14:textId="77777777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Paiva, C., &amp; Figueiredo, B. (2004). Abuso no relacionamento íntimo: estudo da prevalência em jovens adultos portugueses.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Psychologica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36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, 75-107.</w:t>
      </w:r>
    </w:p>
    <w:p w14:paraId="1030A563" w14:textId="5429AD73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Piosiadlo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 C. M., Fonseca, R. M. G. S.,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Gessner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 (2014). Subalternidade de gênero: refletindo sobre a vulnerabilidade para violência doméstica contra a mulher.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Escola Anna Nery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728-733. </w:t>
      </w:r>
      <w:hyperlink r:id="rId24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https://doi.org/10.5935/1414-8145.20140104</w:t>
        </w:r>
      </w:hyperlink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45920B" w14:textId="2A3D5649" w:rsidR="00670839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Ting, S. R. (2009). Meta-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dating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middle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schools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School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328-337. </w:t>
      </w:r>
      <w:hyperlink r:id="rId25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http://doi.org/10.1080/15388220903130197</w:t>
        </w:r>
      </w:hyperlink>
      <w:r w:rsidR="0018003C"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01702D" w14:textId="0E23F6E7" w:rsidR="0018003C" w:rsidRPr="00470439" w:rsidRDefault="00EB47C3" w:rsidP="00470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Williams, J. R.,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Ghandour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 M., &amp;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Kub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E. (2008).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Female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perpetration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heterosexual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intimate</w:t>
      </w:r>
      <w:proofErr w:type="spellEnd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Trauma, </w:t>
      </w:r>
      <w:proofErr w:type="spellStart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Violence</w:t>
      </w:r>
      <w:proofErr w:type="spellEnd"/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&amp; Abuse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704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47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227-249. </w:t>
      </w:r>
      <w:hyperlink r:id="rId26" w:history="1">
        <w:r w:rsidR="0018003C" w:rsidRPr="004704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http://doi.org/10.1177/1524838008324418</w:t>
        </w:r>
      </w:hyperlink>
    </w:p>
    <w:sectPr w:rsidR="0018003C" w:rsidRPr="00470439" w:rsidSect="00470439">
      <w:headerReference w:type="default" r:id="rId27"/>
      <w:footerReference w:type="default" r:id="rId28"/>
      <w:pgSz w:w="11906" w:h="16838"/>
      <w:pgMar w:top="1701" w:right="1274" w:bottom="1701" w:left="1417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EB51" w14:textId="77777777" w:rsidR="004B685A" w:rsidRDefault="004B685A">
      <w:pPr>
        <w:spacing w:after="0" w:line="240" w:lineRule="auto"/>
      </w:pPr>
      <w:r>
        <w:separator/>
      </w:r>
    </w:p>
  </w:endnote>
  <w:endnote w:type="continuationSeparator" w:id="0">
    <w:p w14:paraId="26035669" w14:textId="77777777" w:rsidR="004B685A" w:rsidRDefault="004B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E7A2" w14:textId="77777777" w:rsidR="0009545C" w:rsidRDefault="00095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E0E8" w14:textId="77777777" w:rsidR="004B685A" w:rsidRDefault="004B685A">
      <w:pPr>
        <w:spacing w:after="0" w:line="240" w:lineRule="auto"/>
      </w:pPr>
      <w:r>
        <w:separator/>
      </w:r>
    </w:p>
  </w:footnote>
  <w:footnote w:type="continuationSeparator" w:id="0">
    <w:p w14:paraId="7918BACE" w14:textId="77777777" w:rsidR="004B685A" w:rsidRDefault="004B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CCEA2" w14:textId="77777777" w:rsidR="0009545C" w:rsidRDefault="00095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B6833"/>
    <w:multiLevelType w:val="multilevel"/>
    <w:tmpl w:val="7A708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39"/>
    <w:rsid w:val="0009545C"/>
    <w:rsid w:val="00127562"/>
    <w:rsid w:val="0018003C"/>
    <w:rsid w:val="00266A25"/>
    <w:rsid w:val="00291733"/>
    <w:rsid w:val="002C5294"/>
    <w:rsid w:val="003D72E1"/>
    <w:rsid w:val="00470439"/>
    <w:rsid w:val="004B685A"/>
    <w:rsid w:val="00670839"/>
    <w:rsid w:val="00B36B05"/>
    <w:rsid w:val="00EB06FC"/>
    <w:rsid w:val="00EB47C3"/>
    <w:rsid w:val="00EF6179"/>
    <w:rsid w:val="00FA50AC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F6CB"/>
  <w15:docId w15:val="{5913D90C-C15D-403D-BC8E-DFB9BAF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1800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S1413-294X2013000400011" TargetMode="External"/><Relationship Id="rId13" Type="http://schemas.openxmlformats.org/officeDocument/2006/relationships/hyperlink" Target="https://doi.org/10.1037/0022-3514.52.3.511" TargetMode="External"/><Relationship Id="rId18" Type="http://schemas.openxmlformats.org/officeDocument/2006/relationships/hyperlink" Target="http://www.loveisrespect.org/for-someone-else/is-my-relationship-healthy-quiz/" TargetMode="External"/><Relationship Id="rId26" Type="http://schemas.openxmlformats.org/officeDocument/2006/relationships/hyperlink" Target="http://doi.org/10.1177/15248380083244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590/S1020-4989201000040000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590/S1415-790X2013000400001" TargetMode="External"/><Relationship Id="rId17" Type="http://schemas.openxmlformats.org/officeDocument/2006/relationships/hyperlink" Target="https://doi.org/10.4013/ctc.2015.81.05" TargetMode="External"/><Relationship Id="rId25" Type="http://schemas.openxmlformats.org/officeDocument/2006/relationships/hyperlink" Target="http://doi.org/10.1080/153882209031301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chiabu.2017.05.008" TargetMode="External"/><Relationship Id="rId20" Type="http://schemas.openxmlformats.org/officeDocument/2006/relationships/hyperlink" Target="http://hdl.handle.net/1822/573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88626001016002002" TargetMode="External"/><Relationship Id="rId24" Type="http://schemas.openxmlformats.org/officeDocument/2006/relationships/hyperlink" Target="https://doi.org/10.5935/1414-8145.201401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i.org/10.1177/1524838003262332" TargetMode="External"/><Relationship Id="rId23" Type="http://schemas.openxmlformats.org/officeDocument/2006/relationships/hyperlink" Target="https://doi.org/10.1590/0103-65642014008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016/j.avb.2006.09.006" TargetMode="External"/><Relationship Id="rId19" Type="http://schemas.openxmlformats.org/officeDocument/2006/relationships/hyperlink" Target="https://repositorio.ufu.br/handle/123456789/17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mwh.2008.04.016" TargetMode="External"/><Relationship Id="rId14" Type="http://schemas.openxmlformats.org/officeDocument/2006/relationships/hyperlink" Target="https://doi.org/10.1007/s10896-005-5985-y" TargetMode="External"/><Relationship Id="rId22" Type="http://schemas.openxmlformats.org/officeDocument/2006/relationships/hyperlink" Target="http://doi.org/10.4013/ctc.2013.62.0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5598</Words>
  <Characters>30230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</dc:creator>
  <cp:lastModifiedBy>amanda abilel</cp:lastModifiedBy>
  <cp:revision>4</cp:revision>
  <dcterms:created xsi:type="dcterms:W3CDTF">2020-03-25T14:29:00Z</dcterms:created>
  <dcterms:modified xsi:type="dcterms:W3CDTF">2020-04-07T22:21:00Z</dcterms:modified>
</cp:coreProperties>
</file>