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F4D" w:rsidRDefault="00C23F4D" w:rsidP="00C23F4D">
      <w:pPr>
        <w:spacing w:after="0" w:line="360" w:lineRule="auto"/>
        <w:jc w:val="center"/>
        <w:rPr>
          <w:rFonts w:ascii="Arial" w:hAnsi="Arial" w:cs="Arial"/>
          <w:b/>
          <w:sz w:val="28"/>
          <w:szCs w:val="24"/>
        </w:rPr>
      </w:pPr>
      <w:r>
        <w:rPr>
          <w:rFonts w:ascii="Arial" w:hAnsi="Arial" w:cs="Arial"/>
          <w:b/>
          <w:sz w:val="28"/>
          <w:szCs w:val="24"/>
        </w:rPr>
        <w:t>Modelo sociocultural del dominio moral en adolescentes mexicanos</w:t>
      </w:r>
    </w:p>
    <w:p w:rsidR="00C23F4D" w:rsidRDefault="00C23F4D" w:rsidP="00C23F4D">
      <w:pPr>
        <w:pStyle w:val="din-a4"/>
        <w:spacing w:before="240" w:after="0"/>
        <w:jc w:val="center"/>
        <w:rPr>
          <w:rFonts w:ascii="Arial" w:hAnsi="Arial"/>
          <w:szCs w:val="24"/>
          <w:vertAlign w:val="superscript"/>
        </w:rPr>
      </w:pPr>
      <w:r>
        <w:rPr>
          <w:rFonts w:ascii="Arial" w:hAnsi="Arial"/>
          <w:szCs w:val="24"/>
        </w:rPr>
        <w:t>Rubén Andrés Miranda-Rodríguez</w:t>
      </w:r>
      <w:r>
        <w:rPr>
          <w:rFonts w:ascii="Arial" w:hAnsi="Arial"/>
          <w:szCs w:val="24"/>
          <w:vertAlign w:val="superscript"/>
        </w:rPr>
        <w:t>1</w:t>
      </w:r>
      <w:r>
        <w:rPr>
          <w:rFonts w:ascii="Arial" w:hAnsi="Arial"/>
          <w:szCs w:val="24"/>
        </w:rPr>
        <w:t xml:space="preserve"> y Mirna García-Méndez</w:t>
      </w:r>
      <w:r>
        <w:rPr>
          <w:rFonts w:ascii="Arial" w:hAnsi="Arial"/>
          <w:szCs w:val="24"/>
          <w:vertAlign w:val="superscript"/>
        </w:rPr>
        <w:t>2</w:t>
      </w:r>
    </w:p>
    <w:p w:rsidR="00C23F4D" w:rsidRDefault="00C23F4D" w:rsidP="00C23F4D">
      <w:pPr>
        <w:pStyle w:val="din-a4"/>
        <w:spacing w:before="240" w:after="0"/>
        <w:jc w:val="center"/>
        <w:rPr>
          <w:rFonts w:ascii="Arial" w:hAnsi="Arial"/>
          <w:i/>
          <w:szCs w:val="24"/>
        </w:rPr>
      </w:pPr>
      <w:r>
        <w:rPr>
          <w:rFonts w:ascii="Arial" w:hAnsi="Arial"/>
          <w:i/>
          <w:szCs w:val="24"/>
        </w:rPr>
        <w:t>Universidad Nacional Autónoma de México, Facultad de Estudios Superiores Zaragoza</w:t>
      </w:r>
    </w:p>
    <w:p w:rsidR="00C23F4D" w:rsidRDefault="00C23F4D" w:rsidP="00C23F4D">
      <w:pPr>
        <w:spacing w:line="360" w:lineRule="auto"/>
        <w:rPr>
          <w:rFonts w:ascii="Arial" w:hAnsi="Arial" w:cs="Arial"/>
          <w:b/>
          <w:sz w:val="24"/>
          <w:szCs w:val="24"/>
        </w:rPr>
      </w:pPr>
    </w:p>
    <w:p w:rsidR="00C23F4D" w:rsidRDefault="00C23F4D" w:rsidP="00C23F4D">
      <w:pPr>
        <w:spacing w:line="360" w:lineRule="auto"/>
        <w:jc w:val="center"/>
        <w:rPr>
          <w:rFonts w:ascii="Arial" w:hAnsi="Arial" w:cs="Arial"/>
          <w:b/>
          <w:sz w:val="20"/>
          <w:szCs w:val="24"/>
        </w:rPr>
      </w:pPr>
      <w:r>
        <w:rPr>
          <w:rFonts w:ascii="Arial" w:hAnsi="Arial" w:cs="Arial"/>
          <w:b/>
          <w:sz w:val="20"/>
          <w:szCs w:val="24"/>
        </w:rPr>
        <w:t>Resumen</w:t>
      </w:r>
    </w:p>
    <w:p w:rsidR="00C23F4D" w:rsidRDefault="00C23F4D" w:rsidP="00C23F4D">
      <w:pPr>
        <w:spacing w:line="240" w:lineRule="auto"/>
        <w:rPr>
          <w:rFonts w:ascii="Arial" w:hAnsi="Arial" w:cs="Arial"/>
          <w:sz w:val="20"/>
          <w:szCs w:val="24"/>
        </w:rPr>
      </w:pPr>
      <w:r>
        <w:rPr>
          <w:rFonts w:ascii="Arial" w:hAnsi="Arial" w:cs="Arial"/>
          <w:sz w:val="20"/>
          <w:szCs w:val="24"/>
        </w:rPr>
        <w:t>Se elaboró un modelo de ecuaciones estructurales con el objetivo de reconocer qué factores de las premisas histórico-socioculturales, del individualismo-colectivismo y del funcionamiento familiar predicen el dominio moral en adolescentes mexicanos. Los datos fueron recabados en una muestra de 459 adolescentes residentes de la Ciudad de México y el Estado de México. Los resultados muestran que las normas tradicionales de la cultura mexicana, el colectivismo y el ambiente familiar, tanto en sus componentes positivos como negativos, predicen el dominio moral dividido en principios de moral prescriptiva y principios de moral restrictiva. La evidencia obtenida en esta investigación sugiere que para promover una educación moral sensible con la salud mental de los adolescentes se deben considerar aspectos socioculturales que se complementen con aspectos individuales.</w:t>
      </w:r>
    </w:p>
    <w:p w:rsidR="00C23F4D" w:rsidRDefault="00C23F4D" w:rsidP="00C23F4D">
      <w:pPr>
        <w:spacing w:line="240" w:lineRule="auto"/>
        <w:rPr>
          <w:rFonts w:ascii="Arial" w:hAnsi="Arial" w:cs="Arial"/>
          <w:sz w:val="20"/>
          <w:szCs w:val="24"/>
        </w:rPr>
      </w:pPr>
      <w:r>
        <w:rPr>
          <w:rFonts w:ascii="Arial" w:hAnsi="Arial" w:cs="Arial"/>
          <w:b/>
          <w:sz w:val="20"/>
          <w:szCs w:val="24"/>
        </w:rPr>
        <w:t xml:space="preserve">Palabras clave: </w:t>
      </w:r>
      <w:r>
        <w:rPr>
          <w:rFonts w:ascii="Arial" w:hAnsi="Arial" w:cs="Arial"/>
          <w:sz w:val="20"/>
          <w:szCs w:val="24"/>
        </w:rPr>
        <w:t>dominio moral, sociocultura, funcionamiento familiar, adolescentes, educación moral.</w:t>
      </w:r>
    </w:p>
    <w:p w:rsidR="00C23F4D" w:rsidRDefault="00C23F4D" w:rsidP="00C23F4D">
      <w:pPr>
        <w:spacing w:before="240" w:line="360" w:lineRule="auto"/>
        <w:jc w:val="center"/>
        <w:rPr>
          <w:rFonts w:ascii="Arial" w:hAnsi="Arial" w:cs="Arial"/>
          <w:b/>
          <w:sz w:val="20"/>
          <w:szCs w:val="24"/>
          <w:lang w:val="en-US"/>
        </w:rPr>
      </w:pPr>
      <w:r>
        <w:rPr>
          <w:rFonts w:ascii="Arial" w:hAnsi="Arial" w:cs="Arial"/>
          <w:b/>
          <w:sz w:val="20"/>
          <w:szCs w:val="24"/>
          <w:lang w:val="en-US"/>
        </w:rPr>
        <w:t>Abstract</w:t>
      </w:r>
    </w:p>
    <w:p w:rsidR="00C23F4D" w:rsidRDefault="00C23F4D" w:rsidP="00C23F4D">
      <w:pPr>
        <w:spacing w:line="240" w:lineRule="auto"/>
        <w:rPr>
          <w:rFonts w:ascii="Arial" w:hAnsi="Arial" w:cs="Arial"/>
          <w:sz w:val="20"/>
          <w:szCs w:val="24"/>
          <w:lang w:val="en-US"/>
        </w:rPr>
      </w:pPr>
      <w:r>
        <w:rPr>
          <w:rFonts w:ascii="Arial" w:hAnsi="Arial" w:cs="Arial"/>
          <w:sz w:val="20"/>
          <w:szCs w:val="24"/>
          <w:lang w:val="en-US"/>
        </w:rPr>
        <w:t>A model of structural equations was developed with the aim of recognizing which factors of the historical-sociocultural premises, individualism-collectivism and family functioning predict the moral domain in Mexican adolescents. The data were collected in a sample of 459 adolescent residents of Mexico City and the State of Mexico. The results show that the traditional norms of Mexican culture, collectivism and the family functioning, both in its positive and negative components, predict the moral domain divided into prescriptive moral principles and restrictive moral principles. The evidence obtained in this research suggests that for promoting a sensitive moral education to adolescents’ mental health, this moral education must promote sociocultural aspects that complement individual aspects.</w:t>
      </w:r>
    </w:p>
    <w:p w:rsidR="00C23F4D" w:rsidRDefault="00C23F4D" w:rsidP="00C23F4D">
      <w:pPr>
        <w:spacing w:line="240" w:lineRule="auto"/>
        <w:rPr>
          <w:rFonts w:ascii="Arial" w:hAnsi="Arial" w:cs="Arial"/>
          <w:sz w:val="20"/>
          <w:szCs w:val="24"/>
          <w:lang w:val="en-US"/>
        </w:rPr>
      </w:pPr>
      <w:r>
        <w:rPr>
          <w:rFonts w:ascii="Arial" w:hAnsi="Arial" w:cs="Arial"/>
          <w:b/>
          <w:sz w:val="20"/>
          <w:szCs w:val="24"/>
          <w:lang w:val="en-US"/>
        </w:rPr>
        <w:t xml:space="preserve">Key words: </w:t>
      </w:r>
      <w:r>
        <w:rPr>
          <w:rFonts w:ascii="Arial" w:hAnsi="Arial" w:cs="Arial"/>
          <w:sz w:val="20"/>
          <w:szCs w:val="24"/>
          <w:lang w:val="en-US"/>
        </w:rPr>
        <w:t xml:space="preserve">moral domain, socio-culture, family functioning, adolescents, moral education. </w:t>
      </w:r>
    </w:p>
    <w:p w:rsidR="00C23F4D" w:rsidRDefault="00C23F4D" w:rsidP="00C23F4D">
      <w:pPr>
        <w:spacing w:line="360" w:lineRule="auto"/>
        <w:rPr>
          <w:rFonts w:ascii="Arial" w:hAnsi="Arial" w:cs="Arial"/>
          <w:b/>
          <w:sz w:val="24"/>
          <w:szCs w:val="24"/>
          <w:lang w:val="en-US"/>
        </w:rPr>
      </w:pPr>
    </w:p>
    <w:p w:rsidR="00C23F4D" w:rsidRDefault="00C23F4D" w:rsidP="00C23F4D">
      <w:pPr>
        <w:spacing w:line="360" w:lineRule="auto"/>
        <w:rPr>
          <w:rFonts w:ascii="Arial" w:hAnsi="Arial" w:cs="Arial"/>
          <w:b/>
          <w:sz w:val="24"/>
          <w:szCs w:val="24"/>
          <w:lang w:val="en-US"/>
        </w:rPr>
      </w:pPr>
    </w:p>
    <w:p w:rsidR="00C23F4D" w:rsidRDefault="00C23F4D" w:rsidP="00C23F4D">
      <w:pPr>
        <w:spacing w:line="360" w:lineRule="auto"/>
        <w:rPr>
          <w:rFonts w:ascii="Arial" w:hAnsi="Arial" w:cs="Arial"/>
          <w:b/>
          <w:sz w:val="24"/>
          <w:szCs w:val="24"/>
          <w:lang w:val="en-US"/>
        </w:rPr>
      </w:pPr>
    </w:p>
    <w:p w:rsidR="00C23F4D" w:rsidRDefault="00C23F4D" w:rsidP="00C23F4D">
      <w:pPr>
        <w:rPr>
          <w:rFonts w:ascii="Arial" w:hAnsi="Arial" w:cs="Arial"/>
          <w:sz w:val="20"/>
          <w:lang w:val="en-US"/>
        </w:rPr>
      </w:pPr>
    </w:p>
    <w:p w:rsidR="00C23F4D" w:rsidRDefault="00C23F4D" w:rsidP="00C23F4D">
      <w:pPr>
        <w:rPr>
          <w:rFonts w:ascii="Arial" w:hAnsi="Arial" w:cs="Arial"/>
          <w:sz w:val="20"/>
        </w:rPr>
      </w:pPr>
      <w:r>
        <w:rPr>
          <w:rFonts w:ascii="Arial" w:hAnsi="Arial" w:cs="Arial"/>
          <w:sz w:val="20"/>
          <w:vertAlign w:val="superscript"/>
        </w:rPr>
        <w:t>1</w:t>
      </w:r>
      <w:r>
        <w:rPr>
          <w:rFonts w:ascii="Arial" w:hAnsi="Arial" w:cs="Arial"/>
          <w:sz w:val="20"/>
        </w:rPr>
        <w:t>Candidato a Doctor en Psicología Social</w:t>
      </w:r>
      <w:r>
        <w:rPr>
          <w:rFonts w:ascii="Arial" w:hAnsi="Arial" w:cs="Arial"/>
          <w:b/>
          <w:i/>
          <w:sz w:val="20"/>
        </w:rPr>
        <w:t xml:space="preserve">. </w:t>
      </w:r>
      <w:r>
        <w:rPr>
          <w:rFonts w:ascii="Arial" w:hAnsi="Arial" w:cs="Arial"/>
          <w:sz w:val="20"/>
        </w:rPr>
        <w:t>Universidad Nacional Autónoma de México, Facultad de Estudios Superiores Zaragoza. Av. Guelatao No. 66 (Eje 7 Oriente). Colonia Ejército de Oriente. Ciudad de México. C.P.09230. Tel.: 0445518190776. Correo: r.andresmiranda.r@gmail.com.</w:t>
      </w:r>
    </w:p>
    <w:p w:rsidR="00C23F4D" w:rsidRDefault="00C23F4D" w:rsidP="00C23F4D">
      <w:pPr>
        <w:rPr>
          <w:rFonts w:ascii="Arial" w:hAnsi="Arial" w:cs="Arial"/>
          <w:sz w:val="20"/>
        </w:rPr>
      </w:pPr>
      <w:r>
        <w:rPr>
          <w:rFonts w:ascii="Arial" w:hAnsi="Arial" w:cs="Arial"/>
          <w:sz w:val="20"/>
          <w:vertAlign w:val="superscript"/>
        </w:rPr>
        <w:t>2</w:t>
      </w:r>
      <w:r>
        <w:rPr>
          <w:rFonts w:ascii="Arial" w:hAnsi="Arial" w:cs="Arial"/>
          <w:sz w:val="20"/>
        </w:rPr>
        <w:t>Doctora en Psicología Social, Profesora Titular Tiempo Completo. Universidad Nacional Autónoma de México, Facultad de Estudios Superiores Zaragoza. Av. Guelatao No. 66 (Eje 7 Oriente). Colonia Ejército de Oriente. Ciudad de México. C.P.09230. Edificio de Gobierno Planta alta, Carrera de Psicología. Tel.: 56230553. Correo: mina@unam.mx.</w:t>
      </w:r>
    </w:p>
    <w:p w:rsidR="00C23F4D" w:rsidRDefault="00C23F4D" w:rsidP="00C23F4D">
      <w:pPr>
        <w:spacing w:line="240" w:lineRule="auto"/>
        <w:rPr>
          <w:rFonts w:ascii="Arial" w:hAnsi="Arial" w:cs="Arial"/>
          <w:b/>
          <w:sz w:val="24"/>
          <w:szCs w:val="24"/>
        </w:rPr>
      </w:pPr>
      <w:bookmarkStart w:id="0" w:name="_GoBack"/>
      <w:bookmarkEnd w:id="0"/>
    </w:p>
    <w:p w:rsidR="00634FA7" w:rsidRPr="00045C75" w:rsidRDefault="00634FA7" w:rsidP="00181210">
      <w:pPr>
        <w:spacing w:line="240" w:lineRule="auto"/>
        <w:jc w:val="center"/>
        <w:rPr>
          <w:rFonts w:ascii="Arial" w:hAnsi="Arial" w:cs="Arial"/>
          <w:b/>
          <w:sz w:val="24"/>
          <w:szCs w:val="24"/>
        </w:rPr>
      </w:pPr>
      <w:r w:rsidRPr="00045C75">
        <w:rPr>
          <w:rFonts w:ascii="Arial" w:hAnsi="Arial" w:cs="Arial"/>
          <w:b/>
          <w:sz w:val="24"/>
          <w:szCs w:val="24"/>
        </w:rPr>
        <w:lastRenderedPageBreak/>
        <w:t>Introducción</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Un elemento fundamental para la salud mental de los adolescentes y de las personas en general es la formación de un criterio moral consistente con la preocupación social, es decir, la adquisición de principios morales que involucren a las personas con las necesidades de su comunidad (Martin, 2006). Para promover esta formación se necesita conocer su orientación cultural, es decir, las creencias, costumbres y tradiciones que le dan significado a los principios morales que se desean promover (Barrios, Barbato &amp; Branco, 2012), entendido el principio moral como una afirmación normativa</w:t>
      </w:r>
      <w:r w:rsidRPr="00045C75">
        <w:rPr>
          <w:rFonts w:ascii="Arial" w:hAnsi="Arial"/>
          <w:sz w:val="24"/>
          <w:szCs w:val="24"/>
        </w:rPr>
        <w:t xml:space="preserve"> sobre las acciones buenas y malas, con la característica de que se desarrolla a través de la experiencia (Railton, 1986).</w:t>
      </w:r>
      <w:r w:rsidRPr="00045C75">
        <w:rPr>
          <w:rFonts w:ascii="Arial" w:hAnsi="Arial" w:cs="Arial"/>
          <w:sz w:val="24"/>
          <w:szCs w:val="24"/>
        </w:rPr>
        <w:t xml:space="preserve"> En un contexto más amplio se encuentra la educación moral que hace referencia a la promoción de principios morales para beneficio de una sociedad, a partir del entorno sociocultural, así como de los sentimientos y pensamientos de las personas a las que se desea educar (Buxarrais-Estrada &amp; Martínez-Martín, 2009), por lo que es importante que se tome en cuenta, además de una perspectiva universal de los principios morales, un enfoque sociocultural (Haste, 2013).</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 xml:space="preserve">El dominio moral hace referencia al conjunto de principios morales que rigen y regulan el comportamiento humano, incorpora las afirmaciones dadas por hecho en la realidad sociocultural de las personas que forman las bases de lo bueno y lo malo (Turiel, 1983). El principal referente del estudio del dominio moral se encuentra en la teoría del desarrollo moral de Kohlberg (1987) que consiste en una taxonomía clasificada en seis niveles que definen diferentes maneras de razonar conforme a los siguientes principios morales: </w:t>
      </w:r>
      <w:r w:rsidRPr="00045C75">
        <w:rPr>
          <w:rFonts w:ascii="Arial" w:hAnsi="Arial" w:cs="Arial"/>
          <w:i/>
          <w:sz w:val="24"/>
          <w:szCs w:val="24"/>
        </w:rPr>
        <w:t>1. Moral heterónoma:</w:t>
      </w:r>
      <w:r w:rsidRPr="00045C75">
        <w:rPr>
          <w:rFonts w:ascii="Arial" w:hAnsi="Arial" w:cs="Arial"/>
          <w:sz w:val="24"/>
          <w:szCs w:val="24"/>
        </w:rPr>
        <w:t xml:space="preserve"> Se razona conforme a consecuencias físicas y el juicio de otros, normalmente de alguna autoridad. </w:t>
      </w:r>
      <w:r w:rsidRPr="00045C75">
        <w:rPr>
          <w:rFonts w:ascii="Arial" w:hAnsi="Arial" w:cs="Arial"/>
          <w:i/>
          <w:sz w:val="24"/>
          <w:szCs w:val="24"/>
        </w:rPr>
        <w:t>2. Moral individualista instrumental:</w:t>
      </w:r>
      <w:r w:rsidRPr="00045C75">
        <w:rPr>
          <w:rFonts w:ascii="Arial" w:hAnsi="Arial" w:cs="Arial"/>
          <w:sz w:val="24"/>
          <w:szCs w:val="24"/>
        </w:rPr>
        <w:t xml:space="preserve"> Se razona conforme a las necesidades y deseos únicamente personales. </w:t>
      </w:r>
      <w:r w:rsidRPr="00045C75">
        <w:rPr>
          <w:rFonts w:ascii="Arial" w:hAnsi="Arial" w:cs="Arial"/>
          <w:i/>
          <w:sz w:val="24"/>
          <w:szCs w:val="24"/>
        </w:rPr>
        <w:t>3. Moral normativa interpersonal:</w:t>
      </w:r>
      <w:r w:rsidRPr="00045C75">
        <w:rPr>
          <w:rFonts w:ascii="Arial" w:hAnsi="Arial" w:cs="Arial"/>
          <w:sz w:val="24"/>
          <w:szCs w:val="24"/>
        </w:rPr>
        <w:t xml:space="preserve"> Se razona conforme a las expectativas del entorno social. </w:t>
      </w:r>
      <w:r w:rsidRPr="00045C75">
        <w:rPr>
          <w:rFonts w:ascii="Arial" w:hAnsi="Arial" w:cs="Arial"/>
          <w:i/>
          <w:sz w:val="24"/>
          <w:szCs w:val="24"/>
        </w:rPr>
        <w:t>4. Moral de sistema social:</w:t>
      </w:r>
      <w:r w:rsidRPr="00045C75">
        <w:rPr>
          <w:rFonts w:ascii="Arial" w:hAnsi="Arial" w:cs="Arial"/>
          <w:sz w:val="24"/>
          <w:szCs w:val="24"/>
        </w:rPr>
        <w:t xml:space="preserve"> Se razona conforme al cumplimiento de normas, reglas o leyes establecidas. </w:t>
      </w:r>
      <w:r w:rsidRPr="00045C75">
        <w:rPr>
          <w:rFonts w:ascii="Arial" w:hAnsi="Arial" w:cs="Arial"/>
          <w:i/>
          <w:sz w:val="24"/>
          <w:szCs w:val="24"/>
        </w:rPr>
        <w:t>5. Moral del contrato social:</w:t>
      </w:r>
      <w:r w:rsidRPr="00045C75">
        <w:rPr>
          <w:rFonts w:ascii="Arial" w:hAnsi="Arial" w:cs="Arial"/>
          <w:sz w:val="24"/>
          <w:szCs w:val="24"/>
        </w:rPr>
        <w:t xml:space="preserve"> Se razona conforme a los derechos humanos y la búsqueda de acuerdos que beneficien a todos. </w:t>
      </w:r>
      <w:r w:rsidRPr="00045C75">
        <w:rPr>
          <w:rFonts w:ascii="Arial" w:hAnsi="Arial" w:cs="Arial"/>
          <w:i/>
          <w:sz w:val="24"/>
          <w:szCs w:val="24"/>
        </w:rPr>
        <w:t>6. Moral de principios éticos universales:</w:t>
      </w:r>
      <w:r w:rsidRPr="00045C75">
        <w:rPr>
          <w:rFonts w:ascii="Arial" w:hAnsi="Arial" w:cs="Arial"/>
          <w:sz w:val="24"/>
          <w:szCs w:val="24"/>
        </w:rPr>
        <w:t xml:space="preserve"> Se razona conforme a la propia conciencia sobre principios universales como bienestar y justicia.</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Sobre la base de un dominio moral compuesto por los principios de la teoría de Kohlberg, se han desarrollado diferentes instrumentos de evaluación psicológica, donde uno de los más utilizados es el Defining Issues Test, que mide cómo las personas se acercan o alejan del nivel más alto de desarrollo moral según la manera de razonar ante dilemas morales (Rest, 1979). En México, los estudios de Barba (2001, 2002) muestran que personas de la cultura mexicana obtienen puntajes más bajos de desarrollo moral en esta prueba, en comparación con personas de Estados Unidos, lo que sugiere dos posibles razones: que los estadounidenses tienen un mejor nivel de razonamiento moral que los mexicanos o que existen aspectos socioculturales que cuestionan si es posible hacer comparaciones pertinentes entre muestras de ambos países.</w:t>
      </w:r>
    </w:p>
    <w:p w:rsidR="00634FA7" w:rsidRPr="00045C75" w:rsidRDefault="00634FA7" w:rsidP="00634FA7">
      <w:pPr>
        <w:spacing w:after="0" w:line="240" w:lineRule="auto"/>
        <w:rPr>
          <w:rFonts w:ascii="Arial" w:hAnsi="Arial" w:cs="Arial"/>
          <w:strike/>
          <w:sz w:val="24"/>
          <w:szCs w:val="24"/>
        </w:rPr>
      </w:pPr>
      <w:r w:rsidRPr="00045C75">
        <w:rPr>
          <w:rFonts w:ascii="Arial" w:hAnsi="Arial" w:cs="Arial"/>
          <w:sz w:val="24"/>
          <w:szCs w:val="24"/>
        </w:rPr>
        <w:tab/>
        <w:t xml:space="preserve">En términos de la relación entre dominio moral y sociocultura, Triandis (1994) argumenta que los principios 3 y 4 de la teoría de Kohlberg corresponden más con principios morales de culturas colectivistas y los principios 5 y 6 tienen un carácter más individualista. Otros autores, como Shweder, Mahapatra y Miller (1997), argumentan </w:t>
      </w:r>
      <w:r w:rsidRPr="00045C75">
        <w:rPr>
          <w:rFonts w:ascii="Arial" w:hAnsi="Arial" w:cs="Arial"/>
          <w:sz w:val="24"/>
          <w:szCs w:val="24"/>
        </w:rPr>
        <w:lastRenderedPageBreak/>
        <w:t xml:space="preserve">que los principios 5 y 6 de la teoría de Kohlberg obedecen a principios morales con una lógica liberal de occidente que no atienden realmente a otras culturas con normas, creencias y valores más enfocados hacia la colectividad o hacia la espiritualidad. Estos autores sugieren que el dominio moral varía culturalmente en tres grandes tendencias: autonomía, comunidad y divinidad. </w:t>
      </w:r>
      <w:r w:rsidRPr="00045C75">
        <w:rPr>
          <w:rFonts w:ascii="Arial" w:hAnsi="Arial" w:cs="Arial"/>
          <w:i/>
          <w:sz w:val="24"/>
          <w:szCs w:val="24"/>
        </w:rPr>
        <w:t xml:space="preserve">Autonomía </w:t>
      </w:r>
      <w:r w:rsidRPr="00045C75">
        <w:rPr>
          <w:rFonts w:ascii="Arial" w:hAnsi="Arial" w:cs="Arial"/>
          <w:sz w:val="24"/>
          <w:szCs w:val="24"/>
        </w:rPr>
        <w:t xml:space="preserve">en función de principios morales que valoran la individualidad y la independencia; </w:t>
      </w:r>
      <w:r w:rsidRPr="00045C75">
        <w:rPr>
          <w:rFonts w:ascii="Arial" w:hAnsi="Arial" w:cs="Arial"/>
          <w:i/>
          <w:sz w:val="24"/>
          <w:szCs w:val="24"/>
        </w:rPr>
        <w:t>comunidad</w:t>
      </w:r>
      <w:r w:rsidRPr="00045C75">
        <w:rPr>
          <w:rFonts w:ascii="Arial" w:hAnsi="Arial" w:cs="Arial"/>
          <w:sz w:val="24"/>
          <w:szCs w:val="24"/>
        </w:rPr>
        <w:t xml:space="preserve"> como principios morales que valoran la pertenencia a grupos y la interdependencia; y la </w:t>
      </w:r>
      <w:r w:rsidRPr="00045C75">
        <w:rPr>
          <w:rFonts w:ascii="Arial" w:hAnsi="Arial" w:cs="Arial"/>
          <w:i/>
          <w:sz w:val="24"/>
          <w:szCs w:val="24"/>
        </w:rPr>
        <w:t>divinidad</w:t>
      </w:r>
      <w:r w:rsidRPr="00045C75">
        <w:rPr>
          <w:rFonts w:ascii="Arial" w:hAnsi="Arial" w:cs="Arial"/>
          <w:sz w:val="24"/>
          <w:szCs w:val="24"/>
        </w:rPr>
        <w:t xml:space="preserve"> en función de principios morales que valoran la espiritualidad o la religiosidad. Estas posturas alternativas sugieren que el dominio moral desde un enfoque completamente universal no puede aplicarse a todas las culturas, ya que existen diferencias en función de los ideales morales que imperan en cada entorno social.</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Si la teoría de Kohlberg no considera las diferencias culturales, un dominio moral conformado por principios de autoconsciencia, justicia y bienestar es insuficiente. Haidt y Joseph (2007) plantean que para establecer un dominio moral aplicable a todas las personas y que atienda la variabilidad cultural se deben reconocer primero sus bases bio-evolutivas y adaptativas, conocidas como fundamentos morales. Con base en estos estudios, Graham et al. (2013) sugieren cinco fundamentos morales: cuidado/daño, como la necesidad de protección y consideración por los vulnerables; justicia/injusticia, donde se busca establecer relaciones de reciprocidad y cooperación; lealtad/traición que promueve la conformación y cohesión de grupos; autoridad/subversión, se refiere a la importancia de las jerarquías para la organización social; y pureza/degradación, en la que se conserva o se rechaza algo según los sentimientos de disgusto o desagrado que generen.</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Los fundamentos morales tienen la cualidad de ser universales a nivel teórico, por su carácter biológico y evolutivo, pero en lo empírico se debe considerar cómo pueden variar de acuerdo con el entorno sociocultural. Si se trata de un conjunto de bases previas a la interacción de las personas con su medio ambiente, es plausible que se modifiquen de acuerdo con las características del ecosistema en donde se desarrollen (Haste, 2013). Estas premisas se tomaron en consideración en un estudio realizado con adolescentes de la Ciudad de México y zonas conurbadas del Estado de México, donde se elaboró una definición de dominio moral en adolescentes como un proceso culturalmente variable, donde se manifiestan principios morales que dirigen las relaciones sociales hacia la preservación del amor, el respeto mutuo, la lealtad a la familia y la equidad, así como el rechazo a las ofensas como faltas de respeto a los valores y a las acciones perjudiciales e injustas. Se propuso un dominio moral para adolescentes mexicanos (Miranda-Rodríguez &amp; García-Méndez, 2019).</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 xml:space="preserve">La clasificación de dominio moral en adolescentes mexicanos se compone por cinco principios morales: </w:t>
      </w:r>
      <w:r w:rsidRPr="00045C75">
        <w:rPr>
          <w:rFonts w:ascii="Arial" w:hAnsi="Arial" w:cs="Arial"/>
          <w:i/>
          <w:sz w:val="24"/>
          <w:szCs w:val="24"/>
        </w:rPr>
        <w:t>Amor/Respeto:</w:t>
      </w:r>
      <w:r w:rsidRPr="00045C75">
        <w:rPr>
          <w:rFonts w:ascii="Arial" w:hAnsi="Arial" w:cs="Arial"/>
          <w:sz w:val="24"/>
          <w:szCs w:val="24"/>
        </w:rPr>
        <w:t xml:space="preserve"> conjunto de juicios que favorecen las muestras de afecto, la preocupación por el bienestar del otro y la demostración de que las personas son valiosas. </w:t>
      </w:r>
      <w:r w:rsidRPr="00045C75">
        <w:rPr>
          <w:rFonts w:ascii="Arial" w:hAnsi="Arial" w:cs="Arial"/>
          <w:i/>
          <w:sz w:val="24"/>
          <w:szCs w:val="24"/>
        </w:rPr>
        <w:t xml:space="preserve">Lealtad/Familia: </w:t>
      </w:r>
      <w:r w:rsidRPr="00045C75">
        <w:rPr>
          <w:rFonts w:ascii="Arial" w:hAnsi="Arial" w:cs="Arial"/>
          <w:sz w:val="24"/>
          <w:szCs w:val="24"/>
        </w:rPr>
        <w:t xml:space="preserve">conjunto de juicios que fortalecen la estabilidad de los preceptos familiares y el valor de la familia como guía moral. </w:t>
      </w:r>
      <w:r w:rsidRPr="00045C75">
        <w:rPr>
          <w:rFonts w:ascii="Arial" w:hAnsi="Arial" w:cs="Arial"/>
          <w:i/>
          <w:sz w:val="24"/>
          <w:szCs w:val="24"/>
        </w:rPr>
        <w:t xml:space="preserve">Ofensa: </w:t>
      </w:r>
      <w:r w:rsidRPr="00045C75">
        <w:rPr>
          <w:rFonts w:ascii="Arial" w:hAnsi="Arial" w:cs="Arial"/>
          <w:sz w:val="24"/>
          <w:szCs w:val="24"/>
        </w:rPr>
        <w:t xml:space="preserve">conjunto de juicios que reprueban la deshonestidad y la pérdida de valores a través de actos como la mentira y la venganza. </w:t>
      </w:r>
      <w:r w:rsidRPr="00045C75">
        <w:rPr>
          <w:rFonts w:ascii="Arial" w:hAnsi="Arial" w:cs="Arial"/>
          <w:i/>
          <w:sz w:val="24"/>
          <w:szCs w:val="24"/>
        </w:rPr>
        <w:t>Equidad:</w:t>
      </w:r>
      <w:r w:rsidRPr="00045C75">
        <w:rPr>
          <w:rFonts w:ascii="Arial" w:hAnsi="Arial" w:cs="Arial"/>
          <w:sz w:val="24"/>
          <w:szCs w:val="24"/>
        </w:rPr>
        <w:t xml:space="preserve"> conjunto de juicios en favor del dar-recibir en las relaciones, la justicia y el trato igualitario para todas las personas, se buscan los mismos derechos y condiciones para todos. </w:t>
      </w:r>
      <w:r w:rsidRPr="00045C75">
        <w:rPr>
          <w:rFonts w:ascii="Arial" w:hAnsi="Arial" w:cs="Arial"/>
          <w:i/>
          <w:sz w:val="24"/>
          <w:szCs w:val="24"/>
        </w:rPr>
        <w:t>Perjuicio:</w:t>
      </w:r>
      <w:r w:rsidRPr="00045C75">
        <w:rPr>
          <w:rFonts w:ascii="Arial" w:hAnsi="Arial" w:cs="Arial"/>
          <w:sz w:val="24"/>
          <w:szCs w:val="24"/>
        </w:rPr>
        <w:t xml:space="preserve"> conjunto de juicios que reprueban la voluntad de agredir, provocar dolor y aprovecharse de las condiciones de otros. Estos </w:t>
      </w:r>
      <w:r w:rsidRPr="00045C75">
        <w:rPr>
          <w:rFonts w:ascii="Arial" w:hAnsi="Arial" w:cs="Arial"/>
          <w:sz w:val="24"/>
          <w:szCs w:val="24"/>
        </w:rPr>
        <w:lastRenderedPageBreak/>
        <w:t>principios toman en cuenta una perspectiva sociocultural (Miranda-Rodríguez &amp; García-Méndez, 2019).</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 xml:space="preserve">Al considerar una perspectiva sociocultural del dominio moral, es fundamental identificar a qué factores locales y específicos se deben las variaciones en los principios morales de una cultura en particular, con la finalidad de estructurar una educación moral sensible a cada sociedad (Berniūnas, Dranseika, &amp; Sousa, 2016; Buxarrais-Estrada &amp; Martínez-Martín, 2009). Las premisas histórico-socioculturales (Díaz-Guerrero, 1994, 2003) como predictoras del dominio moral en adolescentes mexicanos pueden colaborar para cumplir este propósito, debido a que marcan la orientación moral de las conductas (Díaz-Loving, 2011). </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 xml:space="preserve">Las premisas histórico-socioculturales se definen como un conjunto de afirmaciones simples o complejas que marcan las formas de convivencia de los mexicanos (Díaz-Guerrero, 1972, 1994, 2003) que se distribuyen en diferentes tipos de afirmaciones entre las que se encuentran: </w:t>
      </w:r>
      <w:r w:rsidRPr="00045C75">
        <w:rPr>
          <w:rFonts w:ascii="Arial" w:hAnsi="Arial" w:cs="Arial"/>
          <w:i/>
          <w:sz w:val="24"/>
          <w:szCs w:val="24"/>
        </w:rPr>
        <w:t>Obediencia afiliativa</w:t>
      </w:r>
      <w:r w:rsidRPr="00045C75">
        <w:rPr>
          <w:rFonts w:ascii="Arial" w:hAnsi="Arial" w:cs="Arial"/>
          <w:sz w:val="24"/>
          <w:szCs w:val="24"/>
        </w:rPr>
        <w:t xml:space="preserve">: anteponer los intereses propios por los de la familia. </w:t>
      </w:r>
      <w:r w:rsidRPr="00045C75">
        <w:rPr>
          <w:rFonts w:ascii="Arial" w:hAnsi="Arial" w:cs="Arial"/>
          <w:i/>
          <w:sz w:val="24"/>
          <w:szCs w:val="24"/>
        </w:rPr>
        <w:t>Marianismo</w:t>
      </w:r>
      <w:r w:rsidRPr="00045C75">
        <w:rPr>
          <w:rFonts w:ascii="Arial" w:hAnsi="Arial" w:cs="Arial"/>
          <w:sz w:val="24"/>
          <w:szCs w:val="24"/>
        </w:rPr>
        <w:t xml:space="preserve">: posición tradicional de la mujer en la cultura, que involucra el protegerla y cuidarla, se le otorga como principal función regir el hogar. </w:t>
      </w:r>
      <w:r w:rsidRPr="00045C75">
        <w:rPr>
          <w:rFonts w:ascii="Arial" w:hAnsi="Arial" w:cs="Arial"/>
          <w:i/>
          <w:sz w:val="24"/>
          <w:szCs w:val="24"/>
        </w:rPr>
        <w:t>Honor familiar</w:t>
      </w:r>
      <w:r w:rsidRPr="00045C75">
        <w:rPr>
          <w:rFonts w:ascii="Arial" w:hAnsi="Arial" w:cs="Arial"/>
          <w:sz w:val="24"/>
          <w:szCs w:val="24"/>
        </w:rPr>
        <w:t xml:space="preserve">: importancia que se le otorga a las relaciones extramaritales, como una forma de estigma familiar. </w:t>
      </w:r>
      <w:r w:rsidRPr="00045C75">
        <w:rPr>
          <w:rFonts w:ascii="Arial" w:hAnsi="Arial" w:cs="Arial"/>
          <w:i/>
          <w:sz w:val="24"/>
          <w:szCs w:val="24"/>
        </w:rPr>
        <w:t>Temor a la autoridad</w:t>
      </w:r>
      <w:r w:rsidRPr="00045C75">
        <w:rPr>
          <w:rFonts w:ascii="Arial" w:hAnsi="Arial" w:cs="Arial"/>
          <w:sz w:val="24"/>
          <w:szCs w:val="24"/>
        </w:rPr>
        <w:t xml:space="preserve">: grado de aprensión de los hijos hacia los padres. </w:t>
      </w:r>
      <w:r w:rsidRPr="00045C75">
        <w:rPr>
          <w:rFonts w:ascii="Arial" w:hAnsi="Arial" w:cs="Arial"/>
          <w:i/>
          <w:sz w:val="24"/>
          <w:szCs w:val="24"/>
        </w:rPr>
        <w:t>Autoafirmación</w:t>
      </w:r>
      <w:r w:rsidRPr="00045C75">
        <w:rPr>
          <w:rFonts w:ascii="Arial" w:hAnsi="Arial" w:cs="Arial"/>
          <w:sz w:val="24"/>
          <w:szCs w:val="24"/>
        </w:rPr>
        <w:t xml:space="preserve">: disposición para buscar la autonomía y el autoreconocimiento, como personas independientes de la familia. </w:t>
      </w:r>
      <w:r w:rsidRPr="00045C75">
        <w:rPr>
          <w:rFonts w:ascii="Arial" w:hAnsi="Arial" w:cs="Arial"/>
          <w:i/>
          <w:sz w:val="24"/>
          <w:szCs w:val="24"/>
        </w:rPr>
        <w:t>Status quo familiar</w:t>
      </w:r>
      <w:r w:rsidRPr="00045C75">
        <w:rPr>
          <w:rFonts w:ascii="Arial" w:hAnsi="Arial" w:cs="Arial"/>
          <w:sz w:val="24"/>
          <w:szCs w:val="24"/>
        </w:rPr>
        <w:t xml:space="preserve">: tendencia a mantener sin cambios la estructura tradicional de relaciones entre los miembros de la familia. </w:t>
      </w:r>
      <w:r w:rsidRPr="00045C75">
        <w:rPr>
          <w:rFonts w:ascii="Arial" w:hAnsi="Arial" w:cs="Arial"/>
          <w:i/>
          <w:sz w:val="24"/>
          <w:szCs w:val="24"/>
        </w:rPr>
        <w:t>Consentimiento</w:t>
      </w:r>
      <w:r w:rsidRPr="00045C75">
        <w:rPr>
          <w:rFonts w:ascii="Arial" w:hAnsi="Arial" w:cs="Arial"/>
          <w:sz w:val="24"/>
          <w:szCs w:val="24"/>
        </w:rPr>
        <w:t>: grado de aceptación de la superioridad del hombre sobre la mujer, a quien se coloca en una posición de abnegación y sufrimiento (García-Méndez, 2007). Cabe mencionar que en investigaciones más recientes, estas premisas son clasificadas en dos grandes componentes: normas referidas a la delimitación de lo que se debe hacer, y creencias que son la delimitación de cómo se entienden las relaciones interpersonales y los roles sociales (Díaz-Loving, Rivera, Villanuega, &amp; Cruz, 2011).</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Se considera que las normas y creencias tradicionales de los mexicanos participan en la conformación de sus principios morales debido a aspectos de la cultura local. Sin embargo, también se han considerado elementos transculturales en la conformación de la noción del bien y del mal en las personas, tal como se plantea en las críticas a la teoría de Kohlberg (Shweder et al., 1997). Uno de los elementos considerado como un patrón transcultural que participa en la variación de los principios morales es el síndrome cultural del individualismo-colectivismo (Yilmaz, Harma, Bahcekapili, &amp; Cesur, 2016).</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 xml:space="preserve">Los síndromes culturales se entienden como patrones de comportamiento social que permiten hacer comparaciones entre culturas (Hofstede, 2003). El individualismo-colectivismo es un síndrome cultural que involucra la búsqueda de la autonomía e independencia o los deseos de permanecer en grupos de manera interdependiente (Triandis, 1994). Se demostró que hay principios morales como el cuidado y la justicia relacionados con el individualismo y en el caso del colectivismo se relacionan con aspectos de lealtad o autoridad (Yilmaz et al., 2016). De este modo, se estima conveniente identificar la participación de este síndrome cultural como predictor de los principios morales de adolescentes mexicanos en función de que la cultura mexicana es predominantemente colectivista con la familia como el grupo social de referencia (Díaz-Guerrero, 1994). Es por esto que los patrones de socialización y su funcionamiento en </w:t>
      </w:r>
      <w:r w:rsidRPr="00045C75">
        <w:rPr>
          <w:rFonts w:ascii="Arial" w:hAnsi="Arial" w:cs="Arial"/>
          <w:sz w:val="24"/>
          <w:szCs w:val="24"/>
        </w:rPr>
        <w:lastRenderedPageBreak/>
        <w:t>el entorno familiar también pueden estar presentes en la variación de principios morales, aunado a que se ha demostrado que un funcionamiento familiar con ambiente positivo tiene efectos positivos en el desarrollo moral de los adolescentes (White &amp; Matawie, 2004).</w:t>
      </w:r>
    </w:p>
    <w:p w:rsidR="00634FA7" w:rsidRPr="00045C75" w:rsidRDefault="00634FA7" w:rsidP="00634FA7">
      <w:pPr>
        <w:spacing w:after="0"/>
      </w:pPr>
      <w:r w:rsidRPr="00045C75">
        <w:rPr>
          <w:rFonts w:ascii="Arial" w:hAnsi="Arial" w:cs="Arial"/>
          <w:sz w:val="24"/>
          <w:szCs w:val="24"/>
        </w:rPr>
        <w:tab/>
        <w:t xml:space="preserve">El funcionamiento familiar se define como un conjunto de patrones de socialización que se dan entre los integrantes de una familia a lo largo de su ciclo de vida (Garcia-Méndez, Rivera-Aragón, Reyes-Lagunes, &amp; Díaz-Loving, 2006). El funcionamiento familiar desde la percepción de los adolescentes se clasifica por cuatro componentes </w:t>
      </w:r>
      <w:r w:rsidRPr="00045C75">
        <w:rPr>
          <w:rFonts w:ascii="Arial" w:hAnsi="Arial" w:cs="Arial"/>
          <w:sz w:val="24"/>
        </w:rPr>
        <w:t>(Jaen, 2017)</w:t>
      </w:r>
      <w:r w:rsidRPr="00045C75">
        <w:rPr>
          <w:rFonts w:ascii="Arial" w:hAnsi="Arial" w:cs="Arial"/>
          <w:sz w:val="24"/>
          <w:szCs w:val="24"/>
        </w:rPr>
        <w:t xml:space="preserve">: 1) </w:t>
      </w:r>
      <w:r w:rsidRPr="00045C75">
        <w:rPr>
          <w:rFonts w:ascii="Arial" w:hAnsi="Arial" w:cs="Arial"/>
          <w:i/>
          <w:sz w:val="24"/>
        </w:rPr>
        <w:t>Cohesión y comunicación</w:t>
      </w:r>
      <w:r w:rsidRPr="00045C75">
        <w:rPr>
          <w:rFonts w:ascii="Arial" w:hAnsi="Arial" w:cs="Arial"/>
          <w:sz w:val="24"/>
        </w:rPr>
        <w:t xml:space="preserve">, se asume como el intercambio de información entre los miembros familiares, su importancia estriba en el conocimiento y claridad del contenido de los mensajes verbales. 2) </w:t>
      </w:r>
      <w:r w:rsidRPr="00045C75">
        <w:rPr>
          <w:rFonts w:ascii="Arial" w:hAnsi="Arial" w:cs="Arial"/>
          <w:i/>
          <w:sz w:val="24"/>
        </w:rPr>
        <w:t xml:space="preserve">Esparcimiento y armonía, </w:t>
      </w:r>
      <w:r w:rsidRPr="00045C75">
        <w:rPr>
          <w:rFonts w:ascii="Arial" w:hAnsi="Arial" w:cs="Arial"/>
          <w:sz w:val="24"/>
        </w:rPr>
        <w:t>es la capacidad de los miembros de la familia de relacionarse positivamente fuera del sistema familiar.</w:t>
      </w:r>
      <w:r w:rsidRPr="00045C75">
        <w:t xml:space="preserve"> </w:t>
      </w:r>
      <w:r w:rsidRPr="00045C75">
        <w:rPr>
          <w:rFonts w:ascii="Arial" w:hAnsi="Arial" w:cs="Arial"/>
          <w:sz w:val="24"/>
          <w:szCs w:val="24"/>
        </w:rPr>
        <w:t>3)</w:t>
      </w:r>
      <w:r w:rsidRPr="00045C75">
        <w:rPr>
          <w:sz w:val="24"/>
          <w:szCs w:val="24"/>
        </w:rPr>
        <w:t xml:space="preserve"> </w:t>
      </w:r>
      <w:r w:rsidRPr="00045C75">
        <w:rPr>
          <w:rFonts w:ascii="Arial" w:hAnsi="Arial" w:cs="Arial"/>
          <w:i/>
          <w:sz w:val="24"/>
        </w:rPr>
        <w:t xml:space="preserve">Coaliciones, </w:t>
      </w:r>
      <w:r w:rsidRPr="00045C75">
        <w:rPr>
          <w:rFonts w:ascii="Arial" w:hAnsi="Arial" w:cs="Arial"/>
          <w:sz w:val="24"/>
        </w:rPr>
        <w:t>se refiere a la</w:t>
      </w:r>
      <w:r w:rsidRPr="00045C75">
        <w:t xml:space="preserve"> </w:t>
      </w:r>
      <w:r w:rsidRPr="00045C75">
        <w:rPr>
          <w:rFonts w:ascii="Arial" w:hAnsi="Arial" w:cs="Arial"/>
          <w:sz w:val="24"/>
        </w:rPr>
        <w:t xml:space="preserve">unión de dos o más personas para dañar a alguien más dentro de la familia. 4) </w:t>
      </w:r>
      <w:r w:rsidRPr="00045C75">
        <w:rPr>
          <w:rFonts w:ascii="Arial" w:hAnsi="Arial" w:cs="Arial"/>
          <w:i/>
          <w:sz w:val="24"/>
        </w:rPr>
        <w:t xml:space="preserve">Ausencia de reglas y límites, </w:t>
      </w:r>
      <w:r w:rsidRPr="00045C75">
        <w:rPr>
          <w:rFonts w:ascii="Arial" w:hAnsi="Arial" w:cs="Arial"/>
          <w:sz w:val="24"/>
        </w:rPr>
        <w:t xml:space="preserve">son los patrones que adopta una familia, donde las reglas y las jerarquías no son claras para los miembros del grupo, porque se trasgreden sin importar si se es hijo/a, padre o madre. </w:t>
      </w:r>
      <w:r w:rsidRPr="00045C75">
        <w:rPr>
          <w:rFonts w:ascii="Arial" w:hAnsi="Arial" w:cs="Arial"/>
          <w:sz w:val="24"/>
          <w:szCs w:val="24"/>
        </w:rPr>
        <w:t>Estos patrones de socialización se marcan por los roles establecidos y la influencia de los ambientes sociales en los que se desenvuelven (Garcia-Méndez et al., 2006). En este contexto, para identificar aspectos de socialización que complementen los procesos culturales que participan en la variación del dominio moral, el funcionamiento familiar puede aportar elementos considerables como un predictor de esta variable.</w:t>
      </w:r>
    </w:p>
    <w:p w:rsidR="00634FA7" w:rsidRPr="00045C75" w:rsidRDefault="00634FA7" w:rsidP="00634FA7">
      <w:pPr>
        <w:ind w:firstLine="708"/>
        <w:rPr>
          <w:rFonts w:ascii="Arial" w:hAnsi="Arial" w:cs="Arial"/>
          <w:sz w:val="24"/>
          <w:szCs w:val="24"/>
        </w:rPr>
      </w:pPr>
      <w:r w:rsidRPr="00045C75">
        <w:rPr>
          <w:rFonts w:ascii="Arial" w:hAnsi="Arial" w:cs="Arial"/>
          <w:sz w:val="24"/>
        </w:rPr>
        <w:t xml:space="preserve">Con base en la literatura revisada, se sugiere que las premisas histórico-socioculturales en su delimitación de normas y creencias, el síndrome cultural del individualismo-colectivismo y la percepción de los adolescentes sobre el funcionamiento familiar pueden representar un conjunto de predictores del dominio moral. </w:t>
      </w:r>
      <w:r w:rsidRPr="00045C75">
        <w:rPr>
          <w:rFonts w:ascii="Arial" w:hAnsi="Arial" w:cs="Arial"/>
          <w:sz w:val="24"/>
          <w:szCs w:val="24"/>
        </w:rPr>
        <w:t>Por lo tanto, el objetivo de esta investigación consiste en establecer el nivel de predicción de las premisas histórico-socioculturales, el individualismo-colectivismo y el funcionamiento familiar en el dominio moral de adolescentes mexicanos.</w:t>
      </w:r>
    </w:p>
    <w:p w:rsidR="00634FA7" w:rsidRPr="00045C75" w:rsidRDefault="00634FA7" w:rsidP="00634FA7">
      <w:pPr>
        <w:spacing w:before="240" w:line="240" w:lineRule="auto"/>
        <w:jc w:val="center"/>
        <w:rPr>
          <w:rFonts w:ascii="Arial" w:hAnsi="Arial" w:cs="Arial"/>
          <w:sz w:val="24"/>
          <w:szCs w:val="24"/>
        </w:rPr>
      </w:pPr>
      <w:r w:rsidRPr="00045C75">
        <w:rPr>
          <w:rFonts w:ascii="Arial" w:hAnsi="Arial" w:cs="Arial"/>
          <w:b/>
          <w:sz w:val="24"/>
          <w:szCs w:val="24"/>
        </w:rPr>
        <w:t>Método</w:t>
      </w:r>
    </w:p>
    <w:p w:rsidR="00634FA7" w:rsidRPr="00045C75" w:rsidRDefault="00634FA7" w:rsidP="00634FA7">
      <w:pPr>
        <w:spacing w:line="240" w:lineRule="auto"/>
        <w:rPr>
          <w:rFonts w:ascii="Arial" w:hAnsi="Arial" w:cs="Arial"/>
          <w:b/>
          <w:sz w:val="24"/>
          <w:szCs w:val="24"/>
        </w:rPr>
      </w:pPr>
      <w:r w:rsidRPr="00045C75">
        <w:rPr>
          <w:rFonts w:ascii="Arial" w:hAnsi="Arial" w:cs="Arial"/>
          <w:b/>
          <w:sz w:val="24"/>
          <w:szCs w:val="24"/>
        </w:rPr>
        <w:t>Participantes</w:t>
      </w:r>
    </w:p>
    <w:p w:rsidR="00634FA7" w:rsidRPr="00045C75" w:rsidRDefault="00634FA7" w:rsidP="00634FA7">
      <w:pPr>
        <w:spacing w:line="240" w:lineRule="auto"/>
        <w:rPr>
          <w:rFonts w:ascii="Arial" w:hAnsi="Arial" w:cs="Arial"/>
          <w:sz w:val="24"/>
          <w:szCs w:val="24"/>
        </w:rPr>
      </w:pPr>
      <w:r w:rsidRPr="00045C75">
        <w:rPr>
          <w:rFonts w:ascii="Arial" w:hAnsi="Arial" w:cs="Arial"/>
          <w:sz w:val="24"/>
          <w:szCs w:val="24"/>
        </w:rPr>
        <w:tab/>
        <w:t>Participaron 459 adolescentes (58 % mujeres y 42 % hombres) inscritos en secundarias o preparatorias públicas y laicas, con un rango de edad de 12 a 17 años (</w:t>
      </w:r>
      <w:r w:rsidRPr="00045C75">
        <w:rPr>
          <w:rFonts w:ascii="Arial" w:hAnsi="Arial" w:cs="Arial"/>
          <w:i/>
          <w:sz w:val="24"/>
          <w:szCs w:val="24"/>
        </w:rPr>
        <w:t>M</w:t>
      </w:r>
      <w:r w:rsidRPr="00045C75">
        <w:rPr>
          <w:rFonts w:ascii="Arial" w:hAnsi="Arial" w:cs="Arial"/>
          <w:sz w:val="24"/>
          <w:szCs w:val="24"/>
        </w:rPr>
        <w:t xml:space="preserve"> = 14.64, </w:t>
      </w:r>
      <w:r w:rsidRPr="00045C75">
        <w:rPr>
          <w:rFonts w:ascii="Arial" w:hAnsi="Arial" w:cs="Arial"/>
          <w:i/>
          <w:sz w:val="24"/>
          <w:szCs w:val="24"/>
        </w:rPr>
        <w:t>DE</w:t>
      </w:r>
      <w:r w:rsidRPr="00045C75">
        <w:rPr>
          <w:rFonts w:ascii="Arial" w:hAnsi="Arial" w:cs="Arial"/>
          <w:sz w:val="24"/>
          <w:szCs w:val="24"/>
        </w:rPr>
        <w:t xml:space="preserve"> = 1.42), residentes de la Ciudad de México y municipios del Estado de México, sin reportes de comportamiento antisocial o delictivo por parte de las autoridades de su escuela. El muestreo fue no probabilístico intencional.</w:t>
      </w:r>
    </w:p>
    <w:p w:rsidR="00634FA7" w:rsidRPr="00045C75" w:rsidRDefault="00634FA7" w:rsidP="00634FA7">
      <w:pPr>
        <w:spacing w:line="240" w:lineRule="auto"/>
        <w:rPr>
          <w:rFonts w:ascii="Arial" w:hAnsi="Arial" w:cs="Arial"/>
          <w:b/>
          <w:sz w:val="24"/>
          <w:szCs w:val="24"/>
        </w:rPr>
      </w:pPr>
      <w:r w:rsidRPr="00045C75">
        <w:rPr>
          <w:rFonts w:ascii="Arial" w:hAnsi="Arial" w:cs="Arial"/>
          <w:b/>
          <w:sz w:val="24"/>
          <w:szCs w:val="24"/>
        </w:rPr>
        <w:t>Instrumentos</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i/>
          <w:sz w:val="24"/>
          <w:szCs w:val="24"/>
        </w:rPr>
        <w:t xml:space="preserve">Escala de Dominio Moral para adolescentes (Miranda-Rodríguez &amp; García-Méndez, 2019). </w:t>
      </w:r>
      <w:r w:rsidRPr="00045C75">
        <w:rPr>
          <w:rFonts w:ascii="Arial" w:hAnsi="Arial" w:cs="Arial"/>
          <w:sz w:val="24"/>
          <w:szCs w:val="24"/>
        </w:rPr>
        <w:t xml:space="preserve">Compuesta por 20 reactivos distribuidos en cinco factores que explican el 43.07 % de la varianza y con un alfa de Cronbach global de .84. Los cinco factores que componen la escala son: </w:t>
      </w:r>
      <w:r w:rsidRPr="00045C75">
        <w:rPr>
          <w:rFonts w:ascii="Arial" w:hAnsi="Arial" w:cs="Arial"/>
          <w:i/>
          <w:sz w:val="24"/>
          <w:szCs w:val="24"/>
        </w:rPr>
        <w:t>Amor/Respeto</w:t>
      </w:r>
      <w:r w:rsidRPr="00045C75">
        <w:rPr>
          <w:rFonts w:ascii="Arial" w:hAnsi="Arial" w:cs="Arial"/>
          <w:sz w:val="24"/>
          <w:szCs w:val="24"/>
        </w:rPr>
        <w:t xml:space="preserve"> (5 reactivos, α = .75), </w:t>
      </w:r>
      <w:r w:rsidRPr="00045C75">
        <w:rPr>
          <w:rFonts w:ascii="Arial" w:hAnsi="Arial" w:cs="Arial"/>
          <w:i/>
          <w:sz w:val="24"/>
          <w:szCs w:val="24"/>
        </w:rPr>
        <w:t>Lealtad/Familia</w:t>
      </w:r>
      <w:r w:rsidRPr="00045C75">
        <w:rPr>
          <w:rFonts w:ascii="Arial" w:hAnsi="Arial" w:cs="Arial"/>
          <w:sz w:val="24"/>
          <w:szCs w:val="24"/>
        </w:rPr>
        <w:t xml:space="preserve"> (3 reactivos, α = .70), </w:t>
      </w:r>
      <w:r w:rsidRPr="00045C75">
        <w:rPr>
          <w:rFonts w:ascii="Arial" w:hAnsi="Arial" w:cs="Arial"/>
          <w:i/>
          <w:sz w:val="24"/>
          <w:szCs w:val="24"/>
        </w:rPr>
        <w:t>Ofensa</w:t>
      </w:r>
      <w:r w:rsidRPr="00045C75">
        <w:rPr>
          <w:rFonts w:ascii="Arial" w:hAnsi="Arial" w:cs="Arial"/>
          <w:sz w:val="24"/>
          <w:szCs w:val="24"/>
        </w:rPr>
        <w:t xml:space="preserve"> (3 reactivos, α = .62), </w:t>
      </w:r>
      <w:r w:rsidRPr="00045C75">
        <w:rPr>
          <w:rFonts w:ascii="Arial" w:hAnsi="Arial" w:cs="Arial"/>
          <w:i/>
          <w:sz w:val="24"/>
          <w:szCs w:val="24"/>
        </w:rPr>
        <w:t>Equidad</w:t>
      </w:r>
      <w:r w:rsidRPr="00045C75">
        <w:rPr>
          <w:rFonts w:ascii="Arial" w:hAnsi="Arial" w:cs="Arial"/>
          <w:sz w:val="24"/>
          <w:szCs w:val="24"/>
        </w:rPr>
        <w:t xml:space="preserve"> (4 reactivos, α = .63) y </w:t>
      </w:r>
      <w:r w:rsidRPr="00045C75">
        <w:rPr>
          <w:rFonts w:ascii="Arial" w:hAnsi="Arial" w:cs="Arial"/>
          <w:i/>
          <w:sz w:val="24"/>
          <w:szCs w:val="24"/>
        </w:rPr>
        <w:t>Perjuicio</w:t>
      </w:r>
      <w:r w:rsidRPr="00045C75">
        <w:rPr>
          <w:rFonts w:ascii="Arial" w:hAnsi="Arial" w:cs="Arial"/>
          <w:sz w:val="24"/>
          <w:szCs w:val="24"/>
        </w:rPr>
        <w:t xml:space="preserve"> (5 reactivos, α = .71).</w:t>
      </w:r>
    </w:p>
    <w:p w:rsidR="00634FA7" w:rsidRPr="00045C75" w:rsidRDefault="00634FA7" w:rsidP="00634FA7">
      <w:pPr>
        <w:spacing w:after="0" w:line="240" w:lineRule="auto"/>
        <w:ind w:firstLine="708"/>
        <w:rPr>
          <w:rFonts w:ascii="Arial" w:hAnsi="Arial" w:cs="Arial"/>
          <w:sz w:val="24"/>
        </w:rPr>
      </w:pPr>
      <w:r w:rsidRPr="00045C75">
        <w:rPr>
          <w:rFonts w:ascii="Arial" w:hAnsi="Arial" w:cs="Arial"/>
          <w:i/>
          <w:sz w:val="24"/>
          <w:szCs w:val="24"/>
        </w:rPr>
        <w:lastRenderedPageBreak/>
        <w:t xml:space="preserve">Escala de Premisas Histórico-Socioculturales (García-Méndez, 2007). </w:t>
      </w:r>
      <w:r w:rsidRPr="00045C75">
        <w:rPr>
          <w:rFonts w:ascii="Arial" w:hAnsi="Arial" w:cs="Arial"/>
          <w:sz w:val="24"/>
          <w:szCs w:val="24"/>
        </w:rPr>
        <w:t xml:space="preserve">Compuesta por 33 reactivos que se agrupan en siete factores que explican el 57% de la varianza y con un alfa de Cronbach global de .82. Los siete factores que componen la escala son: </w:t>
      </w:r>
      <w:r w:rsidRPr="00045C75">
        <w:rPr>
          <w:rFonts w:ascii="Arial" w:hAnsi="Arial" w:cs="Arial"/>
          <w:i/>
          <w:sz w:val="24"/>
        </w:rPr>
        <w:t>Obediencia afiliativa</w:t>
      </w:r>
      <w:r w:rsidRPr="00045C75">
        <w:rPr>
          <w:rFonts w:ascii="Arial" w:hAnsi="Arial" w:cs="Arial"/>
          <w:sz w:val="24"/>
        </w:rPr>
        <w:t xml:space="preserve"> </w:t>
      </w:r>
      <w:r w:rsidRPr="00045C75">
        <w:rPr>
          <w:rFonts w:ascii="Arial" w:hAnsi="Arial" w:cs="Arial"/>
          <w:sz w:val="24"/>
          <w:szCs w:val="24"/>
        </w:rPr>
        <w:t>(6 reactivos, α = .83)</w:t>
      </w:r>
      <w:r w:rsidRPr="00045C75">
        <w:rPr>
          <w:rFonts w:ascii="Arial" w:hAnsi="Arial" w:cs="Arial"/>
          <w:sz w:val="24"/>
        </w:rPr>
        <w:t xml:space="preserve">, </w:t>
      </w:r>
      <w:r w:rsidRPr="00045C75">
        <w:rPr>
          <w:rFonts w:ascii="Arial" w:hAnsi="Arial" w:cs="Arial"/>
          <w:i/>
          <w:sz w:val="24"/>
        </w:rPr>
        <w:t>Consentimiento</w:t>
      </w:r>
      <w:r w:rsidRPr="00045C75">
        <w:rPr>
          <w:rFonts w:ascii="Arial" w:hAnsi="Arial" w:cs="Arial"/>
          <w:sz w:val="24"/>
        </w:rPr>
        <w:t xml:space="preserve"> </w:t>
      </w:r>
      <w:r w:rsidRPr="00045C75">
        <w:rPr>
          <w:rFonts w:ascii="Arial" w:hAnsi="Arial" w:cs="Arial"/>
          <w:sz w:val="24"/>
          <w:szCs w:val="24"/>
        </w:rPr>
        <w:t>(6 reactivos, α = .81)</w:t>
      </w:r>
      <w:r w:rsidRPr="00045C75">
        <w:rPr>
          <w:rFonts w:ascii="Arial" w:hAnsi="Arial" w:cs="Arial"/>
          <w:sz w:val="24"/>
        </w:rPr>
        <w:t xml:space="preserve">, </w:t>
      </w:r>
      <w:r w:rsidRPr="00045C75">
        <w:rPr>
          <w:rFonts w:ascii="Arial" w:hAnsi="Arial" w:cs="Arial"/>
          <w:i/>
          <w:sz w:val="24"/>
        </w:rPr>
        <w:t>Autoafirmación</w:t>
      </w:r>
      <w:r w:rsidRPr="00045C75">
        <w:rPr>
          <w:rFonts w:ascii="Arial" w:hAnsi="Arial" w:cs="Arial"/>
          <w:sz w:val="24"/>
        </w:rPr>
        <w:t xml:space="preserve"> </w:t>
      </w:r>
      <w:r w:rsidRPr="00045C75">
        <w:rPr>
          <w:rFonts w:ascii="Arial" w:hAnsi="Arial" w:cs="Arial"/>
          <w:sz w:val="24"/>
          <w:szCs w:val="24"/>
        </w:rPr>
        <w:t>(4 reactivos, α = .85)</w:t>
      </w:r>
      <w:r w:rsidRPr="00045C75">
        <w:rPr>
          <w:rFonts w:ascii="Arial" w:hAnsi="Arial" w:cs="Arial"/>
          <w:sz w:val="24"/>
        </w:rPr>
        <w:t xml:space="preserve">, Status quo </w:t>
      </w:r>
      <w:r w:rsidRPr="00045C75">
        <w:rPr>
          <w:rFonts w:ascii="Arial" w:hAnsi="Arial" w:cs="Arial"/>
          <w:sz w:val="24"/>
          <w:szCs w:val="24"/>
        </w:rPr>
        <w:t xml:space="preserve">(6 reactivos, α = .72), </w:t>
      </w:r>
      <w:r w:rsidRPr="00045C75">
        <w:rPr>
          <w:rFonts w:ascii="Arial" w:hAnsi="Arial" w:cs="Arial"/>
          <w:i/>
          <w:sz w:val="24"/>
        </w:rPr>
        <w:t>Temor a la autoridad</w:t>
      </w:r>
      <w:r w:rsidRPr="00045C75">
        <w:rPr>
          <w:rFonts w:ascii="Arial" w:hAnsi="Arial" w:cs="Arial"/>
          <w:sz w:val="24"/>
        </w:rPr>
        <w:t xml:space="preserve"> </w:t>
      </w:r>
      <w:r w:rsidRPr="00045C75">
        <w:rPr>
          <w:rFonts w:ascii="Arial" w:hAnsi="Arial" w:cs="Arial"/>
          <w:sz w:val="24"/>
          <w:szCs w:val="24"/>
        </w:rPr>
        <w:t>(4 reactivos, α = .84)</w:t>
      </w:r>
      <w:r w:rsidRPr="00045C75">
        <w:rPr>
          <w:rFonts w:ascii="Arial" w:hAnsi="Arial" w:cs="Arial"/>
          <w:sz w:val="24"/>
        </w:rPr>
        <w:t xml:space="preserve">, </w:t>
      </w:r>
      <w:r w:rsidRPr="00045C75">
        <w:rPr>
          <w:rFonts w:ascii="Arial" w:hAnsi="Arial" w:cs="Arial"/>
          <w:i/>
          <w:sz w:val="24"/>
        </w:rPr>
        <w:t>Marianismo</w:t>
      </w:r>
      <w:r w:rsidRPr="00045C75">
        <w:rPr>
          <w:rFonts w:ascii="Arial" w:hAnsi="Arial" w:cs="Arial"/>
          <w:sz w:val="24"/>
        </w:rPr>
        <w:t xml:space="preserve"> </w:t>
      </w:r>
      <w:r w:rsidRPr="00045C75">
        <w:rPr>
          <w:rFonts w:ascii="Arial" w:hAnsi="Arial" w:cs="Arial"/>
          <w:sz w:val="24"/>
          <w:szCs w:val="24"/>
        </w:rPr>
        <w:t>(4 reactivos, α = .62)</w:t>
      </w:r>
      <w:r w:rsidRPr="00045C75">
        <w:rPr>
          <w:rFonts w:ascii="Arial" w:hAnsi="Arial" w:cs="Arial"/>
          <w:sz w:val="24"/>
        </w:rPr>
        <w:t xml:space="preserve"> y </w:t>
      </w:r>
      <w:r w:rsidRPr="00045C75">
        <w:rPr>
          <w:rFonts w:ascii="Arial" w:hAnsi="Arial" w:cs="Arial"/>
          <w:i/>
          <w:sz w:val="24"/>
        </w:rPr>
        <w:t>Honor familiar</w:t>
      </w:r>
      <w:r w:rsidRPr="00045C75">
        <w:rPr>
          <w:rFonts w:ascii="Arial" w:hAnsi="Arial" w:cs="Arial"/>
          <w:sz w:val="24"/>
        </w:rPr>
        <w:t xml:space="preserve"> </w:t>
      </w:r>
      <w:r w:rsidRPr="00045C75">
        <w:rPr>
          <w:rFonts w:ascii="Arial" w:hAnsi="Arial" w:cs="Arial"/>
          <w:sz w:val="24"/>
          <w:szCs w:val="24"/>
        </w:rPr>
        <w:t>(3 reactivos, α = .58)</w:t>
      </w:r>
      <w:r w:rsidRPr="00045C75">
        <w:rPr>
          <w:rFonts w:ascii="Arial" w:hAnsi="Arial" w:cs="Arial"/>
          <w:sz w:val="24"/>
        </w:rPr>
        <w:t xml:space="preserve">. </w:t>
      </w:r>
    </w:p>
    <w:p w:rsidR="00634FA7" w:rsidRPr="00045C75" w:rsidRDefault="00634FA7" w:rsidP="00634FA7">
      <w:pPr>
        <w:spacing w:after="0" w:line="240" w:lineRule="auto"/>
        <w:ind w:firstLine="708"/>
        <w:rPr>
          <w:rFonts w:ascii="Arial" w:hAnsi="Arial" w:cs="Arial"/>
          <w:sz w:val="24"/>
        </w:rPr>
      </w:pPr>
      <w:r w:rsidRPr="00045C75">
        <w:rPr>
          <w:rFonts w:ascii="Arial" w:hAnsi="Arial" w:cs="Arial"/>
          <w:i/>
          <w:sz w:val="24"/>
        </w:rPr>
        <w:t xml:space="preserve">Escala de Individualismo y Colectivismo (Soler-Anguiano &amp; Díaz-Loving, 2017). </w:t>
      </w:r>
      <w:r w:rsidRPr="00045C75">
        <w:rPr>
          <w:rFonts w:ascii="Arial" w:hAnsi="Arial" w:cs="Arial"/>
          <w:sz w:val="24"/>
        </w:rPr>
        <w:t xml:space="preserve">Conformada por 31 reactivos que integran cuatro factores que explican el 43.74 % de la varianza y con un alfa de Cronbach global de .84. Los cuatro factores que componen la escala son: </w:t>
      </w:r>
      <w:r w:rsidRPr="00045C75">
        <w:rPr>
          <w:rFonts w:ascii="Arial" w:hAnsi="Arial" w:cs="Arial"/>
          <w:i/>
          <w:sz w:val="24"/>
        </w:rPr>
        <w:t xml:space="preserve">Colectivismo horizontal </w:t>
      </w:r>
      <w:r w:rsidRPr="00045C75">
        <w:rPr>
          <w:rFonts w:ascii="Arial" w:hAnsi="Arial" w:cs="Arial"/>
          <w:sz w:val="24"/>
          <w:szCs w:val="24"/>
        </w:rPr>
        <w:t>(13 reactivos, α = .84)</w:t>
      </w:r>
      <w:r w:rsidRPr="00045C75">
        <w:rPr>
          <w:rFonts w:ascii="Arial" w:hAnsi="Arial" w:cs="Arial"/>
          <w:sz w:val="24"/>
        </w:rPr>
        <w:t xml:space="preserve">, </w:t>
      </w:r>
      <w:r w:rsidRPr="00045C75">
        <w:rPr>
          <w:rFonts w:ascii="Arial" w:hAnsi="Arial" w:cs="Arial"/>
          <w:i/>
          <w:sz w:val="24"/>
        </w:rPr>
        <w:t xml:space="preserve">Individualismo horizontal </w:t>
      </w:r>
      <w:r w:rsidRPr="00045C75">
        <w:rPr>
          <w:rFonts w:ascii="Arial" w:hAnsi="Arial" w:cs="Arial"/>
          <w:sz w:val="24"/>
          <w:szCs w:val="24"/>
        </w:rPr>
        <w:t>(7 reactivos, α = .77)</w:t>
      </w:r>
      <w:r w:rsidRPr="00045C75">
        <w:rPr>
          <w:rFonts w:ascii="Arial" w:hAnsi="Arial" w:cs="Arial"/>
          <w:sz w:val="24"/>
        </w:rPr>
        <w:t xml:space="preserve">, </w:t>
      </w:r>
      <w:r w:rsidRPr="00045C75">
        <w:rPr>
          <w:rFonts w:ascii="Arial" w:hAnsi="Arial" w:cs="Arial"/>
          <w:i/>
          <w:sz w:val="24"/>
        </w:rPr>
        <w:t xml:space="preserve">Individualismo vertical </w:t>
      </w:r>
      <w:r w:rsidRPr="00045C75">
        <w:rPr>
          <w:rFonts w:ascii="Arial" w:hAnsi="Arial" w:cs="Arial"/>
          <w:sz w:val="24"/>
          <w:szCs w:val="24"/>
        </w:rPr>
        <w:t xml:space="preserve">(6 reactivos, α = .76) </w:t>
      </w:r>
      <w:r w:rsidRPr="00045C75">
        <w:rPr>
          <w:rFonts w:ascii="Arial" w:hAnsi="Arial" w:cs="Arial"/>
          <w:sz w:val="24"/>
        </w:rPr>
        <w:t xml:space="preserve">y </w:t>
      </w:r>
      <w:r w:rsidRPr="00045C75">
        <w:rPr>
          <w:rFonts w:ascii="Arial" w:hAnsi="Arial" w:cs="Arial"/>
          <w:i/>
          <w:sz w:val="24"/>
        </w:rPr>
        <w:t>Colectivismo vertical</w:t>
      </w:r>
      <w:r w:rsidRPr="00045C75">
        <w:rPr>
          <w:rFonts w:ascii="Arial" w:hAnsi="Arial" w:cs="Arial"/>
          <w:sz w:val="24"/>
        </w:rPr>
        <w:t xml:space="preserve"> </w:t>
      </w:r>
      <w:r w:rsidRPr="00045C75">
        <w:rPr>
          <w:rFonts w:ascii="Arial" w:hAnsi="Arial" w:cs="Arial"/>
          <w:sz w:val="24"/>
          <w:szCs w:val="24"/>
        </w:rPr>
        <w:t>(5 reactivos, α = .61)</w:t>
      </w:r>
      <w:r w:rsidRPr="00045C75">
        <w:rPr>
          <w:rFonts w:ascii="Arial" w:hAnsi="Arial" w:cs="Arial"/>
          <w:sz w:val="24"/>
        </w:rPr>
        <w:t xml:space="preserve">. </w:t>
      </w:r>
    </w:p>
    <w:p w:rsidR="00634FA7" w:rsidRPr="00045C75" w:rsidRDefault="00634FA7" w:rsidP="00634FA7">
      <w:pPr>
        <w:spacing w:line="240" w:lineRule="auto"/>
        <w:ind w:firstLine="708"/>
        <w:rPr>
          <w:rFonts w:ascii="Arial" w:hAnsi="Arial" w:cs="Arial"/>
          <w:sz w:val="24"/>
        </w:rPr>
      </w:pPr>
      <w:r w:rsidRPr="00045C75">
        <w:rPr>
          <w:rFonts w:ascii="Arial" w:hAnsi="Arial" w:cs="Arial"/>
          <w:i/>
          <w:sz w:val="24"/>
        </w:rPr>
        <w:t>Escala de Funcionamiento Familiar para adolescentes (Jaen, 2017).</w:t>
      </w:r>
      <w:r w:rsidRPr="00045C75">
        <w:rPr>
          <w:rFonts w:ascii="Arial" w:hAnsi="Arial" w:cs="Arial"/>
          <w:sz w:val="24"/>
        </w:rPr>
        <w:t xml:space="preserve"> Compuesta por 25 reactivos que se agrupan en cuatro factores que explican el 54.21 % de la varianza total y con un alfa de Cronbach global de .87. Los cuatro factores que componen la escala son: </w:t>
      </w:r>
      <w:r w:rsidRPr="00045C75">
        <w:rPr>
          <w:rFonts w:ascii="Arial" w:hAnsi="Arial" w:cs="Arial"/>
          <w:i/>
          <w:sz w:val="24"/>
        </w:rPr>
        <w:t>Cohesión y comunicación</w:t>
      </w:r>
      <w:r w:rsidRPr="00045C75">
        <w:rPr>
          <w:rFonts w:ascii="Arial" w:hAnsi="Arial" w:cs="Arial"/>
          <w:sz w:val="24"/>
        </w:rPr>
        <w:t xml:space="preserve"> </w:t>
      </w:r>
      <w:r w:rsidRPr="00045C75">
        <w:rPr>
          <w:rFonts w:ascii="Arial" w:hAnsi="Arial" w:cs="Arial"/>
          <w:sz w:val="24"/>
          <w:szCs w:val="24"/>
        </w:rPr>
        <w:t>(13 reactivos, α = .89)</w:t>
      </w:r>
      <w:r w:rsidRPr="00045C75">
        <w:rPr>
          <w:rFonts w:ascii="Arial" w:hAnsi="Arial" w:cs="Arial"/>
          <w:sz w:val="24"/>
        </w:rPr>
        <w:t xml:space="preserve">, </w:t>
      </w:r>
      <w:r w:rsidRPr="00045C75">
        <w:rPr>
          <w:rFonts w:ascii="Arial" w:hAnsi="Arial" w:cs="Arial"/>
          <w:i/>
          <w:sz w:val="24"/>
        </w:rPr>
        <w:t>Esparcimiento y armonía</w:t>
      </w:r>
      <w:r w:rsidRPr="00045C75">
        <w:rPr>
          <w:rFonts w:ascii="Arial" w:hAnsi="Arial" w:cs="Arial"/>
          <w:sz w:val="24"/>
        </w:rPr>
        <w:t xml:space="preserve"> </w:t>
      </w:r>
      <w:r w:rsidRPr="00045C75">
        <w:rPr>
          <w:rFonts w:ascii="Arial" w:hAnsi="Arial" w:cs="Arial"/>
          <w:sz w:val="24"/>
          <w:szCs w:val="24"/>
        </w:rPr>
        <w:t>(6 reactivos, α = .82)</w:t>
      </w:r>
      <w:r w:rsidRPr="00045C75">
        <w:rPr>
          <w:rFonts w:ascii="Arial" w:hAnsi="Arial" w:cs="Arial"/>
          <w:sz w:val="24"/>
        </w:rPr>
        <w:t xml:space="preserve">, </w:t>
      </w:r>
      <w:r w:rsidRPr="00045C75">
        <w:rPr>
          <w:rFonts w:ascii="Arial" w:hAnsi="Arial" w:cs="Arial"/>
          <w:i/>
          <w:sz w:val="24"/>
        </w:rPr>
        <w:t>Coaliciones</w:t>
      </w:r>
      <w:r w:rsidRPr="00045C75">
        <w:rPr>
          <w:rFonts w:ascii="Arial" w:hAnsi="Arial" w:cs="Arial"/>
          <w:sz w:val="24"/>
        </w:rPr>
        <w:t xml:space="preserve"> </w:t>
      </w:r>
      <w:r w:rsidRPr="00045C75">
        <w:rPr>
          <w:rFonts w:ascii="Arial" w:hAnsi="Arial" w:cs="Arial"/>
          <w:sz w:val="24"/>
          <w:szCs w:val="24"/>
        </w:rPr>
        <w:t xml:space="preserve">(3 reactivos, α = .72) </w:t>
      </w:r>
      <w:r w:rsidRPr="00045C75">
        <w:rPr>
          <w:rFonts w:ascii="Arial" w:hAnsi="Arial" w:cs="Arial"/>
          <w:sz w:val="24"/>
        </w:rPr>
        <w:t xml:space="preserve">y </w:t>
      </w:r>
      <w:r w:rsidRPr="00045C75">
        <w:rPr>
          <w:rFonts w:ascii="Arial" w:hAnsi="Arial" w:cs="Arial"/>
          <w:i/>
          <w:sz w:val="24"/>
        </w:rPr>
        <w:t>Ausencia de reglas y límites</w:t>
      </w:r>
      <w:r w:rsidRPr="00045C75">
        <w:rPr>
          <w:rFonts w:ascii="Arial" w:hAnsi="Arial" w:cs="Arial"/>
          <w:sz w:val="24"/>
        </w:rPr>
        <w:t xml:space="preserve"> </w:t>
      </w:r>
      <w:r w:rsidRPr="00045C75">
        <w:rPr>
          <w:rFonts w:ascii="Arial" w:hAnsi="Arial" w:cs="Arial"/>
          <w:sz w:val="24"/>
          <w:szCs w:val="24"/>
        </w:rPr>
        <w:t>(3 reactivos, α = .64)</w:t>
      </w:r>
      <w:r w:rsidRPr="00045C75">
        <w:rPr>
          <w:rFonts w:ascii="Arial" w:hAnsi="Arial" w:cs="Arial"/>
          <w:sz w:val="24"/>
        </w:rPr>
        <w:t>.</w:t>
      </w:r>
    </w:p>
    <w:p w:rsidR="00634FA7" w:rsidRPr="00045C75" w:rsidRDefault="00634FA7" w:rsidP="00634FA7">
      <w:pPr>
        <w:spacing w:line="240" w:lineRule="auto"/>
        <w:rPr>
          <w:rFonts w:ascii="Arial" w:hAnsi="Arial" w:cs="Arial"/>
          <w:b/>
          <w:sz w:val="24"/>
          <w:szCs w:val="24"/>
        </w:rPr>
      </w:pPr>
      <w:r w:rsidRPr="00045C75">
        <w:rPr>
          <w:rFonts w:ascii="Arial" w:hAnsi="Arial" w:cs="Arial"/>
          <w:b/>
          <w:sz w:val="24"/>
          <w:szCs w:val="24"/>
        </w:rPr>
        <w:t>Procedimiento</w:t>
      </w:r>
    </w:p>
    <w:p w:rsidR="00634FA7" w:rsidRPr="00045C75" w:rsidRDefault="00634FA7" w:rsidP="00634FA7">
      <w:pPr>
        <w:spacing w:line="240" w:lineRule="auto"/>
        <w:rPr>
          <w:rFonts w:ascii="Arial" w:hAnsi="Arial" w:cs="Arial"/>
          <w:sz w:val="24"/>
          <w:szCs w:val="24"/>
        </w:rPr>
      </w:pPr>
      <w:r w:rsidRPr="00045C75">
        <w:rPr>
          <w:rFonts w:ascii="Arial" w:hAnsi="Arial" w:cs="Arial"/>
          <w:sz w:val="24"/>
          <w:szCs w:val="24"/>
        </w:rPr>
        <w:tab/>
        <w:t>Para obtener los datos se acudió a diferentes secundarias y preparatorias, se solicitaron permisos a las autoridades correspondientes de las escuelas, se explicaron los objetivos de la investigación y cada autoridad firmó un documento de consentimiento informado después de revisar los instrumentos. Las aplicaciones fueron de manera grupal en los salones de clase, con la supervisión de los investigadores y una autoridad respectiva encargada de cada grupo, como profesores o tutores. Así mismo, cada adolescente contaba con un asentimiento de participación en el que tenía la libertad de decidir si deseaba o no contestar los instrumentos. Se garantizó su anonimato y confidencialidad. Después de cada aplicación, se agradeció a los adolescentes y autoridades su colaboración y se proporcionaron datos de contacto para cualquier aclaración.</w:t>
      </w:r>
    </w:p>
    <w:p w:rsidR="00634FA7" w:rsidRPr="00045C75" w:rsidRDefault="00634FA7" w:rsidP="00634FA7">
      <w:pPr>
        <w:spacing w:line="240" w:lineRule="auto"/>
        <w:jc w:val="center"/>
        <w:rPr>
          <w:rFonts w:ascii="Arial" w:hAnsi="Arial" w:cs="Arial"/>
          <w:b/>
          <w:sz w:val="24"/>
          <w:szCs w:val="24"/>
        </w:rPr>
      </w:pPr>
      <w:r w:rsidRPr="00045C75">
        <w:rPr>
          <w:rFonts w:ascii="Arial" w:hAnsi="Arial" w:cs="Arial"/>
          <w:b/>
          <w:sz w:val="24"/>
          <w:szCs w:val="24"/>
        </w:rPr>
        <w:t>Resultados</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Con el programa SPSS versión 24 se realizó un análisis factorial exploratorio de la Escala de Premisas Histórico-Socioculturales mediante el método de factorización por ejes principales, con la finalidad de adaptar las características de la escala a las sugerencias de clasificación de las premisas como normas y creencias (Díaz-Loving et al., 2011). Se obtuvo una versión corta de 18 reactivos que explican el 38.42 % de la varianza con dos factores denominados Normas (con 9 reactivos sobre Obediencia afiliativa, Temor a la autoridad y Honor familiar) y Creencias (con 9 reactivos sobre Status quo, Autoafirmación y Marianismo). Esta nueva versión de menos reactivos presentó un alpha de Cronbach global de .80.</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 xml:space="preserve">Posteriormente se emplearon análisis factoriales de segundo orden con los factores de dominio moral, individualismo-colectivismo y funcionamiento familiar (sin eliminar reactivos) con la finalidad de simplificar los resultados en un solo modelo </w:t>
      </w:r>
      <w:r w:rsidRPr="00045C75">
        <w:rPr>
          <w:rFonts w:ascii="Arial" w:hAnsi="Arial" w:cs="Arial"/>
          <w:sz w:val="24"/>
          <w:szCs w:val="24"/>
        </w:rPr>
        <w:lastRenderedPageBreak/>
        <w:t xml:space="preserve">predictivo. Con la Escala de dominio moral se obtuvieron dos factores supraordenados conceptuados con base en la teoría (McKinney, 1971), que explican el 51.30 % de la varianza: </w:t>
      </w:r>
      <w:r w:rsidRPr="00045C75">
        <w:rPr>
          <w:rFonts w:ascii="Arial" w:hAnsi="Arial" w:cs="Arial"/>
          <w:i/>
          <w:sz w:val="24"/>
          <w:szCs w:val="24"/>
        </w:rPr>
        <w:t>Moral prescriptiva</w:t>
      </w:r>
      <w:r w:rsidRPr="00045C75">
        <w:rPr>
          <w:rFonts w:ascii="Arial" w:hAnsi="Arial" w:cs="Arial"/>
          <w:sz w:val="24"/>
          <w:szCs w:val="24"/>
        </w:rPr>
        <w:t xml:space="preserve"> (Amor/Respeto, Lealtad/Familia y Equidad), definida como el conjunto de principios morales que delimitan lo que se debe hacer (como amar, respetar, ser leal y equitativo) y </w:t>
      </w:r>
      <w:r w:rsidRPr="00045C75">
        <w:rPr>
          <w:rFonts w:ascii="Arial" w:hAnsi="Arial" w:cs="Arial"/>
          <w:i/>
          <w:sz w:val="24"/>
          <w:szCs w:val="24"/>
        </w:rPr>
        <w:t>Moral restrictiva</w:t>
      </w:r>
      <w:r w:rsidRPr="00045C75">
        <w:rPr>
          <w:rFonts w:ascii="Arial" w:hAnsi="Arial" w:cs="Arial"/>
          <w:sz w:val="24"/>
          <w:szCs w:val="24"/>
        </w:rPr>
        <w:t xml:space="preserve"> (Ofensa y Perjuicio) definida como el conjunto de principios morales que delimitan lo que no se debe hacer (no ofender a otros ni provocarles daños o problemas).</w:t>
      </w:r>
    </w:p>
    <w:p w:rsidR="00634FA7" w:rsidRPr="00045C75" w:rsidRDefault="00634FA7" w:rsidP="00FC0081">
      <w:pPr>
        <w:spacing w:after="0" w:line="240" w:lineRule="auto"/>
        <w:ind w:firstLine="708"/>
        <w:rPr>
          <w:rFonts w:ascii="Arial" w:hAnsi="Arial" w:cs="Arial"/>
          <w:sz w:val="24"/>
          <w:szCs w:val="24"/>
        </w:rPr>
      </w:pPr>
      <w:r w:rsidRPr="00045C75">
        <w:rPr>
          <w:rFonts w:ascii="Arial" w:hAnsi="Arial" w:cs="Arial"/>
          <w:sz w:val="24"/>
          <w:szCs w:val="24"/>
        </w:rPr>
        <w:t>Para Individualismo-Colectivismo se obtuvieron dos factores: Colectivismo (Horizontal y Vertical) e Individualismo (Horizontal y Vertical) que explican el 73.12 % de la varianza y para Funcionamiento familiar también se obtuvieron dos factores: Ambiente familiar positivo (Cohesión y Comunicación y Esparcimiento y Armonía) y Ambiente familiar negativo (Coaliciones y Ausencia de Reglas y Límites) que explican el 66.52 % de la varianza. Una vez obtenidos los factores de segundo orden de las escalas se realizaron correlaciones producto momento de Pearson y análisis de regresión lineal múltiple.</w:t>
      </w:r>
    </w:p>
    <w:p w:rsidR="00634FA7" w:rsidRPr="00045C75" w:rsidRDefault="00634FA7" w:rsidP="00634FA7">
      <w:pPr>
        <w:spacing w:line="240" w:lineRule="auto"/>
        <w:rPr>
          <w:rFonts w:ascii="Arial" w:hAnsi="Arial" w:cs="Arial"/>
          <w:sz w:val="24"/>
          <w:szCs w:val="24"/>
        </w:rPr>
      </w:pPr>
      <w:r w:rsidRPr="00045C75">
        <w:rPr>
          <w:rFonts w:ascii="Arial" w:hAnsi="Arial" w:cs="Arial"/>
          <w:b/>
          <w:sz w:val="24"/>
          <w:szCs w:val="24"/>
        </w:rPr>
        <w:tab/>
      </w:r>
      <w:r w:rsidRPr="00045C75">
        <w:rPr>
          <w:rFonts w:ascii="Arial" w:hAnsi="Arial" w:cs="Arial"/>
          <w:sz w:val="24"/>
          <w:szCs w:val="24"/>
        </w:rPr>
        <w:t>En la Tabla 1 se muestran correlaciones estadísticamente significativas y positivas de la Moral prescriptiva con las Normas, el Colectivismo, el Individualismo y el Ambiente familiar positivo, así como una correlación estadísticamente significativa y negativa con el Ambiente familiar negativo. En el caso de la Moral restrictiva se muestran correlaciones estadísticamente significativas y negativas con las Normas y el Ambiente familiar negativo, así como una correlación estadísticamente significativa y positiva con el Colectivismo.</w:t>
      </w:r>
    </w:p>
    <w:p w:rsidR="00634FA7" w:rsidRPr="00045C75" w:rsidRDefault="00634FA7" w:rsidP="00634FA7">
      <w:pPr>
        <w:spacing w:line="240" w:lineRule="auto"/>
        <w:rPr>
          <w:rFonts w:ascii="Arial" w:hAnsi="Arial" w:cs="Arial"/>
          <w:sz w:val="20"/>
          <w:szCs w:val="24"/>
        </w:rPr>
      </w:pPr>
      <w:r w:rsidRPr="00045C75">
        <w:rPr>
          <w:rFonts w:ascii="Arial" w:hAnsi="Arial" w:cs="Arial"/>
          <w:sz w:val="20"/>
          <w:szCs w:val="24"/>
        </w:rPr>
        <w:t>Tabla 1</w:t>
      </w:r>
    </w:p>
    <w:p w:rsidR="00634FA7" w:rsidRPr="00045C75" w:rsidRDefault="00634FA7" w:rsidP="00634FA7">
      <w:pPr>
        <w:spacing w:line="240" w:lineRule="auto"/>
        <w:rPr>
          <w:rFonts w:ascii="Arial" w:hAnsi="Arial" w:cs="Arial"/>
          <w:i/>
          <w:sz w:val="20"/>
          <w:szCs w:val="24"/>
        </w:rPr>
      </w:pPr>
      <w:r w:rsidRPr="00045C75">
        <w:rPr>
          <w:rFonts w:ascii="Arial" w:hAnsi="Arial" w:cs="Arial"/>
          <w:i/>
          <w:sz w:val="20"/>
          <w:szCs w:val="24"/>
        </w:rPr>
        <w:t>Correlaciones de los factores de dominio moral con los factores de premisas histórico-socioculturales, individualismo-colectivismo y funcionamiento familiar</w:t>
      </w:r>
    </w:p>
    <w:tbl>
      <w:tblPr>
        <w:tblW w:w="9226" w:type="dxa"/>
        <w:tblLayout w:type="fixed"/>
        <w:tblCellMar>
          <w:left w:w="0" w:type="dxa"/>
          <w:right w:w="0" w:type="dxa"/>
        </w:tblCellMar>
        <w:tblLook w:val="0000" w:firstRow="0" w:lastRow="0" w:firstColumn="0" w:lastColumn="0" w:noHBand="0" w:noVBand="0"/>
      </w:tblPr>
      <w:tblGrid>
        <w:gridCol w:w="1273"/>
        <w:gridCol w:w="1278"/>
        <w:gridCol w:w="1278"/>
        <w:gridCol w:w="1418"/>
        <w:gridCol w:w="1471"/>
        <w:gridCol w:w="1254"/>
        <w:gridCol w:w="1254"/>
      </w:tblGrid>
      <w:tr w:rsidR="00634FA7" w:rsidRPr="00045C75" w:rsidTr="00E7738F">
        <w:trPr>
          <w:cantSplit/>
          <w:trHeight w:val="601"/>
        </w:trPr>
        <w:tc>
          <w:tcPr>
            <w:tcW w:w="1273"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rPr>
                <w:rFonts w:ascii="Times New Roman" w:hAnsi="Times New Roman" w:cs="Times New Roman"/>
                <w:sz w:val="20"/>
                <w:szCs w:val="24"/>
              </w:rPr>
            </w:pPr>
          </w:p>
        </w:tc>
        <w:tc>
          <w:tcPr>
            <w:tcW w:w="1278"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ind w:left="60" w:right="60"/>
              <w:rPr>
                <w:rFonts w:ascii="Arial" w:hAnsi="Arial" w:cs="Arial"/>
                <w:sz w:val="20"/>
                <w:szCs w:val="18"/>
              </w:rPr>
            </w:pPr>
            <w:r w:rsidRPr="00045C75">
              <w:rPr>
                <w:rFonts w:ascii="Arial" w:hAnsi="Arial" w:cs="Arial"/>
                <w:sz w:val="20"/>
                <w:szCs w:val="18"/>
              </w:rPr>
              <w:t>Normas</w:t>
            </w:r>
          </w:p>
        </w:tc>
        <w:tc>
          <w:tcPr>
            <w:tcW w:w="1278"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ind w:left="60" w:right="60"/>
              <w:rPr>
                <w:rFonts w:ascii="Arial" w:hAnsi="Arial" w:cs="Arial"/>
                <w:sz w:val="20"/>
                <w:szCs w:val="18"/>
              </w:rPr>
            </w:pPr>
            <w:r w:rsidRPr="00045C75">
              <w:rPr>
                <w:rFonts w:ascii="Arial" w:hAnsi="Arial" w:cs="Arial"/>
                <w:sz w:val="20"/>
                <w:szCs w:val="18"/>
              </w:rPr>
              <w:t>Creencias</w:t>
            </w:r>
          </w:p>
        </w:tc>
        <w:tc>
          <w:tcPr>
            <w:tcW w:w="1418"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ind w:left="60" w:right="60"/>
              <w:rPr>
                <w:rFonts w:ascii="Arial" w:hAnsi="Arial" w:cs="Arial"/>
                <w:sz w:val="20"/>
                <w:szCs w:val="18"/>
              </w:rPr>
            </w:pPr>
            <w:r w:rsidRPr="00045C75">
              <w:rPr>
                <w:rFonts w:ascii="Arial" w:hAnsi="Arial" w:cs="Arial"/>
                <w:sz w:val="20"/>
                <w:szCs w:val="18"/>
              </w:rPr>
              <w:t>Colectivismo</w:t>
            </w:r>
          </w:p>
        </w:tc>
        <w:tc>
          <w:tcPr>
            <w:tcW w:w="1471"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ind w:left="60" w:right="60"/>
              <w:rPr>
                <w:rFonts w:ascii="Arial" w:hAnsi="Arial" w:cs="Arial"/>
                <w:sz w:val="20"/>
                <w:szCs w:val="18"/>
              </w:rPr>
            </w:pPr>
            <w:r w:rsidRPr="00045C75">
              <w:rPr>
                <w:rFonts w:ascii="Arial" w:hAnsi="Arial" w:cs="Arial"/>
                <w:sz w:val="20"/>
                <w:szCs w:val="18"/>
              </w:rPr>
              <w:t>Individualismo</w:t>
            </w:r>
          </w:p>
        </w:tc>
        <w:tc>
          <w:tcPr>
            <w:tcW w:w="1254"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ind w:left="60" w:right="60"/>
              <w:rPr>
                <w:rFonts w:ascii="Arial" w:hAnsi="Arial" w:cs="Arial"/>
                <w:sz w:val="20"/>
                <w:szCs w:val="18"/>
              </w:rPr>
            </w:pPr>
            <w:r w:rsidRPr="00045C75">
              <w:rPr>
                <w:rFonts w:ascii="Arial" w:hAnsi="Arial" w:cs="Arial"/>
                <w:sz w:val="20"/>
                <w:szCs w:val="18"/>
              </w:rPr>
              <w:t>Ambiente familiar positivo</w:t>
            </w:r>
          </w:p>
        </w:tc>
        <w:tc>
          <w:tcPr>
            <w:tcW w:w="1254"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240" w:lineRule="auto"/>
              <w:ind w:left="60" w:right="60"/>
              <w:rPr>
                <w:rFonts w:ascii="Arial" w:hAnsi="Arial" w:cs="Arial"/>
                <w:sz w:val="20"/>
                <w:szCs w:val="18"/>
              </w:rPr>
            </w:pPr>
            <w:r w:rsidRPr="00045C75">
              <w:rPr>
                <w:rFonts w:ascii="Arial" w:hAnsi="Arial" w:cs="Arial"/>
                <w:sz w:val="20"/>
                <w:szCs w:val="18"/>
              </w:rPr>
              <w:t>Ambiente familiar negativo</w:t>
            </w:r>
          </w:p>
        </w:tc>
      </w:tr>
      <w:tr w:rsidR="00634FA7" w:rsidRPr="00045C75" w:rsidTr="00E7738F">
        <w:trPr>
          <w:cantSplit/>
          <w:trHeight w:val="516"/>
        </w:trPr>
        <w:tc>
          <w:tcPr>
            <w:tcW w:w="1273" w:type="dxa"/>
            <w:tcBorders>
              <w:top w:val="single" w:sz="4" w:space="0" w:color="auto"/>
            </w:tcBorders>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Moral prescriptiva</w:t>
            </w:r>
          </w:p>
        </w:tc>
        <w:tc>
          <w:tcPr>
            <w:tcW w:w="1278"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.278</w:t>
            </w:r>
            <w:r w:rsidRPr="00045C75">
              <w:rPr>
                <w:rFonts w:ascii="Arial" w:hAnsi="Arial" w:cs="Arial"/>
                <w:sz w:val="20"/>
                <w:szCs w:val="18"/>
                <w:vertAlign w:val="superscript"/>
              </w:rPr>
              <w:t>**</w:t>
            </w:r>
          </w:p>
        </w:tc>
        <w:tc>
          <w:tcPr>
            <w:tcW w:w="1278"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-.023</w:t>
            </w:r>
          </w:p>
        </w:tc>
        <w:tc>
          <w:tcPr>
            <w:tcW w:w="1418"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.352</w:t>
            </w:r>
            <w:r w:rsidRPr="00045C75">
              <w:rPr>
                <w:rFonts w:ascii="Arial" w:hAnsi="Arial" w:cs="Arial"/>
                <w:sz w:val="20"/>
                <w:szCs w:val="18"/>
                <w:vertAlign w:val="superscript"/>
              </w:rPr>
              <w:t>**</w:t>
            </w:r>
          </w:p>
        </w:tc>
        <w:tc>
          <w:tcPr>
            <w:tcW w:w="1471"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.114</w:t>
            </w:r>
            <w:r w:rsidRPr="00045C75">
              <w:rPr>
                <w:rFonts w:ascii="Arial" w:hAnsi="Arial" w:cs="Arial"/>
                <w:sz w:val="20"/>
                <w:szCs w:val="18"/>
                <w:vertAlign w:val="superscript"/>
              </w:rPr>
              <w:t>*</w:t>
            </w:r>
          </w:p>
        </w:tc>
        <w:tc>
          <w:tcPr>
            <w:tcW w:w="1254"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.236</w:t>
            </w:r>
            <w:r w:rsidRPr="00045C75">
              <w:rPr>
                <w:rFonts w:ascii="Arial" w:hAnsi="Arial" w:cs="Arial"/>
                <w:sz w:val="20"/>
                <w:szCs w:val="18"/>
                <w:vertAlign w:val="superscript"/>
              </w:rPr>
              <w:t>**</w:t>
            </w:r>
          </w:p>
        </w:tc>
        <w:tc>
          <w:tcPr>
            <w:tcW w:w="1254"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-.172</w:t>
            </w:r>
            <w:r w:rsidRPr="00045C75">
              <w:rPr>
                <w:rFonts w:ascii="Arial" w:hAnsi="Arial" w:cs="Arial"/>
                <w:sz w:val="20"/>
                <w:szCs w:val="18"/>
                <w:vertAlign w:val="superscript"/>
              </w:rPr>
              <w:t>**</w:t>
            </w:r>
          </w:p>
        </w:tc>
      </w:tr>
      <w:tr w:rsidR="00634FA7" w:rsidRPr="00045C75" w:rsidTr="00E7738F">
        <w:trPr>
          <w:cantSplit/>
          <w:trHeight w:val="516"/>
        </w:trPr>
        <w:tc>
          <w:tcPr>
            <w:tcW w:w="1273" w:type="dxa"/>
            <w:tcBorders>
              <w:bottom w:val="single" w:sz="4" w:space="0" w:color="auto"/>
            </w:tcBorders>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Moral restrictiva</w:t>
            </w:r>
          </w:p>
        </w:tc>
        <w:tc>
          <w:tcPr>
            <w:tcW w:w="1278" w:type="dxa"/>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-.100</w:t>
            </w:r>
            <w:r w:rsidRPr="00045C75">
              <w:rPr>
                <w:rFonts w:ascii="Arial" w:hAnsi="Arial" w:cs="Arial"/>
                <w:sz w:val="20"/>
                <w:szCs w:val="18"/>
                <w:vertAlign w:val="superscript"/>
              </w:rPr>
              <w:t>*</w:t>
            </w:r>
          </w:p>
        </w:tc>
        <w:tc>
          <w:tcPr>
            <w:tcW w:w="1278" w:type="dxa"/>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-.017</w:t>
            </w:r>
          </w:p>
        </w:tc>
        <w:tc>
          <w:tcPr>
            <w:tcW w:w="1418" w:type="dxa"/>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.197</w:t>
            </w:r>
            <w:r w:rsidRPr="00045C75">
              <w:rPr>
                <w:rFonts w:ascii="Arial" w:hAnsi="Arial" w:cs="Arial"/>
                <w:sz w:val="20"/>
                <w:szCs w:val="18"/>
                <w:vertAlign w:val="superscript"/>
              </w:rPr>
              <w:t>**</w:t>
            </w:r>
          </w:p>
        </w:tc>
        <w:tc>
          <w:tcPr>
            <w:tcW w:w="1471" w:type="dxa"/>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-.041</w:t>
            </w:r>
          </w:p>
        </w:tc>
        <w:tc>
          <w:tcPr>
            <w:tcW w:w="1254" w:type="dxa"/>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.085</w:t>
            </w:r>
          </w:p>
        </w:tc>
        <w:tc>
          <w:tcPr>
            <w:tcW w:w="1254" w:type="dxa"/>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18"/>
              </w:rPr>
            </w:pPr>
            <w:r w:rsidRPr="00045C75">
              <w:rPr>
                <w:rFonts w:ascii="Arial" w:hAnsi="Arial" w:cs="Arial"/>
                <w:sz w:val="20"/>
                <w:szCs w:val="18"/>
              </w:rPr>
              <w:t>-.163</w:t>
            </w:r>
            <w:r w:rsidRPr="00045C75">
              <w:rPr>
                <w:rFonts w:ascii="Arial" w:hAnsi="Arial" w:cs="Arial"/>
                <w:sz w:val="20"/>
                <w:szCs w:val="18"/>
                <w:vertAlign w:val="superscript"/>
              </w:rPr>
              <w:t>**</w:t>
            </w:r>
          </w:p>
        </w:tc>
      </w:tr>
    </w:tbl>
    <w:p w:rsidR="00634FA7" w:rsidRPr="00045C75" w:rsidRDefault="00634FA7" w:rsidP="00634FA7">
      <w:pPr>
        <w:spacing w:after="0" w:line="240" w:lineRule="auto"/>
        <w:rPr>
          <w:rFonts w:ascii="Arial" w:hAnsi="Arial" w:cs="Arial"/>
          <w:i/>
          <w:sz w:val="20"/>
          <w:szCs w:val="24"/>
        </w:rPr>
      </w:pPr>
      <w:r w:rsidRPr="00045C75">
        <w:rPr>
          <w:rFonts w:ascii="Arial" w:hAnsi="Arial" w:cs="Arial"/>
          <w:i/>
          <w:sz w:val="20"/>
          <w:szCs w:val="24"/>
        </w:rPr>
        <w:t>**p &lt; .01</w:t>
      </w:r>
    </w:p>
    <w:p w:rsidR="00634FA7" w:rsidRPr="00045C75" w:rsidRDefault="00634FA7" w:rsidP="00634FA7">
      <w:pPr>
        <w:spacing w:line="240" w:lineRule="auto"/>
        <w:rPr>
          <w:rFonts w:ascii="Arial" w:hAnsi="Arial" w:cs="Arial"/>
          <w:i/>
          <w:sz w:val="20"/>
          <w:szCs w:val="24"/>
        </w:rPr>
      </w:pPr>
      <w:r w:rsidRPr="00045C75">
        <w:rPr>
          <w:rFonts w:ascii="Arial" w:hAnsi="Arial" w:cs="Arial"/>
          <w:i/>
          <w:sz w:val="20"/>
          <w:szCs w:val="24"/>
        </w:rPr>
        <w:t>* p &lt; .05</w:t>
      </w:r>
    </w:p>
    <w:p w:rsidR="00634FA7" w:rsidRPr="00045C75" w:rsidRDefault="00634FA7" w:rsidP="00634FA7">
      <w:pPr>
        <w:spacing w:before="240" w:after="0" w:line="240" w:lineRule="auto"/>
        <w:rPr>
          <w:rFonts w:ascii="Arial" w:hAnsi="Arial" w:cs="Arial"/>
          <w:sz w:val="24"/>
          <w:szCs w:val="24"/>
        </w:rPr>
      </w:pPr>
      <w:r w:rsidRPr="00045C75">
        <w:rPr>
          <w:rFonts w:ascii="Arial" w:hAnsi="Arial" w:cs="Arial"/>
          <w:sz w:val="24"/>
          <w:szCs w:val="24"/>
        </w:rPr>
        <w:tab/>
        <w:t xml:space="preserve">Con base en las correlaciones obtenidas se realizaron dos análisis de regresión lineal múltiple: uno para predecir la moral prescriptiva y otro para predecir la moral restrictiva. Se efectuaron ambos modelos de regresión y posteriormente se verificaron los análisis en función de supuesto del análisis de regresión como son normalidad, homocedasticidad, colinealidad e independencia de los errores </w:t>
      </w:r>
      <w:r w:rsidRPr="00045C75">
        <w:rPr>
          <w:rFonts w:ascii="Arial" w:hAnsi="Arial" w:cs="Arial"/>
          <w:sz w:val="24"/>
          <w:szCs w:val="28"/>
        </w:rPr>
        <w:t>(Berry &amp; Feldman, 1985; J. Cohen, Cohen, West, &amp; Aiken, 2013; Miles &amp; Shevlin, 2001). Para controlar los supuestos de normalidad y homocedasticidad se analizaron los residuales estandarizados de los datos después de efectuar los modelos de regresión y se eliminaron cuatro datos considerados atípicos (outliers) (Z &lt; -4), por lo que el tamaño de la muestra quedó N = 455.</w:t>
      </w:r>
    </w:p>
    <w:p w:rsidR="00634FA7" w:rsidRPr="00045C75" w:rsidRDefault="00634FA7" w:rsidP="00634FA7">
      <w:pPr>
        <w:spacing w:line="240" w:lineRule="auto"/>
        <w:ind w:firstLine="708"/>
        <w:rPr>
          <w:rFonts w:ascii="Arial" w:hAnsi="Arial" w:cs="Arial"/>
          <w:sz w:val="24"/>
          <w:szCs w:val="24"/>
        </w:rPr>
      </w:pPr>
      <w:r w:rsidRPr="00045C75">
        <w:rPr>
          <w:rFonts w:ascii="Arial" w:hAnsi="Arial" w:cs="Arial"/>
          <w:sz w:val="24"/>
          <w:szCs w:val="24"/>
        </w:rPr>
        <w:lastRenderedPageBreak/>
        <w:t>Posteriormente se realizaron los análisis de regresión lineal múltiple correspondientes. Para el primer análisis se identificaron el Colectivismo, las Normas y el Ambiente familiar positivo como predictores estadísticamente significativos y positivos, y el Ambiente familiar negativo como predictor estadísticamente significativo y negativo de la Moral prescriptiva (ver Tabla 2).</w:t>
      </w:r>
    </w:p>
    <w:p w:rsidR="00634FA7" w:rsidRPr="00045C75" w:rsidRDefault="00634FA7" w:rsidP="00634FA7">
      <w:pPr>
        <w:spacing w:before="240" w:line="240" w:lineRule="auto"/>
        <w:rPr>
          <w:rFonts w:ascii="Arial" w:hAnsi="Arial" w:cs="Arial"/>
          <w:sz w:val="20"/>
          <w:szCs w:val="24"/>
        </w:rPr>
      </w:pPr>
      <w:r w:rsidRPr="00045C75">
        <w:rPr>
          <w:rFonts w:ascii="Arial" w:hAnsi="Arial" w:cs="Arial"/>
          <w:sz w:val="20"/>
          <w:szCs w:val="24"/>
        </w:rPr>
        <w:t>Tabla 2</w:t>
      </w:r>
    </w:p>
    <w:p w:rsidR="00634FA7" w:rsidRPr="00045C75" w:rsidRDefault="00634FA7" w:rsidP="00634FA7">
      <w:pPr>
        <w:spacing w:after="0" w:line="240" w:lineRule="auto"/>
        <w:rPr>
          <w:rFonts w:ascii="Arial" w:hAnsi="Arial" w:cs="Arial"/>
          <w:i/>
          <w:sz w:val="20"/>
          <w:szCs w:val="24"/>
        </w:rPr>
      </w:pPr>
      <w:r w:rsidRPr="00045C75">
        <w:rPr>
          <w:rFonts w:ascii="Arial" w:hAnsi="Arial" w:cs="Arial"/>
          <w:i/>
          <w:sz w:val="20"/>
          <w:szCs w:val="24"/>
        </w:rPr>
        <w:t>Resumen del análisis de regresión lineal múltiple para las variables predictoras de la Moral prescriptiva</w:t>
      </w:r>
    </w:p>
    <w:tbl>
      <w:tblPr>
        <w:tblpPr w:leftFromText="141" w:rightFromText="141" w:vertAnchor="text" w:horzAnchor="margin" w:tblpY="299"/>
        <w:tblW w:w="9282" w:type="dxa"/>
        <w:tblLayout w:type="fixed"/>
        <w:tblCellMar>
          <w:left w:w="0" w:type="dxa"/>
          <w:right w:w="0" w:type="dxa"/>
        </w:tblCellMar>
        <w:tblLook w:val="0000" w:firstRow="0" w:lastRow="0" w:firstColumn="0" w:lastColumn="0" w:noHBand="0" w:noVBand="0"/>
      </w:tblPr>
      <w:tblGrid>
        <w:gridCol w:w="37"/>
        <w:gridCol w:w="3005"/>
        <w:gridCol w:w="1365"/>
        <w:gridCol w:w="1213"/>
        <w:gridCol w:w="1213"/>
        <w:gridCol w:w="1213"/>
        <w:gridCol w:w="1236"/>
      </w:tblGrid>
      <w:tr w:rsidR="00634FA7" w:rsidRPr="00045C75" w:rsidTr="00E7738F">
        <w:trPr>
          <w:cantSplit/>
          <w:trHeight w:val="637"/>
        </w:trPr>
        <w:tc>
          <w:tcPr>
            <w:tcW w:w="3042" w:type="dxa"/>
            <w:gridSpan w:val="2"/>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Variables predictoras</w:t>
            </w:r>
          </w:p>
        </w:tc>
        <w:tc>
          <w:tcPr>
            <w:tcW w:w="1365"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B</w:t>
            </w:r>
          </w:p>
        </w:tc>
        <w:tc>
          <w:tcPr>
            <w:tcW w:w="1213"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E.E.</w:t>
            </w:r>
          </w:p>
        </w:tc>
        <w:tc>
          <w:tcPr>
            <w:tcW w:w="1213"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i/>
                <w:iCs/>
                <w:sz w:val="20"/>
                <w:szCs w:val="24"/>
              </w:rPr>
              <w:t>β</w:t>
            </w:r>
          </w:p>
        </w:tc>
        <w:tc>
          <w:tcPr>
            <w:tcW w:w="1213"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t</w:t>
            </w:r>
          </w:p>
        </w:tc>
        <w:tc>
          <w:tcPr>
            <w:tcW w:w="1234"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p</w:t>
            </w:r>
          </w:p>
        </w:tc>
      </w:tr>
      <w:tr w:rsidR="00634FA7" w:rsidRPr="00045C75" w:rsidTr="00E7738F">
        <w:trPr>
          <w:cantSplit/>
          <w:trHeight w:val="302"/>
        </w:trPr>
        <w:tc>
          <w:tcPr>
            <w:tcW w:w="37" w:type="dxa"/>
            <w:vMerge w:val="restart"/>
            <w:tcBorders>
              <w:top w:val="single" w:sz="4" w:space="0" w:color="auto"/>
            </w:tcBorders>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3005" w:type="dxa"/>
            <w:tcBorders>
              <w:top w:val="single" w:sz="4" w:space="0" w:color="auto"/>
            </w:tcBorders>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Colectivismo</w:t>
            </w:r>
          </w:p>
        </w:tc>
        <w:tc>
          <w:tcPr>
            <w:tcW w:w="1365"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.132</w:t>
            </w:r>
          </w:p>
        </w:tc>
        <w:tc>
          <w:tcPr>
            <w:tcW w:w="1213"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.024</w:t>
            </w:r>
          </w:p>
        </w:tc>
        <w:tc>
          <w:tcPr>
            <w:tcW w:w="1213"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.250</w:t>
            </w:r>
          </w:p>
        </w:tc>
        <w:tc>
          <w:tcPr>
            <w:tcW w:w="1213"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5.430</w:t>
            </w:r>
          </w:p>
        </w:tc>
        <w:tc>
          <w:tcPr>
            <w:tcW w:w="1234"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right="60"/>
              <w:rPr>
                <w:rFonts w:ascii="Arial" w:hAnsi="Arial" w:cs="Arial"/>
                <w:sz w:val="20"/>
                <w:szCs w:val="20"/>
              </w:rPr>
            </w:pPr>
            <w:r w:rsidRPr="00045C75">
              <w:rPr>
                <w:rFonts w:ascii="Arial" w:hAnsi="Arial" w:cs="Arial"/>
                <w:sz w:val="20"/>
                <w:szCs w:val="20"/>
              </w:rPr>
              <w:t>&lt;.001</w:t>
            </w:r>
          </w:p>
        </w:tc>
      </w:tr>
      <w:tr w:rsidR="00634FA7" w:rsidRPr="00045C75" w:rsidTr="00E7738F">
        <w:trPr>
          <w:cantSplit/>
          <w:trHeight w:val="302"/>
        </w:trPr>
        <w:tc>
          <w:tcPr>
            <w:tcW w:w="37" w:type="dxa"/>
            <w:vMerge/>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3005"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Normas</w:t>
            </w:r>
          </w:p>
        </w:tc>
        <w:tc>
          <w:tcPr>
            <w:tcW w:w="1365"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.358</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.076</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.208</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4.703</w:t>
            </w:r>
          </w:p>
        </w:tc>
        <w:tc>
          <w:tcPr>
            <w:tcW w:w="1234" w:type="dxa"/>
            <w:shd w:val="clear" w:color="auto" w:fill="FFFFFF"/>
            <w:vAlign w:val="center"/>
          </w:tcPr>
          <w:p w:rsidR="00634FA7" w:rsidRPr="00045C75" w:rsidRDefault="00634FA7" w:rsidP="00E7738F">
            <w:pPr>
              <w:autoSpaceDE w:val="0"/>
              <w:autoSpaceDN w:val="0"/>
              <w:adjustRightInd w:val="0"/>
              <w:spacing w:after="0" w:line="320" w:lineRule="atLeast"/>
              <w:ind w:right="60"/>
              <w:rPr>
                <w:rFonts w:ascii="Arial" w:hAnsi="Arial" w:cs="Arial"/>
                <w:sz w:val="20"/>
                <w:szCs w:val="20"/>
              </w:rPr>
            </w:pPr>
            <w:r w:rsidRPr="00045C75">
              <w:rPr>
                <w:rFonts w:ascii="Arial" w:hAnsi="Arial" w:cs="Arial"/>
                <w:sz w:val="20"/>
                <w:szCs w:val="20"/>
              </w:rPr>
              <w:t>&lt;.001</w:t>
            </w:r>
          </w:p>
        </w:tc>
      </w:tr>
      <w:tr w:rsidR="00634FA7" w:rsidRPr="00045C75" w:rsidTr="00E7738F">
        <w:trPr>
          <w:cantSplit/>
          <w:trHeight w:val="289"/>
        </w:trPr>
        <w:tc>
          <w:tcPr>
            <w:tcW w:w="37" w:type="dxa"/>
            <w:vMerge/>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3005"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Ambiente familiar negativo</w:t>
            </w:r>
          </w:p>
        </w:tc>
        <w:tc>
          <w:tcPr>
            <w:tcW w:w="1365"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-.176</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.047</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-.158</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-3.746</w:t>
            </w:r>
          </w:p>
        </w:tc>
        <w:tc>
          <w:tcPr>
            <w:tcW w:w="1234" w:type="dxa"/>
            <w:shd w:val="clear" w:color="auto" w:fill="FFFFFF"/>
            <w:vAlign w:val="center"/>
          </w:tcPr>
          <w:p w:rsidR="00634FA7" w:rsidRPr="00045C75" w:rsidRDefault="00634FA7" w:rsidP="00E7738F">
            <w:pPr>
              <w:autoSpaceDE w:val="0"/>
              <w:autoSpaceDN w:val="0"/>
              <w:adjustRightInd w:val="0"/>
              <w:spacing w:after="0" w:line="320" w:lineRule="atLeast"/>
              <w:ind w:right="60"/>
              <w:rPr>
                <w:rFonts w:ascii="Arial" w:hAnsi="Arial" w:cs="Arial"/>
                <w:sz w:val="20"/>
                <w:szCs w:val="20"/>
              </w:rPr>
            </w:pPr>
            <w:r w:rsidRPr="00045C75">
              <w:rPr>
                <w:rFonts w:ascii="Arial" w:hAnsi="Arial" w:cs="Arial"/>
                <w:sz w:val="20"/>
                <w:szCs w:val="20"/>
              </w:rPr>
              <w:t>&lt;.001</w:t>
            </w:r>
          </w:p>
        </w:tc>
      </w:tr>
      <w:tr w:rsidR="00634FA7" w:rsidRPr="00045C75" w:rsidTr="00E7738F">
        <w:trPr>
          <w:cantSplit/>
          <w:trHeight w:val="302"/>
        </w:trPr>
        <w:tc>
          <w:tcPr>
            <w:tcW w:w="37" w:type="dxa"/>
            <w:vMerge/>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3005"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Ambiente familiar positivo</w:t>
            </w:r>
          </w:p>
        </w:tc>
        <w:tc>
          <w:tcPr>
            <w:tcW w:w="1365"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.035</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.016</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.099</w:t>
            </w:r>
          </w:p>
        </w:tc>
        <w:tc>
          <w:tcPr>
            <w:tcW w:w="1213"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2.198</w:t>
            </w:r>
          </w:p>
        </w:tc>
        <w:tc>
          <w:tcPr>
            <w:tcW w:w="1234"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.028</w:t>
            </w:r>
          </w:p>
        </w:tc>
      </w:tr>
      <w:tr w:rsidR="00634FA7" w:rsidRPr="00045C75" w:rsidTr="00E7738F">
        <w:trPr>
          <w:cantSplit/>
          <w:trHeight w:val="124"/>
        </w:trPr>
        <w:tc>
          <w:tcPr>
            <w:tcW w:w="37" w:type="dxa"/>
            <w:shd w:val="clear" w:color="auto" w:fill="FFFFFF"/>
          </w:tcPr>
          <w:p w:rsidR="00634FA7" w:rsidRPr="00045C75" w:rsidRDefault="00634FA7" w:rsidP="00E7738F">
            <w:pPr>
              <w:autoSpaceDE w:val="0"/>
              <w:autoSpaceDN w:val="0"/>
              <w:adjustRightInd w:val="0"/>
              <w:spacing w:after="0" w:line="240" w:lineRule="auto"/>
              <w:rPr>
                <w:rFonts w:ascii="Arial" w:hAnsi="Arial" w:cs="Arial"/>
                <w:i/>
                <w:sz w:val="20"/>
                <w:szCs w:val="20"/>
              </w:rPr>
            </w:pPr>
          </w:p>
        </w:tc>
        <w:tc>
          <w:tcPr>
            <w:tcW w:w="3005"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i/>
                <w:sz w:val="20"/>
                <w:szCs w:val="20"/>
              </w:rPr>
            </w:pPr>
            <w:r w:rsidRPr="00045C75">
              <w:rPr>
                <w:rFonts w:ascii="Arial" w:hAnsi="Arial" w:cs="Arial"/>
                <w:i/>
                <w:sz w:val="20"/>
                <w:szCs w:val="20"/>
              </w:rPr>
              <w:t>F</w:t>
            </w:r>
          </w:p>
        </w:tc>
        <w:tc>
          <w:tcPr>
            <w:tcW w:w="6240" w:type="dxa"/>
            <w:gridSpan w:val="5"/>
            <w:shd w:val="clear" w:color="auto" w:fill="FFFFFF"/>
            <w:vAlign w:val="center"/>
          </w:tcPr>
          <w:p w:rsidR="00634FA7" w:rsidRPr="00045C75" w:rsidRDefault="00634FA7" w:rsidP="00E7738F">
            <w:pPr>
              <w:autoSpaceDE w:val="0"/>
              <w:autoSpaceDN w:val="0"/>
              <w:adjustRightInd w:val="0"/>
              <w:spacing w:after="0" w:line="320" w:lineRule="atLeast"/>
              <w:ind w:left="60" w:right="60"/>
              <w:jc w:val="center"/>
              <w:rPr>
                <w:rFonts w:ascii="Arial" w:hAnsi="Arial" w:cs="Arial"/>
                <w:sz w:val="20"/>
                <w:szCs w:val="20"/>
              </w:rPr>
            </w:pPr>
            <w:r w:rsidRPr="00045C75">
              <w:rPr>
                <w:rFonts w:ascii="Arial" w:hAnsi="Arial" w:cs="Arial"/>
                <w:sz w:val="20"/>
                <w:szCs w:val="20"/>
              </w:rPr>
              <w:t>(4, 451) = 31.446***</w:t>
            </w:r>
          </w:p>
        </w:tc>
      </w:tr>
      <w:tr w:rsidR="00634FA7" w:rsidRPr="00045C75" w:rsidTr="00E7738F">
        <w:trPr>
          <w:cantSplit/>
          <w:trHeight w:val="302"/>
        </w:trPr>
        <w:tc>
          <w:tcPr>
            <w:tcW w:w="37" w:type="dxa"/>
            <w:tcBorders>
              <w:bottom w:val="single" w:sz="4" w:space="0" w:color="auto"/>
            </w:tcBorders>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3005" w:type="dxa"/>
            <w:tcBorders>
              <w:bottom w:val="single" w:sz="4" w:space="0" w:color="auto"/>
            </w:tcBorders>
            <w:shd w:val="clear" w:color="auto" w:fill="FFFFFF"/>
          </w:tcPr>
          <w:p w:rsidR="00634FA7" w:rsidRPr="00045C75" w:rsidRDefault="00634FA7" w:rsidP="00E7738F">
            <w:pPr>
              <w:autoSpaceDE w:val="0"/>
              <w:autoSpaceDN w:val="0"/>
              <w:adjustRightInd w:val="0"/>
              <w:spacing w:after="0" w:line="320" w:lineRule="atLeast"/>
              <w:ind w:left="60" w:right="60"/>
              <w:rPr>
                <w:rFonts w:ascii="Arial" w:eastAsia="Times New Roman" w:hAnsi="Arial" w:cs="Arial"/>
                <w:i/>
                <w:sz w:val="20"/>
                <w:szCs w:val="20"/>
                <w:vertAlign w:val="superscript"/>
              </w:rPr>
            </w:pPr>
            <w:r w:rsidRPr="00045C75">
              <w:rPr>
                <w:rFonts w:ascii="Arial" w:eastAsia="Times New Roman" w:hAnsi="Arial" w:cs="Arial"/>
                <w:i/>
                <w:sz w:val="20"/>
                <w:szCs w:val="20"/>
              </w:rPr>
              <w:t>R</w:t>
            </w:r>
            <w:r w:rsidRPr="00045C75">
              <w:rPr>
                <w:rFonts w:ascii="Arial" w:eastAsia="Times New Roman" w:hAnsi="Arial" w:cs="Arial"/>
                <w:i/>
                <w:sz w:val="20"/>
                <w:szCs w:val="20"/>
                <w:vertAlign w:val="superscript"/>
              </w:rPr>
              <w:t>2</w:t>
            </w:r>
            <w:r w:rsidRPr="00045C75">
              <w:rPr>
                <w:rFonts w:ascii="Arial" w:eastAsia="Times New Roman" w:hAnsi="Arial" w:cs="Arial"/>
                <w:i/>
                <w:sz w:val="16"/>
                <w:szCs w:val="20"/>
              </w:rPr>
              <w:t>adj.</w:t>
            </w:r>
          </w:p>
        </w:tc>
        <w:tc>
          <w:tcPr>
            <w:tcW w:w="6240" w:type="dxa"/>
            <w:gridSpan w:val="5"/>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jc w:val="center"/>
              <w:rPr>
                <w:rFonts w:ascii="Arial" w:hAnsi="Arial" w:cs="Arial"/>
                <w:sz w:val="20"/>
                <w:szCs w:val="20"/>
              </w:rPr>
            </w:pPr>
            <w:r w:rsidRPr="00045C75">
              <w:rPr>
                <w:rFonts w:ascii="Arial" w:hAnsi="Arial" w:cs="Arial"/>
                <w:sz w:val="20"/>
                <w:szCs w:val="20"/>
              </w:rPr>
              <w:t>.212</w:t>
            </w:r>
          </w:p>
        </w:tc>
      </w:tr>
    </w:tbl>
    <w:p w:rsidR="00634FA7" w:rsidRDefault="00634FA7" w:rsidP="00634FA7">
      <w:pPr>
        <w:spacing w:after="0" w:line="240" w:lineRule="auto"/>
        <w:rPr>
          <w:rFonts w:ascii="Arial" w:hAnsi="Arial" w:cs="Arial"/>
          <w:sz w:val="20"/>
          <w:szCs w:val="24"/>
        </w:rPr>
      </w:pPr>
      <w:r w:rsidRPr="00045C75">
        <w:rPr>
          <w:rFonts w:ascii="Arial" w:hAnsi="Arial" w:cs="Arial"/>
          <w:sz w:val="20"/>
          <w:szCs w:val="24"/>
        </w:rPr>
        <w:tab/>
      </w:r>
    </w:p>
    <w:p w:rsidR="00634FA7" w:rsidRPr="00634FA7" w:rsidRDefault="00634FA7" w:rsidP="00634FA7">
      <w:pPr>
        <w:spacing w:line="240" w:lineRule="auto"/>
        <w:rPr>
          <w:rFonts w:ascii="Arial" w:hAnsi="Arial" w:cs="Arial"/>
          <w:i/>
          <w:sz w:val="20"/>
          <w:szCs w:val="24"/>
        </w:rPr>
      </w:pPr>
      <w:r w:rsidRPr="00045C75">
        <w:rPr>
          <w:rFonts w:ascii="Arial" w:hAnsi="Arial" w:cs="Arial"/>
          <w:i/>
          <w:sz w:val="20"/>
          <w:szCs w:val="24"/>
        </w:rPr>
        <w:t>***p &lt; .001</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 xml:space="preserve">Las pruebas para corroborar el supuesto de colinealidad indicaron que no existe multicolinealidad de las variables predictoras (Colectivismo, Tolerancia = .822, VIF = 1.217; Normas, Tolerancia = .884, VIF = 1.131; Ambiente familiar negativo, Tolerancia = .974, VIF = 1.026; Ambiente familiar positivo, Tolerancia = .857, VIF = 1.166). Las pruebas de independencia de los errores muestran que los residuales de las variables predictoras son independientes (Durbin-Watson value = 1.879). </w:t>
      </w:r>
    </w:p>
    <w:p w:rsidR="00634FA7" w:rsidRPr="00045C75" w:rsidRDefault="00634FA7" w:rsidP="00634FA7">
      <w:pPr>
        <w:spacing w:line="240" w:lineRule="auto"/>
        <w:ind w:firstLine="708"/>
        <w:rPr>
          <w:rFonts w:ascii="Arial" w:hAnsi="Arial" w:cs="Arial"/>
          <w:sz w:val="24"/>
          <w:szCs w:val="24"/>
        </w:rPr>
      </w:pPr>
      <w:r w:rsidRPr="00045C75">
        <w:rPr>
          <w:rFonts w:ascii="Arial" w:hAnsi="Arial" w:cs="Arial"/>
          <w:sz w:val="24"/>
          <w:szCs w:val="24"/>
        </w:rPr>
        <w:t>Para el segundo análisis se realizó el mismo procedimiento y se identificó al Colectivismo como predictor estadísticamente significativo y positivo, así como el Ambiente familiar negativo y las Normas como predictores estadísticamente significativos y negativos de la Moral restrictiva (ver Tabla 3).</w:t>
      </w:r>
    </w:p>
    <w:p w:rsidR="00634FA7" w:rsidRPr="00045C75" w:rsidRDefault="00634FA7" w:rsidP="00634FA7">
      <w:pPr>
        <w:spacing w:before="240" w:line="240" w:lineRule="auto"/>
        <w:rPr>
          <w:rFonts w:ascii="Arial" w:hAnsi="Arial" w:cs="Arial"/>
          <w:sz w:val="20"/>
          <w:szCs w:val="24"/>
        </w:rPr>
      </w:pPr>
      <w:r w:rsidRPr="00045C75">
        <w:rPr>
          <w:rFonts w:ascii="Arial" w:hAnsi="Arial" w:cs="Arial"/>
          <w:sz w:val="20"/>
          <w:szCs w:val="24"/>
        </w:rPr>
        <w:t>Tabla 3</w:t>
      </w:r>
    </w:p>
    <w:p w:rsidR="00634FA7" w:rsidRPr="00045C75" w:rsidRDefault="00634FA7" w:rsidP="00634FA7">
      <w:pPr>
        <w:spacing w:before="240" w:after="0" w:line="240" w:lineRule="auto"/>
        <w:rPr>
          <w:rFonts w:ascii="Arial" w:hAnsi="Arial" w:cs="Arial"/>
          <w:sz w:val="20"/>
          <w:szCs w:val="24"/>
        </w:rPr>
      </w:pPr>
      <w:r w:rsidRPr="00045C75">
        <w:rPr>
          <w:rFonts w:ascii="Arial" w:hAnsi="Arial" w:cs="Arial"/>
          <w:i/>
          <w:sz w:val="20"/>
          <w:szCs w:val="24"/>
        </w:rPr>
        <w:t>Resumen del análisis de regresión lineal múltiple para las variables predictoras de la Moral restrictiva</w:t>
      </w:r>
    </w:p>
    <w:p w:rsidR="00634FA7" w:rsidRPr="00045C75" w:rsidRDefault="00634FA7" w:rsidP="00634FA7">
      <w:pPr>
        <w:spacing w:line="240" w:lineRule="auto"/>
        <w:rPr>
          <w:rFonts w:ascii="Arial" w:hAnsi="Arial" w:cs="Arial"/>
          <w:i/>
          <w:sz w:val="20"/>
          <w:szCs w:val="24"/>
        </w:rPr>
      </w:pPr>
    </w:p>
    <w:tbl>
      <w:tblPr>
        <w:tblpPr w:leftFromText="141" w:rightFromText="141" w:vertAnchor="text" w:horzAnchor="margin" w:tblpY="-52"/>
        <w:tblW w:w="9239" w:type="dxa"/>
        <w:tblLayout w:type="fixed"/>
        <w:tblCellMar>
          <w:left w:w="0" w:type="dxa"/>
          <w:right w:w="0" w:type="dxa"/>
        </w:tblCellMar>
        <w:tblLook w:val="0000" w:firstRow="0" w:lastRow="0" w:firstColumn="0" w:lastColumn="0" w:noHBand="0" w:noVBand="0"/>
      </w:tblPr>
      <w:tblGrid>
        <w:gridCol w:w="41"/>
        <w:gridCol w:w="2988"/>
        <w:gridCol w:w="1362"/>
        <w:gridCol w:w="1209"/>
        <w:gridCol w:w="1209"/>
        <w:gridCol w:w="1209"/>
        <w:gridCol w:w="1221"/>
      </w:tblGrid>
      <w:tr w:rsidR="00634FA7" w:rsidRPr="00045C75" w:rsidTr="00634FA7">
        <w:trPr>
          <w:cantSplit/>
          <w:trHeight w:val="630"/>
        </w:trPr>
        <w:tc>
          <w:tcPr>
            <w:tcW w:w="3029" w:type="dxa"/>
            <w:gridSpan w:val="2"/>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Variables predictoras</w:t>
            </w:r>
          </w:p>
        </w:tc>
        <w:tc>
          <w:tcPr>
            <w:tcW w:w="1362"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B</w:t>
            </w:r>
          </w:p>
        </w:tc>
        <w:tc>
          <w:tcPr>
            <w:tcW w:w="1209"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E.E.</w:t>
            </w:r>
          </w:p>
        </w:tc>
        <w:tc>
          <w:tcPr>
            <w:tcW w:w="1209"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i/>
                <w:iCs/>
                <w:sz w:val="20"/>
                <w:szCs w:val="24"/>
              </w:rPr>
              <w:t>β</w:t>
            </w:r>
          </w:p>
        </w:tc>
        <w:tc>
          <w:tcPr>
            <w:tcW w:w="1209"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t</w:t>
            </w:r>
          </w:p>
        </w:tc>
        <w:tc>
          <w:tcPr>
            <w:tcW w:w="1221" w:type="dxa"/>
            <w:tcBorders>
              <w:top w:val="single" w:sz="4" w:space="0" w:color="auto"/>
              <w:bottom w:val="single" w:sz="4" w:space="0" w:color="auto"/>
            </w:tcBorders>
            <w:shd w:val="clear" w:color="auto" w:fill="FFFFFF"/>
            <w:vAlign w:val="bottom"/>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p</w:t>
            </w:r>
          </w:p>
        </w:tc>
      </w:tr>
      <w:tr w:rsidR="00634FA7" w:rsidRPr="00045C75" w:rsidTr="00634FA7">
        <w:trPr>
          <w:cantSplit/>
          <w:trHeight w:val="300"/>
        </w:trPr>
        <w:tc>
          <w:tcPr>
            <w:tcW w:w="41" w:type="dxa"/>
            <w:vMerge w:val="restart"/>
            <w:tcBorders>
              <w:top w:val="single" w:sz="4" w:space="0" w:color="auto"/>
            </w:tcBorders>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2988" w:type="dxa"/>
            <w:tcBorders>
              <w:top w:val="single" w:sz="4" w:space="0" w:color="auto"/>
            </w:tcBorders>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Colectivismo</w:t>
            </w:r>
          </w:p>
        </w:tc>
        <w:tc>
          <w:tcPr>
            <w:tcW w:w="1362"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.163</w:t>
            </w:r>
          </w:p>
        </w:tc>
        <w:tc>
          <w:tcPr>
            <w:tcW w:w="1209"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.030</w:t>
            </w:r>
          </w:p>
        </w:tc>
        <w:tc>
          <w:tcPr>
            <w:tcW w:w="1209"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.252</w:t>
            </w:r>
          </w:p>
        </w:tc>
        <w:tc>
          <w:tcPr>
            <w:tcW w:w="1209"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5.370</w:t>
            </w:r>
          </w:p>
        </w:tc>
        <w:tc>
          <w:tcPr>
            <w:tcW w:w="1221" w:type="dxa"/>
            <w:tcBorders>
              <w:top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&lt;.001</w:t>
            </w:r>
          </w:p>
        </w:tc>
      </w:tr>
      <w:tr w:rsidR="00634FA7" w:rsidRPr="00045C75" w:rsidTr="00634FA7">
        <w:trPr>
          <w:cantSplit/>
          <w:trHeight w:val="300"/>
        </w:trPr>
        <w:tc>
          <w:tcPr>
            <w:tcW w:w="41" w:type="dxa"/>
            <w:vMerge/>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2988"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Ambiente familiar negativo</w:t>
            </w:r>
          </w:p>
        </w:tc>
        <w:tc>
          <w:tcPr>
            <w:tcW w:w="1362"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-.254</w:t>
            </w:r>
          </w:p>
        </w:tc>
        <w:tc>
          <w:tcPr>
            <w:tcW w:w="1209"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.061</w:t>
            </w:r>
          </w:p>
        </w:tc>
        <w:tc>
          <w:tcPr>
            <w:tcW w:w="1209"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-.187</w:t>
            </w:r>
          </w:p>
        </w:tc>
        <w:tc>
          <w:tcPr>
            <w:tcW w:w="1209"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-4.159</w:t>
            </w:r>
          </w:p>
        </w:tc>
        <w:tc>
          <w:tcPr>
            <w:tcW w:w="1221"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&lt;.001</w:t>
            </w:r>
          </w:p>
        </w:tc>
      </w:tr>
      <w:tr w:rsidR="00634FA7" w:rsidRPr="00045C75" w:rsidTr="00634FA7">
        <w:trPr>
          <w:cantSplit/>
          <w:trHeight w:val="287"/>
        </w:trPr>
        <w:tc>
          <w:tcPr>
            <w:tcW w:w="41" w:type="dxa"/>
            <w:vMerge/>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2988"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Normas</w:t>
            </w:r>
          </w:p>
        </w:tc>
        <w:tc>
          <w:tcPr>
            <w:tcW w:w="1362"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-.373</w:t>
            </w:r>
          </w:p>
        </w:tc>
        <w:tc>
          <w:tcPr>
            <w:tcW w:w="1209"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.099</w:t>
            </w:r>
          </w:p>
        </w:tc>
        <w:tc>
          <w:tcPr>
            <w:tcW w:w="1209"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-.177</w:t>
            </w:r>
          </w:p>
        </w:tc>
        <w:tc>
          <w:tcPr>
            <w:tcW w:w="1209"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-3.770</w:t>
            </w:r>
          </w:p>
        </w:tc>
        <w:tc>
          <w:tcPr>
            <w:tcW w:w="1221" w:type="dxa"/>
            <w:shd w:val="clear" w:color="auto" w:fill="FFFFFF"/>
            <w:vAlign w:val="center"/>
          </w:tcPr>
          <w:p w:rsidR="00634FA7" w:rsidRPr="00045C75" w:rsidRDefault="00634FA7" w:rsidP="00E7738F">
            <w:pPr>
              <w:autoSpaceDE w:val="0"/>
              <w:autoSpaceDN w:val="0"/>
              <w:adjustRightInd w:val="0"/>
              <w:spacing w:after="0" w:line="320" w:lineRule="atLeast"/>
              <w:ind w:left="60" w:right="60"/>
              <w:rPr>
                <w:rFonts w:ascii="Arial" w:hAnsi="Arial" w:cs="Arial"/>
                <w:sz w:val="20"/>
                <w:szCs w:val="20"/>
              </w:rPr>
            </w:pPr>
            <w:r w:rsidRPr="00045C75">
              <w:rPr>
                <w:rFonts w:ascii="Arial" w:hAnsi="Arial" w:cs="Arial"/>
                <w:sz w:val="20"/>
                <w:szCs w:val="20"/>
              </w:rPr>
              <w:t>&lt;.001</w:t>
            </w:r>
          </w:p>
        </w:tc>
      </w:tr>
      <w:tr w:rsidR="00634FA7" w:rsidRPr="00045C75" w:rsidTr="00E7738F">
        <w:trPr>
          <w:cantSplit/>
          <w:trHeight w:val="125"/>
        </w:trPr>
        <w:tc>
          <w:tcPr>
            <w:tcW w:w="41" w:type="dxa"/>
            <w:shd w:val="clear" w:color="auto" w:fill="FFFFFF"/>
          </w:tcPr>
          <w:p w:rsidR="00634FA7" w:rsidRPr="00045C75" w:rsidRDefault="00634FA7" w:rsidP="00E7738F">
            <w:pPr>
              <w:autoSpaceDE w:val="0"/>
              <w:autoSpaceDN w:val="0"/>
              <w:adjustRightInd w:val="0"/>
              <w:spacing w:after="0" w:line="240" w:lineRule="auto"/>
              <w:rPr>
                <w:rFonts w:ascii="Arial" w:hAnsi="Arial" w:cs="Arial"/>
                <w:i/>
                <w:sz w:val="20"/>
                <w:szCs w:val="20"/>
              </w:rPr>
            </w:pPr>
          </w:p>
        </w:tc>
        <w:tc>
          <w:tcPr>
            <w:tcW w:w="2988" w:type="dxa"/>
            <w:shd w:val="clear" w:color="auto" w:fill="FFFFFF"/>
          </w:tcPr>
          <w:p w:rsidR="00634FA7" w:rsidRPr="00045C75" w:rsidRDefault="00634FA7" w:rsidP="00E7738F">
            <w:pPr>
              <w:autoSpaceDE w:val="0"/>
              <w:autoSpaceDN w:val="0"/>
              <w:adjustRightInd w:val="0"/>
              <w:spacing w:after="0" w:line="320" w:lineRule="atLeast"/>
              <w:ind w:left="60" w:right="60"/>
              <w:rPr>
                <w:rFonts w:ascii="Arial" w:hAnsi="Arial" w:cs="Arial"/>
                <w:i/>
                <w:sz w:val="20"/>
                <w:szCs w:val="20"/>
              </w:rPr>
            </w:pPr>
            <w:r w:rsidRPr="00045C75">
              <w:rPr>
                <w:rFonts w:ascii="Arial" w:hAnsi="Arial" w:cs="Arial"/>
                <w:i/>
                <w:sz w:val="20"/>
                <w:szCs w:val="20"/>
              </w:rPr>
              <w:t>F</w:t>
            </w:r>
          </w:p>
        </w:tc>
        <w:tc>
          <w:tcPr>
            <w:tcW w:w="6210" w:type="dxa"/>
            <w:gridSpan w:val="5"/>
            <w:shd w:val="clear" w:color="auto" w:fill="FFFFFF"/>
            <w:vAlign w:val="center"/>
          </w:tcPr>
          <w:p w:rsidR="00634FA7" w:rsidRPr="00045C75" w:rsidRDefault="00634FA7" w:rsidP="00E7738F">
            <w:pPr>
              <w:autoSpaceDE w:val="0"/>
              <w:autoSpaceDN w:val="0"/>
              <w:adjustRightInd w:val="0"/>
              <w:spacing w:after="0" w:line="320" w:lineRule="atLeast"/>
              <w:ind w:left="60" w:right="60"/>
              <w:jc w:val="center"/>
              <w:rPr>
                <w:rFonts w:ascii="Arial" w:hAnsi="Arial" w:cs="Arial"/>
                <w:sz w:val="20"/>
                <w:szCs w:val="20"/>
              </w:rPr>
            </w:pPr>
            <w:r w:rsidRPr="00045C75">
              <w:rPr>
                <w:rFonts w:ascii="Arial" w:hAnsi="Arial" w:cs="Arial"/>
                <w:sz w:val="20"/>
                <w:szCs w:val="20"/>
              </w:rPr>
              <w:t>(3, 452) = 17.613***</w:t>
            </w:r>
          </w:p>
        </w:tc>
      </w:tr>
      <w:tr w:rsidR="00634FA7" w:rsidRPr="00045C75" w:rsidTr="00E7738F">
        <w:trPr>
          <w:cantSplit/>
          <w:trHeight w:val="300"/>
        </w:trPr>
        <w:tc>
          <w:tcPr>
            <w:tcW w:w="41" w:type="dxa"/>
            <w:tcBorders>
              <w:bottom w:val="single" w:sz="4" w:space="0" w:color="auto"/>
            </w:tcBorders>
            <w:shd w:val="clear" w:color="auto" w:fill="FFFFFF"/>
          </w:tcPr>
          <w:p w:rsidR="00634FA7" w:rsidRPr="00045C75" w:rsidRDefault="00634FA7" w:rsidP="00E7738F">
            <w:pPr>
              <w:autoSpaceDE w:val="0"/>
              <w:autoSpaceDN w:val="0"/>
              <w:adjustRightInd w:val="0"/>
              <w:spacing w:after="0" w:line="240" w:lineRule="auto"/>
              <w:rPr>
                <w:rFonts w:ascii="Arial" w:hAnsi="Arial" w:cs="Arial"/>
                <w:sz w:val="20"/>
                <w:szCs w:val="20"/>
              </w:rPr>
            </w:pPr>
          </w:p>
        </w:tc>
        <w:tc>
          <w:tcPr>
            <w:tcW w:w="2988" w:type="dxa"/>
            <w:tcBorders>
              <w:bottom w:val="single" w:sz="4" w:space="0" w:color="auto"/>
            </w:tcBorders>
            <w:shd w:val="clear" w:color="auto" w:fill="FFFFFF"/>
          </w:tcPr>
          <w:p w:rsidR="00634FA7" w:rsidRPr="00045C75" w:rsidRDefault="00634FA7" w:rsidP="00E7738F">
            <w:pPr>
              <w:autoSpaceDE w:val="0"/>
              <w:autoSpaceDN w:val="0"/>
              <w:adjustRightInd w:val="0"/>
              <w:spacing w:after="0" w:line="320" w:lineRule="atLeast"/>
              <w:ind w:left="60" w:right="60"/>
              <w:rPr>
                <w:rFonts w:ascii="Arial" w:eastAsia="Times New Roman" w:hAnsi="Arial" w:cs="Arial"/>
                <w:i/>
                <w:sz w:val="20"/>
                <w:szCs w:val="20"/>
                <w:vertAlign w:val="superscript"/>
              </w:rPr>
            </w:pPr>
            <w:r w:rsidRPr="00045C75">
              <w:rPr>
                <w:rFonts w:ascii="Arial" w:eastAsia="Times New Roman" w:hAnsi="Arial" w:cs="Arial"/>
                <w:i/>
                <w:sz w:val="20"/>
                <w:szCs w:val="20"/>
              </w:rPr>
              <w:t>R</w:t>
            </w:r>
            <w:r w:rsidRPr="00045C75">
              <w:rPr>
                <w:rFonts w:ascii="Arial" w:eastAsia="Times New Roman" w:hAnsi="Arial" w:cs="Arial"/>
                <w:i/>
                <w:sz w:val="20"/>
                <w:szCs w:val="20"/>
                <w:vertAlign w:val="superscript"/>
              </w:rPr>
              <w:t>2</w:t>
            </w:r>
            <w:r w:rsidRPr="00045C75">
              <w:rPr>
                <w:rFonts w:ascii="Arial" w:eastAsia="Times New Roman" w:hAnsi="Arial" w:cs="Arial"/>
                <w:i/>
                <w:sz w:val="16"/>
                <w:szCs w:val="20"/>
              </w:rPr>
              <w:t>adj.</w:t>
            </w:r>
          </w:p>
        </w:tc>
        <w:tc>
          <w:tcPr>
            <w:tcW w:w="6210" w:type="dxa"/>
            <w:gridSpan w:val="5"/>
            <w:tcBorders>
              <w:bottom w:val="single" w:sz="4" w:space="0" w:color="auto"/>
            </w:tcBorders>
            <w:shd w:val="clear" w:color="auto" w:fill="FFFFFF"/>
            <w:vAlign w:val="center"/>
          </w:tcPr>
          <w:p w:rsidR="00634FA7" w:rsidRPr="00045C75" w:rsidRDefault="00634FA7" w:rsidP="00E7738F">
            <w:pPr>
              <w:autoSpaceDE w:val="0"/>
              <w:autoSpaceDN w:val="0"/>
              <w:adjustRightInd w:val="0"/>
              <w:spacing w:after="0" w:line="320" w:lineRule="atLeast"/>
              <w:ind w:left="60" w:right="60"/>
              <w:jc w:val="center"/>
              <w:rPr>
                <w:rFonts w:ascii="Arial" w:hAnsi="Arial" w:cs="Arial"/>
                <w:sz w:val="20"/>
                <w:szCs w:val="20"/>
              </w:rPr>
            </w:pPr>
            <w:r w:rsidRPr="00045C75">
              <w:rPr>
                <w:rFonts w:ascii="Arial" w:hAnsi="Arial" w:cs="Arial"/>
                <w:sz w:val="20"/>
                <w:szCs w:val="20"/>
              </w:rPr>
              <w:t>.099</w:t>
            </w:r>
          </w:p>
        </w:tc>
      </w:tr>
    </w:tbl>
    <w:p w:rsidR="00634FA7" w:rsidRDefault="00634FA7" w:rsidP="00634FA7">
      <w:pPr>
        <w:spacing w:line="240" w:lineRule="auto"/>
        <w:rPr>
          <w:rFonts w:ascii="Arial" w:hAnsi="Arial" w:cs="Arial"/>
          <w:sz w:val="24"/>
          <w:szCs w:val="24"/>
        </w:rPr>
      </w:pPr>
      <w:r w:rsidRPr="00045C75">
        <w:rPr>
          <w:rFonts w:ascii="Arial" w:hAnsi="Arial" w:cs="Arial"/>
          <w:i/>
          <w:sz w:val="20"/>
          <w:szCs w:val="24"/>
        </w:rPr>
        <w:t>*** p &lt; .001</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 xml:space="preserve">Las pruebas para corroborar el supuesto de colinealidad indicaron que no existe multicolinealidad de las variables predictoras (Colectivismo, Tolerancia = .899, VIF = </w:t>
      </w:r>
      <w:r w:rsidRPr="00045C75">
        <w:rPr>
          <w:rFonts w:ascii="Arial" w:hAnsi="Arial" w:cs="Arial"/>
          <w:sz w:val="24"/>
          <w:szCs w:val="24"/>
        </w:rPr>
        <w:lastRenderedPageBreak/>
        <w:t>1.113; Ambiente familiar negativo, Tolerancia = .983, VIF = 1.017; Normas, Tolerancia = .898, VIF = 1.113). Las pruebas de independencia de los errores muestran que los residuales de las variables predictoras tienen autocorrelación positiva (Durbin-Watson value = 0.002), por lo que no muestran independencia. Sin embargo, se estima que el error de medición se puede deber a una relación teórica entre las variables predictoras con respecto a la variable predicha (Berry &amp; Feldman, 1985), para los adolescentes el colectivismo, el ambiente familiar negativo y las normas culturales comparten una lógica particular en relación con una moral restrictiva, que puede deberse a la consideración de la familia como una autoridad moral que marca los límites sociales y culturales de sus conductas (White &amp; Matawie, 2004).</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Con la finalidad de examinar los resultados en un solo modelo predictivo, se realizó un modelamiento por ecuaciones estructurales (con ayuda del programa AMOS versión 24) que integra las variables predictoras de la moral prescriptiva y la moral restrictiva, además de que este tipo de modelamiento permite agregar la hipótesis de que las variables predictoras y predichas participan en un modelo conjunto que contempla los errores de medición que se restringen en los análisis de regresión (Ruiz, Pardo, &amp; San Martín, 2010). Se propuso un modelo con el Colectivismo, las Normas, el Ambiente familiar negativo y el Ambiente familiar positivo como variables predictoras de la moral prescriptiva y las mismas variables con excepción del Ambiente familiar positivo como predictoras de la moral restrictiva. Se planteó el modelo con hipótesis basadas en los análisis de regresión lineal múltiple aunadas a la hipótesis de que las variables predictoras participan en conjunto dentro de un solo modelo.</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Se consideraron índices basados en reglas sobre el modelamiento por ecuaciones estructurales (Hu &amp; Bentler, 1999; Ruiz et al., 2010). Se utilizaron los criterios de Chi cuadrada sobre grados de libertad (</w:t>
      </w:r>
      <w:r w:rsidRPr="00045C75">
        <w:rPr>
          <w:rFonts w:ascii="Arial" w:hAnsi="Arial" w:cs="Arial"/>
          <w:sz w:val="24"/>
          <w:szCs w:val="24"/>
          <w:lang w:val="el-GR"/>
        </w:rPr>
        <w:t>χ</w:t>
      </w:r>
      <w:r w:rsidRPr="00045C75">
        <w:rPr>
          <w:rFonts w:ascii="Arial" w:hAnsi="Arial" w:cs="Arial"/>
          <w:sz w:val="24"/>
          <w:szCs w:val="24"/>
          <w:vertAlign w:val="superscript"/>
        </w:rPr>
        <w:t>2</w:t>
      </w:r>
      <w:r w:rsidRPr="00045C75">
        <w:rPr>
          <w:rFonts w:ascii="Arial" w:hAnsi="Arial" w:cs="Arial"/>
          <w:sz w:val="24"/>
          <w:szCs w:val="24"/>
        </w:rPr>
        <w:t>/gl) con valores esperados menores a 3, AGFI (Adjusted Goodness of Fit Index) con valores esperados mayores a .95 y mayores a .90 como aceptables, SRMR (Standardized Root of Mean Squared Residual) con valores esperados menores a 0.08 y RMSEA (Root Mean Square Error of Approximation) con valores esperados menores a 0.08 como aceptables. El modelamiento muestra índices de ajuste adecuados con una línea de covariación entre la Moral prescriptiva y la Moral restrictiva (</w:t>
      </w:r>
      <w:r w:rsidRPr="00045C75">
        <w:rPr>
          <w:rFonts w:ascii="Arial" w:hAnsi="Arial" w:cs="Arial"/>
          <w:sz w:val="24"/>
          <w:szCs w:val="24"/>
          <w:lang w:val="el-GR"/>
        </w:rPr>
        <w:t>χ</w:t>
      </w:r>
      <w:r w:rsidRPr="00045C75">
        <w:rPr>
          <w:rFonts w:ascii="Arial" w:hAnsi="Arial" w:cs="Arial"/>
          <w:sz w:val="24"/>
          <w:szCs w:val="24"/>
          <w:vertAlign w:val="superscript"/>
        </w:rPr>
        <w:t>2</w:t>
      </w:r>
      <w:r w:rsidRPr="00045C75">
        <w:rPr>
          <w:rFonts w:ascii="Arial" w:hAnsi="Arial" w:cs="Arial"/>
          <w:sz w:val="24"/>
          <w:szCs w:val="24"/>
        </w:rPr>
        <w:t xml:space="preserve">= 0.496, gl = 1, p = .481, </w:t>
      </w:r>
      <w:r w:rsidRPr="00045C75">
        <w:rPr>
          <w:rFonts w:ascii="Arial" w:hAnsi="Arial" w:cs="Arial"/>
          <w:sz w:val="24"/>
          <w:szCs w:val="24"/>
          <w:lang w:val="el-GR"/>
        </w:rPr>
        <w:t>χ</w:t>
      </w:r>
      <w:r w:rsidRPr="00045C75">
        <w:rPr>
          <w:rFonts w:ascii="Arial" w:hAnsi="Arial" w:cs="Arial"/>
          <w:sz w:val="24"/>
          <w:szCs w:val="24"/>
          <w:vertAlign w:val="superscript"/>
        </w:rPr>
        <w:t>2</w:t>
      </w:r>
      <w:r w:rsidRPr="00045C75">
        <w:rPr>
          <w:rFonts w:ascii="Arial" w:hAnsi="Arial" w:cs="Arial"/>
          <w:sz w:val="24"/>
          <w:szCs w:val="24"/>
        </w:rPr>
        <w:t>/gl = 0.496, AGFI = .992, SRMR = .006, RMSEA &lt; .001).</w:t>
      </w:r>
    </w:p>
    <w:p w:rsidR="00634FA7" w:rsidRPr="00045C75" w:rsidRDefault="00634FA7" w:rsidP="00634FA7">
      <w:pPr>
        <w:spacing w:line="240" w:lineRule="auto"/>
        <w:rPr>
          <w:rFonts w:ascii="Arial" w:hAnsi="Arial" w:cs="Arial"/>
          <w:sz w:val="24"/>
          <w:szCs w:val="24"/>
        </w:rPr>
      </w:pPr>
      <w:r w:rsidRPr="00045C75">
        <w:rPr>
          <w:rFonts w:ascii="Arial" w:hAnsi="Arial" w:cs="Arial"/>
          <w:sz w:val="24"/>
          <w:szCs w:val="24"/>
        </w:rPr>
        <w:tab/>
        <w:t xml:space="preserve">Si bien las covarianzas entre errores no son recomendables debido a que muestran efectos no especificados por el modelo, también se puede asumir que estas covarianzas se deben a la presencia de otra variable que las converge (Ruiz et al., 2010). En el caso de la Moral prescriptiva y Moral restrictiva se asume que su covarianza entre errores se debe a que ambas pertenecen al constructo de dominio moral (Janoff-Bulman, Sheikh, &amp; Hepp, 2009). Por lo tanto, se muestra un modelo de ecuaciones estructurales denominado </w:t>
      </w:r>
      <w:r w:rsidRPr="00045C75">
        <w:rPr>
          <w:rFonts w:ascii="Arial" w:hAnsi="Arial" w:cs="Arial"/>
          <w:i/>
          <w:sz w:val="24"/>
          <w:szCs w:val="24"/>
        </w:rPr>
        <w:t>Modelo sociocultural del dominio moral en adolescentes mexicanos</w:t>
      </w:r>
      <w:r w:rsidRPr="00045C75">
        <w:rPr>
          <w:rFonts w:ascii="Arial" w:hAnsi="Arial" w:cs="Arial"/>
          <w:sz w:val="24"/>
          <w:szCs w:val="24"/>
        </w:rPr>
        <w:t>, que explica el 22 % de la varianza de la Moral prescriptiva y el 10 % de la varianza de la Moral restrictiva (ver Figura 2).</w:t>
      </w:r>
    </w:p>
    <w:p w:rsidR="00634FA7" w:rsidRPr="00045C75" w:rsidRDefault="00634FA7" w:rsidP="00634FA7">
      <w:pPr>
        <w:spacing w:before="240" w:line="360" w:lineRule="auto"/>
        <w:rPr>
          <w:rFonts w:ascii="Arial" w:hAnsi="Arial" w:cs="Arial"/>
          <w:sz w:val="24"/>
          <w:szCs w:val="24"/>
        </w:rPr>
      </w:pPr>
      <w:r w:rsidRPr="00045C75">
        <w:rPr>
          <w:noProof/>
          <w:lang w:val="es-ES" w:eastAsia="es-ES"/>
        </w:rPr>
        <w:lastRenderedPageBreak/>
        <w:drawing>
          <wp:inline distT="0" distB="0" distL="0" distR="0" wp14:anchorId="66AB3C52" wp14:editId="5235F805">
            <wp:extent cx="5330283" cy="2749898"/>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6541" b="21934"/>
                    <a:stretch/>
                  </pic:blipFill>
                  <pic:spPr bwMode="auto">
                    <a:xfrm>
                      <a:off x="0" y="0"/>
                      <a:ext cx="5526419" cy="2851085"/>
                    </a:xfrm>
                    <a:prstGeom prst="rect">
                      <a:avLst/>
                    </a:prstGeom>
                    <a:ln>
                      <a:noFill/>
                    </a:ln>
                    <a:extLst>
                      <a:ext uri="{53640926-AAD7-44D8-BBD7-CCE9431645EC}">
                        <a14:shadowObscured xmlns:a14="http://schemas.microsoft.com/office/drawing/2010/main"/>
                      </a:ext>
                    </a:extLst>
                  </pic:spPr>
                </pic:pic>
              </a:graphicData>
            </a:graphic>
          </wp:inline>
        </w:drawing>
      </w:r>
    </w:p>
    <w:p w:rsidR="00634FA7" w:rsidRPr="00045C75" w:rsidRDefault="00634FA7" w:rsidP="00634FA7">
      <w:pPr>
        <w:spacing w:line="360" w:lineRule="auto"/>
        <w:rPr>
          <w:rFonts w:ascii="Arial" w:hAnsi="Arial" w:cs="Arial"/>
          <w:i/>
          <w:sz w:val="20"/>
          <w:szCs w:val="24"/>
        </w:rPr>
      </w:pPr>
      <w:r w:rsidRPr="00045C75">
        <w:rPr>
          <w:rFonts w:ascii="Arial" w:hAnsi="Arial" w:cs="Arial"/>
          <w:i/>
          <w:sz w:val="20"/>
          <w:szCs w:val="24"/>
        </w:rPr>
        <w:t xml:space="preserve">Figura 2. </w:t>
      </w:r>
      <w:r w:rsidRPr="00045C75">
        <w:rPr>
          <w:rFonts w:ascii="Arial" w:hAnsi="Arial" w:cs="Arial"/>
          <w:sz w:val="20"/>
          <w:szCs w:val="24"/>
        </w:rPr>
        <w:t>Modelo sociocultural del dominio moral en adolescentes mexicanos.</w:t>
      </w:r>
    </w:p>
    <w:p w:rsidR="00634FA7" w:rsidRPr="00045C75" w:rsidRDefault="00634FA7" w:rsidP="00634FA7">
      <w:pPr>
        <w:spacing w:before="240" w:line="240" w:lineRule="auto"/>
        <w:rPr>
          <w:rFonts w:ascii="Arial" w:hAnsi="Arial" w:cs="Arial"/>
          <w:b/>
          <w:sz w:val="24"/>
          <w:szCs w:val="24"/>
        </w:rPr>
      </w:pPr>
      <w:r w:rsidRPr="00045C75">
        <w:rPr>
          <w:rFonts w:ascii="Arial" w:hAnsi="Arial" w:cs="Arial"/>
          <w:b/>
          <w:sz w:val="24"/>
          <w:szCs w:val="24"/>
        </w:rPr>
        <w:t>Discusión y conclusiones</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Se elaboró un modelo que permite reconocer que diferentes componentes de las premisas histórico-socioculturales, el individualismo-colectivismo y el funcionamiento familiar predicen el dominio moral en adolescentes mexicanos. Los resultados demuestran que las normas tradicionales de la cultura mexicana, así como su carácter colectivista y la manera en que se comporta la familia tiene efectos en cómo los adolescentes conciben sus principios sobre el bien y el mal.</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Los resultados demuestran lo que plantea Díaz-Loving (2011), en términos de que las premisas histórico-socioculturales marcan la orientación moral de las conductas. Particularmente las premisas como normas representan un referente que participa en la delimitación prescriptiva del dominio moral, aunque minimiza la delimitación restrictiva. De acuerdo con el modelo, las normas tradicionales de la cultura mexicana como predictoras positivas de la moral prescriptiva, promueven el amor, el respeto, la lealtad a la familia y la equidad, pero como predictoras negativas de la moral restrictiva minimizan la importancia de restringir la ofensa y el perjuicio. Esto se relaciona con los planteamientos de Díaz-Guerrero (1994, 2003), en términos de que el mexicano prioriza al amor y lealtad que se le tiene a la familia por encima incluso de la integridad individual. En este caso se sugiere que los adolescentes mexicanos que más apoyen las normas tradicionales probablemente serán más propensos a ofender o perjudicar a personas ajenas a sus familias, ya sea por obediencia o por amor a sus seres queridos. Esto también se relaciona con los planteamientos de Bandura (1999) con respecto a la desconexión moral, que involucra la justificación moral de conductas ofensivas o perjudiciales. En este sentido, se sugiere que para la educación moral en adolescentes, es fundamental promover el amor, la lealtad y la obediencia a la familia, pero también el cuestionamiento cuando tales preceptos conlleven a dañar a terceros. Se observa que la familia como eje de referencia para el comportamiento del mexicano se mantiene en adolescentes encuestados para esta investigación.</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lastRenderedPageBreak/>
        <w:tab/>
        <w:t xml:space="preserve">Los estudios de Díaz-Guerrero (1994) de la cultura mexicana como predominantemente colectivista marcan una aproximación precisa sobre la manera de comportarse de los mexicanos en lo sociocultural y los resultados de esta investigación demuestran que también aportan evidencia sobre lo moral, ya que el colectivismo es un predictor positivo de la moralidad de los adolescentes, tanto en su componente prescriptivo como restrictivo. Es decir, si se promueve en los adolescentes la consideración por los demás y la regulación del comportamiento en función de las expectativas sociales, probablemente aprenderán también la importancia tanto de orientarse hacia conductas de amor, respeto, lealtad y equidad, como restringir conductas de ofensa o perjuicio. </w:t>
      </w:r>
    </w:p>
    <w:p w:rsidR="00634FA7" w:rsidRPr="00045C75" w:rsidRDefault="00634FA7" w:rsidP="00634FA7">
      <w:pPr>
        <w:spacing w:after="0" w:line="240" w:lineRule="auto"/>
        <w:ind w:firstLine="708"/>
        <w:rPr>
          <w:rFonts w:ascii="Arial" w:hAnsi="Arial" w:cs="Arial"/>
          <w:sz w:val="24"/>
          <w:szCs w:val="24"/>
        </w:rPr>
      </w:pPr>
      <w:r w:rsidRPr="00045C75">
        <w:rPr>
          <w:rFonts w:ascii="Arial" w:hAnsi="Arial" w:cs="Arial"/>
          <w:sz w:val="24"/>
          <w:szCs w:val="24"/>
        </w:rPr>
        <w:t>A diferencia de los resultados en el estudio de Yilmaz et al. (2016), donde se pudo observar una distribución de individualismo y colectivismo con respecto a su relación con principios morales, en adolescentes de la cultura mexicana predomina el colectivismo como promotor del dominio moral. Al observar a la familia como el medio de la orientación cultural colectivista en los mexicanos, se observó que el funcionamiento familiar también tiene un papel relevante en la distinción de lo bueno y lo malo para los adolescentes.</w:t>
      </w:r>
    </w:p>
    <w:p w:rsidR="00634FA7" w:rsidRPr="00045C75" w:rsidRDefault="00634FA7" w:rsidP="00634FA7">
      <w:pPr>
        <w:spacing w:after="0" w:line="240" w:lineRule="auto"/>
        <w:rPr>
          <w:rFonts w:ascii="Arial" w:hAnsi="Arial" w:cs="Arial"/>
          <w:strike/>
          <w:sz w:val="24"/>
          <w:szCs w:val="24"/>
        </w:rPr>
      </w:pPr>
      <w:r w:rsidRPr="00045C75">
        <w:rPr>
          <w:rFonts w:ascii="Arial" w:hAnsi="Arial" w:cs="Arial"/>
          <w:sz w:val="24"/>
          <w:szCs w:val="24"/>
        </w:rPr>
        <w:tab/>
        <w:t>Hallazgos empíricos similares a lo reportado en esta investigación, son los referidos por White y Matawie (2004) quienes indican que el ambiente familiar positivo tiene efectos positivos en el dominio moral de adolescentes, por lo que se espera que si perciben cohesión, comunicación y relaciones interpersonales armoniosas en su entorno familiar, probablemente también tendrán principios morales claros. Por otro lado, se encontraron efectos negativos de un ambiente familiar negativo en el dominio moral de los adolescentes encuestados, es decir, si perciben problemas interpersonales y ausencia de reglas en su entorno familiar, probablemente tendrán menos claridad sobre la importancia de principios morales en cuanto a realizar conductas de amor, respeto, lealtad y equidad, así como el restringir conductas de ofensa o perjuicio. Como se puede observar, el funcionamiento familiar, aunado a las normas y valores sociales de la cultura mexicana colectivista participan en el dominio moral de los adolescentes. Aunque cabe mencionar que los efectos no son altos y deben complementarse con otros factores para explicar en mayor porcentaje la variabilidad de los principios morales presentes en adolescentes mexicanos.</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ab/>
        <w:t>Al plantear el objetivo de elaborar un modelo con elementos sociales y culturales, se omitieron otros factores que también pueden participar en la predicción del dominio moral en adolescentes, como pueden ser variables individuales propias de un desarrollo moral, como el razonamiento y la comprensión de situaciones en las que otras personas se encuentran involucradas, así como la edad y la escolaridad (Barba, 2001, 2002). Una de las bondades de un modelo sociocultural es que permite reconocer la variación de los principios morales de acuerdo con las costumbres y el entendimiento conceptual de las personas (Haste, 2013), también permite identificar la participación de aspectos particulares de una cultura en la conformación y en las diferencias con respecto a su dominio moral (Berniūnas et al., 2016). Se sugiere tomar en consideración aspectos internos a nivel individual de los adolescentes para complementar la predicción de su dominio moral, sin olvidar la variabilidad cultural que aporta claridad sobre los principios que regulan el comportamiento de los adolescentes en función de elementos que sólo se pueden explicar por la cultura y entorno particular en el que se desarrollan.</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lastRenderedPageBreak/>
        <w:tab/>
        <w:t>Otras aportaciones que brinda una perspectiva sociocultural del dominio moral se encuentran en reconocer principios morales que si bien pueden ser compatibles con otras culturas, tienen conceptos con significados que sólo son aplicables y relevantes para una sociedad, lo que se puede traducir en instrumentos de evaluación del desarrollo moral que sean sensibles a estos significados y por ende sean culturalmente relevantes. Esto puede dar claridad de las diferencias por las que en instrumentos que parten de la teoría de Kohlberg (1987) los mexicanos tienen puntajes más bajos que los norteamericanos, y puede sugerir que se evalúe el desarrollo moral considerando principios que se relacionen con las normas y valores sociales de la cultura mexicana como colectivista.</w:t>
      </w:r>
    </w:p>
    <w:p w:rsidR="00634FA7" w:rsidRPr="00045C75" w:rsidRDefault="00634FA7" w:rsidP="00634FA7">
      <w:pPr>
        <w:spacing w:line="240" w:lineRule="auto"/>
        <w:rPr>
          <w:rFonts w:ascii="Arial" w:hAnsi="Arial" w:cs="Arial"/>
          <w:sz w:val="24"/>
          <w:szCs w:val="24"/>
        </w:rPr>
      </w:pPr>
      <w:r w:rsidRPr="00045C75">
        <w:rPr>
          <w:rFonts w:ascii="Arial" w:hAnsi="Arial" w:cs="Arial"/>
          <w:sz w:val="24"/>
          <w:szCs w:val="24"/>
        </w:rPr>
        <w:tab/>
        <w:t>De acuerdo con los resultados de esta investigación, se sugiere que un modelo sociocultural del dominio moral en adolescentes aporta evidencia importante que si se complementa con elementos de un desarrollo individual en los adolescentes, permitirá desarrollar una educación moral comprensible con los pensamientos y sentimientos (Buxarrais-Estrada &amp; Martínez-Martín, 2009) propios de los adolescentes, de modo que se promueva un criterio moral consistente y un desarrollo saludable (Martin, 2006) para la etapa del desarrollo en la que se encuentran.</w:t>
      </w:r>
    </w:p>
    <w:p w:rsidR="00634FA7" w:rsidRPr="00045C75" w:rsidRDefault="00634FA7" w:rsidP="00634FA7">
      <w:pPr>
        <w:spacing w:line="240" w:lineRule="auto"/>
        <w:jc w:val="both"/>
        <w:rPr>
          <w:rFonts w:ascii="Arial" w:hAnsi="Arial" w:cs="Arial"/>
          <w:sz w:val="24"/>
          <w:szCs w:val="24"/>
        </w:rPr>
      </w:pPr>
    </w:p>
    <w:p w:rsidR="00634FA7" w:rsidRPr="00045C75" w:rsidRDefault="00634FA7" w:rsidP="00634FA7">
      <w:pPr>
        <w:spacing w:line="240" w:lineRule="auto"/>
        <w:jc w:val="center"/>
        <w:rPr>
          <w:rFonts w:ascii="Arial" w:hAnsi="Arial" w:cs="Arial"/>
          <w:b/>
          <w:sz w:val="24"/>
          <w:szCs w:val="24"/>
        </w:rPr>
      </w:pPr>
      <w:r w:rsidRPr="00045C75">
        <w:rPr>
          <w:rFonts w:ascii="Arial" w:hAnsi="Arial" w:cs="Arial"/>
          <w:b/>
          <w:sz w:val="24"/>
          <w:szCs w:val="24"/>
        </w:rPr>
        <w:t>Agradecimientos</w:t>
      </w:r>
    </w:p>
    <w:p w:rsidR="00634FA7" w:rsidRPr="00045C75" w:rsidRDefault="00634FA7" w:rsidP="00634FA7">
      <w:pPr>
        <w:spacing w:line="240" w:lineRule="auto"/>
        <w:jc w:val="both"/>
        <w:rPr>
          <w:rFonts w:ascii="Arial" w:hAnsi="Arial" w:cs="Arial"/>
          <w:sz w:val="24"/>
          <w:szCs w:val="24"/>
        </w:rPr>
      </w:pPr>
      <w:r w:rsidRPr="00045C75">
        <w:rPr>
          <w:rFonts w:ascii="Arial" w:hAnsi="Arial" w:cs="Arial"/>
          <w:sz w:val="24"/>
          <w:szCs w:val="24"/>
        </w:rPr>
        <w:t xml:space="preserve">Se agradece al Consejo Nacional de Ciencia y Tecnología (CONACYT) </w:t>
      </w:r>
      <w:r w:rsidR="00C97E7A">
        <w:rPr>
          <w:rFonts w:ascii="Arial" w:hAnsi="Arial" w:cs="Arial"/>
          <w:sz w:val="24"/>
          <w:szCs w:val="24"/>
        </w:rPr>
        <w:t xml:space="preserve">de México </w:t>
      </w:r>
      <w:r w:rsidRPr="00045C75">
        <w:rPr>
          <w:rFonts w:ascii="Arial" w:hAnsi="Arial" w:cs="Arial"/>
          <w:sz w:val="24"/>
          <w:szCs w:val="24"/>
        </w:rPr>
        <w:t>por la beca otorgada al primer autor con la que se financió la presente investigación.</w:t>
      </w:r>
    </w:p>
    <w:p w:rsidR="00634FA7" w:rsidRPr="00045C75" w:rsidRDefault="00634FA7" w:rsidP="00634FA7">
      <w:pPr>
        <w:spacing w:line="240" w:lineRule="auto"/>
        <w:jc w:val="both"/>
        <w:rPr>
          <w:rFonts w:ascii="Arial" w:hAnsi="Arial" w:cs="Arial"/>
          <w:sz w:val="24"/>
          <w:szCs w:val="24"/>
        </w:rPr>
      </w:pPr>
    </w:p>
    <w:p w:rsidR="00634FA7" w:rsidRPr="00045C75" w:rsidRDefault="00634FA7" w:rsidP="00634FA7">
      <w:pPr>
        <w:spacing w:line="240" w:lineRule="auto"/>
        <w:jc w:val="center"/>
        <w:rPr>
          <w:rFonts w:ascii="Arial" w:hAnsi="Arial" w:cs="Arial"/>
          <w:b/>
          <w:sz w:val="24"/>
          <w:szCs w:val="24"/>
          <w:lang w:val="en-US"/>
        </w:rPr>
      </w:pPr>
      <w:r w:rsidRPr="00045C75">
        <w:rPr>
          <w:rFonts w:ascii="Arial" w:hAnsi="Arial" w:cs="Arial"/>
          <w:b/>
          <w:sz w:val="24"/>
          <w:szCs w:val="24"/>
          <w:lang w:val="en-US"/>
        </w:rPr>
        <w:t>Referencias</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lang w:val="en-US"/>
        </w:rPr>
        <w:t xml:space="preserve">Bandura, A. (1999). Moral disengagement in the perpetration of inhumanities. </w:t>
      </w:r>
      <w:r w:rsidRPr="00045C75">
        <w:rPr>
          <w:rFonts w:ascii="Arial" w:hAnsi="Arial" w:cs="Arial"/>
          <w:sz w:val="24"/>
          <w:szCs w:val="24"/>
          <w:lang w:val="en-US"/>
        </w:rPr>
        <w:tab/>
      </w:r>
      <w:r w:rsidRPr="00045C75">
        <w:rPr>
          <w:rFonts w:ascii="Arial" w:hAnsi="Arial" w:cs="Arial"/>
          <w:i/>
          <w:sz w:val="24"/>
          <w:szCs w:val="24"/>
        </w:rPr>
        <w:t>Personality and social psychology review, 3</w:t>
      </w:r>
      <w:r w:rsidRPr="00045C75">
        <w:rPr>
          <w:rFonts w:ascii="Arial" w:hAnsi="Arial" w:cs="Arial"/>
          <w:sz w:val="24"/>
          <w:szCs w:val="24"/>
        </w:rPr>
        <w:t xml:space="preserve">(3), 193-209. doi: </w:t>
      </w:r>
      <w:r w:rsidRPr="00045C75">
        <w:rPr>
          <w:rFonts w:ascii="Arial" w:hAnsi="Arial" w:cs="Arial"/>
          <w:sz w:val="24"/>
          <w:szCs w:val="24"/>
        </w:rPr>
        <w:tab/>
        <w:t>10.1207/s15327957pspr0303_3.</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rPr>
        <w:t xml:space="preserve">Barba, B. (2001). Razonamiento moral de principios en estudiantes de secundaria y </w:t>
      </w:r>
      <w:r w:rsidRPr="00045C75">
        <w:rPr>
          <w:rFonts w:ascii="Arial" w:hAnsi="Arial" w:cs="Arial"/>
          <w:sz w:val="24"/>
          <w:szCs w:val="24"/>
        </w:rPr>
        <w:tab/>
        <w:t xml:space="preserve">de bachillerato. </w:t>
      </w:r>
      <w:r w:rsidRPr="00045C75">
        <w:rPr>
          <w:rFonts w:ascii="Arial" w:hAnsi="Arial" w:cs="Arial"/>
          <w:i/>
          <w:sz w:val="24"/>
          <w:szCs w:val="24"/>
        </w:rPr>
        <w:t>Revista Mexicana de investigación educativa</w:t>
      </w:r>
      <w:r w:rsidRPr="00045C75">
        <w:rPr>
          <w:rFonts w:ascii="Arial" w:hAnsi="Arial" w:cs="Arial"/>
          <w:sz w:val="24"/>
          <w:szCs w:val="24"/>
        </w:rPr>
        <w:t xml:space="preserve">, </w:t>
      </w:r>
      <w:r w:rsidRPr="00045C75">
        <w:rPr>
          <w:rFonts w:ascii="Arial" w:hAnsi="Arial" w:cs="Arial"/>
          <w:i/>
          <w:sz w:val="24"/>
          <w:szCs w:val="24"/>
        </w:rPr>
        <w:t>6</w:t>
      </w:r>
      <w:r w:rsidRPr="00045C75">
        <w:rPr>
          <w:rFonts w:ascii="Arial" w:hAnsi="Arial" w:cs="Arial"/>
          <w:sz w:val="24"/>
          <w:szCs w:val="24"/>
        </w:rPr>
        <w:t>(13), 1-15.</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rPr>
        <w:t xml:space="preserve">Barba, B. (2002). Influencia de la edad y de la escolaridad en el desarrollo del juicio moral. </w:t>
      </w:r>
      <w:r w:rsidRPr="00045C75">
        <w:rPr>
          <w:rFonts w:ascii="Arial" w:hAnsi="Arial" w:cs="Arial"/>
          <w:sz w:val="24"/>
          <w:szCs w:val="24"/>
        </w:rPr>
        <w:tab/>
      </w:r>
      <w:r w:rsidRPr="00045C75">
        <w:rPr>
          <w:rFonts w:ascii="Arial" w:hAnsi="Arial" w:cs="Arial"/>
          <w:i/>
          <w:sz w:val="24"/>
          <w:szCs w:val="24"/>
        </w:rPr>
        <w:t>Revista electrónica de investigación educativa, 4</w:t>
      </w:r>
      <w:r w:rsidRPr="00045C75">
        <w:rPr>
          <w:rFonts w:ascii="Arial" w:hAnsi="Arial" w:cs="Arial"/>
          <w:sz w:val="24"/>
          <w:szCs w:val="24"/>
        </w:rPr>
        <w:t>(2), 23-45.</w:t>
      </w:r>
    </w:p>
    <w:p w:rsidR="00634FA7" w:rsidRPr="00045C75" w:rsidRDefault="00634FA7" w:rsidP="00634FA7">
      <w:pPr>
        <w:spacing w:after="0" w:line="240" w:lineRule="auto"/>
        <w:jc w:val="both"/>
        <w:rPr>
          <w:rFonts w:ascii="Arial" w:hAnsi="Arial" w:cs="Arial"/>
          <w:sz w:val="24"/>
          <w:szCs w:val="24"/>
          <w:u w:val="single"/>
          <w:lang w:val="en-US"/>
        </w:rPr>
      </w:pPr>
      <w:r w:rsidRPr="00045C75">
        <w:rPr>
          <w:rFonts w:ascii="Arial" w:hAnsi="Arial" w:cs="Arial"/>
          <w:sz w:val="24"/>
          <w:szCs w:val="24"/>
        </w:rPr>
        <w:t xml:space="preserve">Barrios, A., Barbato, S., &amp; Branco, A. (2012). El análisis microgenético para el estudio </w:t>
      </w:r>
      <w:r w:rsidRPr="00045C75">
        <w:rPr>
          <w:rFonts w:ascii="Arial" w:hAnsi="Arial" w:cs="Arial"/>
          <w:sz w:val="24"/>
          <w:szCs w:val="24"/>
        </w:rPr>
        <w:tab/>
        <w:t xml:space="preserve">del desarrollo moral: consideraciones teóricas y metodológicas. </w:t>
      </w:r>
      <w:r w:rsidRPr="00045C75">
        <w:rPr>
          <w:rFonts w:ascii="Arial" w:hAnsi="Arial" w:cs="Arial"/>
          <w:i/>
          <w:sz w:val="24"/>
          <w:szCs w:val="24"/>
          <w:lang w:val="en-US"/>
        </w:rPr>
        <w:t xml:space="preserve">Revista de </w:t>
      </w:r>
      <w:r w:rsidRPr="00045C75">
        <w:rPr>
          <w:rFonts w:ascii="Arial" w:hAnsi="Arial" w:cs="Arial"/>
          <w:i/>
          <w:sz w:val="24"/>
          <w:szCs w:val="24"/>
          <w:lang w:val="en-US"/>
        </w:rPr>
        <w:tab/>
        <w:t>Psicología, 30</w:t>
      </w:r>
      <w:r w:rsidRPr="00045C75">
        <w:rPr>
          <w:rFonts w:ascii="Arial" w:hAnsi="Arial" w:cs="Arial"/>
          <w:sz w:val="24"/>
          <w:szCs w:val="24"/>
          <w:lang w:val="en-US"/>
        </w:rPr>
        <w:t>(2), 249-279.</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Berniūnas, R., Dranseika, V., &amp; Sousa, P. (2016). Are there different moral </w:t>
      </w:r>
      <w:r w:rsidRPr="00045C75">
        <w:rPr>
          <w:rFonts w:ascii="Arial" w:hAnsi="Arial" w:cs="Arial"/>
          <w:sz w:val="24"/>
          <w:szCs w:val="24"/>
          <w:lang w:val="en-US"/>
        </w:rPr>
        <w:tab/>
        <w:t xml:space="preserve">domains? Evidence from Mongolia. </w:t>
      </w:r>
      <w:r w:rsidRPr="00045C75">
        <w:rPr>
          <w:rFonts w:ascii="Arial" w:hAnsi="Arial" w:cs="Arial"/>
          <w:i/>
          <w:sz w:val="24"/>
          <w:szCs w:val="24"/>
          <w:lang w:val="en-US"/>
        </w:rPr>
        <w:t>Asian Journal of Social Psychology, 19</w:t>
      </w:r>
      <w:r w:rsidRPr="00045C75">
        <w:rPr>
          <w:rFonts w:ascii="Arial" w:hAnsi="Arial" w:cs="Arial"/>
          <w:sz w:val="24"/>
          <w:szCs w:val="24"/>
          <w:lang w:val="en-US"/>
        </w:rPr>
        <w:t xml:space="preserve">(3), </w:t>
      </w:r>
      <w:r w:rsidRPr="00045C75">
        <w:rPr>
          <w:rFonts w:ascii="Arial" w:hAnsi="Arial" w:cs="Arial"/>
          <w:sz w:val="24"/>
          <w:szCs w:val="24"/>
          <w:lang w:val="en-US"/>
        </w:rPr>
        <w:tab/>
        <w:t>275-282. doi: 10.1111/ajsp.12133.</w:t>
      </w:r>
    </w:p>
    <w:p w:rsidR="00634FA7" w:rsidRPr="00045C75" w:rsidRDefault="00634FA7" w:rsidP="00634FA7">
      <w:pPr>
        <w:spacing w:after="0" w:line="240" w:lineRule="auto"/>
        <w:rPr>
          <w:rFonts w:ascii="Arial" w:hAnsi="Arial" w:cs="Arial"/>
          <w:sz w:val="24"/>
          <w:szCs w:val="24"/>
          <w:lang w:val="en-US"/>
        </w:rPr>
      </w:pPr>
      <w:r w:rsidRPr="00045C75">
        <w:rPr>
          <w:rFonts w:ascii="Arial" w:hAnsi="Arial" w:cs="Arial"/>
          <w:sz w:val="24"/>
          <w:szCs w:val="24"/>
          <w:lang w:val="en-US"/>
        </w:rPr>
        <w:t xml:space="preserve">Berry, W. D. &amp; Feldman, S. (1985). </w:t>
      </w:r>
      <w:r w:rsidRPr="00045C75">
        <w:rPr>
          <w:rFonts w:ascii="Arial" w:hAnsi="Arial" w:cs="Arial"/>
          <w:i/>
          <w:sz w:val="24"/>
          <w:szCs w:val="24"/>
          <w:lang w:val="en-US"/>
        </w:rPr>
        <w:t>Multiple regression in practice.</w:t>
      </w:r>
      <w:r w:rsidRPr="00045C75">
        <w:rPr>
          <w:rFonts w:ascii="Arial" w:hAnsi="Arial" w:cs="Arial"/>
          <w:sz w:val="24"/>
          <w:szCs w:val="24"/>
          <w:lang w:val="en-US"/>
        </w:rPr>
        <w:t xml:space="preserve"> USA: Sage </w:t>
      </w:r>
      <w:r w:rsidRPr="00045C75">
        <w:rPr>
          <w:rFonts w:ascii="Arial" w:hAnsi="Arial" w:cs="Arial"/>
          <w:sz w:val="24"/>
          <w:szCs w:val="24"/>
          <w:lang w:val="en-US"/>
        </w:rPr>
        <w:tab/>
        <w:t>Publications.</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 xml:space="preserve">Buxarrais-Estrada, M. R. &amp; Martínez-Martín, M. (2009). Educación en valores y </w:t>
      </w:r>
      <w:r w:rsidRPr="00045C75">
        <w:rPr>
          <w:rFonts w:ascii="Arial" w:hAnsi="Arial" w:cs="Arial"/>
          <w:sz w:val="24"/>
          <w:szCs w:val="24"/>
        </w:rPr>
        <w:tab/>
        <w:t xml:space="preserve">educación emocional: propuestas para la acción pedagógica. </w:t>
      </w:r>
      <w:r w:rsidRPr="00045C75">
        <w:rPr>
          <w:rFonts w:ascii="Arial" w:hAnsi="Arial" w:cs="Arial"/>
          <w:i/>
          <w:sz w:val="24"/>
          <w:szCs w:val="24"/>
        </w:rPr>
        <w:t xml:space="preserve">Teoría de la </w:t>
      </w:r>
      <w:r w:rsidRPr="00045C75">
        <w:rPr>
          <w:rFonts w:ascii="Arial" w:hAnsi="Arial" w:cs="Arial"/>
          <w:i/>
          <w:sz w:val="24"/>
          <w:szCs w:val="24"/>
        </w:rPr>
        <w:tab/>
        <w:t>Educación. Educación y Cultura en la Sociedad de la Información, 10</w:t>
      </w:r>
      <w:r w:rsidRPr="00045C75">
        <w:rPr>
          <w:rFonts w:ascii="Arial" w:hAnsi="Arial" w:cs="Arial"/>
          <w:sz w:val="24"/>
          <w:szCs w:val="24"/>
        </w:rPr>
        <w:t>(2), 263-</w:t>
      </w:r>
      <w:r w:rsidRPr="00045C75">
        <w:rPr>
          <w:rFonts w:ascii="Arial" w:hAnsi="Arial" w:cs="Arial"/>
          <w:sz w:val="24"/>
          <w:szCs w:val="24"/>
        </w:rPr>
        <w:tab/>
        <w:t>275.</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lang w:val="en-US"/>
        </w:rPr>
        <w:lastRenderedPageBreak/>
        <w:t xml:space="preserve">Cohen, J., Cohen, P., West, S. G., &amp; Aiken, L. S. (2013).  </w:t>
      </w:r>
      <w:r w:rsidRPr="00045C75">
        <w:rPr>
          <w:rFonts w:ascii="Arial" w:hAnsi="Arial" w:cs="Arial"/>
          <w:i/>
          <w:sz w:val="24"/>
          <w:szCs w:val="24"/>
          <w:lang w:val="en-US"/>
        </w:rPr>
        <w:t xml:space="preserve">Applied multiple </w:t>
      </w:r>
      <w:r w:rsidRPr="00045C75">
        <w:rPr>
          <w:rFonts w:ascii="Arial" w:hAnsi="Arial" w:cs="Arial"/>
          <w:i/>
          <w:sz w:val="24"/>
          <w:szCs w:val="24"/>
          <w:lang w:val="en-US"/>
        </w:rPr>
        <w:tab/>
        <w:t>regression/correlation analysis for the behavioral sciences.</w:t>
      </w:r>
      <w:r w:rsidRPr="00045C75">
        <w:rPr>
          <w:rFonts w:ascii="Arial" w:hAnsi="Arial" w:cs="Arial"/>
          <w:sz w:val="24"/>
          <w:szCs w:val="24"/>
          <w:lang w:val="en-US"/>
        </w:rPr>
        <w:t xml:space="preserve"> </w:t>
      </w:r>
      <w:r w:rsidRPr="00045C75">
        <w:rPr>
          <w:rFonts w:ascii="Arial" w:hAnsi="Arial" w:cs="Arial"/>
          <w:sz w:val="24"/>
          <w:szCs w:val="24"/>
        </w:rPr>
        <w:t xml:space="preserve">Mahwah, N. J.:  </w:t>
      </w:r>
      <w:r w:rsidRPr="00045C75">
        <w:rPr>
          <w:rFonts w:ascii="Arial" w:hAnsi="Arial" w:cs="Arial"/>
          <w:sz w:val="24"/>
          <w:szCs w:val="24"/>
        </w:rPr>
        <w:tab/>
        <w:t>Erlbaum.</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rPr>
        <w:t xml:space="preserve">Díaz-Guerrero, R. (1972). Una escala factorial de premisas histórico-socioculturales </w:t>
      </w:r>
      <w:r w:rsidRPr="00045C75">
        <w:rPr>
          <w:rFonts w:ascii="Arial" w:hAnsi="Arial" w:cs="Arial"/>
          <w:sz w:val="24"/>
          <w:szCs w:val="24"/>
        </w:rPr>
        <w:tab/>
        <w:t xml:space="preserve">de la familia mexicana. </w:t>
      </w:r>
      <w:r w:rsidRPr="00045C75">
        <w:rPr>
          <w:rFonts w:ascii="Arial" w:hAnsi="Arial" w:cs="Arial"/>
          <w:i/>
          <w:sz w:val="24"/>
          <w:szCs w:val="24"/>
        </w:rPr>
        <w:t>Interamerican Journal of Psychology</w:t>
      </w:r>
      <w:r w:rsidRPr="00045C75">
        <w:rPr>
          <w:rFonts w:ascii="Arial" w:hAnsi="Arial" w:cs="Arial"/>
          <w:sz w:val="24"/>
          <w:szCs w:val="24"/>
        </w:rPr>
        <w:t>, (6), 235-244.</w:t>
      </w:r>
    </w:p>
    <w:p w:rsidR="00634FA7" w:rsidRPr="00045C75" w:rsidRDefault="00634FA7" w:rsidP="00634FA7">
      <w:pPr>
        <w:spacing w:after="0" w:line="240" w:lineRule="auto"/>
        <w:jc w:val="both"/>
      </w:pPr>
      <w:r w:rsidRPr="00045C75">
        <w:rPr>
          <w:rFonts w:ascii="Arial" w:hAnsi="Arial" w:cs="Arial"/>
          <w:sz w:val="24"/>
          <w:szCs w:val="24"/>
        </w:rPr>
        <w:t xml:space="preserve">Díaz-Guerrero, R. (1994). </w:t>
      </w:r>
      <w:r w:rsidRPr="00045C75">
        <w:rPr>
          <w:rFonts w:ascii="Arial" w:hAnsi="Arial" w:cs="Arial"/>
          <w:i/>
          <w:sz w:val="24"/>
          <w:szCs w:val="24"/>
        </w:rPr>
        <w:t>Psicología del mexicano</w:t>
      </w:r>
      <w:r w:rsidRPr="00045C75">
        <w:rPr>
          <w:rFonts w:ascii="Arial" w:hAnsi="Arial" w:cs="Arial"/>
          <w:sz w:val="24"/>
          <w:szCs w:val="24"/>
        </w:rPr>
        <w:t xml:space="preserve">. México: Editorial Trillas. </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rPr>
        <w:t xml:space="preserve">Díaz-Guerrero, R. (2003). </w:t>
      </w:r>
      <w:r w:rsidRPr="00045C75">
        <w:rPr>
          <w:rFonts w:ascii="Arial" w:hAnsi="Arial" w:cs="Arial"/>
          <w:i/>
          <w:sz w:val="24"/>
          <w:szCs w:val="24"/>
        </w:rPr>
        <w:t>Bajo las garras de la cultura: psicología del mexicano 2</w:t>
      </w:r>
      <w:r w:rsidRPr="00045C75">
        <w:rPr>
          <w:rFonts w:ascii="Arial" w:hAnsi="Arial" w:cs="Arial"/>
          <w:sz w:val="24"/>
          <w:szCs w:val="24"/>
        </w:rPr>
        <w:t xml:space="preserve">. </w:t>
      </w:r>
      <w:r w:rsidRPr="00045C75">
        <w:rPr>
          <w:rFonts w:ascii="Arial" w:hAnsi="Arial" w:cs="Arial"/>
          <w:sz w:val="24"/>
          <w:szCs w:val="24"/>
        </w:rPr>
        <w:tab/>
        <w:t>México: Editorial Trillas.</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rPr>
        <w:t xml:space="preserve">Díaz-Loving, R. (2011). Dinámica de las premisas histórico-socio-culturales: </w:t>
      </w:r>
      <w:r w:rsidRPr="00045C75">
        <w:rPr>
          <w:rFonts w:ascii="Arial" w:hAnsi="Arial" w:cs="Arial"/>
          <w:sz w:val="24"/>
          <w:szCs w:val="24"/>
        </w:rPr>
        <w:tab/>
        <w:t xml:space="preserve">Trayecto, vigencia y prospectiva. </w:t>
      </w:r>
      <w:r w:rsidRPr="00045C75">
        <w:rPr>
          <w:rFonts w:ascii="Arial" w:hAnsi="Arial" w:cs="Arial"/>
          <w:i/>
          <w:sz w:val="24"/>
          <w:szCs w:val="24"/>
        </w:rPr>
        <w:t xml:space="preserve">Revista Mexicana de Investigación en </w:t>
      </w:r>
      <w:r w:rsidRPr="00045C75">
        <w:rPr>
          <w:rFonts w:ascii="Arial" w:hAnsi="Arial" w:cs="Arial"/>
          <w:i/>
          <w:sz w:val="24"/>
          <w:szCs w:val="24"/>
        </w:rPr>
        <w:tab/>
        <w:t>Psicología</w:t>
      </w:r>
      <w:r w:rsidRPr="00045C75">
        <w:rPr>
          <w:rFonts w:ascii="Arial" w:hAnsi="Arial" w:cs="Arial"/>
          <w:sz w:val="24"/>
          <w:szCs w:val="24"/>
        </w:rPr>
        <w:t xml:space="preserve">, </w:t>
      </w:r>
      <w:r w:rsidRPr="00045C75">
        <w:rPr>
          <w:rFonts w:ascii="Arial" w:hAnsi="Arial" w:cs="Arial"/>
          <w:i/>
          <w:sz w:val="24"/>
          <w:szCs w:val="24"/>
        </w:rPr>
        <w:t>3</w:t>
      </w:r>
      <w:r w:rsidRPr="00045C75">
        <w:rPr>
          <w:rFonts w:ascii="Arial" w:hAnsi="Arial" w:cs="Arial"/>
          <w:sz w:val="24"/>
          <w:szCs w:val="24"/>
        </w:rPr>
        <w:t>(2), 174-180.</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rPr>
        <w:t>Díaz-Loving, R., Rivera, S., Villanueva, G., &amp; Cruz, L. (2011). Las premisas histórico-</w:t>
      </w:r>
      <w:r w:rsidRPr="00045C75">
        <w:rPr>
          <w:rFonts w:ascii="Arial" w:hAnsi="Arial" w:cs="Arial"/>
          <w:sz w:val="24"/>
          <w:szCs w:val="24"/>
        </w:rPr>
        <w:tab/>
        <w:t xml:space="preserve">socioculturales de la familia mexicana: su exploración desde las creencias y </w:t>
      </w:r>
      <w:r w:rsidRPr="00045C75">
        <w:rPr>
          <w:rFonts w:ascii="Arial" w:hAnsi="Arial" w:cs="Arial"/>
          <w:sz w:val="24"/>
          <w:szCs w:val="24"/>
        </w:rPr>
        <w:tab/>
        <w:t xml:space="preserve">las normas. </w:t>
      </w:r>
      <w:r w:rsidRPr="00045C75">
        <w:rPr>
          <w:rFonts w:ascii="Arial" w:hAnsi="Arial" w:cs="Arial"/>
          <w:i/>
          <w:sz w:val="24"/>
          <w:szCs w:val="24"/>
        </w:rPr>
        <w:t>Revista Mexicana de Investigación Psicológica, 2,</w:t>
      </w:r>
      <w:r w:rsidRPr="00045C75">
        <w:rPr>
          <w:rFonts w:ascii="Arial" w:hAnsi="Arial" w:cs="Arial"/>
          <w:sz w:val="24"/>
          <w:szCs w:val="24"/>
        </w:rPr>
        <w:t xml:space="preserve"> 128-142.</w:t>
      </w:r>
    </w:p>
    <w:p w:rsidR="00634FA7" w:rsidRPr="00045C75" w:rsidRDefault="00634FA7" w:rsidP="00634FA7">
      <w:pPr>
        <w:spacing w:after="0" w:line="240" w:lineRule="auto"/>
      </w:pPr>
      <w:r w:rsidRPr="00045C75">
        <w:rPr>
          <w:rFonts w:ascii="Arial" w:hAnsi="Arial" w:cs="Arial"/>
          <w:sz w:val="24"/>
          <w:szCs w:val="24"/>
        </w:rPr>
        <w:t xml:space="preserve">García-Méndez, M. (2007). </w:t>
      </w:r>
      <w:r w:rsidRPr="00045C75">
        <w:rPr>
          <w:rFonts w:ascii="Arial" w:hAnsi="Arial" w:cs="Arial"/>
          <w:i/>
          <w:sz w:val="24"/>
          <w:szCs w:val="24"/>
        </w:rPr>
        <w:t xml:space="preserve">Infidelidad y su relación con el poder y funcionamiento </w:t>
      </w:r>
      <w:r w:rsidRPr="00045C75">
        <w:rPr>
          <w:rFonts w:ascii="Arial" w:hAnsi="Arial" w:cs="Arial"/>
          <w:i/>
          <w:sz w:val="24"/>
          <w:szCs w:val="24"/>
        </w:rPr>
        <w:tab/>
        <w:t xml:space="preserve">familiar: correlatos y predicciones. </w:t>
      </w:r>
      <w:r w:rsidRPr="00045C75">
        <w:rPr>
          <w:rFonts w:ascii="Arial" w:hAnsi="Arial" w:cs="Arial"/>
          <w:sz w:val="24"/>
          <w:szCs w:val="24"/>
        </w:rPr>
        <w:t xml:space="preserve">Tesis de doctorado, no publicada. México: </w:t>
      </w:r>
      <w:r w:rsidRPr="00045C75">
        <w:rPr>
          <w:rFonts w:ascii="Arial" w:hAnsi="Arial" w:cs="Arial"/>
          <w:sz w:val="24"/>
          <w:szCs w:val="24"/>
        </w:rPr>
        <w:tab/>
        <w:t>Universidad Nacional Autónoma de México.</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rPr>
        <w:t xml:space="preserve">García-Méndez, M., Rivera-Aragón. S., Reyes-Lagunes, I., &amp; Díaz-Loving, R. (2006). </w:t>
      </w:r>
      <w:r w:rsidRPr="00045C75">
        <w:rPr>
          <w:rFonts w:ascii="Arial" w:hAnsi="Arial" w:cs="Arial"/>
          <w:sz w:val="24"/>
          <w:szCs w:val="24"/>
        </w:rPr>
        <w:tab/>
        <w:t xml:space="preserve">Construcción de una escala de funcionamiento familiar. </w:t>
      </w:r>
      <w:r w:rsidRPr="00045C75">
        <w:rPr>
          <w:rFonts w:ascii="Arial" w:hAnsi="Arial" w:cs="Arial"/>
          <w:i/>
          <w:sz w:val="24"/>
          <w:szCs w:val="24"/>
        </w:rPr>
        <w:t xml:space="preserve">Revista </w:t>
      </w:r>
      <w:r w:rsidRPr="00045C75">
        <w:rPr>
          <w:rFonts w:ascii="Arial" w:hAnsi="Arial" w:cs="Arial"/>
          <w:i/>
          <w:sz w:val="24"/>
          <w:szCs w:val="24"/>
        </w:rPr>
        <w:tab/>
        <w:t>Iberoamericana de Diagnóstico y Evaluación Psicológica</w:t>
      </w:r>
      <w:r w:rsidRPr="00045C75">
        <w:rPr>
          <w:rFonts w:ascii="Arial" w:hAnsi="Arial" w:cs="Arial"/>
          <w:sz w:val="24"/>
          <w:szCs w:val="24"/>
        </w:rPr>
        <w:t xml:space="preserve">. </w:t>
      </w:r>
      <w:r w:rsidRPr="00045C75">
        <w:rPr>
          <w:rFonts w:ascii="Arial" w:hAnsi="Arial" w:cs="Arial"/>
          <w:i/>
          <w:sz w:val="24"/>
          <w:szCs w:val="24"/>
          <w:lang w:val="en-US"/>
        </w:rPr>
        <w:t>2</w:t>
      </w:r>
      <w:r w:rsidRPr="00045C75">
        <w:rPr>
          <w:rFonts w:ascii="Arial" w:hAnsi="Arial" w:cs="Arial"/>
          <w:sz w:val="24"/>
          <w:szCs w:val="24"/>
          <w:lang w:val="en-US"/>
        </w:rPr>
        <w:t>(22), 91-110.</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Graham, J., Haidt, J., Koleva, S., Motyl, M., Iyer, R., Wojcik, S., &amp; Ditto, P. (2013). </w:t>
      </w:r>
      <w:r w:rsidRPr="00045C75">
        <w:rPr>
          <w:rFonts w:ascii="Arial" w:hAnsi="Arial" w:cs="Arial"/>
          <w:sz w:val="24"/>
          <w:szCs w:val="24"/>
          <w:lang w:val="en-US"/>
        </w:rPr>
        <w:tab/>
        <w:t xml:space="preserve">Moral </w:t>
      </w:r>
      <w:r w:rsidRPr="00045C75">
        <w:rPr>
          <w:rFonts w:ascii="Arial" w:hAnsi="Arial" w:cs="Arial"/>
          <w:sz w:val="24"/>
          <w:szCs w:val="24"/>
          <w:lang w:val="en-US"/>
        </w:rPr>
        <w:tab/>
        <w:t xml:space="preserve">foundations theory: the pragmatic validity of moral pluralism. </w:t>
      </w:r>
      <w:r w:rsidRPr="00045C75">
        <w:rPr>
          <w:rFonts w:ascii="Arial" w:hAnsi="Arial" w:cs="Arial"/>
          <w:sz w:val="24"/>
          <w:szCs w:val="24"/>
          <w:lang w:val="en-US"/>
        </w:rPr>
        <w:tab/>
      </w:r>
      <w:r w:rsidRPr="00045C75">
        <w:rPr>
          <w:rFonts w:ascii="Arial" w:hAnsi="Arial" w:cs="Arial"/>
          <w:i/>
          <w:sz w:val="24"/>
          <w:szCs w:val="24"/>
          <w:lang w:val="en-US"/>
        </w:rPr>
        <w:t>Advances in Experimental Social Psychology, 47</w:t>
      </w:r>
      <w:r w:rsidRPr="00045C75">
        <w:rPr>
          <w:rFonts w:ascii="Arial" w:hAnsi="Arial" w:cs="Arial"/>
          <w:sz w:val="24"/>
          <w:szCs w:val="24"/>
          <w:lang w:val="en-US"/>
        </w:rPr>
        <w:t xml:space="preserve"> (2013), 55-130. doi: </w:t>
      </w:r>
      <w:r w:rsidRPr="00045C75">
        <w:rPr>
          <w:rFonts w:ascii="Arial" w:hAnsi="Arial" w:cs="Arial"/>
          <w:sz w:val="24"/>
          <w:szCs w:val="24"/>
          <w:lang w:val="en-US"/>
        </w:rPr>
        <w:tab/>
        <w:t>10.1016/B978-0-12-407236-7.00002-4.</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Haidt, J., &amp; Joseph, C. (2007). </w:t>
      </w:r>
      <w:r w:rsidRPr="00045C75">
        <w:rPr>
          <w:rFonts w:ascii="Arial" w:hAnsi="Arial" w:cs="Arial"/>
          <w:i/>
          <w:sz w:val="24"/>
          <w:szCs w:val="24"/>
          <w:lang w:val="en-US"/>
        </w:rPr>
        <w:t xml:space="preserve">The moral mind: How 5 sets of innate moral </w:t>
      </w:r>
      <w:r w:rsidRPr="00045C75">
        <w:rPr>
          <w:rFonts w:ascii="Arial" w:hAnsi="Arial" w:cs="Arial"/>
          <w:i/>
          <w:sz w:val="24"/>
          <w:szCs w:val="24"/>
          <w:lang w:val="en-US"/>
        </w:rPr>
        <w:tab/>
        <w:t xml:space="preserve">intuitions guide the development of many culture-specific virtues, and perhaps </w:t>
      </w:r>
      <w:r w:rsidRPr="00045C75">
        <w:rPr>
          <w:rFonts w:ascii="Arial" w:hAnsi="Arial" w:cs="Arial"/>
          <w:i/>
          <w:sz w:val="24"/>
          <w:szCs w:val="24"/>
          <w:lang w:val="en-US"/>
        </w:rPr>
        <w:tab/>
        <w:t>even modules.</w:t>
      </w:r>
      <w:r w:rsidRPr="00045C75">
        <w:rPr>
          <w:rFonts w:ascii="Arial" w:hAnsi="Arial" w:cs="Arial"/>
          <w:sz w:val="24"/>
          <w:szCs w:val="24"/>
          <w:lang w:val="en-US"/>
        </w:rPr>
        <w:t xml:space="preserve"> In P. Carruthers, S. Laurence, and S. Stich (Eds.) </w:t>
      </w:r>
      <w:r w:rsidRPr="00045C75">
        <w:rPr>
          <w:rFonts w:ascii="Arial" w:hAnsi="Arial" w:cs="Arial"/>
          <w:sz w:val="24"/>
          <w:szCs w:val="24"/>
          <w:lang w:val="en-US"/>
        </w:rPr>
        <w:tab/>
      </w:r>
      <w:r w:rsidRPr="00045C75">
        <w:rPr>
          <w:rFonts w:ascii="Arial" w:hAnsi="Arial" w:cs="Arial"/>
          <w:i/>
          <w:sz w:val="24"/>
          <w:szCs w:val="24"/>
          <w:lang w:val="en-US"/>
        </w:rPr>
        <w:t xml:space="preserve">The Innate </w:t>
      </w:r>
      <w:r w:rsidRPr="00045C75">
        <w:rPr>
          <w:rFonts w:ascii="Arial" w:hAnsi="Arial" w:cs="Arial"/>
          <w:i/>
          <w:sz w:val="24"/>
          <w:szCs w:val="24"/>
          <w:lang w:val="en-US"/>
        </w:rPr>
        <w:tab/>
        <w:t>Mind</w:t>
      </w:r>
      <w:r w:rsidRPr="00045C75">
        <w:rPr>
          <w:rFonts w:ascii="Arial" w:hAnsi="Arial" w:cs="Arial"/>
          <w:sz w:val="24"/>
          <w:szCs w:val="24"/>
          <w:lang w:val="en-US"/>
        </w:rPr>
        <w:t>, Vol. 3. New York: Oxford. 367-391.</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Haste, H. (2013). Deconstructing the elephant and the flag in the lavatory: Promises and </w:t>
      </w:r>
      <w:r w:rsidRPr="00045C75">
        <w:rPr>
          <w:rFonts w:ascii="Arial" w:hAnsi="Arial" w:cs="Arial"/>
          <w:sz w:val="24"/>
          <w:szCs w:val="24"/>
          <w:lang w:val="en-US"/>
        </w:rPr>
        <w:tab/>
        <w:t xml:space="preserve">problems of moral foundations research. </w:t>
      </w:r>
      <w:r w:rsidRPr="00045C75">
        <w:rPr>
          <w:rFonts w:ascii="Arial" w:hAnsi="Arial" w:cs="Arial"/>
          <w:i/>
          <w:sz w:val="24"/>
          <w:szCs w:val="24"/>
          <w:lang w:val="en-US"/>
        </w:rPr>
        <w:t>Journal of Moral Education, 42</w:t>
      </w:r>
      <w:r w:rsidRPr="00045C75">
        <w:rPr>
          <w:rFonts w:ascii="Arial" w:hAnsi="Arial" w:cs="Arial"/>
          <w:sz w:val="24"/>
          <w:szCs w:val="24"/>
          <w:lang w:val="en-US"/>
        </w:rPr>
        <w:t>(3), 316-</w:t>
      </w:r>
      <w:r w:rsidRPr="00045C75">
        <w:rPr>
          <w:rFonts w:ascii="Arial" w:hAnsi="Arial" w:cs="Arial"/>
          <w:sz w:val="24"/>
          <w:szCs w:val="24"/>
          <w:lang w:val="en-US"/>
        </w:rPr>
        <w:tab/>
        <w:t>329. doi: 10.1080/03057240.2013.818529.</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Hofstede, G. (2003). </w:t>
      </w:r>
      <w:r w:rsidRPr="00045C75">
        <w:rPr>
          <w:rFonts w:ascii="Arial" w:hAnsi="Arial" w:cs="Arial"/>
          <w:i/>
          <w:sz w:val="24"/>
          <w:szCs w:val="24"/>
          <w:lang w:val="en-US"/>
        </w:rPr>
        <w:t xml:space="preserve">Culture's consequences: Comparing values, behaviors, </w:t>
      </w:r>
      <w:r w:rsidRPr="00045C75">
        <w:rPr>
          <w:rFonts w:ascii="Arial" w:hAnsi="Arial" w:cs="Arial"/>
          <w:i/>
          <w:sz w:val="24"/>
          <w:szCs w:val="24"/>
          <w:lang w:val="en-US"/>
        </w:rPr>
        <w:tab/>
        <w:t>institutions and organizations across nations</w:t>
      </w:r>
      <w:r w:rsidRPr="00045C75">
        <w:rPr>
          <w:rFonts w:ascii="Arial" w:hAnsi="Arial" w:cs="Arial"/>
          <w:sz w:val="24"/>
          <w:szCs w:val="24"/>
          <w:lang w:val="en-US"/>
        </w:rPr>
        <w:t>. U.S.A: Sage publications.</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lang w:val="en-US"/>
        </w:rPr>
        <w:t xml:space="preserve">Hu, L. T. &amp; Bentler, P. M. (1999). Cutoff criteria for fit indexes in covariance structure </w:t>
      </w:r>
      <w:r w:rsidRPr="00045C75">
        <w:rPr>
          <w:rFonts w:ascii="Arial" w:hAnsi="Arial" w:cs="Arial"/>
          <w:sz w:val="24"/>
          <w:szCs w:val="24"/>
          <w:lang w:val="en-US"/>
        </w:rPr>
        <w:tab/>
        <w:t xml:space="preserve">analysis: Conventional criteria versus new alternatives. </w:t>
      </w:r>
      <w:r w:rsidRPr="00045C75">
        <w:rPr>
          <w:rFonts w:ascii="Arial" w:hAnsi="Arial" w:cs="Arial"/>
          <w:i/>
          <w:sz w:val="24"/>
          <w:szCs w:val="24"/>
        </w:rPr>
        <w:t xml:space="preserve">Structural equation </w:t>
      </w:r>
      <w:r w:rsidRPr="00045C75">
        <w:rPr>
          <w:rFonts w:ascii="Arial" w:hAnsi="Arial" w:cs="Arial"/>
          <w:i/>
          <w:sz w:val="24"/>
          <w:szCs w:val="24"/>
        </w:rPr>
        <w:tab/>
        <w:t>modeling: a multidisciplinary journal, 6</w:t>
      </w:r>
      <w:r w:rsidRPr="00045C75">
        <w:rPr>
          <w:rFonts w:ascii="Arial" w:hAnsi="Arial" w:cs="Arial"/>
          <w:sz w:val="24"/>
          <w:szCs w:val="24"/>
        </w:rPr>
        <w:t>(1), 1-55.</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 xml:space="preserve">Jaen, C. (2017). </w:t>
      </w:r>
      <w:r w:rsidRPr="00045C75">
        <w:rPr>
          <w:rFonts w:ascii="Arial" w:hAnsi="Arial" w:cs="Arial"/>
          <w:i/>
          <w:sz w:val="24"/>
          <w:szCs w:val="24"/>
        </w:rPr>
        <w:t xml:space="preserve">Violencia durante el noviazgo y su impacto en la salud sexual y </w:t>
      </w:r>
      <w:r w:rsidRPr="00045C75">
        <w:rPr>
          <w:rFonts w:ascii="Arial" w:hAnsi="Arial" w:cs="Arial"/>
          <w:i/>
          <w:sz w:val="24"/>
          <w:szCs w:val="24"/>
        </w:rPr>
        <w:tab/>
        <w:t>reproductiva de las y los adolescentes.</w:t>
      </w:r>
      <w:r w:rsidRPr="00045C75">
        <w:rPr>
          <w:rFonts w:ascii="Arial" w:hAnsi="Arial" w:cs="Arial"/>
          <w:sz w:val="24"/>
          <w:szCs w:val="24"/>
        </w:rPr>
        <w:t xml:space="preserve"> Tesis de doctorado no publicada. México: </w:t>
      </w:r>
      <w:r w:rsidRPr="00045C75">
        <w:rPr>
          <w:rFonts w:ascii="Arial" w:hAnsi="Arial" w:cs="Arial"/>
          <w:sz w:val="24"/>
          <w:szCs w:val="24"/>
        </w:rPr>
        <w:tab/>
        <w:t>Universidad Nacional Autónoma de México.</w:t>
      </w:r>
    </w:p>
    <w:p w:rsidR="00634FA7" w:rsidRPr="00045C75" w:rsidRDefault="00634FA7" w:rsidP="00634FA7">
      <w:pPr>
        <w:spacing w:after="0" w:line="240" w:lineRule="auto"/>
        <w:rPr>
          <w:rFonts w:ascii="Arial" w:hAnsi="Arial" w:cs="Arial"/>
          <w:sz w:val="24"/>
          <w:szCs w:val="24"/>
          <w:lang w:val="en-US"/>
        </w:rPr>
      </w:pPr>
      <w:r w:rsidRPr="00045C75">
        <w:rPr>
          <w:rFonts w:ascii="Arial" w:hAnsi="Arial" w:cs="Arial"/>
          <w:sz w:val="24"/>
          <w:szCs w:val="24"/>
          <w:lang w:val="en-US"/>
        </w:rPr>
        <w:t xml:space="preserve">Janoff-Bulman, R., Sheikh, S., &amp; Hepp, S. (2009). Proscriptive Versus Prescriptive </w:t>
      </w:r>
      <w:r w:rsidRPr="00045C75">
        <w:rPr>
          <w:rFonts w:ascii="Arial" w:hAnsi="Arial" w:cs="Arial"/>
          <w:sz w:val="24"/>
          <w:szCs w:val="24"/>
          <w:lang w:val="en-US"/>
        </w:rPr>
        <w:tab/>
        <w:t xml:space="preserve">Morality: Two Faces of Moral Regulation. </w:t>
      </w:r>
      <w:r w:rsidRPr="00045C75">
        <w:rPr>
          <w:rFonts w:ascii="Arial" w:hAnsi="Arial" w:cs="Arial"/>
          <w:i/>
          <w:sz w:val="24"/>
          <w:szCs w:val="24"/>
          <w:lang w:val="en-US"/>
        </w:rPr>
        <w:t xml:space="preserve">Journal of Personality &amp; Social </w:t>
      </w:r>
      <w:r w:rsidRPr="00045C75">
        <w:rPr>
          <w:rFonts w:ascii="Arial" w:hAnsi="Arial" w:cs="Arial"/>
          <w:i/>
          <w:sz w:val="24"/>
          <w:szCs w:val="24"/>
          <w:lang w:val="en-US"/>
        </w:rPr>
        <w:tab/>
        <w:t>Psychology, 96</w:t>
      </w:r>
      <w:r w:rsidRPr="00045C75">
        <w:rPr>
          <w:rFonts w:ascii="Arial" w:hAnsi="Arial" w:cs="Arial"/>
          <w:sz w:val="24"/>
          <w:szCs w:val="24"/>
          <w:lang w:val="en-US"/>
        </w:rPr>
        <w:t>(3), 521-537. doi: 10.1037/a0013779.</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Kohlberg, L. (1987). </w:t>
      </w:r>
      <w:r w:rsidRPr="00045C75">
        <w:rPr>
          <w:rFonts w:ascii="Arial" w:hAnsi="Arial" w:cs="Arial"/>
          <w:i/>
          <w:sz w:val="24"/>
          <w:szCs w:val="24"/>
          <w:lang w:val="en-US"/>
        </w:rPr>
        <w:t xml:space="preserve">The development of moral judgment and moral action. </w:t>
      </w:r>
      <w:r w:rsidRPr="00045C75">
        <w:rPr>
          <w:rFonts w:ascii="Arial" w:hAnsi="Arial" w:cs="Arial"/>
          <w:sz w:val="24"/>
          <w:szCs w:val="24"/>
          <w:lang w:val="en-US"/>
        </w:rPr>
        <w:t xml:space="preserve">In L. </w:t>
      </w:r>
      <w:r w:rsidRPr="00045C75">
        <w:rPr>
          <w:rFonts w:ascii="Arial" w:hAnsi="Arial" w:cs="Arial"/>
          <w:sz w:val="24"/>
          <w:szCs w:val="24"/>
          <w:lang w:val="en-US"/>
        </w:rPr>
        <w:tab/>
        <w:t>Kohlberg (Ed.). Child psychology and childhood education. A cognitive-</w:t>
      </w:r>
      <w:r w:rsidRPr="00045C75">
        <w:rPr>
          <w:rFonts w:ascii="Arial" w:hAnsi="Arial" w:cs="Arial"/>
          <w:sz w:val="24"/>
          <w:szCs w:val="24"/>
          <w:lang w:val="en-US"/>
        </w:rPr>
        <w:tab/>
        <w:t>developmental view. New York: Longman. 259-328.</w:t>
      </w:r>
    </w:p>
    <w:p w:rsidR="00634FA7" w:rsidRPr="00045C75" w:rsidRDefault="00634FA7" w:rsidP="00634FA7">
      <w:pPr>
        <w:spacing w:after="0" w:line="240" w:lineRule="auto"/>
        <w:rPr>
          <w:rFonts w:ascii="Arial" w:hAnsi="Arial" w:cs="Arial"/>
          <w:sz w:val="24"/>
          <w:szCs w:val="24"/>
          <w:lang w:val="en-US"/>
        </w:rPr>
      </w:pPr>
      <w:r w:rsidRPr="00045C75">
        <w:rPr>
          <w:rFonts w:ascii="Arial" w:hAnsi="Arial" w:cs="Arial"/>
          <w:sz w:val="24"/>
          <w:szCs w:val="24"/>
          <w:lang w:val="en-US"/>
        </w:rPr>
        <w:t xml:space="preserve">Martin, M. W. (2006). </w:t>
      </w:r>
      <w:r w:rsidRPr="00045C75">
        <w:rPr>
          <w:rFonts w:ascii="Arial" w:hAnsi="Arial" w:cs="Arial"/>
          <w:i/>
          <w:sz w:val="24"/>
          <w:szCs w:val="24"/>
          <w:lang w:val="en-US"/>
        </w:rPr>
        <w:t xml:space="preserve">From morality to mental health: Virtue and vice in a therapeutic </w:t>
      </w:r>
      <w:r w:rsidRPr="00045C75">
        <w:rPr>
          <w:rFonts w:ascii="Arial" w:hAnsi="Arial" w:cs="Arial"/>
          <w:i/>
          <w:sz w:val="24"/>
          <w:szCs w:val="24"/>
          <w:lang w:val="en-US"/>
        </w:rPr>
        <w:tab/>
        <w:t xml:space="preserve">culture. </w:t>
      </w:r>
      <w:r w:rsidRPr="00045C75">
        <w:rPr>
          <w:rFonts w:ascii="Arial" w:hAnsi="Arial" w:cs="Arial"/>
          <w:sz w:val="24"/>
          <w:szCs w:val="24"/>
          <w:lang w:val="en-US"/>
        </w:rPr>
        <w:t>Oxford University Press.</w:t>
      </w:r>
    </w:p>
    <w:p w:rsidR="00634FA7" w:rsidRPr="00045C75" w:rsidRDefault="00634FA7" w:rsidP="00634FA7">
      <w:pPr>
        <w:spacing w:after="0" w:line="240" w:lineRule="auto"/>
        <w:rPr>
          <w:rFonts w:ascii="Arial" w:hAnsi="Arial" w:cs="Arial"/>
          <w:sz w:val="24"/>
          <w:szCs w:val="24"/>
          <w:lang w:val="en-US"/>
        </w:rPr>
      </w:pPr>
      <w:r w:rsidRPr="00045C75">
        <w:rPr>
          <w:rFonts w:ascii="Arial" w:hAnsi="Arial" w:cs="Arial"/>
          <w:sz w:val="24"/>
          <w:szCs w:val="24"/>
          <w:lang w:val="en-US"/>
        </w:rPr>
        <w:lastRenderedPageBreak/>
        <w:t xml:space="preserve">McKinney, J. P. (1971). The Development of Values. Prescriptive or Proscriptive?. </w:t>
      </w:r>
      <w:r w:rsidRPr="00045C75">
        <w:rPr>
          <w:rFonts w:ascii="Arial" w:hAnsi="Arial" w:cs="Arial"/>
          <w:sz w:val="24"/>
          <w:szCs w:val="24"/>
          <w:lang w:val="en-US"/>
        </w:rPr>
        <w:tab/>
      </w:r>
      <w:r w:rsidRPr="00045C75">
        <w:rPr>
          <w:rFonts w:ascii="Arial" w:hAnsi="Arial" w:cs="Arial"/>
          <w:i/>
          <w:sz w:val="24"/>
          <w:szCs w:val="24"/>
          <w:lang w:val="en-US"/>
        </w:rPr>
        <w:t>Human Development, 14</w:t>
      </w:r>
      <w:r w:rsidRPr="00045C75">
        <w:rPr>
          <w:rFonts w:ascii="Arial" w:hAnsi="Arial" w:cs="Arial"/>
          <w:sz w:val="24"/>
          <w:szCs w:val="24"/>
          <w:lang w:val="en-US"/>
        </w:rPr>
        <w:t>(1), 71-80.</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lang w:val="en-US"/>
        </w:rPr>
        <w:t xml:space="preserve">Miles, J. &amp; Shevlin, M. (2001). </w:t>
      </w:r>
      <w:r w:rsidRPr="00045C75">
        <w:rPr>
          <w:rFonts w:ascii="Arial" w:hAnsi="Arial" w:cs="Arial"/>
          <w:i/>
          <w:sz w:val="24"/>
          <w:szCs w:val="24"/>
          <w:lang w:val="en-US"/>
        </w:rPr>
        <w:t xml:space="preserve">Applying regression and correlation: A guide for students </w:t>
      </w:r>
      <w:r w:rsidRPr="00045C75">
        <w:rPr>
          <w:rFonts w:ascii="Arial" w:hAnsi="Arial" w:cs="Arial"/>
          <w:i/>
          <w:sz w:val="24"/>
          <w:szCs w:val="24"/>
          <w:lang w:val="en-US"/>
        </w:rPr>
        <w:tab/>
        <w:t>and researchers.</w:t>
      </w:r>
      <w:r w:rsidRPr="00045C75">
        <w:rPr>
          <w:rFonts w:ascii="Arial" w:hAnsi="Arial" w:cs="Arial"/>
          <w:sz w:val="24"/>
          <w:szCs w:val="24"/>
          <w:lang w:val="en-US"/>
        </w:rPr>
        <w:t xml:space="preserve"> </w:t>
      </w:r>
      <w:r w:rsidRPr="00045C75">
        <w:rPr>
          <w:rFonts w:ascii="Arial" w:hAnsi="Arial" w:cs="Arial"/>
          <w:sz w:val="24"/>
          <w:szCs w:val="24"/>
        </w:rPr>
        <w:t>USA: Sage Publications.</w:t>
      </w:r>
    </w:p>
    <w:p w:rsidR="00634FA7" w:rsidRPr="00045C75" w:rsidRDefault="00634FA7" w:rsidP="00634FA7">
      <w:pPr>
        <w:spacing w:after="0" w:line="240" w:lineRule="auto"/>
        <w:rPr>
          <w:rFonts w:ascii="Arial" w:hAnsi="Arial" w:cs="Arial"/>
          <w:sz w:val="24"/>
          <w:szCs w:val="24"/>
        </w:rPr>
      </w:pPr>
      <w:bookmarkStart w:id="1" w:name="_Hlk25740155"/>
      <w:r w:rsidRPr="00045C75">
        <w:rPr>
          <w:rFonts w:ascii="Arial" w:hAnsi="Arial" w:cs="Arial"/>
          <w:sz w:val="24"/>
          <w:szCs w:val="24"/>
        </w:rPr>
        <w:t xml:space="preserve">Miranda-Rodríguez, R.A. &amp; García-Méndez, M. (2019). Construcción de una escala de </w:t>
      </w:r>
      <w:r w:rsidRPr="00045C75">
        <w:rPr>
          <w:rFonts w:ascii="Arial" w:hAnsi="Arial" w:cs="Arial"/>
          <w:sz w:val="24"/>
          <w:szCs w:val="24"/>
        </w:rPr>
        <w:tab/>
        <w:t xml:space="preserve">dominio moral en adolescentes. </w:t>
      </w:r>
      <w:r w:rsidRPr="00045C75">
        <w:rPr>
          <w:rFonts w:ascii="Arial" w:hAnsi="Arial" w:cs="Arial"/>
          <w:i/>
          <w:sz w:val="24"/>
          <w:szCs w:val="24"/>
        </w:rPr>
        <w:t xml:space="preserve">Revista Iberoamericana de Diagnóstico y </w:t>
      </w:r>
      <w:r w:rsidRPr="00045C75">
        <w:rPr>
          <w:rFonts w:ascii="Arial" w:hAnsi="Arial" w:cs="Arial"/>
          <w:i/>
          <w:sz w:val="24"/>
          <w:szCs w:val="24"/>
        </w:rPr>
        <w:tab/>
        <w:t>Evaluación Psicológica, 53</w:t>
      </w:r>
      <w:r w:rsidRPr="00045C75">
        <w:rPr>
          <w:rFonts w:ascii="Arial" w:hAnsi="Arial" w:cs="Arial"/>
          <w:sz w:val="24"/>
          <w:szCs w:val="24"/>
        </w:rPr>
        <w:t>(4), 169-183. doi: 10.21865/RIDEP53.4.13.</w:t>
      </w:r>
    </w:p>
    <w:bookmarkEnd w:id="1"/>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rPr>
        <w:t xml:space="preserve">Railton, P. (1986). </w:t>
      </w:r>
      <w:r w:rsidRPr="00045C75">
        <w:rPr>
          <w:rFonts w:ascii="Arial" w:hAnsi="Arial" w:cs="Arial"/>
          <w:sz w:val="24"/>
          <w:szCs w:val="24"/>
          <w:lang w:val="en-US"/>
        </w:rPr>
        <w:t xml:space="preserve">Moral realism. </w:t>
      </w:r>
      <w:r w:rsidRPr="00045C75">
        <w:rPr>
          <w:rFonts w:ascii="Arial" w:hAnsi="Arial" w:cs="Arial"/>
          <w:i/>
          <w:sz w:val="24"/>
          <w:szCs w:val="24"/>
          <w:lang w:val="en-US"/>
        </w:rPr>
        <w:t>The Philosophical Review, 95</w:t>
      </w:r>
      <w:r w:rsidRPr="00045C75">
        <w:rPr>
          <w:rFonts w:ascii="Arial" w:hAnsi="Arial" w:cs="Arial"/>
          <w:sz w:val="24"/>
          <w:szCs w:val="24"/>
          <w:lang w:val="en-US"/>
        </w:rPr>
        <w:t>(2), 163-207.</w:t>
      </w:r>
    </w:p>
    <w:p w:rsidR="00634FA7" w:rsidRPr="00045C75" w:rsidRDefault="00634FA7" w:rsidP="00634FA7">
      <w:pPr>
        <w:spacing w:after="0" w:line="240" w:lineRule="auto"/>
        <w:rPr>
          <w:rFonts w:ascii="Arial" w:hAnsi="Arial" w:cs="Arial"/>
          <w:sz w:val="24"/>
          <w:szCs w:val="24"/>
          <w:lang w:val="en-US"/>
        </w:rPr>
      </w:pPr>
      <w:r w:rsidRPr="00045C75">
        <w:rPr>
          <w:rFonts w:ascii="Arial" w:hAnsi="Arial" w:cs="Arial"/>
          <w:sz w:val="24"/>
          <w:szCs w:val="24"/>
          <w:lang w:val="en-US"/>
        </w:rPr>
        <w:t xml:space="preserve">Rest, J. (1979). </w:t>
      </w:r>
      <w:r w:rsidRPr="00045C75">
        <w:rPr>
          <w:rFonts w:ascii="Arial" w:hAnsi="Arial" w:cs="Arial"/>
          <w:i/>
          <w:sz w:val="24"/>
          <w:szCs w:val="24"/>
          <w:lang w:val="en-US"/>
        </w:rPr>
        <w:t>Developing in judging moral issues.</w:t>
      </w:r>
      <w:r w:rsidRPr="00045C75">
        <w:rPr>
          <w:rFonts w:ascii="Arial" w:hAnsi="Arial" w:cs="Arial"/>
          <w:sz w:val="24"/>
          <w:szCs w:val="24"/>
          <w:lang w:val="en-US"/>
        </w:rPr>
        <w:t xml:space="preserve"> Minneapolis, MN: University of </w:t>
      </w:r>
      <w:r w:rsidRPr="00045C75">
        <w:rPr>
          <w:rFonts w:ascii="Arial" w:hAnsi="Arial" w:cs="Arial"/>
          <w:sz w:val="24"/>
          <w:szCs w:val="24"/>
          <w:lang w:val="en-US"/>
        </w:rPr>
        <w:tab/>
        <w:t>Minnesota Press.</w:t>
      </w:r>
    </w:p>
    <w:p w:rsidR="00634FA7" w:rsidRPr="00045C75" w:rsidRDefault="00634FA7" w:rsidP="00634FA7">
      <w:pPr>
        <w:spacing w:after="0" w:line="240" w:lineRule="auto"/>
        <w:rPr>
          <w:rFonts w:ascii="Arial" w:hAnsi="Arial" w:cs="Arial"/>
          <w:sz w:val="24"/>
          <w:szCs w:val="24"/>
        </w:rPr>
      </w:pPr>
      <w:r w:rsidRPr="00045C75">
        <w:rPr>
          <w:rFonts w:ascii="Arial" w:hAnsi="Arial" w:cs="Arial"/>
          <w:sz w:val="24"/>
          <w:szCs w:val="24"/>
        </w:rPr>
        <w:t xml:space="preserve">Ruiz, M. A., Pardo, A., &amp; San Martín, R. (2010). Modelos de ecuaciones estructurales. </w:t>
      </w:r>
      <w:r w:rsidRPr="00045C75">
        <w:rPr>
          <w:rFonts w:ascii="Arial" w:hAnsi="Arial" w:cs="Arial"/>
          <w:sz w:val="24"/>
          <w:szCs w:val="24"/>
        </w:rPr>
        <w:tab/>
      </w:r>
      <w:r w:rsidRPr="00045C75">
        <w:rPr>
          <w:rFonts w:ascii="Arial" w:hAnsi="Arial" w:cs="Arial"/>
          <w:i/>
          <w:sz w:val="24"/>
          <w:szCs w:val="24"/>
        </w:rPr>
        <w:t>Papeles del psicólogo, 31</w:t>
      </w:r>
      <w:r w:rsidRPr="00045C75">
        <w:rPr>
          <w:rFonts w:ascii="Arial" w:hAnsi="Arial" w:cs="Arial"/>
          <w:sz w:val="24"/>
          <w:szCs w:val="24"/>
        </w:rPr>
        <w:t>(1), 34-45.</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rPr>
        <w:t xml:space="preserve">Shweder, R., Mahapatra, M., &amp; Miller, J. (1987). </w:t>
      </w:r>
      <w:r w:rsidRPr="00045C75">
        <w:rPr>
          <w:rFonts w:ascii="Arial" w:hAnsi="Arial" w:cs="Arial"/>
          <w:i/>
          <w:sz w:val="24"/>
          <w:szCs w:val="24"/>
          <w:lang w:val="en-US"/>
        </w:rPr>
        <w:t xml:space="preserve">Culture and moral development. </w:t>
      </w:r>
      <w:r w:rsidRPr="00045C75">
        <w:rPr>
          <w:rFonts w:ascii="Arial" w:hAnsi="Arial" w:cs="Arial"/>
          <w:sz w:val="24"/>
          <w:szCs w:val="24"/>
          <w:lang w:val="en-US"/>
        </w:rPr>
        <w:t xml:space="preserve">In J. </w:t>
      </w:r>
      <w:r w:rsidRPr="00045C75">
        <w:rPr>
          <w:rFonts w:ascii="Arial" w:hAnsi="Arial" w:cs="Arial"/>
          <w:sz w:val="24"/>
          <w:szCs w:val="24"/>
          <w:lang w:val="en-US"/>
        </w:rPr>
        <w:tab/>
        <w:t xml:space="preserve">Kagan and S. Lamb. (Eds.). The emergence of morality in young </w:t>
      </w:r>
      <w:r w:rsidRPr="00045C75">
        <w:rPr>
          <w:rFonts w:ascii="Arial" w:hAnsi="Arial" w:cs="Arial"/>
          <w:sz w:val="24"/>
          <w:szCs w:val="24"/>
          <w:lang w:val="en-US"/>
        </w:rPr>
        <w:tab/>
        <w:t xml:space="preserve">children. </w:t>
      </w:r>
      <w:r w:rsidRPr="00045C75">
        <w:rPr>
          <w:rFonts w:ascii="Arial" w:hAnsi="Arial" w:cs="Arial"/>
          <w:sz w:val="24"/>
          <w:szCs w:val="24"/>
          <w:lang w:val="en-US"/>
        </w:rPr>
        <w:tab/>
        <w:t>Chicago: University of Chicago Press. 1-83.</w:t>
      </w:r>
    </w:p>
    <w:p w:rsidR="00634FA7" w:rsidRPr="00045C75" w:rsidRDefault="00634FA7" w:rsidP="00634FA7">
      <w:pPr>
        <w:spacing w:after="0" w:line="240" w:lineRule="auto"/>
        <w:jc w:val="both"/>
        <w:rPr>
          <w:rFonts w:ascii="Arial" w:hAnsi="Arial" w:cs="Arial"/>
          <w:sz w:val="24"/>
        </w:rPr>
      </w:pPr>
      <w:r w:rsidRPr="00045C75">
        <w:rPr>
          <w:rFonts w:ascii="Arial" w:hAnsi="Arial" w:cs="Arial"/>
          <w:sz w:val="24"/>
          <w:lang w:val="en-US"/>
        </w:rPr>
        <w:t xml:space="preserve">Soler-Anguiano, L. &amp; Díaz-Loving, R. (2017). </w:t>
      </w:r>
      <w:r w:rsidRPr="00045C75">
        <w:rPr>
          <w:rFonts w:ascii="Arial" w:hAnsi="Arial" w:cs="Arial"/>
          <w:sz w:val="24"/>
        </w:rPr>
        <w:t xml:space="preserve">Validación de una Escala de </w:t>
      </w:r>
      <w:r w:rsidRPr="00045C75">
        <w:rPr>
          <w:rFonts w:ascii="Arial" w:hAnsi="Arial" w:cs="Arial"/>
          <w:sz w:val="24"/>
        </w:rPr>
        <w:tab/>
        <w:t xml:space="preserve">Individualismo y Colectivismo. </w:t>
      </w:r>
      <w:r w:rsidRPr="00045C75">
        <w:rPr>
          <w:rFonts w:ascii="Arial" w:hAnsi="Arial" w:cs="Arial"/>
          <w:i/>
          <w:sz w:val="24"/>
        </w:rPr>
        <w:t>UARICHA Revista de Psicología</w:t>
      </w:r>
      <w:r w:rsidRPr="00045C75">
        <w:rPr>
          <w:rFonts w:ascii="Arial" w:hAnsi="Arial" w:cs="Arial"/>
          <w:sz w:val="24"/>
        </w:rPr>
        <w:t xml:space="preserve">, </w:t>
      </w:r>
      <w:r w:rsidRPr="00045C75">
        <w:rPr>
          <w:rFonts w:ascii="Arial" w:hAnsi="Arial" w:cs="Arial"/>
          <w:i/>
          <w:sz w:val="24"/>
        </w:rPr>
        <w:t>14</w:t>
      </w:r>
      <w:r w:rsidRPr="00045C75">
        <w:rPr>
          <w:rFonts w:ascii="Arial" w:hAnsi="Arial" w:cs="Arial"/>
          <w:sz w:val="24"/>
        </w:rPr>
        <w:t>(32), 44-</w:t>
      </w:r>
      <w:r w:rsidRPr="00045C75">
        <w:rPr>
          <w:rFonts w:ascii="Arial" w:hAnsi="Arial" w:cs="Arial"/>
          <w:sz w:val="24"/>
        </w:rPr>
        <w:tab/>
        <w:t>52.</w:t>
      </w:r>
    </w:p>
    <w:p w:rsidR="00634FA7" w:rsidRPr="00045C75" w:rsidRDefault="00634FA7" w:rsidP="00634FA7">
      <w:pPr>
        <w:spacing w:after="0" w:line="240" w:lineRule="auto"/>
        <w:rPr>
          <w:rFonts w:ascii="Arial" w:hAnsi="Arial" w:cs="Arial"/>
          <w:sz w:val="24"/>
          <w:szCs w:val="24"/>
          <w:lang w:val="en-US"/>
        </w:rPr>
      </w:pPr>
      <w:r w:rsidRPr="00045C75">
        <w:rPr>
          <w:rFonts w:ascii="Arial" w:hAnsi="Arial" w:cs="Arial"/>
          <w:sz w:val="24"/>
          <w:szCs w:val="24"/>
        </w:rPr>
        <w:t xml:space="preserve">Triandis, H. C. (1994). </w:t>
      </w:r>
      <w:r w:rsidRPr="00045C75">
        <w:rPr>
          <w:rFonts w:ascii="Arial" w:hAnsi="Arial" w:cs="Arial"/>
          <w:i/>
          <w:sz w:val="24"/>
          <w:szCs w:val="24"/>
        </w:rPr>
        <w:t>Culture and social behavior.</w:t>
      </w:r>
      <w:r w:rsidRPr="00045C75">
        <w:rPr>
          <w:rFonts w:ascii="Arial" w:hAnsi="Arial" w:cs="Arial"/>
          <w:sz w:val="24"/>
          <w:szCs w:val="24"/>
        </w:rPr>
        <w:t xml:space="preserve"> </w:t>
      </w:r>
      <w:r w:rsidRPr="00045C75">
        <w:rPr>
          <w:rFonts w:ascii="Arial" w:hAnsi="Arial" w:cs="Arial"/>
          <w:sz w:val="24"/>
          <w:szCs w:val="24"/>
          <w:lang w:val="en-US"/>
        </w:rPr>
        <w:t>USA: Mc Graw Hill.</w:t>
      </w:r>
    </w:p>
    <w:p w:rsidR="00634FA7" w:rsidRPr="00045C75" w:rsidRDefault="00634FA7" w:rsidP="00634FA7">
      <w:pPr>
        <w:spacing w:after="0" w:line="240" w:lineRule="auto"/>
        <w:jc w:val="both"/>
        <w:rPr>
          <w:rFonts w:ascii="Arial" w:hAnsi="Arial" w:cs="Arial"/>
          <w:sz w:val="24"/>
          <w:szCs w:val="24"/>
          <w:lang w:val="en-US"/>
        </w:rPr>
      </w:pPr>
      <w:r w:rsidRPr="00045C75">
        <w:rPr>
          <w:rFonts w:ascii="Arial" w:hAnsi="Arial" w:cs="Arial"/>
          <w:sz w:val="24"/>
          <w:szCs w:val="24"/>
          <w:lang w:val="en-US"/>
        </w:rPr>
        <w:t xml:space="preserve">Turiel, E. (1983). </w:t>
      </w:r>
      <w:r w:rsidRPr="00045C75">
        <w:rPr>
          <w:rFonts w:ascii="Arial" w:hAnsi="Arial" w:cs="Arial"/>
          <w:i/>
          <w:sz w:val="24"/>
          <w:szCs w:val="24"/>
          <w:lang w:val="en-US"/>
        </w:rPr>
        <w:t>The development of social knowledge: Morality and convention.</w:t>
      </w:r>
      <w:r w:rsidRPr="00045C75">
        <w:rPr>
          <w:rFonts w:ascii="Arial" w:hAnsi="Arial" w:cs="Arial"/>
          <w:sz w:val="24"/>
          <w:szCs w:val="24"/>
          <w:lang w:val="en-US"/>
        </w:rPr>
        <w:t xml:space="preserve"> </w:t>
      </w:r>
      <w:r w:rsidRPr="00045C75">
        <w:rPr>
          <w:rFonts w:ascii="Arial" w:hAnsi="Arial" w:cs="Arial"/>
          <w:sz w:val="24"/>
          <w:szCs w:val="24"/>
          <w:lang w:val="en-US"/>
        </w:rPr>
        <w:tab/>
        <w:t>United Kingdom: Cambridge University Press.</w:t>
      </w:r>
    </w:p>
    <w:p w:rsidR="00634FA7" w:rsidRPr="00045C75" w:rsidRDefault="00634FA7" w:rsidP="00634FA7">
      <w:pPr>
        <w:spacing w:after="0" w:line="240" w:lineRule="auto"/>
        <w:jc w:val="both"/>
        <w:rPr>
          <w:rFonts w:ascii="Arial" w:hAnsi="Arial" w:cs="Arial"/>
          <w:sz w:val="24"/>
          <w:lang w:val="en-US"/>
        </w:rPr>
      </w:pPr>
      <w:r w:rsidRPr="00045C75">
        <w:rPr>
          <w:rFonts w:ascii="Arial" w:hAnsi="Arial" w:cs="Arial"/>
          <w:sz w:val="24"/>
          <w:lang w:val="en-US"/>
        </w:rPr>
        <w:t xml:space="preserve">White, F. &amp; Matawie, K. (2004). Parental morality and parental processes as </w:t>
      </w:r>
      <w:r w:rsidRPr="00045C75">
        <w:rPr>
          <w:rFonts w:ascii="Arial" w:hAnsi="Arial" w:cs="Arial"/>
          <w:sz w:val="24"/>
          <w:lang w:val="en-US"/>
        </w:rPr>
        <w:tab/>
        <w:t xml:space="preserve">predictors of adolescent morality. </w:t>
      </w:r>
      <w:r w:rsidRPr="00045C75">
        <w:rPr>
          <w:rFonts w:ascii="Arial" w:hAnsi="Arial" w:cs="Arial"/>
          <w:i/>
          <w:sz w:val="24"/>
          <w:lang w:val="en-US"/>
        </w:rPr>
        <w:t>Journal of Child and Family Studies, 13</w:t>
      </w:r>
      <w:r w:rsidRPr="00045C75">
        <w:rPr>
          <w:rFonts w:ascii="Arial" w:hAnsi="Arial" w:cs="Arial"/>
          <w:sz w:val="24"/>
          <w:lang w:val="en-US"/>
        </w:rPr>
        <w:t xml:space="preserve">(2), </w:t>
      </w:r>
      <w:r w:rsidRPr="00045C75">
        <w:rPr>
          <w:rFonts w:ascii="Arial" w:hAnsi="Arial" w:cs="Arial"/>
          <w:sz w:val="24"/>
          <w:lang w:val="en-US"/>
        </w:rPr>
        <w:tab/>
        <w:t>219-233.</w:t>
      </w:r>
    </w:p>
    <w:p w:rsidR="00634FA7" w:rsidRPr="00045C75" w:rsidRDefault="00634FA7" w:rsidP="00634FA7">
      <w:pPr>
        <w:spacing w:after="0" w:line="240" w:lineRule="auto"/>
        <w:jc w:val="both"/>
        <w:rPr>
          <w:rFonts w:ascii="Arial" w:hAnsi="Arial" w:cs="Arial"/>
          <w:sz w:val="24"/>
          <w:szCs w:val="24"/>
        </w:rPr>
      </w:pPr>
      <w:r w:rsidRPr="00045C75">
        <w:rPr>
          <w:rFonts w:ascii="Arial" w:hAnsi="Arial" w:cs="Arial"/>
          <w:sz w:val="24"/>
          <w:szCs w:val="24"/>
          <w:lang w:val="en-US"/>
        </w:rPr>
        <w:t xml:space="preserve">Yilmaz, O., Harma, M., Bahcekapili, H., &amp; Cesur, S. (2016). Validation of the moral </w:t>
      </w:r>
      <w:r w:rsidRPr="00045C75">
        <w:rPr>
          <w:rFonts w:ascii="Arial" w:hAnsi="Arial" w:cs="Arial"/>
          <w:sz w:val="24"/>
          <w:szCs w:val="24"/>
          <w:lang w:val="en-US"/>
        </w:rPr>
        <w:tab/>
        <w:t xml:space="preserve">foundation questionnaire in Turkey and its relation to curtural schemas of </w:t>
      </w:r>
      <w:r w:rsidRPr="00045C75">
        <w:rPr>
          <w:rFonts w:ascii="Arial" w:hAnsi="Arial" w:cs="Arial"/>
          <w:sz w:val="24"/>
          <w:szCs w:val="24"/>
          <w:lang w:val="en-US"/>
        </w:rPr>
        <w:tab/>
        <w:t xml:space="preserve">indivifualism and collectivism. </w:t>
      </w:r>
      <w:r w:rsidRPr="00045C75">
        <w:rPr>
          <w:rFonts w:ascii="Arial" w:hAnsi="Arial" w:cs="Arial"/>
          <w:i/>
          <w:sz w:val="24"/>
          <w:szCs w:val="24"/>
        </w:rPr>
        <w:t>Personality and individual differences,</w:t>
      </w:r>
      <w:r w:rsidRPr="00045C75">
        <w:rPr>
          <w:rFonts w:ascii="Arial" w:hAnsi="Arial" w:cs="Arial"/>
          <w:sz w:val="24"/>
          <w:szCs w:val="24"/>
        </w:rPr>
        <w:t xml:space="preserve"> </w:t>
      </w:r>
      <w:r w:rsidRPr="00045C75">
        <w:rPr>
          <w:rFonts w:ascii="Arial" w:hAnsi="Arial" w:cs="Arial"/>
          <w:i/>
          <w:sz w:val="24"/>
          <w:szCs w:val="24"/>
        </w:rPr>
        <w:t>99</w:t>
      </w:r>
      <w:r w:rsidRPr="00045C75">
        <w:rPr>
          <w:rFonts w:ascii="Arial" w:hAnsi="Arial" w:cs="Arial"/>
          <w:sz w:val="24"/>
          <w:szCs w:val="24"/>
        </w:rPr>
        <w:t xml:space="preserve">, 149-154. </w:t>
      </w:r>
      <w:r w:rsidRPr="00045C75">
        <w:rPr>
          <w:rFonts w:ascii="Arial" w:hAnsi="Arial" w:cs="Arial"/>
          <w:sz w:val="24"/>
          <w:szCs w:val="24"/>
        </w:rPr>
        <w:tab/>
        <w:t xml:space="preserve">doi: </w:t>
      </w:r>
      <w:hyperlink r:id="rId7" w:history="1">
        <w:r w:rsidRPr="00045C75">
          <w:rPr>
            <w:rFonts w:ascii="Arial" w:hAnsi="Arial" w:cs="Arial"/>
            <w:sz w:val="24"/>
            <w:szCs w:val="24"/>
          </w:rPr>
          <w:t>10.1016/j.paid.2016.04.090</w:t>
        </w:r>
      </w:hyperlink>
      <w:r w:rsidRPr="00045C75">
        <w:rPr>
          <w:rFonts w:ascii="Arial" w:hAnsi="Arial" w:cs="Arial"/>
          <w:sz w:val="24"/>
          <w:szCs w:val="24"/>
        </w:rPr>
        <w:t>.</w:t>
      </w:r>
    </w:p>
    <w:p w:rsidR="00634FA7" w:rsidRPr="000C027B" w:rsidRDefault="00634FA7" w:rsidP="000C027B">
      <w:pPr>
        <w:rPr>
          <w:rFonts w:ascii="Arial" w:hAnsi="Arial" w:cs="Arial"/>
          <w:sz w:val="20"/>
        </w:rPr>
      </w:pPr>
    </w:p>
    <w:sectPr w:rsidR="00634FA7" w:rsidRPr="000C027B" w:rsidSect="00F3066B">
      <w:pgSz w:w="12240" w:h="15840"/>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790A"/>
    <w:multiLevelType w:val="hybridMultilevel"/>
    <w:tmpl w:val="D896AC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401BCB"/>
    <w:multiLevelType w:val="hybridMultilevel"/>
    <w:tmpl w:val="566A9B30"/>
    <w:lvl w:ilvl="0" w:tplc="FB360D4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93"/>
    <w:rsid w:val="000035F1"/>
    <w:rsid w:val="000134FC"/>
    <w:rsid w:val="00041289"/>
    <w:rsid w:val="000444D4"/>
    <w:rsid w:val="00047EB2"/>
    <w:rsid w:val="00062453"/>
    <w:rsid w:val="000832A1"/>
    <w:rsid w:val="0009495C"/>
    <w:rsid w:val="000A3D44"/>
    <w:rsid w:val="000C027B"/>
    <w:rsid w:val="000D352D"/>
    <w:rsid w:val="00101166"/>
    <w:rsid w:val="001117B2"/>
    <w:rsid w:val="00140675"/>
    <w:rsid w:val="00142389"/>
    <w:rsid w:val="00151D64"/>
    <w:rsid w:val="00181210"/>
    <w:rsid w:val="0018131D"/>
    <w:rsid w:val="001A6573"/>
    <w:rsid w:val="001C3235"/>
    <w:rsid w:val="001C726E"/>
    <w:rsid w:val="001F1382"/>
    <w:rsid w:val="00202326"/>
    <w:rsid w:val="00204F67"/>
    <w:rsid w:val="002105C1"/>
    <w:rsid w:val="0022219C"/>
    <w:rsid w:val="0023184E"/>
    <w:rsid w:val="0025059B"/>
    <w:rsid w:val="0025236E"/>
    <w:rsid w:val="00254852"/>
    <w:rsid w:val="00262663"/>
    <w:rsid w:val="00262CD6"/>
    <w:rsid w:val="00281CD2"/>
    <w:rsid w:val="00285138"/>
    <w:rsid w:val="00287765"/>
    <w:rsid w:val="0029397E"/>
    <w:rsid w:val="002A5386"/>
    <w:rsid w:val="002B25D5"/>
    <w:rsid w:val="002C3EB1"/>
    <w:rsid w:val="002C7054"/>
    <w:rsid w:val="002E00C8"/>
    <w:rsid w:val="002E6E7C"/>
    <w:rsid w:val="00323250"/>
    <w:rsid w:val="003374F3"/>
    <w:rsid w:val="003465F1"/>
    <w:rsid w:val="00346C71"/>
    <w:rsid w:val="00347D8B"/>
    <w:rsid w:val="0035499A"/>
    <w:rsid w:val="003656A3"/>
    <w:rsid w:val="00386DBD"/>
    <w:rsid w:val="00393D07"/>
    <w:rsid w:val="00395CC1"/>
    <w:rsid w:val="003A3E30"/>
    <w:rsid w:val="003C216E"/>
    <w:rsid w:val="003C441E"/>
    <w:rsid w:val="003E4B02"/>
    <w:rsid w:val="003F4824"/>
    <w:rsid w:val="00411F2C"/>
    <w:rsid w:val="00430C79"/>
    <w:rsid w:val="00443926"/>
    <w:rsid w:val="00445074"/>
    <w:rsid w:val="0045780B"/>
    <w:rsid w:val="00480FFC"/>
    <w:rsid w:val="004853EB"/>
    <w:rsid w:val="00486C87"/>
    <w:rsid w:val="00494FA6"/>
    <w:rsid w:val="004A6235"/>
    <w:rsid w:val="005011CA"/>
    <w:rsid w:val="005048D4"/>
    <w:rsid w:val="005211B0"/>
    <w:rsid w:val="00521BD0"/>
    <w:rsid w:val="0053773E"/>
    <w:rsid w:val="005547A6"/>
    <w:rsid w:val="00554D10"/>
    <w:rsid w:val="00556941"/>
    <w:rsid w:val="005A2D75"/>
    <w:rsid w:val="005B578F"/>
    <w:rsid w:val="005F0B52"/>
    <w:rsid w:val="00602CD4"/>
    <w:rsid w:val="00616C35"/>
    <w:rsid w:val="00634A93"/>
    <w:rsid w:val="00634FA7"/>
    <w:rsid w:val="00647D04"/>
    <w:rsid w:val="00651CBF"/>
    <w:rsid w:val="006562CE"/>
    <w:rsid w:val="00666E45"/>
    <w:rsid w:val="00675A81"/>
    <w:rsid w:val="00697EAA"/>
    <w:rsid w:val="006C0168"/>
    <w:rsid w:val="006D7451"/>
    <w:rsid w:val="0070736E"/>
    <w:rsid w:val="007162A3"/>
    <w:rsid w:val="007628A1"/>
    <w:rsid w:val="00763A6C"/>
    <w:rsid w:val="0077213C"/>
    <w:rsid w:val="007726D5"/>
    <w:rsid w:val="007732FB"/>
    <w:rsid w:val="00777C76"/>
    <w:rsid w:val="00780B16"/>
    <w:rsid w:val="007907A6"/>
    <w:rsid w:val="007920CA"/>
    <w:rsid w:val="00794C94"/>
    <w:rsid w:val="00795507"/>
    <w:rsid w:val="007A28CF"/>
    <w:rsid w:val="007C0065"/>
    <w:rsid w:val="007C6E78"/>
    <w:rsid w:val="007E4BA4"/>
    <w:rsid w:val="007E5798"/>
    <w:rsid w:val="007F6C93"/>
    <w:rsid w:val="008156B7"/>
    <w:rsid w:val="008202C9"/>
    <w:rsid w:val="00826547"/>
    <w:rsid w:val="0083693C"/>
    <w:rsid w:val="00841C99"/>
    <w:rsid w:val="0084330A"/>
    <w:rsid w:val="00844B6D"/>
    <w:rsid w:val="00845420"/>
    <w:rsid w:val="00851D5A"/>
    <w:rsid w:val="00851E6C"/>
    <w:rsid w:val="008955F4"/>
    <w:rsid w:val="00897E2B"/>
    <w:rsid w:val="008A57BA"/>
    <w:rsid w:val="008B3ED7"/>
    <w:rsid w:val="008D2872"/>
    <w:rsid w:val="008E1E3D"/>
    <w:rsid w:val="00904C4E"/>
    <w:rsid w:val="0091662C"/>
    <w:rsid w:val="009242A2"/>
    <w:rsid w:val="00933AD1"/>
    <w:rsid w:val="00954179"/>
    <w:rsid w:val="0097084F"/>
    <w:rsid w:val="00983118"/>
    <w:rsid w:val="009851D8"/>
    <w:rsid w:val="0099246E"/>
    <w:rsid w:val="00992EA6"/>
    <w:rsid w:val="009C38EF"/>
    <w:rsid w:val="009E22C0"/>
    <w:rsid w:val="009E26E7"/>
    <w:rsid w:val="009F74FE"/>
    <w:rsid w:val="00A070FC"/>
    <w:rsid w:val="00A12E83"/>
    <w:rsid w:val="00A14F68"/>
    <w:rsid w:val="00A22BF4"/>
    <w:rsid w:val="00A2661C"/>
    <w:rsid w:val="00A31B4C"/>
    <w:rsid w:val="00A55A92"/>
    <w:rsid w:val="00AA02DF"/>
    <w:rsid w:val="00AA2E0F"/>
    <w:rsid w:val="00AA3340"/>
    <w:rsid w:val="00AA7CC6"/>
    <w:rsid w:val="00AC036F"/>
    <w:rsid w:val="00AE5941"/>
    <w:rsid w:val="00B071A3"/>
    <w:rsid w:val="00B10B9B"/>
    <w:rsid w:val="00B10ED8"/>
    <w:rsid w:val="00B30CDC"/>
    <w:rsid w:val="00B53D50"/>
    <w:rsid w:val="00B56992"/>
    <w:rsid w:val="00B674D7"/>
    <w:rsid w:val="00B717B6"/>
    <w:rsid w:val="00B73E45"/>
    <w:rsid w:val="00B85243"/>
    <w:rsid w:val="00B93241"/>
    <w:rsid w:val="00BB114E"/>
    <w:rsid w:val="00BB7CA9"/>
    <w:rsid w:val="00BD0ECB"/>
    <w:rsid w:val="00BE30ED"/>
    <w:rsid w:val="00C118B6"/>
    <w:rsid w:val="00C23F4D"/>
    <w:rsid w:val="00C26D27"/>
    <w:rsid w:val="00C31768"/>
    <w:rsid w:val="00C33AE7"/>
    <w:rsid w:val="00C50F47"/>
    <w:rsid w:val="00C62F97"/>
    <w:rsid w:val="00C643B0"/>
    <w:rsid w:val="00C86363"/>
    <w:rsid w:val="00C878D8"/>
    <w:rsid w:val="00C904B7"/>
    <w:rsid w:val="00C97E7A"/>
    <w:rsid w:val="00CA1F4E"/>
    <w:rsid w:val="00CB0BC0"/>
    <w:rsid w:val="00CB0C7D"/>
    <w:rsid w:val="00CD0DC0"/>
    <w:rsid w:val="00CD3E84"/>
    <w:rsid w:val="00D04094"/>
    <w:rsid w:val="00D04444"/>
    <w:rsid w:val="00D05009"/>
    <w:rsid w:val="00D12FF6"/>
    <w:rsid w:val="00D151C6"/>
    <w:rsid w:val="00D20776"/>
    <w:rsid w:val="00D27524"/>
    <w:rsid w:val="00D32CC7"/>
    <w:rsid w:val="00D565F8"/>
    <w:rsid w:val="00D66861"/>
    <w:rsid w:val="00D71DE4"/>
    <w:rsid w:val="00D77C0E"/>
    <w:rsid w:val="00DA7193"/>
    <w:rsid w:val="00DB2325"/>
    <w:rsid w:val="00DB2ABE"/>
    <w:rsid w:val="00DD0EF7"/>
    <w:rsid w:val="00DD5F65"/>
    <w:rsid w:val="00DE3127"/>
    <w:rsid w:val="00DE63F5"/>
    <w:rsid w:val="00DF703A"/>
    <w:rsid w:val="00E13C7F"/>
    <w:rsid w:val="00E52A5D"/>
    <w:rsid w:val="00E530E2"/>
    <w:rsid w:val="00E6116A"/>
    <w:rsid w:val="00E71720"/>
    <w:rsid w:val="00E734B9"/>
    <w:rsid w:val="00E80B31"/>
    <w:rsid w:val="00EA20DA"/>
    <w:rsid w:val="00EA61D1"/>
    <w:rsid w:val="00EA7A15"/>
    <w:rsid w:val="00ED59D8"/>
    <w:rsid w:val="00ED615B"/>
    <w:rsid w:val="00EE56CB"/>
    <w:rsid w:val="00EE6363"/>
    <w:rsid w:val="00EF6B07"/>
    <w:rsid w:val="00F05D61"/>
    <w:rsid w:val="00F06B27"/>
    <w:rsid w:val="00F10E7C"/>
    <w:rsid w:val="00F15C4B"/>
    <w:rsid w:val="00F225C0"/>
    <w:rsid w:val="00F3066B"/>
    <w:rsid w:val="00F36C4F"/>
    <w:rsid w:val="00F3780B"/>
    <w:rsid w:val="00F50174"/>
    <w:rsid w:val="00F652A6"/>
    <w:rsid w:val="00F906A4"/>
    <w:rsid w:val="00FC0081"/>
    <w:rsid w:val="00FC7F32"/>
    <w:rsid w:val="00FF7D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0922"/>
  <w15:chartTrackingRefBased/>
  <w15:docId w15:val="{1E9BDACA-4916-4A8A-B023-7ECB95D2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n-a4">
    <w:name w:val="din-a4"/>
    <w:basedOn w:val="Normal"/>
    <w:qFormat/>
    <w:rsid w:val="007F6C93"/>
    <w:pPr>
      <w:spacing w:after="200" w:line="360" w:lineRule="auto"/>
      <w:jc w:val="both"/>
    </w:pPr>
    <w:rPr>
      <w:rFonts w:ascii="Times New Roman" w:hAnsi="Times New Roman" w:cs="Arial"/>
      <w:sz w:val="24"/>
    </w:rPr>
  </w:style>
  <w:style w:type="table" w:styleId="Tablaconcuadrcula">
    <w:name w:val="Table Grid"/>
    <w:basedOn w:val="Tablanormal"/>
    <w:uiPriority w:val="39"/>
    <w:rsid w:val="0022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26D5"/>
    <w:pPr>
      <w:ind w:left="720"/>
      <w:contextualSpacing/>
    </w:pPr>
  </w:style>
  <w:style w:type="paragraph" w:styleId="Textodeglobo">
    <w:name w:val="Balloon Text"/>
    <w:basedOn w:val="Normal"/>
    <w:link w:val="TextodegloboCar"/>
    <w:uiPriority w:val="99"/>
    <w:semiHidden/>
    <w:unhideWhenUsed/>
    <w:rsid w:val="001C32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235"/>
    <w:rPr>
      <w:rFonts w:ascii="Segoe UI" w:hAnsi="Segoe UI" w:cs="Segoe UI"/>
      <w:sz w:val="18"/>
      <w:szCs w:val="18"/>
    </w:rPr>
  </w:style>
  <w:style w:type="character" w:styleId="Hipervnculo">
    <w:name w:val="Hyperlink"/>
    <w:basedOn w:val="Fuentedeprrafopredeter"/>
    <w:uiPriority w:val="99"/>
    <w:unhideWhenUsed/>
    <w:rsid w:val="00BB7CA9"/>
    <w:rPr>
      <w:color w:val="0563C1" w:themeColor="hyperlink"/>
      <w:u w:val="single"/>
    </w:rPr>
  </w:style>
  <w:style w:type="character" w:styleId="Mencinsinresolver">
    <w:name w:val="Unresolved Mention"/>
    <w:basedOn w:val="Fuentedeprrafopredeter"/>
    <w:uiPriority w:val="99"/>
    <w:semiHidden/>
    <w:unhideWhenUsed/>
    <w:rsid w:val="00BB7CA9"/>
    <w:rPr>
      <w:color w:val="605E5C"/>
      <w:shd w:val="clear" w:color="auto" w:fill="E1DFDD"/>
    </w:rPr>
  </w:style>
  <w:style w:type="character" w:customStyle="1" w:styleId="Mencinsinresolver1">
    <w:name w:val="Mención sin resolver1"/>
    <w:basedOn w:val="Fuentedeprrafopredeter"/>
    <w:uiPriority w:val="99"/>
    <w:semiHidden/>
    <w:unhideWhenUsed/>
    <w:rsid w:val="00634FA7"/>
    <w:rPr>
      <w:color w:val="605E5C"/>
      <w:shd w:val="clear" w:color="auto" w:fill="E1DFDD"/>
    </w:rPr>
  </w:style>
  <w:style w:type="character" w:styleId="Refdecomentario">
    <w:name w:val="annotation reference"/>
    <w:basedOn w:val="Fuentedeprrafopredeter"/>
    <w:uiPriority w:val="99"/>
    <w:semiHidden/>
    <w:unhideWhenUsed/>
    <w:rsid w:val="00634FA7"/>
    <w:rPr>
      <w:sz w:val="16"/>
      <w:szCs w:val="16"/>
    </w:rPr>
  </w:style>
  <w:style w:type="paragraph" w:styleId="Textocomentario">
    <w:name w:val="annotation text"/>
    <w:basedOn w:val="Normal"/>
    <w:link w:val="TextocomentarioCar"/>
    <w:uiPriority w:val="99"/>
    <w:semiHidden/>
    <w:unhideWhenUsed/>
    <w:rsid w:val="00634F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4FA7"/>
    <w:rPr>
      <w:sz w:val="20"/>
      <w:szCs w:val="20"/>
    </w:rPr>
  </w:style>
  <w:style w:type="paragraph" w:styleId="Asuntodelcomentario">
    <w:name w:val="annotation subject"/>
    <w:basedOn w:val="Textocomentario"/>
    <w:next w:val="Textocomentario"/>
    <w:link w:val="AsuntodelcomentarioCar"/>
    <w:uiPriority w:val="99"/>
    <w:semiHidden/>
    <w:unhideWhenUsed/>
    <w:rsid w:val="00634FA7"/>
    <w:rPr>
      <w:b/>
      <w:bCs/>
    </w:rPr>
  </w:style>
  <w:style w:type="character" w:customStyle="1" w:styleId="AsuntodelcomentarioCar">
    <w:name w:val="Asunto del comentario Car"/>
    <w:basedOn w:val="TextocomentarioCar"/>
    <w:link w:val="Asuntodelcomentario"/>
    <w:uiPriority w:val="99"/>
    <w:semiHidden/>
    <w:rsid w:val="00634F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x.doi.org/10.1016/j.paid.2016.04.0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3FD5-5C81-4C81-B888-D9E72E91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14</Pages>
  <Words>6467</Words>
  <Characters>35573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Andrés Miranda Rodríguez</dc:creator>
  <cp:keywords/>
  <dc:description/>
  <cp:lastModifiedBy>Rubén Andrés Miranda Rodríguez</cp:lastModifiedBy>
  <cp:revision>92</cp:revision>
  <dcterms:created xsi:type="dcterms:W3CDTF">2018-12-26T15:24:00Z</dcterms:created>
  <dcterms:modified xsi:type="dcterms:W3CDTF">2020-04-16T03:13:00Z</dcterms:modified>
</cp:coreProperties>
</file>