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FD1D" w14:textId="4CD64050" w:rsidR="00D064E1" w:rsidRDefault="00D064E1">
      <w:pPr>
        <w:spacing w:before="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HYPERLINK "https://doi.org/</w:instrText>
      </w:r>
      <w:r w:rsidRPr="00D064E1">
        <w:rPr>
          <w:rFonts w:ascii="Times New Roman" w:eastAsia="Times New Roman" w:hAnsi="Times New Roman" w:cs="Times New Roman"/>
          <w:bCs/>
          <w:sz w:val="24"/>
          <w:szCs w:val="24"/>
        </w:rPr>
        <w:instrText>10.30849/ripijp.v56i1.1301</w:instrText>
      </w:r>
      <w:r>
        <w:rPr>
          <w:rFonts w:ascii="Times New Roman" w:eastAsia="Times New Roman" w:hAnsi="Times New Roman" w:cs="Times New Roman"/>
          <w:bCs/>
          <w:sz w:val="24"/>
          <w:szCs w:val="24"/>
        </w:rPr>
        <w:instrText xml:space="preserve">" </w:instrText>
      </w:r>
      <w:r>
        <w:rPr>
          <w:rFonts w:ascii="Times New Roman" w:eastAsia="Times New Roman" w:hAnsi="Times New Roman" w:cs="Times New Roman"/>
          <w:bCs/>
          <w:sz w:val="24"/>
          <w:szCs w:val="24"/>
        </w:rPr>
        <w:fldChar w:fldCharType="separate"/>
      </w:r>
      <w:r w:rsidRPr="00150D47">
        <w:rPr>
          <w:rStyle w:val="Hipervnculo"/>
          <w:rFonts w:ascii="Times New Roman" w:eastAsia="Times New Roman" w:hAnsi="Times New Roman" w:cs="Times New Roman"/>
          <w:bCs/>
          <w:sz w:val="24"/>
          <w:szCs w:val="24"/>
        </w:rPr>
        <w:t>https://doi.org/</w:t>
      </w:r>
      <w:r w:rsidRPr="00150D47">
        <w:rPr>
          <w:rStyle w:val="Hipervnculo"/>
          <w:rFonts w:ascii="Times New Roman" w:eastAsia="Times New Roman" w:hAnsi="Times New Roman" w:cs="Times New Roman"/>
          <w:bCs/>
          <w:sz w:val="24"/>
          <w:szCs w:val="24"/>
        </w:rPr>
        <w:t>10.30849/ripijp.v56i1.1301</w:t>
      </w:r>
      <w:r>
        <w:rPr>
          <w:rFonts w:ascii="Times New Roman" w:eastAsia="Times New Roman" w:hAnsi="Times New Roman" w:cs="Times New Roman"/>
          <w:bCs/>
          <w:sz w:val="24"/>
          <w:szCs w:val="24"/>
        </w:rPr>
        <w:fldChar w:fldCharType="end"/>
      </w:r>
    </w:p>
    <w:p w14:paraId="6AD3428B" w14:textId="4D3783B5" w:rsidR="00D064E1" w:rsidRPr="00D064E1" w:rsidRDefault="00D064E1">
      <w:pPr>
        <w:spacing w:before="24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Paginación</w:t>
      </w:r>
      <w:proofErr w:type="spellEnd"/>
      <w:r>
        <w:rPr>
          <w:rFonts w:ascii="Times New Roman" w:eastAsia="Times New Roman" w:hAnsi="Times New Roman" w:cs="Times New Roman"/>
          <w:bCs/>
          <w:sz w:val="24"/>
          <w:szCs w:val="24"/>
        </w:rPr>
        <w:t xml:space="preserve"> digital: e1301</w:t>
      </w:r>
    </w:p>
    <w:p w14:paraId="1504B7C3" w14:textId="780D5014" w:rsidR="00911EE2" w:rsidRDefault="00C3734E">
      <w:pPr>
        <w:spacing w:before="24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Treatment</w:t>
      </w:r>
      <w:proofErr w:type="spellEnd"/>
      <w:r>
        <w:rPr>
          <w:rFonts w:ascii="Times New Roman" w:eastAsia="Times New Roman" w:hAnsi="Times New Roman" w:cs="Times New Roman"/>
          <w:b/>
          <w:sz w:val="24"/>
          <w:szCs w:val="24"/>
        </w:rPr>
        <w:t xml:space="preserve"> program for ex-</w:t>
      </w:r>
      <w:proofErr w:type="spellStart"/>
      <w:r>
        <w:rPr>
          <w:rFonts w:ascii="Times New Roman" w:eastAsia="Times New Roman" w:hAnsi="Times New Roman" w:cs="Times New Roman"/>
          <w:b/>
          <w:sz w:val="24"/>
          <w:szCs w:val="24"/>
        </w:rPr>
        <w:t>jailed</w:t>
      </w:r>
      <w:proofErr w:type="spellEnd"/>
      <w:r>
        <w:rPr>
          <w:rFonts w:ascii="Times New Roman" w:eastAsia="Times New Roman" w:hAnsi="Times New Roman" w:cs="Times New Roman"/>
          <w:b/>
          <w:sz w:val="24"/>
          <w:szCs w:val="24"/>
        </w:rPr>
        <w:t xml:space="preserve"> sex offenders in Uruguay: from knowledge to policy.</w:t>
      </w:r>
    </w:p>
    <w:p w14:paraId="3872115B" w14:textId="1CEAD10C" w:rsidR="00911EE2" w:rsidRDefault="00911EE2">
      <w:pPr>
        <w:rPr>
          <w:rFonts w:ascii="Times New Roman" w:eastAsia="Times New Roman" w:hAnsi="Times New Roman" w:cs="Times New Roman"/>
          <w:b/>
          <w:sz w:val="24"/>
          <w:szCs w:val="24"/>
        </w:rPr>
      </w:pPr>
    </w:p>
    <w:p w14:paraId="47F56998" w14:textId="77777777"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Raquel Galeotti-Galmés</w:t>
      </w:r>
    </w:p>
    <w:p w14:paraId="0E662D82" w14:textId="0329F7D4" w:rsidR="00107FBF" w:rsidRDefault="00107FBF" w:rsidP="00EB15E2">
      <w:pPr>
        <w:spacing w:line="360" w:lineRule="auto"/>
        <w:jc w:val="both"/>
        <w:rPr>
          <w:rFonts w:ascii="Times New Roman" w:eastAsia="Times New Roman" w:hAnsi="Times New Roman" w:cs="Times New Roman"/>
          <w:sz w:val="24"/>
          <w:szCs w:val="24"/>
        </w:rPr>
      </w:pPr>
      <w:hyperlink r:id="rId7" w:history="1">
        <w:r w:rsidRPr="00150D47">
          <w:rPr>
            <w:rStyle w:val="Hipervnculo"/>
            <w:rFonts w:ascii="Times New Roman" w:eastAsia="Times New Roman" w:hAnsi="Times New Roman" w:cs="Times New Roman"/>
            <w:sz w:val="24"/>
            <w:szCs w:val="24"/>
          </w:rPr>
          <w:t>https://orcid.org/0000-0002-8279-9877</w:t>
        </w:r>
      </w:hyperlink>
    </w:p>
    <w:p w14:paraId="4396A641" w14:textId="0D5EF192" w:rsidR="00EB15E2" w:rsidRP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Universidad</w:t>
      </w:r>
      <w:proofErr w:type="spellEnd"/>
      <w:r w:rsidRPr="00EB15E2">
        <w:rPr>
          <w:rFonts w:ascii="Times New Roman" w:eastAsia="Times New Roman" w:hAnsi="Times New Roman" w:cs="Times New Roman"/>
          <w:sz w:val="24"/>
          <w:szCs w:val="24"/>
        </w:rPr>
        <w:t xml:space="preserve"> de la </w:t>
      </w:r>
      <w:proofErr w:type="spellStart"/>
      <w:r w:rsidRPr="00EB15E2">
        <w:rPr>
          <w:rFonts w:ascii="Times New Roman" w:eastAsia="Times New Roman" w:hAnsi="Times New Roman" w:cs="Times New Roman"/>
          <w:sz w:val="24"/>
          <w:szCs w:val="24"/>
        </w:rPr>
        <w:t>República</w:t>
      </w:r>
      <w:proofErr w:type="spellEnd"/>
      <w:r w:rsidRPr="00EB15E2">
        <w:rPr>
          <w:rFonts w:ascii="Times New Roman" w:eastAsia="Times New Roman" w:hAnsi="Times New Roman" w:cs="Times New Roman"/>
          <w:sz w:val="24"/>
          <w:szCs w:val="24"/>
        </w:rPr>
        <w:t>, Montevideo, Uruguay</w:t>
      </w:r>
      <w:r>
        <w:rPr>
          <w:rFonts w:ascii="Times New Roman" w:eastAsia="Times New Roman" w:hAnsi="Times New Roman" w:cs="Times New Roman"/>
          <w:sz w:val="24"/>
          <w:szCs w:val="24"/>
        </w:rPr>
        <w:t>.</w:t>
      </w:r>
    </w:p>
    <w:p w14:paraId="2888D402" w14:textId="77777777" w:rsidR="00EB15E2" w:rsidRDefault="00EB15E2" w:rsidP="00EB15E2">
      <w:pPr>
        <w:spacing w:line="360" w:lineRule="auto"/>
        <w:jc w:val="both"/>
        <w:rPr>
          <w:rFonts w:ascii="Times New Roman" w:eastAsia="Times New Roman" w:hAnsi="Times New Roman" w:cs="Times New Roman"/>
          <w:sz w:val="24"/>
          <w:szCs w:val="24"/>
        </w:rPr>
      </w:pPr>
    </w:p>
    <w:p w14:paraId="6BD630C3" w14:textId="63E35859"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 xml:space="preserve">Laura </w:t>
      </w:r>
      <w:proofErr w:type="spellStart"/>
      <w:r w:rsidRPr="00EB15E2">
        <w:rPr>
          <w:rFonts w:ascii="Times New Roman" w:eastAsia="Times New Roman" w:hAnsi="Times New Roman" w:cs="Times New Roman"/>
          <w:sz w:val="24"/>
          <w:szCs w:val="24"/>
        </w:rPr>
        <w:t>López</w:t>
      </w:r>
      <w:proofErr w:type="spellEnd"/>
      <w:r w:rsidRPr="00EB15E2">
        <w:rPr>
          <w:rFonts w:ascii="Times New Roman" w:eastAsia="Times New Roman" w:hAnsi="Times New Roman" w:cs="Times New Roman"/>
          <w:sz w:val="24"/>
          <w:szCs w:val="24"/>
        </w:rPr>
        <w:t>-Gallego</w:t>
      </w:r>
    </w:p>
    <w:p w14:paraId="382242A9" w14:textId="0F645C03" w:rsidR="00933EE3" w:rsidRPr="00107FBF" w:rsidRDefault="00107FBF" w:rsidP="00030412">
      <w:pPr>
        <w:spacing w:line="360" w:lineRule="auto"/>
        <w:jc w:val="both"/>
        <w:rPr>
          <w:rFonts w:ascii="Times New Roman" w:eastAsia="Times New Roman" w:hAnsi="Times New Roman" w:cs="Times New Roman"/>
          <w:sz w:val="24"/>
          <w:szCs w:val="24"/>
        </w:rPr>
      </w:pPr>
      <w:hyperlink r:id="rId8" w:history="1">
        <w:r w:rsidRPr="00150D47">
          <w:rPr>
            <w:rStyle w:val="Hipervnculo"/>
            <w:rFonts w:ascii="Times New Roman" w:eastAsia="Times New Roman" w:hAnsi="Times New Roman" w:cs="Times New Roman"/>
            <w:sz w:val="24"/>
            <w:szCs w:val="24"/>
          </w:rPr>
          <w:t>https://orcid.org/</w:t>
        </w:r>
        <w:r w:rsidRPr="00150D47">
          <w:rPr>
            <w:rStyle w:val="Hipervnculo"/>
            <w:rFonts w:ascii="Times New Roman" w:eastAsia="Times New Roman" w:hAnsi="Times New Roman" w:cs="Times New Roman"/>
            <w:sz w:val="24"/>
            <w:szCs w:val="24"/>
          </w:rPr>
          <w:t>0000-0003-3413-8537</w:t>
        </w:r>
      </w:hyperlink>
      <w:r>
        <w:rPr>
          <w:rFonts w:ascii="Times New Roman" w:eastAsia="Times New Roman" w:hAnsi="Times New Roman" w:cs="Times New Roman"/>
          <w:sz w:val="24"/>
          <w:szCs w:val="24"/>
        </w:rPr>
        <w:t xml:space="preserve"> </w:t>
      </w:r>
    </w:p>
    <w:p w14:paraId="5EE156BF" w14:textId="60690644" w:rsid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Universidad de la República, Montevideo, Uruguay</w:t>
      </w:r>
      <w:r>
        <w:rPr>
          <w:rFonts w:ascii="Times New Roman" w:eastAsia="Times New Roman" w:hAnsi="Times New Roman" w:cs="Times New Roman"/>
          <w:sz w:val="24"/>
          <w:szCs w:val="24"/>
        </w:rPr>
        <w:t>.</w:t>
      </w:r>
    </w:p>
    <w:p w14:paraId="6B84D049" w14:textId="77777777" w:rsidR="00EB15E2" w:rsidRDefault="00EB15E2" w:rsidP="00EB15E2">
      <w:pPr>
        <w:spacing w:line="360" w:lineRule="auto"/>
        <w:jc w:val="both"/>
        <w:rPr>
          <w:rFonts w:ascii="Times New Roman" w:eastAsia="Times New Roman" w:hAnsi="Times New Roman" w:cs="Times New Roman"/>
          <w:sz w:val="24"/>
          <w:szCs w:val="24"/>
        </w:rPr>
      </w:pPr>
    </w:p>
    <w:p w14:paraId="776275D3" w14:textId="23C13330" w:rsidR="00EB15E2" w:rsidRDefault="00EB15E2" w:rsidP="00EB15E2">
      <w:pPr>
        <w:spacing w:line="360" w:lineRule="auto"/>
        <w:jc w:val="both"/>
        <w:rPr>
          <w:rFonts w:ascii="Times New Roman" w:eastAsia="Times New Roman" w:hAnsi="Times New Roman" w:cs="Times New Roman"/>
          <w:sz w:val="24"/>
          <w:szCs w:val="24"/>
        </w:rPr>
      </w:pPr>
      <w:proofErr w:type="spellStart"/>
      <w:r w:rsidRPr="00EB15E2">
        <w:rPr>
          <w:rFonts w:ascii="Times New Roman" w:eastAsia="Times New Roman" w:hAnsi="Times New Roman" w:cs="Times New Roman"/>
          <w:sz w:val="24"/>
          <w:szCs w:val="24"/>
        </w:rPr>
        <w:t>Alejandra</w:t>
      </w:r>
      <w:proofErr w:type="spellEnd"/>
      <w:r w:rsidRPr="00EB15E2">
        <w:rPr>
          <w:rFonts w:ascii="Times New Roman" w:eastAsia="Times New Roman" w:hAnsi="Times New Roman" w:cs="Times New Roman"/>
          <w:sz w:val="24"/>
          <w:szCs w:val="24"/>
        </w:rPr>
        <w:t xml:space="preserve"> </w:t>
      </w:r>
      <w:proofErr w:type="spellStart"/>
      <w:r w:rsidRPr="00EB15E2">
        <w:rPr>
          <w:rFonts w:ascii="Times New Roman" w:eastAsia="Times New Roman" w:hAnsi="Times New Roman" w:cs="Times New Roman"/>
          <w:sz w:val="24"/>
          <w:szCs w:val="24"/>
        </w:rPr>
        <w:t>López-Gómez</w:t>
      </w:r>
      <w:proofErr w:type="spellEnd"/>
    </w:p>
    <w:p w14:paraId="48C07AF9" w14:textId="2A08856C" w:rsidR="00E34CC7" w:rsidRDefault="00107FBF" w:rsidP="00EB15E2">
      <w:pPr>
        <w:spacing w:line="360" w:lineRule="auto"/>
        <w:jc w:val="both"/>
        <w:rPr>
          <w:rFonts w:ascii="Times New Roman" w:eastAsia="Times New Roman" w:hAnsi="Times New Roman" w:cs="Times New Roman"/>
          <w:sz w:val="24"/>
          <w:szCs w:val="24"/>
        </w:rPr>
      </w:pPr>
      <w:hyperlink r:id="rId9" w:history="1">
        <w:r w:rsidRPr="00150D47">
          <w:rPr>
            <w:rStyle w:val="Hipervnculo"/>
            <w:rFonts w:ascii="Times New Roman" w:eastAsia="Times New Roman" w:hAnsi="Times New Roman" w:cs="Times New Roman"/>
            <w:sz w:val="24"/>
            <w:szCs w:val="24"/>
          </w:rPr>
          <w:t>https://orcid.org/</w:t>
        </w:r>
        <w:r w:rsidRPr="00150D47">
          <w:rPr>
            <w:rStyle w:val="Hipervnculo"/>
            <w:rFonts w:ascii="Times New Roman" w:eastAsia="Times New Roman" w:hAnsi="Times New Roman" w:cs="Times New Roman"/>
            <w:sz w:val="24"/>
            <w:szCs w:val="24"/>
          </w:rPr>
          <w:t>0000-0001-9975-7297</w:t>
        </w:r>
      </w:hyperlink>
      <w:r>
        <w:rPr>
          <w:rFonts w:ascii="Times New Roman" w:eastAsia="Times New Roman" w:hAnsi="Times New Roman" w:cs="Times New Roman"/>
          <w:sz w:val="24"/>
          <w:szCs w:val="24"/>
        </w:rPr>
        <w:t xml:space="preserve"> </w:t>
      </w:r>
    </w:p>
    <w:p w14:paraId="163360EE" w14:textId="50BB9E9B" w:rsidR="00EB15E2" w:rsidRPr="00EB15E2" w:rsidRDefault="00EB15E2" w:rsidP="00EB15E2">
      <w:pPr>
        <w:spacing w:line="360" w:lineRule="auto"/>
        <w:jc w:val="both"/>
        <w:rPr>
          <w:rFonts w:ascii="Times New Roman" w:eastAsia="Times New Roman" w:hAnsi="Times New Roman" w:cs="Times New Roman"/>
          <w:sz w:val="24"/>
          <w:szCs w:val="24"/>
        </w:rPr>
      </w:pPr>
      <w:r w:rsidRPr="00EB15E2">
        <w:rPr>
          <w:rFonts w:ascii="Times New Roman" w:eastAsia="Times New Roman" w:hAnsi="Times New Roman" w:cs="Times New Roman"/>
          <w:sz w:val="24"/>
          <w:szCs w:val="24"/>
        </w:rPr>
        <w:t>Universidad de la República, Montevideo, Uruguay</w:t>
      </w:r>
      <w:r>
        <w:rPr>
          <w:rFonts w:ascii="Times New Roman" w:eastAsia="Times New Roman" w:hAnsi="Times New Roman" w:cs="Times New Roman"/>
          <w:sz w:val="24"/>
          <w:szCs w:val="24"/>
        </w:rPr>
        <w:t>.</w:t>
      </w:r>
    </w:p>
    <w:p w14:paraId="2688C67C" w14:textId="6833485A" w:rsidR="00EB15E2" w:rsidRDefault="00EB15E2" w:rsidP="00EB15E2">
      <w:pPr>
        <w:spacing w:before="240" w:line="240" w:lineRule="auto"/>
        <w:jc w:val="both"/>
        <w:rPr>
          <w:rFonts w:ascii="Times New Roman" w:eastAsia="Times New Roman" w:hAnsi="Times New Roman" w:cs="Times New Roman"/>
          <w:sz w:val="24"/>
          <w:szCs w:val="24"/>
        </w:rPr>
      </w:pPr>
    </w:p>
    <w:p w14:paraId="0866C45E" w14:textId="0C0C70EA" w:rsidR="00EB15E2" w:rsidRPr="00CE66C9" w:rsidRDefault="00EB15E2" w:rsidP="00EB15E2">
      <w:pPr>
        <w:pStyle w:val="Prrafodelista"/>
        <w:numPr>
          <w:ilvl w:val="0"/>
          <w:numId w:val="1"/>
        </w:numPr>
        <w:rPr>
          <w:lang w:val="en-US"/>
        </w:rPr>
      </w:pPr>
      <w:r w:rsidRPr="00CE66C9">
        <w:rPr>
          <w:lang w:val="en-US"/>
        </w:rPr>
        <w:t xml:space="preserve">Correspondence about this article should be addressed to </w:t>
      </w:r>
      <w:r w:rsidRPr="00EB15E2">
        <w:rPr>
          <w:lang w:val="en-US"/>
        </w:rPr>
        <w:t xml:space="preserve">Raquel </w:t>
      </w:r>
      <w:proofErr w:type="spellStart"/>
      <w:r w:rsidRPr="00EB15E2">
        <w:rPr>
          <w:lang w:val="en-US"/>
        </w:rPr>
        <w:t>Galeotti-Galmés</w:t>
      </w:r>
      <w:proofErr w:type="spellEnd"/>
      <w:r w:rsidRPr="00CE66C9">
        <w:rPr>
          <w:lang w:val="en-US"/>
        </w:rPr>
        <w:t xml:space="preserve">: </w:t>
      </w:r>
      <w:hyperlink r:id="rId10" w:history="1">
        <w:r w:rsidRPr="00150D47">
          <w:rPr>
            <w:rStyle w:val="Hipervnculo"/>
            <w:lang w:val="en-US"/>
          </w:rPr>
          <w:t>galeotti@psico.edu.uy</w:t>
        </w:r>
      </w:hyperlink>
      <w:r>
        <w:rPr>
          <w:lang w:val="en-US"/>
        </w:rPr>
        <w:t xml:space="preserve"> </w:t>
      </w:r>
    </w:p>
    <w:p w14:paraId="6987F827" w14:textId="77777777" w:rsidR="00EB15E2" w:rsidRDefault="00EB15E2" w:rsidP="00EB15E2">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2047DE3D" w14:textId="0B1A41F1"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Received:</w:t>
      </w:r>
      <w:r w:rsidRPr="00F81F8F">
        <w:rPr>
          <w:lang w:val="en-US"/>
        </w:rPr>
        <w:t xml:space="preserve"> </w:t>
      </w:r>
      <w:r w:rsidR="009603C0" w:rsidRPr="009603C0">
        <w:rPr>
          <w:i/>
          <w:iCs/>
          <w:sz w:val="20"/>
          <w:szCs w:val="20"/>
          <w:lang w:val="en-US"/>
        </w:rPr>
        <w:t>2020-05-13</w:t>
      </w:r>
    </w:p>
    <w:p w14:paraId="00259D7C" w14:textId="02A0CD48" w:rsidR="00EB15E2" w:rsidRPr="009065C9" w:rsidRDefault="00EB15E2" w:rsidP="00EB15E2">
      <w:pPr>
        <w:pStyle w:val="Prrafodelista"/>
        <w:shd w:val="clear" w:color="auto" w:fill="FFFFFF"/>
        <w:jc w:val="right"/>
        <w:rPr>
          <w:i/>
          <w:iCs/>
          <w:sz w:val="20"/>
          <w:szCs w:val="20"/>
          <w:lang w:val="en-US"/>
        </w:rPr>
      </w:pPr>
      <w:r w:rsidRPr="009065C9">
        <w:rPr>
          <w:i/>
          <w:iCs/>
          <w:sz w:val="20"/>
          <w:szCs w:val="20"/>
          <w:lang w:val="en-US"/>
        </w:rPr>
        <w:t>Accepted:</w:t>
      </w:r>
      <w:r w:rsidRPr="00F81F8F">
        <w:rPr>
          <w:lang w:val="en-US"/>
        </w:rPr>
        <w:t xml:space="preserve"> </w:t>
      </w:r>
      <w:r w:rsidR="009603C0" w:rsidRPr="009603C0">
        <w:rPr>
          <w:i/>
          <w:iCs/>
          <w:sz w:val="20"/>
          <w:szCs w:val="20"/>
          <w:lang w:val="en-US"/>
        </w:rPr>
        <w:t>2022-04-15</w:t>
      </w:r>
    </w:p>
    <w:p w14:paraId="126BA593" w14:textId="77777777" w:rsidR="00EB15E2" w:rsidRPr="00EB15E2" w:rsidRDefault="00EB15E2" w:rsidP="00EB15E2">
      <w:pPr>
        <w:spacing w:before="240" w:line="240" w:lineRule="auto"/>
        <w:jc w:val="both"/>
        <w:rPr>
          <w:rFonts w:ascii="Times New Roman" w:eastAsia="Times New Roman" w:hAnsi="Times New Roman" w:cs="Times New Roman"/>
          <w:sz w:val="24"/>
          <w:szCs w:val="24"/>
        </w:rPr>
      </w:pPr>
    </w:p>
    <w:p w14:paraId="7D0DFE89" w14:textId="77777777" w:rsidR="00EB15E2" w:rsidRDefault="00EB15E2">
      <w:pPr>
        <w:rPr>
          <w:rFonts w:ascii="Times New Roman" w:eastAsia="Times New Roman" w:hAnsi="Times New Roman" w:cs="Times New Roman"/>
          <w:b/>
          <w:sz w:val="24"/>
          <w:szCs w:val="24"/>
        </w:rPr>
      </w:pPr>
    </w:p>
    <w:p w14:paraId="0B10A003" w14:textId="6A2C71F4" w:rsidR="00911EE2" w:rsidRPr="00EB15E2" w:rsidRDefault="00EB15E2" w:rsidP="00EB15E2">
      <w:pPr>
        <w:jc w:val="center"/>
        <w:rPr>
          <w:rFonts w:ascii="Times New Roman" w:eastAsia="Times New Roman" w:hAnsi="Times New Roman" w:cs="Times New Roman"/>
          <w:b/>
          <w:bCs/>
          <w:sz w:val="24"/>
          <w:szCs w:val="24"/>
        </w:rPr>
      </w:pPr>
      <w:r w:rsidRPr="00EB15E2">
        <w:rPr>
          <w:rFonts w:ascii="Times New Roman" w:eastAsia="Times New Roman" w:hAnsi="Times New Roman" w:cs="Times New Roman"/>
          <w:b/>
          <w:bCs/>
          <w:sz w:val="24"/>
          <w:szCs w:val="24"/>
        </w:rPr>
        <w:t>Abstract</w:t>
      </w:r>
    </w:p>
    <w:p w14:paraId="37A426E5" w14:textId="244C74AC" w:rsidR="00911EE2" w:rsidRPr="00EB15E2" w:rsidRDefault="00C3734E" w:rsidP="00EB15E2">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In this article, we discuss the process of implementing a pilot program of the treatment of sex offenders in Uruguay. We implemented an intervention-research based on the case study method delimited in terms of institutional and thematic scenarios; a national public institution whose main objective is the socio-labor and community inclusion of formerly incarcerated people. The data collection took place between February and October 2018, through group interviews with the technical team of the program and semi-structured interviews with the directorate. We present the analyzed theoretical and technical dimensions involved in the implementation of a community-based program for sexual offenders, according to two analytical lines: the specificity of the approach towards sexual offenders and the conceptions of the key institutional actors surrounding sexual violence.</w:t>
      </w:r>
    </w:p>
    <w:p w14:paraId="2F74E25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Sexual violence; Sexual offenders; Community Treatment; Case study. </w:t>
      </w:r>
    </w:p>
    <w:p w14:paraId="321B80C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5959F8" w14:textId="77777777" w:rsidR="00E165FE" w:rsidRDefault="00E165FE" w:rsidP="00EB15E2">
      <w:pPr>
        <w:rPr>
          <w:rFonts w:ascii="Times New Roman" w:eastAsia="Times New Roman" w:hAnsi="Times New Roman" w:cs="Times New Roman"/>
          <w:b/>
          <w:sz w:val="24"/>
          <w:szCs w:val="24"/>
        </w:rPr>
      </w:pPr>
    </w:p>
    <w:p w14:paraId="5F9B66A7" w14:textId="77777777" w:rsidR="00E165FE" w:rsidRDefault="00E165FE" w:rsidP="00EB15E2">
      <w:pPr>
        <w:rPr>
          <w:rFonts w:ascii="Times New Roman" w:eastAsia="Times New Roman" w:hAnsi="Times New Roman" w:cs="Times New Roman"/>
          <w:b/>
          <w:sz w:val="24"/>
          <w:szCs w:val="24"/>
        </w:rPr>
      </w:pPr>
    </w:p>
    <w:p w14:paraId="21FB5C6D" w14:textId="62DD51E3" w:rsidR="00EB15E2" w:rsidRPr="00EB15E2" w:rsidRDefault="00EB15E2" w:rsidP="00EB15E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 de tratamiento para delincuentes sexuales excarcelados en Uruguay: del conocimiento a la política. </w:t>
      </w:r>
    </w:p>
    <w:p w14:paraId="60496B51" w14:textId="69DE9320" w:rsidR="00911EE2" w:rsidRPr="00EB15E2" w:rsidRDefault="00C3734E" w:rsidP="00EB15E2">
      <w:pPr>
        <w:spacing w:line="240" w:lineRule="auto"/>
        <w:jc w:val="center"/>
        <w:rPr>
          <w:rFonts w:ascii="Times New Roman" w:eastAsia="Times New Roman" w:hAnsi="Times New Roman" w:cs="Times New Roman"/>
          <w:b/>
          <w:bCs/>
          <w:sz w:val="24"/>
          <w:szCs w:val="24"/>
        </w:rPr>
      </w:pPr>
      <w:r w:rsidRPr="00EB15E2">
        <w:rPr>
          <w:rFonts w:ascii="Times New Roman" w:eastAsia="Times New Roman" w:hAnsi="Times New Roman" w:cs="Times New Roman"/>
          <w:b/>
          <w:bCs/>
          <w:sz w:val="24"/>
          <w:szCs w:val="24"/>
        </w:rPr>
        <w:t>Resumen</w:t>
      </w:r>
    </w:p>
    <w:p w14:paraId="6C2E6B4D" w14:textId="1F8C712D" w:rsidR="00911EE2" w:rsidRDefault="00C3734E" w:rsidP="00EB15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discutimos el proceso de implementación de un programa piloto de tratamiento de ofensores sexuales en Uruguay. Implementamos una investigación-intervención basada en el método de estudio de caso, delimitado en términos de escenarios institucionales y temáticos; una institución pública nacional cuyo principal objetivo es la inserción socio-laboral y comunitaria de personas anteriormente encarceladas. La recolección de datos se llevó a cabo entre febrero y octubre de 2018, a través de entrevistas grupales con el equipo técnico del programa y entrevistas semidirigidas con la dirección. Presentamos las dimensiones teóricas y técnicas analizadas implicadas en la implementación de un programa comunitario para delincuentes sexuales, de acuerdo con dos líneas analíticas: la especificidad del enfoque hacia los delincuentes sexuales y las concepciones de los actores institucionales relevantes en torno a la violencia sexual. </w:t>
      </w:r>
    </w:p>
    <w:p w14:paraId="4BD7473B"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Violencia sexual; Ofensores sexuales; Tratamiento comunitario; Estudio de caso</w:t>
      </w:r>
    </w:p>
    <w:p w14:paraId="1CD48FC2" w14:textId="77777777" w:rsidR="00911EE2" w:rsidRDefault="00911EE2">
      <w:pPr>
        <w:spacing w:line="240" w:lineRule="auto"/>
        <w:rPr>
          <w:rFonts w:ascii="Times New Roman" w:eastAsia="Times New Roman" w:hAnsi="Times New Roman" w:cs="Times New Roman"/>
          <w:b/>
          <w:sz w:val="24"/>
          <w:szCs w:val="24"/>
        </w:rPr>
      </w:pPr>
    </w:p>
    <w:p w14:paraId="219BB97B" w14:textId="77777777" w:rsidR="00911EE2" w:rsidRDefault="00911EE2">
      <w:pPr>
        <w:spacing w:line="240" w:lineRule="auto"/>
        <w:rPr>
          <w:rFonts w:ascii="Times New Roman" w:eastAsia="Times New Roman" w:hAnsi="Times New Roman" w:cs="Times New Roman"/>
          <w:b/>
          <w:sz w:val="24"/>
          <w:szCs w:val="24"/>
        </w:rPr>
      </w:pPr>
    </w:p>
    <w:p w14:paraId="6E275968" w14:textId="77777777" w:rsidR="00911EE2" w:rsidRDefault="00911EE2">
      <w:pPr>
        <w:spacing w:line="240" w:lineRule="auto"/>
        <w:rPr>
          <w:rFonts w:ascii="Times New Roman" w:eastAsia="Times New Roman" w:hAnsi="Times New Roman" w:cs="Times New Roman"/>
          <w:b/>
          <w:sz w:val="24"/>
          <w:szCs w:val="24"/>
        </w:rPr>
      </w:pPr>
    </w:p>
    <w:p w14:paraId="769DCDAF" w14:textId="77777777" w:rsidR="00911EE2" w:rsidRDefault="00911EE2">
      <w:pPr>
        <w:spacing w:line="240" w:lineRule="auto"/>
        <w:rPr>
          <w:rFonts w:ascii="Times New Roman" w:eastAsia="Times New Roman" w:hAnsi="Times New Roman" w:cs="Times New Roman"/>
          <w:b/>
          <w:sz w:val="24"/>
          <w:szCs w:val="24"/>
        </w:rPr>
      </w:pPr>
    </w:p>
    <w:p w14:paraId="1EE8A9CA" w14:textId="77777777" w:rsidR="00911EE2" w:rsidRDefault="00911EE2">
      <w:pPr>
        <w:spacing w:line="240" w:lineRule="auto"/>
        <w:rPr>
          <w:rFonts w:ascii="Times New Roman" w:eastAsia="Times New Roman" w:hAnsi="Times New Roman" w:cs="Times New Roman"/>
          <w:b/>
          <w:sz w:val="24"/>
          <w:szCs w:val="24"/>
        </w:rPr>
      </w:pPr>
    </w:p>
    <w:p w14:paraId="5EC65D8F" w14:textId="5D019FEB" w:rsidR="00EA1954" w:rsidRDefault="00EA19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B91C800"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2B2816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1AA78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analyzes the process of the implementation of a treatment program with sex offenders in Uruguay coordinated between a government agency in charge of the social and community inclusion  of formerly incarcerated persons and an academic program with an outstanding track record in the field of studies of sexuality, gender violence, and health.</w:t>
      </w:r>
    </w:p>
    <w:p w14:paraId="3A9ABE5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the term sexual offender proposed by the International Association for the Treatment of Sexual Offender (IATSO, 2020) to refer to those who have committed a sexual offense.  We also take into account their basic and ethical principles to later use in the treatment. In Uruguay, sexual crime refers to all sexual behaviors exercised with coercion concerning physical, verbal, visual or contact called sexual abuse, aggravated sexual abuse (rape), commercial and non-commercial sexual exploitation (Chapter VI. Criminal Rules, Law No. 19580 Violence against women based on gender, 2017; Law 17815, Commercial or non-commercial sexual violence against children, adolescents or the disabled, 2004).</w:t>
      </w:r>
    </w:p>
    <w:p w14:paraId="5D84F29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violence is considered an expression of gender violence because of its relationship with the social inequalities of power between men and women. At present, it constitutes a social problem in terms of human rights and public health, being one of the most complex issues for the development of interventions and comprehensive approaches. Sexual  violence has gained increasing visibility in our country in recent years (Magnone et al., 2016; PAHO, 2013). As Inés Hercovich (1992) has pointed out, the block of images on sexual violence that operates in the cultural collective imagination makes it difficult to see the variability of its manifestations as well as to recognize the various profiles of sexual offenders.</w:t>
      </w:r>
    </w:p>
    <w:p w14:paraId="505B3C4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Health Organization defines sexual violence as “any sexual act, the attempt to consummate a sexual act, unwanted sexual comments or innuendoes, or actions to market or otherwise use a person’s sexuality through coercion of another person, regardless of their relationship with the victim, in any field, including the home or workplace” (WHO, 2011 p. 2). It includes various expressions such as sexual intercourse under coercion in a relationship or while dating, rape by strangers, systematic links during armed conflicts, sexual harassment, sexual abuse of children, commercial and non-commercial sexual exploitation and trafficking in persons, early marriages, grooming or cyberbullying -in social networks-, among others. At the global level, the evidence shows that men commit most sexual assaults, and in some countries, almost one in four women report having been victims of sexual violence by their partners. In turn, up to a third of adolescents have suffered forced sexual initiation (WHO, 2002).</w:t>
      </w:r>
    </w:p>
    <w:p w14:paraId="5725780B"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official information, in the period from January to September 2019 in Uruguay, there were 975 complaints of sexual violence in all of its forms, which means an increase of 204% for the same period of 2018 (Observatory of Criminality and Violence of the Ministry of the Interior, 2019). In 2018, 99 criminal proceedings were initiated for sexual abuse and aggravated sexual abuse and 23 for commercial and non-commercial sexual exploitation of children, adolescents, or people with disabilities throughout the country (Department of Statistics, Judiciary, 2018).</w:t>
      </w:r>
    </w:p>
    <w:p w14:paraId="537B139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Uruguayan state has developed a national policy and devices for the care of victims of gender-based violence, which, despite limitations, is an important public response that attempts to address those most affected. Public programs of caringa and to treatment children, adolescents, and women victims of gender and sexual violence have been implemented (MIDES, 2017). More recently, in the national health system, there are protocols for assistance to victims of sexual violence that are implemented in public services. However, they are still poorly understood by the population. (MSP, SIPIAV &amp; UNICEF, 2018).</w:t>
      </w:r>
    </w:p>
    <w:p w14:paraId="33AA65C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policies  of the Uruguayan state for the attention towards sexual offenders is recent. In 2016, the Ministry of the Interior promoted the development of policies to encourage the </w:t>
      </w:r>
      <w:r>
        <w:rPr>
          <w:rFonts w:ascii="Times New Roman" w:eastAsia="Times New Roman" w:hAnsi="Times New Roman" w:cs="Times New Roman"/>
          <w:sz w:val="24"/>
          <w:szCs w:val="24"/>
        </w:rPr>
        <w:lastRenderedPageBreak/>
        <w:t>reintegration and social inclusion of people released in coordination with other social, public security, and citizen coexistence policies contained in Law 19,355 of that year. In this framework, an agreement between this Ministry and the Facultad de Psicología of the Universidad de la República is being carried out with the first objective being the training of technicians for the care and treatment of formerly imprisoned sex offenders. Subsequently, the second objective is the technical assistance in the design and implementation of a program of comprehensive care for sexual offenders. The work process took place between September 2016 and October 2018. To guide these objectives we rely on the recommendations of international organizations on basic principles for the management of sexual crime: a) interventions must be based on evaluation and re-evaluation of risk, b) the factors involved must be specific to criminal behavior, c) the specialized promotion of intervention agents and d) possibilities for community participation (United Nations, 2013). Taking into account the requirements of the public body, we implement an intervention-research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to achieve the defined objectives.</w:t>
      </w:r>
    </w:p>
    <w:p w14:paraId="2B0FAE22"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the results of the work carried out with a focus on the last phase that took place between February and October 2018, which addressedthe commissioning of the pilot program for the treatment of sexual offenders. This program is implemented in a community and post-penitentiary environment without a direct relationship with criminal justice, which poses particular challenges for professionals and the institution. The most relevant is its foundational character in our country, as it is the first public program aimed at this population to reduce recidivism. It has a voluntary nature, and it is accessible through an institution of the state that works with the social reintegration of people released from prison. </w:t>
      </w:r>
    </w:p>
    <w:p w14:paraId="1398073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requires the institution to modify some of its work modalities, manage coordination, design, and relationship with other public organizations of the state, with the academy and with civil society organizations. Adding to the aforementioned incorporation of theoretical-technical approaches that were not included in the disciplinary training of the professionals of the technical team. In particular, the management of standardized instruments for the assessment of risk and detection of specific needs related to sexual crime and the design of theoretical-practical tools from cognitive approaches, psychoeducation and guidelines from Positive Psychology proposed by the GLM (Hanson &amp; Yates, 2013; Marshall, et al., 2015).</w:t>
      </w:r>
    </w:p>
    <w:p w14:paraId="4A59EA60" w14:textId="77777777" w:rsidR="00911EE2" w:rsidRDefault="00911EE2">
      <w:pPr>
        <w:spacing w:line="240" w:lineRule="auto"/>
        <w:jc w:val="both"/>
        <w:rPr>
          <w:rFonts w:ascii="Times New Roman" w:eastAsia="Times New Roman" w:hAnsi="Times New Roman" w:cs="Times New Roman"/>
          <w:sz w:val="24"/>
          <w:szCs w:val="24"/>
        </w:rPr>
      </w:pPr>
    </w:p>
    <w:p w14:paraId="76814874" w14:textId="77777777" w:rsidR="00911EE2" w:rsidRDefault="00C3734E">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of sex offenders</w:t>
      </w:r>
    </w:p>
    <w:p w14:paraId="58C5735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literature indicates that the category of sex offender refers to a heterogeneous group of people with different profiles based on different emphasis: sexual motivation and interest, psychosocial functioning, psychological aspects (González er al., 2004; Herrero, 2013; Larrotta and Rangel-Noriega, 2013; de Almeida et al., 2013). A general classification based on the review of publications (Robertiello &amp; Terry, 2007) groups them into: a) rapists, where you can distinguish some of them because of their sexual or sadistic motivation, financial motivation, and those motivated by the exercise of power/control and opportunists are distinguished; b) sexual abusers of children, intrafamilial and extrafamilial. They share manipulative and preparative characteristics towards victims within what is called abusive dynamics; c) female sex offenders, of which little information is reported although it is established that abusive acts perpetrated by women usually occur in the context of an interpersonal relationship or a caregiver relationship (children, the elderly); as a professor/teacher or accompanying or under coercion of a male aggressor (as happens in situations of commercial sexual exploitation and trafficking in persons); d) juvenile sexual offenders, with psychosocial characteristics of isolation and difficulties in establishing links, abuse to peers and children, and e) cyber offenders, production and distribution of child </w:t>
      </w:r>
      <w:r>
        <w:rPr>
          <w:rFonts w:ascii="Times New Roman" w:eastAsia="Times New Roman" w:hAnsi="Times New Roman" w:cs="Times New Roman"/>
          <w:sz w:val="24"/>
          <w:szCs w:val="24"/>
        </w:rPr>
        <w:lastRenderedPageBreak/>
        <w:t>pornography, grooming, online chat search of children and adolescents, exchange of images and sending children pornographic images; concertation of meetings (producers, browsers, collectors).</w:t>
      </w:r>
    </w:p>
    <w:p w14:paraId="29E6AB58"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etiology of sexual aggression, Marshall (2001) proposes a comprehensive approach to biological, socio-cultural, and early childhood experiences (disorders of attachment, subjective differentiation with the other), as well as factors of disinhibition and opportunity. The author points out that offensive sexual exercise can be considered a coping mechanism in situations of crisis and stress.</w:t>
      </w:r>
    </w:p>
    <w:p w14:paraId="1148278A"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world, significant progress has been made in the last two decades in the development of intervention and treatment models based on the effectiveness of reducing the risk of recidivism (Hanson &amp; Morton-Bourgon, 2005; Redondo, et al., 2007; Ward, et al., 2007; Yates, 2013). Treatment programs for sex offenders began in Canada and the United States in the 1980s, with implementation extended to a few developed countries. Many of these programs are applied in prisons and some in the community itself. They include diverse approaches such as psychotherapy, pharmacological intervention, and relapse prevention. At an international level, the cognitive-behavioral approach is the one with the most considerable acceptance and development (Yates, 2013). Within this framework, the intervention model, RNR model (risk, need, and responsivity), has shown a 35% reduction in recidivism in sex offenders, as reported by meta-analytic studies on 500 studies surveyed since 1990 (Andrews &amp; Bonta, 2010). It is an intervention model adopted from the theoretical approach towards the rehabilitation of delinquency in general that is based on three principles:</w:t>
      </w:r>
    </w:p>
    <w:p w14:paraId="1821811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Assessment of the risk of recidivism and treatment possibilities according to three levels of risk: high, moderate, and low; the model also stipulates both static factors (linked to the subject’s history) that are difficult to modify and dynamic factors (habits, values, cognitions, self-control, interpersonal conflicts). Dynamic factors usually refer to “criminogenic needs” (Andrews &amp; Bonta, 2010). For risk assessment, specific scales are implemented that allow examining the presence of dynamic and static factors and define the possibilities and intensity of treatment;</w:t>
      </w:r>
    </w:p>
    <w:p w14:paraId="58616242"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principle of need shows the areas of treatment and is linked to the risk assessment: attitudes, assessment, thoughts about criminal behavior, personality, social and family situation;</w:t>
      </w:r>
    </w:p>
    <w:p w14:paraId="2B036C3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principle of responsivity adds how the intervention should be designed, identifying specific responses according to strengths, abilities, motivation, personality, and socio-demographic characteristics (gender, age, ethnicity) of the subjects. The importance of the therapeutic relationship and position of the operator is recognized, understanding that cognitive-behavioral intervention is an essential component of the penitentiary and post-prison treatments.</w:t>
      </w:r>
    </w:p>
    <w:p w14:paraId="3D5A9B6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show that the differentiation of sexual offenders into risk levels allows a better classification to define the proper and appropriate treatment for specific needs and avoid over-intervention in low-risk offenders.</w:t>
      </w:r>
    </w:p>
    <w:p w14:paraId="58094F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in line with a perspective of possibility of change and agency of subjects who commit sex crimes, Ward &amp; Stewart (2003) propose a model of good lives (GLM) as a theoretical framework that postulates the ability of subjects to enable their own goals and to give up aggressive behaviors and improve adherence to treatment. The model indicates the </w:t>
      </w:r>
      <w:r>
        <w:rPr>
          <w:rFonts w:ascii="Times New Roman" w:eastAsia="Times New Roman" w:hAnsi="Times New Roman" w:cs="Times New Roman"/>
          <w:sz w:val="24"/>
          <w:szCs w:val="24"/>
        </w:rPr>
        <w:lastRenderedPageBreak/>
        <w:t>tendency of the subjects to form “primary goods” or needs that include various areas of development: life (health, sexual satisfaction), knowledge and education, work, autonomy, interpersonal relationships, community relations, spirituality, among others, that allow the intervention of care programs to be singled out. They recommend that the treatment be adapted to the particular plan of the good life of the offender and its associated risk factors, including personal and social strengths, interests, values, and circumstances.</w:t>
      </w:r>
    </w:p>
    <w:p w14:paraId="783171D5" w14:textId="77777777" w:rsidR="00911EE2" w:rsidRDefault="00C3734E">
      <w:pPr>
        <w:spacing w:before="24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While it is possible to observe differences in approach between both models, they can be understood as complementary. The central point of both is located in the discussion of the achievement of changes and motivational aspects to desist from crime (Andrews, et al., 2011; Looman &amp; Abracen, 2013).</w:t>
      </w:r>
    </w:p>
    <w:p w14:paraId="1BE8EBB2"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Additionally, evidence indicates that sex offender treatment requires trained professionals with program fidelity to reduce recidivism (Tyler, Gannon &amp; Olver, 2021).</w:t>
      </w:r>
    </w:p>
    <w:p w14:paraId="51A6D41E" w14:textId="77777777" w:rsidR="00911EE2" w:rsidRDefault="00911EE2">
      <w:pPr>
        <w:spacing w:before="240" w:line="240" w:lineRule="auto"/>
        <w:jc w:val="both"/>
        <w:rPr>
          <w:rFonts w:ascii="Times New Roman" w:eastAsia="Times New Roman" w:hAnsi="Times New Roman" w:cs="Times New Roman"/>
          <w:color w:val="0000FF"/>
          <w:sz w:val="24"/>
          <w:szCs w:val="24"/>
          <w:highlight w:val="green"/>
        </w:rPr>
      </w:pPr>
    </w:p>
    <w:p w14:paraId="0824758B" w14:textId="77777777" w:rsidR="00911EE2" w:rsidRDefault="00C373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79BE0586"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6D01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designed and implemented </w:t>
      </w:r>
      <w:r>
        <w:rPr>
          <w:rFonts w:ascii="Times New Roman" w:eastAsia="Times New Roman" w:hAnsi="Times New Roman" w:cs="Times New Roman"/>
          <w:sz w:val="24"/>
          <w:szCs w:val="24"/>
          <w:highlight w:val="white"/>
        </w:rPr>
        <w:t>an intervention-research based on a case study method from a qualitative research approach</w:t>
      </w:r>
      <w:r>
        <w:rPr>
          <w:rFonts w:ascii="Times New Roman" w:eastAsia="Times New Roman" w:hAnsi="Times New Roman" w:cs="Times New Roman"/>
          <w:sz w:val="24"/>
          <w:szCs w:val="24"/>
        </w:rPr>
        <w:t xml:space="preserve"> (Denzin &amp; Lincoln, 2018; Gergen, 2014) which seeks to understand the process of implementing a treatment program for sex offenders under a state agency in Uruguay. The study we conducted is based on the articulation between intervention and research to postulate a perspective that integrates these dimensions into “praxis-oriented research that derives working knowledge from specific goal-directed action” (Gergen, et al., 2015, p .5). </w:t>
      </w:r>
    </w:p>
    <w:p w14:paraId="76C9666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framework, we propose to give relevance to a critical research position that privileges the perspective of the participants’ agency, the commitment to transforming knowledge, and the problematization of power relations within the framework of the research processes (</w:t>
      </w:r>
      <w:r>
        <w:rPr>
          <w:rFonts w:ascii="Times New Roman" w:eastAsia="Times New Roman" w:hAnsi="Times New Roman" w:cs="Times New Roman"/>
          <w:sz w:val="24"/>
          <w:szCs w:val="24"/>
          <w:highlight w:val="white"/>
        </w:rPr>
        <w:t>Lenta, Longo, &amp; Zaldúa, 2019; Vargas-Monroy, Montenegro &amp; Pujol, 2016</w:t>
      </w:r>
      <w:r>
        <w:rPr>
          <w:rFonts w:ascii="Times New Roman" w:eastAsia="Times New Roman" w:hAnsi="Times New Roman" w:cs="Times New Roman"/>
          <w:sz w:val="24"/>
          <w:szCs w:val="24"/>
        </w:rPr>
        <w:t>). These components are part of this particular research design that favors key participants a technical team composed of eight professionals responsible for carrying out the implementation of a community treatment program with sexual offenders.</w:t>
      </w:r>
    </w:p>
    <w:p w14:paraId="276A8723"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F1E29"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Most prominently, action researchers break the boundary between scientists and society by actively joining with outside groups to achieve shared ends. In all of these cases, there is an abiding sense that our knowledge is not about you, but with you. (Gergen et al., 2015, p.7)</w:t>
      </w:r>
    </w:p>
    <w:p w14:paraId="70C4D991" w14:textId="77777777" w:rsidR="00911EE2" w:rsidRDefault="00C3734E">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DB853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base the project on the case study method (Fishman &amp; Messer, S. 2013; Yin, 2018) since its purpose is knowledge and action over a particular field, defined in terms of institutional and thematic scenarios. The case study is carried out in a national public institution whose main objective is the socio-labor and community insertion of ex-jailed persons. The methodological research strategy we designed was articulated with the intervention by advising the pilot design and implementation process of a sexual offender treatment program promoted by the institution mentioned above. The data collection took place between February and October 2018. Before that, during the years 2016 and 2017 at the request of the public body and within the framework of the agreement with the Facultad de Psicología, we had conducted training activities with the technical team on sexual violence and attention to sexual offenders.</w:t>
      </w:r>
    </w:p>
    <w:p w14:paraId="62934ED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2018, we had ten group interviews with the organization’s team, two per month, with a duration of two hours. We also conducted semi-structured interviews interviews with the </w:t>
      </w:r>
      <w:r>
        <w:rPr>
          <w:rFonts w:ascii="Times New Roman" w:eastAsia="Times New Roman" w:hAnsi="Times New Roman" w:cs="Times New Roman"/>
          <w:sz w:val="24"/>
          <w:szCs w:val="24"/>
        </w:rPr>
        <w:lastRenderedPageBreak/>
        <w:t>directorate every month. During these group interviews, theoretical and practical dimensions of a community treatment program with sexual offenders were addressed. The technical team of the institution in charge of this program is eight professionals, five women, and three men, with an age range between 25 and 35 years. Six are psychologists, and two are social workers. Within the framework of this team, we agreed to form pairs (preferably mixed) that would individually address cases related to crimes of sexual violence.</w:t>
      </w:r>
    </w:p>
    <w:p w14:paraId="4844C4E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study, we have the endorsement of the Research Ethics Committee of the Facultad de Psicología of the Universidad de la República, which regulates research activities with human beings through the national Decree CM 515 (Executive Power, 2008). The participants did so in an informed and voluntary manner after signing a consent in which the objectives of the research were explained, along with information regarding the confidentiality and encryption of the information produced (APA, 2017). We requested permission to record the interviews , as well as to take some notes in a field diary. Sometimes, we share the records with the participants as a way to generate instances of co-analysis of the information produced, under an ethic of transparency (Levitt et al., 2018).</w:t>
      </w:r>
    </w:p>
    <w:p w14:paraId="1143C01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an initial step for the data analytic strategy, we consider the underlying protocol of action designed by the technical team, which is organized in four phases: reception, risk assessment, the intervention itself, and evaluation/monitoring. Based on the available evidence, we carried out, together with the technical team, a program design with emphasis on risk assessment, incorporating specific sexual violence instruments available and adapted in Spanish (Hilterman &amp; Andrés-Pueyo, 2005; Loinaz et al., 2015), and a review of recent literature on community treatments from </w:t>
      </w:r>
      <w:r w:rsidRPr="00E165FE">
        <w:rPr>
          <w:rFonts w:ascii="Times New Roman" w:eastAsia="Times New Roman" w:hAnsi="Times New Roman" w:cs="Times New Roman"/>
          <w:sz w:val="24"/>
          <w:szCs w:val="24"/>
        </w:rPr>
        <w:t xml:space="preserve">the RNR and </w:t>
      </w:r>
      <w:r>
        <w:rPr>
          <w:rFonts w:ascii="Times New Roman" w:eastAsia="Times New Roman" w:hAnsi="Times New Roman" w:cs="Times New Roman"/>
          <w:sz w:val="24"/>
          <w:szCs w:val="24"/>
        </w:rPr>
        <w:t>GLM approaches and cognitive-behavioral techniques.</w:t>
      </w:r>
    </w:p>
    <w:p w14:paraId="6F2D2631" w14:textId="77777777" w:rsidR="00911EE2" w:rsidRDefault="00911EE2">
      <w:pPr>
        <w:spacing w:line="240" w:lineRule="auto"/>
        <w:jc w:val="both"/>
        <w:rPr>
          <w:rFonts w:ascii="Times New Roman" w:eastAsia="Times New Roman" w:hAnsi="Times New Roman" w:cs="Times New Roman"/>
          <w:sz w:val="24"/>
          <w:szCs w:val="24"/>
        </w:rPr>
      </w:pPr>
    </w:p>
    <w:p w14:paraId="321F1EF6" w14:textId="77777777" w:rsidR="00911EE2" w:rsidRDefault="00911EE2">
      <w:pPr>
        <w:spacing w:line="240" w:lineRule="auto"/>
        <w:jc w:val="both"/>
        <w:rPr>
          <w:rFonts w:ascii="Times New Roman" w:eastAsia="Times New Roman" w:hAnsi="Times New Roman" w:cs="Times New Roman"/>
          <w:color w:val="FF0000"/>
          <w:sz w:val="24"/>
          <w:szCs w:val="24"/>
        </w:rPr>
      </w:pPr>
    </w:p>
    <w:p w14:paraId="6EF39244"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The treatment program is based on evidence that proposes comprehensive interventions regarding sexually violent behaviors, in a community context and voluntary participation (Mc Cartan &amp; Richards, 2021). It is aimed at people over 18 years old who have served time for a sexual offense and have been released from prison within a six-month period.</w:t>
      </w:r>
    </w:p>
    <w:p w14:paraId="113F1ECF" w14:textId="77777777" w:rsidR="00911EE2" w:rsidRPr="00E165FE" w:rsidRDefault="00911EE2">
      <w:pPr>
        <w:spacing w:line="240" w:lineRule="auto"/>
        <w:jc w:val="both"/>
        <w:rPr>
          <w:rFonts w:ascii="Times New Roman" w:eastAsia="Times New Roman" w:hAnsi="Times New Roman" w:cs="Times New Roman"/>
          <w:sz w:val="24"/>
          <w:szCs w:val="24"/>
        </w:rPr>
      </w:pPr>
    </w:p>
    <w:p w14:paraId="3D8DB873"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Theoretically, it assumes the principles of the RNR model in terms of risk assessment and management, the detection of specific needs and the focus on the commitment and motivation of participants as well as technical conditions that promote it. It also incorporates emerging strengths-based approaches and analysis of crime desistance factors (Farmer, McAlinden &amp; Maruna, 2015).</w:t>
      </w:r>
    </w:p>
    <w:p w14:paraId="7ABA9A59" w14:textId="77777777" w:rsidR="00CB16ED" w:rsidRPr="00E165FE" w:rsidRDefault="00CB16ED">
      <w:pPr>
        <w:spacing w:line="240" w:lineRule="auto"/>
        <w:jc w:val="both"/>
        <w:rPr>
          <w:rFonts w:ascii="Times New Roman" w:eastAsia="Times New Roman" w:hAnsi="Times New Roman" w:cs="Times New Roman"/>
          <w:sz w:val="24"/>
          <w:szCs w:val="24"/>
        </w:rPr>
      </w:pPr>
    </w:p>
    <w:p w14:paraId="00E9F809" w14:textId="36EB44C9"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A four-phase model is proposed: </w:t>
      </w:r>
    </w:p>
    <w:p w14:paraId="2ADD2618" w14:textId="77777777" w:rsidR="00911EE2" w:rsidRPr="00E165FE" w:rsidRDefault="00911EE2">
      <w:pPr>
        <w:spacing w:line="240" w:lineRule="auto"/>
        <w:jc w:val="both"/>
        <w:rPr>
          <w:rFonts w:ascii="Times New Roman" w:eastAsia="Times New Roman" w:hAnsi="Times New Roman" w:cs="Times New Roman"/>
          <w:sz w:val="24"/>
          <w:szCs w:val="24"/>
        </w:rPr>
      </w:pPr>
    </w:p>
    <w:p w14:paraId="010B42BC"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Phase 1: reception-assessment, which aims to identify the psychological, social and cultural aspects of the person assisted, the factors and circumstances that influenced the criminal behavior and the assessment of the level of risk of recidivism through the application of the SVR-20 instrument (Hilterman &amp; Andrés-Pueyo, 2005).</w:t>
      </w:r>
    </w:p>
    <w:p w14:paraId="280BE760" w14:textId="77777777" w:rsidR="00911EE2" w:rsidRPr="00E165FE" w:rsidRDefault="00911EE2">
      <w:pPr>
        <w:spacing w:line="240" w:lineRule="auto"/>
        <w:jc w:val="both"/>
        <w:rPr>
          <w:rFonts w:ascii="Times New Roman" w:eastAsia="Times New Roman" w:hAnsi="Times New Roman" w:cs="Times New Roman"/>
          <w:sz w:val="24"/>
          <w:szCs w:val="24"/>
        </w:rPr>
      </w:pPr>
    </w:p>
    <w:p w14:paraId="6BB80B21" w14:textId="77777777" w:rsidR="00911EE2" w:rsidRPr="00E165FE" w:rsidRDefault="00911EE2">
      <w:pPr>
        <w:spacing w:line="240" w:lineRule="auto"/>
        <w:jc w:val="both"/>
        <w:rPr>
          <w:rFonts w:ascii="Times New Roman" w:eastAsia="Times New Roman" w:hAnsi="Times New Roman" w:cs="Times New Roman"/>
          <w:sz w:val="24"/>
          <w:szCs w:val="24"/>
        </w:rPr>
      </w:pPr>
    </w:p>
    <w:p w14:paraId="0E8FD5FF"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Phase 2: diagnosis, with the purpose of defining an intervention plan adjusted to the risk, needs and potential of each participant. A comprehensive history is taken (personal, family, educational, social, occupational and health); identification of dimensions of the life project that need to be strengthened, decision making on behaviors and situations to be modified.</w:t>
      </w:r>
    </w:p>
    <w:p w14:paraId="3F11456B" w14:textId="77777777" w:rsidR="00911EE2" w:rsidRPr="00E165FE" w:rsidRDefault="00911EE2">
      <w:pPr>
        <w:spacing w:line="240" w:lineRule="auto"/>
        <w:jc w:val="both"/>
        <w:rPr>
          <w:rFonts w:ascii="Times New Roman" w:eastAsia="Times New Roman" w:hAnsi="Times New Roman" w:cs="Times New Roman"/>
          <w:sz w:val="24"/>
          <w:szCs w:val="24"/>
        </w:rPr>
      </w:pPr>
    </w:p>
    <w:p w14:paraId="14A0F30A" w14:textId="77777777" w:rsidR="00911EE2" w:rsidRPr="00E165FE" w:rsidRDefault="00911EE2">
      <w:pPr>
        <w:spacing w:line="240" w:lineRule="auto"/>
        <w:jc w:val="both"/>
        <w:rPr>
          <w:rFonts w:ascii="Times New Roman" w:eastAsia="Times New Roman" w:hAnsi="Times New Roman" w:cs="Times New Roman"/>
          <w:sz w:val="24"/>
          <w:szCs w:val="24"/>
        </w:rPr>
      </w:pPr>
    </w:p>
    <w:p w14:paraId="7D987FF3" w14:textId="77777777" w:rsidR="00911EE2" w:rsidRPr="00E165FE" w:rsidRDefault="00C3734E">
      <w:pPr>
        <w:spacing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lastRenderedPageBreak/>
        <w:t>● Phase 3: intervention, with the objective of defining strategies and techniques for the treatment of the factors that have an impact on the sexual offense. It focuses on the restructuring of attitudes, cognitive and behavioral processes that enable change and the development of social and personal skills (Bandura, 1989). In parallel, coordination actions are implemented at the socio-community level and management of family support networks.</w:t>
      </w:r>
    </w:p>
    <w:p w14:paraId="5E718BC1" w14:textId="77777777" w:rsidR="00911EE2" w:rsidRPr="00E165FE" w:rsidRDefault="00911EE2">
      <w:pPr>
        <w:spacing w:line="240" w:lineRule="auto"/>
        <w:jc w:val="both"/>
        <w:rPr>
          <w:rFonts w:ascii="Times New Roman" w:eastAsia="Times New Roman" w:hAnsi="Times New Roman" w:cs="Times New Roman"/>
          <w:sz w:val="24"/>
          <w:szCs w:val="24"/>
        </w:rPr>
      </w:pPr>
    </w:p>
    <w:p w14:paraId="450B5C54" w14:textId="77777777" w:rsidR="00911EE2" w:rsidRPr="00E165FE" w:rsidRDefault="00911EE2">
      <w:pPr>
        <w:spacing w:line="240" w:lineRule="auto"/>
        <w:jc w:val="both"/>
        <w:rPr>
          <w:rFonts w:ascii="Times New Roman" w:eastAsia="Times New Roman" w:hAnsi="Times New Roman" w:cs="Times New Roman"/>
          <w:sz w:val="24"/>
          <w:szCs w:val="24"/>
        </w:rPr>
      </w:pPr>
    </w:p>
    <w:p w14:paraId="5FE1EDF6" w14:textId="77777777" w:rsidR="00911EE2" w:rsidRDefault="00C3734E">
      <w:pPr>
        <w:spacing w:line="240" w:lineRule="auto"/>
        <w:jc w:val="both"/>
        <w:rPr>
          <w:rFonts w:ascii="Times New Roman" w:eastAsia="Times New Roman" w:hAnsi="Times New Roman" w:cs="Times New Roman"/>
          <w:color w:val="0000FF"/>
          <w:sz w:val="24"/>
          <w:szCs w:val="24"/>
        </w:rPr>
      </w:pPr>
      <w:r w:rsidRPr="00E165FE">
        <w:rPr>
          <w:rFonts w:ascii="Times New Roman" w:eastAsia="Times New Roman" w:hAnsi="Times New Roman" w:cs="Times New Roman"/>
          <w:sz w:val="24"/>
          <w:szCs w:val="24"/>
        </w:rPr>
        <w:t>● Phase 4: follow-up: observation, monitoring and analysis of achievements and obstacles</w:t>
      </w:r>
      <w:r>
        <w:rPr>
          <w:rFonts w:ascii="Times New Roman" w:eastAsia="Times New Roman" w:hAnsi="Times New Roman" w:cs="Times New Roman"/>
          <w:color w:val="0000FF"/>
          <w:sz w:val="24"/>
          <w:szCs w:val="24"/>
        </w:rPr>
        <w:t>.</w:t>
      </w:r>
    </w:p>
    <w:p w14:paraId="7972E256" w14:textId="77777777" w:rsidR="00911EE2" w:rsidRDefault="00911EE2">
      <w:pPr>
        <w:spacing w:line="240" w:lineRule="auto"/>
        <w:jc w:val="both"/>
        <w:rPr>
          <w:rFonts w:ascii="Times New Roman" w:eastAsia="Times New Roman" w:hAnsi="Times New Roman" w:cs="Times New Roman"/>
          <w:color w:val="0000FF"/>
          <w:sz w:val="24"/>
          <w:szCs w:val="24"/>
        </w:rPr>
      </w:pPr>
    </w:p>
    <w:p w14:paraId="4761F3A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thematic analysis, we analyzed the empirical evidence corpus composed of documents and interview reports, from the group interviews and semi-structured  interviews with directorate. These corpus had been recorded for later transcription, coding, systematization, and inductive analysis by identifying common patterns in emerging issues (Terry et al., 2017). </w:t>
      </w:r>
      <w:r>
        <w:rPr>
          <w:b/>
        </w:rPr>
        <w:t xml:space="preserve"> </w:t>
      </w:r>
      <w:r>
        <w:rPr>
          <w:rFonts w:ascii="Times New Roman" w:eastAsia="Times New Roman" w:hAnsi="Times New Roman" w:cs="Times New Roman"/>
          <w:sz w:val="24"/>
          <w:szCs w:val="24"/>
        </w:rPr>
        <w:t xml:space="preserve">The coding process consisted of identifying recurrent themes that emerged in the professional team's group meetings. The codes were organized into four thematic areas: a) conceptions of sexual violence/influential factors, b) conceptions of sexual offenders, c) professional roles, and d) technical dimensions of intervention. </w:t>
      </w:r>
    </w:p>
    <w:p w14:paraId="13CC41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crucial analytical axis refers to the theoretical and technical dimensions necessary to implement a community-based treatment program with sexual offenders.</w:t>
      </w:r>
    </w:p>
    <w:p w14:paraId="44753BC8" w14:textId="77777777" w:rsidR="00D03C5E" w:rsidRPr="00D03C5E" w:rsidRDefault="00C3734E">
      <w:pPr>
        <w:spacing w:before="240" w:after="240" w:line="240" w:lineRule="auto"/>
        <w:jc w:val="both"/>
        <w:rPr>
          <w:rFonts w:ascii="Times New Roman" w:eastAsia="Times New Roman" w:hAnsi="Times New Roman" w:cs="Times New Roman"/>
          <w:bCs/>
        </w:rPr>
      </w:pPr>
      <w:proofErr w:type="spellStart"/>
      <w:r w:rsidRPr="00D03C5E">
        <w:rPr>
          <w:rFonts w:ascii="Times New Roman" w:eastAsia="Times New Roman" w:hAnsi="Times New Roman" w:cs="Times New Roman"/>
          <w:bCs/>
        </w:rPr>
        <w:t>Table</w:t>
      </w:r>
      <w:proofErr w:type="spellEnd"/>
      <w:r w:rsidR="00D03C5E" w:rsidRPr="00D03C5E">
        <w:rPr>
          <w:rFonts w:ascii="Times New Roman" w:eastAsia="Times New Roman" w:hAnsi="Times New Roman" w:cs="Times New Roman"/>
          <w:bCs/>
        </w:rPr>
        <w:t xml:space="preserve"> 1.</w:t>
      </w:r>
    </w:p>
    <w:p w14:paraId="56013443" w14:textId="264958C0" w:rsidR="00911EE2" w:rsidRPr="00D03C5E" w:rsidRDefault="00C3734E" w:rsidP="00D03C5E">
      <w:pPr>
        <w:spacing w:before="240" w:after="240" w:line="240" w:lineRule="auto"/>
        <w:jc w:val="both"/>
        <w:rPr>
          <w:rFonts w:ascii="Times New Roman" w:eastAsia="Times New Roman" w:hAnsi="Times New Roman" w:cs="Times New Roman"/>
          <w:bCs/>
          <w:i/>
          <w:iCs/>
        </w:rPr>
      </w:pPr>
      <w:proofErr w:type="spellStart"/>
      <w:r w:rsidRPr="00D03C5E">
        <w:rPr>
          <w:rFonts w:ascii="Times New Roman" w:eastAsia="Times New Roman" w:hAnsi="Times New Roman" w:cs="Times New Roman"/>
          <w:bCs/>
          <w:i/>
          <w:iCs/>
        </w:rPr>
        <w:t>Themes</w:t>
      </w:r>
      <w:proofErr w:type="spellEnd"/>
      <w:r w:rsidRPr="00D03C5E">
        <w:rPr>
          <w:rFonts w:ascii="Times New Roman" w:eastAsia="Times New Roman" w:hAnsi="Times New Roman" w:cs="Times New Roman"/>
          <w:bCs/>
          <w:i/>
          <w:iCs/>
        </w:rPr>
        <w:t xml:space="preserve"> and sub-</w:t>
      </w:r>
      <w:proofErr w:type="spellStart"/>
      <w:r w:rsidRPr="00D03C5E">
        <w:rPr>
          <w:rFonts w:ascii="Times New Roman" w:eastAsia="Times New Roman" w:hAnsi="Times New Roman" w:cs="Times New Roman"/>
          <w:bCs/>
          <w:i/>
          <w:iCs/>
        </w:rPr>
        <w:t>themes</w:t>
      </w:r>
      <w:proofErr w:type="spellEnd"/>
      <w:r w:rsidRPr="00D03C5E">
        <w:rPr>
          <w:rFonts w:ascii="Times New Roman" w:eastAsia="Times New Roman" w:hAnsi="Times New Roman" w:cs="Times New Roman"/>
          <w:bCs/>
          <w:i/>
          <w:iCs/>
        </w:rPr>
        <w:t xml:space="preserve"> </w:t>
      </w:r>
    </w:p>
    <w:tbl>
      <w:tblPr>
        <w:tblStyle w:val="Tablanormal2"/>
        <w:tblW w:w="9029" w:type="dxa"/>
        <w:tblLayout w:type="fixed"/>
        <w:tblLook w:val="0600" w:firstRow="0" w:lastRow="0" w:firstColumn="0" w:lastColumn="0" w:noHBand="1" w:noVBand="1"/>
      </w:tblPr>
      <w:tblGrid>
        <w:gridCol w:w="4514"/>
        <w:gridCol w:w="4515"/>
      </w:tblGrid>
      <w:tr w:rsidR="00911EE2" w14:paraId="4AED1425" w14:textId="77777777" w:rsidTr="00D03C5E">
        <w:tc>
          <w:tcPr>
            <w:tcW w:w="4514" w:type="dxa"/>
            <w:tcBorders>
              <w:top w:val="single" w:sz="4" w:space="0" w:color="7F7F7F" w:themeColor="text1" w:themeTint="80"/>
              <w:bottom w:val="single" w:sz="4" w:space="0" w:color="auto"/>
            </w:tcBorders>
          </w:tcPr>
          <w:p w14:paraId="073EE16F"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Themes</w:t>
            </w:r>
          </w:p>
        </w:tc>
        <w:tc>
          <w:tcPr>
            <w:tcW w:w="4515" w:type="dxa"/>
            <w:tcBorders>
              <w:top w:val="single" w:sz="4" w:space="0" w:color="7F7F7F" w:themeColor="text1" w:themeTint="80"/>
              <w:bottom w:val="single" w:sz="4" w:space="0" w:color="auto"/>
            </w:tcBorders>
          </w:tcPr>
          <w:p w14:paraId="125B12CE"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Sub-themes</w:t>
            </w:r>
          </w:p>
        </w:tc>
      </w:tr>
      <w:tr w:rsidR="00911EE2" w14:paraId="16824E23" w14:textId="77777777" w:rsidTr="00D03C5E">
        <w:tc>
          <w:tcPr>
            <w:tcW w:w="4514" w:type="dxa"/>
            <w:tcBorders>
              <w:top w:val="single" w:sz="4" w:space="0" w:color="auto"/>
              <w:bottom w:val="single" w:sz="4" w:space="0" w:color="auto"/>
            </w:tcBorders>
          </w:tcPr>
          <w:p w14:paraId="042AA8D6"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Conceptions of sexual violence</w:t>
            </w:r>
          </w:p>
        </w:tc>
        <w:tc>
          <w:tcPr>
            <w:tcW w:w="4515" w:type="dxa"/>
            <w:tcBorders>
              <w:top w:val="single" w:sz="4" w:space="0" w:color="auto"/>
              <w:bottom w:val="single" w:sz="4" w:space="0" w:color="auto"/>
            </w:tcBorders>
          </w:tcPr>
          <w:p w14:paraId="739BC19A"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Relationship asymmetry</w:t>
            </w:r>
          </w:p>
          <w:p w14:paraId="395F2310"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Sexual Consent</w:t>
            </w:r>
          </w:p>
          <w:p w14:paraId="11D0E8DE"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Theory of change</w:t>
            </w:r>
          </w:p>
        </w:tc>
      </w:tr>
      <w:tr w:rsidR="00911EE2" w14:paraId="53F4DAD3" w14:textId="77777777" w:rsidTr="00D03C5E">
        <w:tc>
          <w:tcPr>
            <w:tcW w:w="4514" w:type="dxa"/>
            <w:tcBorders>
              <w:top w:val="single" w:sz="4" w:space="0" w:color="auto"/>
              <w:bottom w:val="single" w:sz="4" w:space="0" w:color="auto"/>
            </w:tcBorders>
          </w:tcPr>
          <w:p w14:paraId="1FFC651D"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Conceptions of sexual offenders</w:t>
            </w:r>
          </w:p>
        </w:tc>
        <w:tc>
          <w:tcPr>
            <w:tcW w:w="4515" w:type="dxa"/>
            <w:tcBorders>
              <w:top w:val="single" w:sz="4" w:space="0" w:color="auto"/>
              <w:bottom w:val="single" w:sz="4" w:space="0" w:color="auto"/>
            </w:tcBorders>
          </w:tcPr>
          <w:p w14:paraId="30BFDF8E"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Motivation change</w:t>
            </w:r>
          </w:p>
          <w:p w14:paraId="4BF01224"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Crime denial</w:t>
            </w:r>
          </w:p>
        </w:tc>
      </w:tr>
      <w:tr w:rsidR="00911EE2" w14:paraId="2CBBE113" w14:textId="77777777" w:rsidTr="00D03C5E">
        <w:tc>
          <w:tcPr>
            <w:tcW w:w="4514" w:type="dxa"/>
            <w:tcBorders>
              <w:top w:val="single" w:sz="4" w:space="0" w:color="auto"/>
              <w:bottom w:val="single" w:sz="4" w:space="0" w:color="auto"/>
            </w:tcBorders>
          </w:tcPr>
          <w:p w14:paraId="737BB222"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Professional role</w:t>
            </w:r>
          </w:p>
        </w:tc>
        <w:tc>
          <w:tcPr>
            <w:tcW w:w="4515" w:type="dxa"/>
            <w:tcBorders>
              <w:top w:val="single" w:sz="4" w:space="0" w:color="auto"/>
              <w:bottom w:val="single" w:sz="4" w:space="0" w:color="auto"/>
            </w:tcBorders>
          </w:tcPr>
          <w:p w14:paraId="6B6DA840"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Demand construction</w:t>
            </w:r>
          </w:p>
          <w:p w14:paraId="68DCA0A6"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Therapeutic style</w:t>
            </w:r>
          </w:p>
          <w:p w14:paraId="730BF4D1"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Therapists’s emotional burden</w:t>
            </w:r>
          </w:p>
        </w:tc>
      </w:tr>
      <w:tr w:rsidR="00911EE2" w14:paraId="5299E5C5" w14:textId="77777777" w:rsidTr="00D03C5E">
        <w:tc>
          <w:tcPr>
            <w:tcW w:w="4514" w:type="dxa"/>
            <w:tcBorders>
              <w:top w:val="single" w:sz="4" w:space="0" w:color="auto"/>
            </w:tcBorders>
          </w:tcPr>
          <w:p w14:paraId="3EB66627" w14:textId="77777777" w:rsidR="00911EE2" w:rsidRDefault="00C3734E">
            <w:pPr>
              <w:jc w:val="both"/>
              <w:rPr>
                <w:rFonts w:ascii="Times New Roman" w:eastAsia="Times New Roman" w:hAnsi="Times New Roman" w:cs="Times New Roman"/>
              </w:rPr>
            </w:pPr>
            <w:r>
              <w:rPr>
                <w:rFonts w:ascii="Times New Roman" w:eastAsia="Times New Roman" w:hAnsi="Times New Roman" w:cs="Times New Roman"/>
                <w:sz w:val="24"/>
                <w:szCs w:val="24"/>
              </w:rPr>
              <w:t xml:space="preserve"> Technical dimensions</w:t>
            </w:r>
          </w:p>
        </w:tc>
        <w:tc>
          <w:tcPr>
            <w:tcW w:w="4515" w:type="dxa"/>
            <w:tcBorders>
              <w:top w:val="single" w:sz="4" w:space="0" w:color="auto"/>
            </w:tcBorders>
          </w:tcPr>
          <w:p w14:paraId="7679AE3F"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Exclusive time</w:t>
            </w:r>
          </w:p>
          <w:p w14:paraId="351E9D0D"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Institucional coordination</w:t>
            </w:r>
          </w:p>
          <w:p w14:paraId="727BC06E"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Talk about sex crime</w:t>
            </w:r>
          </w:p>
          <w:p w14:paraId="10922B75" w14:textId="77777777" w:rsidR="00911EE2" w:rsidRDefault="00C3734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Behavior modification techniques</w:t>
            </w:r>
          </w:p>
        </w:tc>
      </w:tr>
    </w:tbl>
    <w:p w14:paraId="172D5B35" w14:textId="77777777" w:rsidR="00911EE2" w:rsidRDefault="00911EE2">
      <w:pPr>
        <w:spacing w:before="240" w:after="240"/>
        <w:jc w:val="both"/>
        <w:rPr>
          <w:rFonts w:ascii="Times New Roman" w:eastAsia="Times New Roman" w:hAnsi="Times New Roman" w:cs="Times New Roman"/>
        </w:rPr>
      </w:pPr>
    </w:p>
    <w:p w14:paraId="4210B7C7" w14:textId="77777777" w:rsidR="00911EE2" w:rsidRDefault="00C3734E">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Results</w:t>
      </w:r>
      <w:proofErr w:type="spellEnd"/>
    </w:p>
    <w:p w14:paraId="166717A0" w14:textId="77777777" w:rsidR="00911EE2" w:rsidRDefault="00911EE2">
      <w:pPr>
        <w:spacing w:line="240" w:lineRule="auto"/>
        <w:rPr>
          <w:rFonts w:ascii="Times New Roman" w:eastAsia="Times New Roman" w:hAnsi="Times New Roman" w:cs="Times New Roman"/>
          <w:sz w:val="24"/>
          <w:szCs w:val="24"/>
        </w:rPr>
      </w:pPr>
    </w:p>
    <w:p w14:paraId="0C020FCC" w14:textId="77777777" w:rsidR="00911EE2" w:rsidRDefault="00911EE2">
      <w:pPr>
        <w:spacing w:line="240" w:lineRule="auto"/>
        <w:jc w:val="both"/>
        <w:rPr>
          <w:rFonts w:ascii="Times New Roman" w:eastAsia="Times New Roman" w:hAnsi="Times New Roman" w:cs="Times New Roman"/>
          <w:sz w:val="24"/>
          <w:szCs w:val="24"/>
        </w:rPr>
      </w:pPr>
    </w:p>
    <w:p w14:paraId="4624C1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article, we present results on the theoretical-technical dimensions present in the implementation of a community-based treatment program with sexual offenders, based on two analytical lines: a) the specificity of the approach with sexual offenders and b) the conceptions of sexual violence present in the key institutional actors. We consider in an integrated way, the analysis of documents, the material of group interviews, and semi-directed interviews conducted in the public body between February and October 2018.</w:t>
      </w:r>
    </w:p>
    <w:p w14:paraId="0B14B54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7BCA1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institutional aspects offer a legitimacy framework, both towards the community and towards the professionals who carry out a program of treatment of these characteristics. In the </w:t>
      </w:r>
      <w:r>
        <w:rPr>
          <w:rFonts w:ascii="Times New Roman" w:eastAsia="Times New Roman" w:hAnsi="Times New Roman" w:cs="Times New Roman"/>
          <w:sz w:val="24"/>
          <w:szCs w:val="24"/>
        </w:rPr>
        <w:lastRenderedPageBreak/>
        <w:t xml:space="preserve">process of its implementation, the effort of the directorate to achieve an institutional articulation with other state agencies is to allow the access of information that makes an adequate risk assessment of the sex offender and also make evident the connection of the program with other areas of social reintegration (work, family, education). Likewise, the directorate seeks to provide physical space and more significant dedication of professionals to the program as necessary conditions for the development of a new and specific program in the institution. </w:t>
      </w:r>
    </w:p>
    <w:p w14:paraId="0C040DDA" w14:textId="77777777" w:rsidR="00911EE2" w:rsidRDefault="00C3734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2941A99"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Theoretical-technical dimensions to a  treatment program for sexual offenders</w:t>
      </w:r>
    </w:p>
    <w:p w14:paraId="56CD0E1D" w14:textId="77777777" w:rsidR="00911EE2" w:rsidRDefault="00C3734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A340A9"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The specificity of work with sex offenders   </w:t>
      </w:r>
      <w:r>
        <w:rPr>
          <w:rFonts w:ascii="Times New Roman" w:eastAsia="Times New Roman" w:hAnsi="Times New Roman" w:cs="Times New Roman"/>
          <w:sz w:val="24"/>
          <w:szCs w:val="24"/>
        </w:rPr>
        <w:t xml:space="preserve">  </w:t>
      </w:r>
    </w:p>
    <w:p w14:paraId="78F449DD"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2A58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issue to highlight is the working conditions of the technical team assigned to the program, whose members do not have an exclusive dedication to this task, but was developed within the framework of other responsibilities in the institution. According to professionals, the lack of time for the study and analysis of cases undermines the efficient development of the program. “We do not have time to attend to sex offenders, we need to dedicate more time and if we have to work with other things we cannot” (Group interview, April 20, 2018).</w:t>
      </w:r>
    </w:p>
    <w:p w14:paraId="1C5460B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technical approach they focus on is the monitoring and accompaniment for the social insertion of the offenders, without granting them a specific psychological treatment, according to the crime of sexual violence committed. In this sense, our main challenge has been to incorporate the specificity of the treatment of sexual crimes in the approach with sexual offenders. In a consistent way, in group interviews, we noted that the professionals “lost sight” of the specificity that is involved in the assessment and psychological intervention with this population, equating their approach to the care provided to people who committed other crimes (thefts, prey, omissions). Also, manifestations of grief and discouragement were registered when referring to the difficulties involved in specific work with this population compared to others: “we feel much pressure,” “it is denser when we speak, unlike others,” “every step you take it has to have a justification” (Group interview, August 10, 2018).</w:t>
      </w:r>
    </w:p>
    <w:p w14:paraId="6C101DCE" w14:textId="77777777" w:rsidR="00911EE2" w:rsidRDefault="00911EE2">
      <w:pPr>
        <w:spacing w:line="240" w:lineRule="auto"/>
        <w:ind w:left="700"/>
        <w:jc w:val="both"/>
        <w:rPr>
          <w:rFonts w:ascii="Times New Roman" w:eastAsia="Times New Roman" w:hAnsi="Times New Roman" w:cs="Times New Roman"/>
          <w:sz w:val="24"/>
          <w:szCs w:val="24"/>
        </w:rPr>
      </w:pPr>
    </w:p>
    <w:p w14:paraId="41545E4C"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technical team raised again the inquiry of what the objectives of the program are. The rest of the classmates answer that to avoid recidivism, to live better, not to hurt others. From the Facultad de Psicología´s team, we point out the need to address their criminal sexual behavior, what they did, without overthinking it. Resistance is perceived by the team when talking about sexual crimes. (</w:t>
      </w:r>
      <w:r>
        <w:rPr>
          <w:rFonts w:ascii="Times New Roman" w:eastAsia="Times New Roman" w:hAnsi="Times New Roman" w:cs="Times New Roman"/>
          <w:sz w:val="24"/>
          <w:szCs w:val="24"/>
          <w:highlight w:val="white"/>
        </w:rPr>
        <w:t>Excerpt from Field Journal of Group Interview</w:t>
      </w:r>
      <w:r>
        <w:rPr>
          <w:rFonts w:ascii="Times New Roman" w:eastAsia="Times New Roman" w:hAnsi="Times New Roman" w:cs="Times New Roman"/>
          <w:sz w:val="24"/>
          <w:szCs w:val="24"/>
        </w:rPr>
        <w:t>, March 16, 2018).</w:t>
      </w:r>
    </w:p>
    <w:p w14:paraId="5CB26A31" w14:textId="77777777" w:rsidR="00911EE2" w:rsidRDefault="00911EE2">
      <w:pPr>
        <w:spacing w:line="240" w:lineRule="auto"/>
        <w:rPr>
          <w:rFonts w:ascii="Times New Roman" w:eastAsia="Times New Roman" w:hAnsi="Times New Roman" w:cs="Times New Roman"/>
          <w:sz w:val="24"/>
          <w:szCs w:val="24"/>
        </w:rPr>
      </w:pPr>
    </w:p>
    <w:p w14:paraId="43A0B8CF"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essential components for the development of the program is to have a system of registration and information of the sex offenders that guarantees confidentiality and privacy, adequate for the planning and systematic management of each case. In this sense, difficulties were observed in how to carry out the clinical records and their usefulness for the technical decision making for the treatment. </w:t>
      </w:r>
    </w:p>
    <w:p w14:paraId="07DEC355"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F83719" w14:textId="77777777" w:rsidR="00911EE2" w:rsidRDefault="00C3734E">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Technicians discuss the problem of recording, the time it takes them, and how they do it. One of them explains that it depends on who does it; for example, he says that in his case, he divides the information according to the areas he addresses. At that point, the others agree, and the premise arises: “It is the same as with the rest of the population we see.” From there, they discuss whether the records or the treatment are differential and specific, but they fail to reach any agreements (Excerpt from Field Journal of Group Interview, September 7, 2018). </w:t>
      </w:r>
    </w:p>
    <w:p w14:paraId="58667BCB"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Access to verified and quality information through inter-institutional cooperation at the state level are critical elements for the care of sexual offenders, bearing in mind the complexity of this type of population. Having accurate information about the profile of the sexual offender and their criminal conduct, testimonies of the victim (s) or other technical reports available in public bodies, favors an adequate risk assessment and allows to guide the technical intervention and its intensity. This aspect is considered relevant by the professional team, although generally, there are significant restrictions on access to information.</w:t>
      </w:r>
    </w:p>
    <w:p w14:paraId="6EA8000C" w14:textId="77777777" w:rsidR="00911EE2" w:rsidRDefault="00C3734E">
      <w:pPr>
        <w:spacing w:line="240" w:lineRule="auto"/>
        <w:ind w:left="6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technicians expressed when they viewed record X: ‘this changed our profile.’ One could compare that version with the one that they had, and they were different. This changes in which person was the one who made the complaint and created contradictions (Excerpt from Field Journal of Group Interview, September 7, 2018).</w:t>
      </w:r>
    </w:p>
    <w:p w14:paraId="3E16BC6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459DF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tendency of sexual offenders to deny the crime committed or the presence of cognitive distortions (minimization, justification) and its incidence in treatment is known. Several authors have focused on the study of this relationship with diverse but coincidental results regarding its influence on adherence to treatment (Levenson &amp; Macgowan, 2004; Maruna &amp; Mann, 2006; Ware et al., 2018). Denial of crime, as well as erroneous and distorted thoughts and beliefs about abusive sexual behavior, are factors that can influence and maintain criminal behavior (Marshall et al., 2009), this being highly frequent in sexual offenders. This aspect has significant relevance and mainstreams, in our opinion, the entire intervention. Getting the offender to recognize the crime he committed and assume his responsibility is a specific technical challenge of working with this population. For the professional team, this attitude of the offenders creates obstacles but also challenges in the intervention.</w:t>
      </w:r>
    </w:p>
    <w:p w14:paraId="4ECB016C" w14:textId="77777777" w:rsidR="00911EE2" w:rsidRDefault="00911EE2">
      <w:pPr>
        <w:spacing w:line="240" w:lineRule="auto"/>
        <w:ind w:left="700"/>
        <w:jc w:val="both"/>
        <w:rPr>
          <w:rFonts w:ascii="Times New Roman" w:eastAsia="Times New Roman" w:hAnsi="Times New Roman" w:cs="Times New Roman"/>
          <w:sz w:val="24"/>
          <w:szCs w:val="24"/>
        </w:rPr>
      </w:pPr>
    </w:p>
    <w:p w14:paraId="5D027881" w14:textId="77777777" w:rsidR="00911EE2" w:rsidRDefault="00C3734E">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they face is the non-assumption of the crime at the beginning of the intervention. So it is proposed that it is a step by step process, and it is transversal to the entire intervention. It is not the same to recognize the conduct as the crime; a distinction is raised (Excerpt from Field Journal of Group Interview, April 20, 2018).</w:t>
      </w:r>
    </w:p>
    <w:p w14:paraId="42D5D8C3"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E979E6"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or not,” “for what?” (Group interview, April 20, 2018) if they always deny what they did,” stated the professionals, expressions linked to feelings of fear of what may arise from those questions, maintenance of limits, and the difficulty in developing strategies to reverse these denial positions. This pertains to their own therapeutic style: what to say, how to ask, and how to stimulate the narrative of experiences. At the same time, the technical team manages to visualize different strategies to modify the denial position of the sex offender: “there is the one who does not want to talk, but also the one who says something and others who eventually say, maybe yes, something happened” (Group interview, May 18, 2018).</w:t>
      </w:r>
    </w:p>
    <w:p w14:paraId="37F623DA"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identify different motivations of the offenders that attend the program, which differs from those commonly heard in other users of the institution, generally related to the need for job placement. Most sex offenders express the need to have a listening space about their life situation after the crime: “they come because they like to talk” (Group interview, August 24, 2018). In addition to this, they visualize that the treatment must be adjusted to the particularities of each sexual offender and that they should not necessarily, at the beginning of the procedure, make a detailed account of their criminal behavior.</w:t>
      </w:r>
    </w:p>
    <w:p w14:paraId="78CA3DFB" w14:textId="77777777" w:rsidR="00911EE2" w:rsidRDefault="00911EE2">
      <w:pPr>
        <w:spacing w:line="240" w:lineRule="auto"/>
        <w:jc w:val="both"/>
        <w:rPr>
          <w:rFonts w:ascii="Times New Roman" w:eastAsia="Times New Roman" w:hAnsi="Times New Roman" w:cs="Times New Roman"/>
          <w:sz w:val="24"/>
          <w:szCs w:val="24"/>
        </w:rPr>
      </w:pPr>
    </w:p>
    <w:p w14:paraId="01B8B395"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explains a case that they have been working on, and they indicate that the last interview was excellent because, among other things, the person ended up asking: “and if I am guilty of what I did?” They are amazed by this and consider it an achievement (Excerpt from Field Journal of Group Interview, June 29, 2018).</w:t>
      </w:r>
    </w:p>
    <w:p w14:paraId="25CE1619"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E32950C" w14:textId="77777777" w:rsidR="00911EE2" w:rsidRDefault="00C3734E">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exposes a case and says that regarding the sexual crime, the person says little and is avoidant, they pose it with discouragement. She then argues that, since that person is about to travel to the place where the events occurred by a procedure, he told her that he wanted to work on impulsivity and guilt. The others express that this is very good (Excerpt from Field Journal of Group Interview, July 27, 2018).</w:t>
      </w:r>
    </w:p>
    <w:p w14:paraId="258CE7A5" w14:textId="77777777" w:rsidR="00911EE2" w:rsidRDefault="00911EE2">
      <w:pPr>
        <w:spacing w:line="240" w:lineRule="auto"/>
        <w:jc w:val="both"/>
        <w:rPr>
          <w:rFonts w:ascii="Times New Roman" w:eastAsia="Times New Roman" w:hAnsi="Times New Roman" w:cs="Times New Roman"/>
          <w:sz w:val="24"/>
          <w:szCs w:val="24"/>
        </w:rPr>
      </w:pPr>
    </w:p>
    <w:p w14:paraId="299F693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essential dimension because of its technical implications is the construction of the therapeutic or working alliance between the professional and the user. In this regard, in the interviews with the technical team, there were concerns about the modalities of conducting the interviews, the questions to be asked, the time to ask them in order not to hinder the work alliance.</w:t>
      </w:r>
    </w:p>
    <w:p w14:paraId="6393B592" w14:textId="77777777" w:rsidR="00911EE2" w:rsidRDefault="00911EE2">
      <w:pPr>
        <w:spacing w:line="240" w:lineRule="auto"/>
        <w:ind w:firstLine="720"/>
        <w:jc w:val="both"/>
        <w:rPr>
          <w:rFonts w:ascii="Times New Roman" w:eastAsia="Times New Roman" w:hAnsi="Times New Roman" w:cs="Times New Roman"/>
          <w:sz w:val="24"/>
          <w:szCs w:val="24"/>
        </w:rPr>
      </w:pPr>
    </w:p>
    <w:p w14:paraId="34A99F65" w14:textId="77777777" w:rsidR="00911EE2" w:rsidRDefault="00C3734E">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meeting, a member of the technical team expresses their insecurity when working, and explains how they understand that it is more complicated than working with other types of crimes since it begs for another form of approach. She feels some pressure when intervening; she argues that in these cases, they must ask themselves why they ask, and with the supervision of other crimes, this does not happen. There is also a fear present of user abandonment of the treatment (Excerpt from Field Journal of Group Interview, August 10, 2018).</w:t>
      </w:r>
    </w:p>
    <w:p w14:paraId="6A54BB1B"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AFDB5" w14:textId="77777777" w:rsidR="00911EE2" w:rsidRDefault="00911EE2">
      <w:pPr>
        <w:spacing w:line="240" w:lineRule="auto"/>
        <w:rPr>
          <w:rFonts w:ascii="Times New Roman" w:eastAsia="Times New Roman" w:hAnsi="Times New Roman" w:cs="Times New Roman"/>
          <w:sz w:val="24"/>
          <w:szCs w:val="24"/>
        </w:rPr>
      </w:pPr>
    </w:p>
    <w:p w14:paraId="0803EF1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Conceptions about sexual violence and sexual offenders </w:t>
      </w:r>
      <w:r>
        <w:rPr>
          <w:rFonts w:ascii="Times New Roman" w:eastAsia="Times New Roman" w:hAnsi="Times New Roman" w:cs="Times New Roman"/>
          <w:sz w:val="24"/>
          <w:szCs w:val="24"/>
        </w:rPr>
        <w:t xml:space="preserve">    </w:t>
      </w:r>
    </w:p>
    <w:p w14:paraId="19F8BD4C"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2C1F5"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years ago, Hercovich (1992) coined the term block of images to refer to the dominant representation of sexual violence and the sexual offender or, noting that this representation is imposed as the only reality, making it impossible to recognize the variability of characteristics and expressions of sexual violence and its perpetrators. According to Hercovich, we imagine that sexual violence is generated by an unknown attacker, at night, on the street (in public), and that the woman caused the situation either because of her dress because she was alone in the street or because of the night. This representation blocks and inhibits the possibility of recognizing the different ways in which sexual violence is expressed.</w:t>
      </w:r>
    </w:p>
    <w:p w14:paraId="1157BA6F"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97F37C"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stage of program implementation, it was observed in the professionals that conceptions of sexual violence that contradict the basic principles of its definition prevailed. We refer to how a situation of violence is configured in terms of power asymmetries between the perpetrator and the victim, preventing the ability to give consent.</w:t>
      </w:r>
    </w:p>
    <w:p w14:paraId="7964E0F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176CED" w14:textId="77777777" w:rsidR="00911EE2" w:rsidRDefault="00C3734E">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case is presented. This is a case of rape; however, the technician, when presenting the case at the technical team meeting, uses the expression: ‘they had sexual relations’ with the victim, who is 20 years younger than the offender, with severe mental health problems and a sex worker. The Facultad of Psicología´s team is concerned to hear this and asks: ‘Did the user say that with those words?’ to which the technician responds, ‘no, I'm saying that.’ (Excerpt from Field Journal of Group Interview, March 16, 2018).</w:t>
      </w:r>
    </w:p>
    <w:p w14:paraId="53BA8A0D" w14:textId="77777777" w:rsidR="00911EE2" w:rsidRDefault="00911EE2">
      <w:pPr>
        <w:spacing w:line="240" w:lineRule="auto"/>
        <w:rPr>
          <w:rFonts w:ascii="Times New Roman" w:eastAsia="Times New Roman" w:hAnsi="Times New Roman" w:cs="Times New Roman"/>
          <w:sz w:val="24"/>
          <w:szCs w:val="24"/>
        </w:rPr>
      </w:pPr>
    </w:p>
    <w:p w14:paraId="364EF947"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conceptions of sexual violence make it difficult to identify the strategies used by sexual offenders to find their victims, focused on detecting situations of vulnerability in their victims. Sex offenders in the process of treatment in the program confess that they search for “partners” on the internet; they offer themselves as “help and protection” towards young or unknown </w:t>
      </w:r>
      <w:r>
        <w:rPr>
          <w:rFonts w:ascii="Times New Roman" w:eastAsia="Times New Roman" w:hAnsi="Times New Roman" w:cs="Times New Roman"/>
          <w:sz w:val="24"/>
          <w:szCs w:val="24"/>
        </w:rPr>
        <w:lastRenderedPageBreak/>
        <w:t>people by making their home available; they establish superficial affective relationships with women—some with small children—, they seek contact with who their victims were and are interested in work activities that involve contact and care of vulnerable populations (elderly, children).</w:t>
      </w:r>
    </w:p>
    <w:p w14:paraId="0EBDE97E"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B3524E" w14:textId="77777777" w:rsidR="00911EE2" w:rsidRDefault="00C3734E">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technical pair states that the person they were working with led a teenager that was living in the streets to live at their home. They look very anxious because they say they do not know how to handle this; they wonder how to deal with this situation (Excerpt from Group Interview Field Diary, July 27, 2018). </w:t>
      </w:r>
    </w:p>
    <w:p w14:paraId="48693168"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95008"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aspects show one of the fundamental areas of work with sexual offenders: the identification of specific psychological needs associated with interpersonal relationships, intimate and affective deficits. It is necessary to reinforce the specialized technical training that allows for correcting the difficulties, fears, and assumptions of the professionals for the approach of the modalities of the sexual crime, their particular form of expression, the strategies of the offenders, and their emotional, cognitive and behavioral manifestations.</w:t>
      </w:r>
    </w:p>
    <w:p w14:paraId="429FEFF0" w14:textId="77777777" w:rsidR="00911EE2" w:rsidRDefault="00911EE2">
      <w:pPr>
        <w:spacing w:line="240" w:lineRule="auto"/>
        <w:rPr>
          <w:rFonts w:ascii="Times New Roman" w:eastAsia="Times New Roman" w:hAnsi="Times New Roman" w:cs="Times New Roman"/>
          <w:sz w:val="24"/>
          <w:szCs w:val="24"/>
        </w:rPr>
      </w:pPr>
    </w:p>
    <w:p w14:paraId="0CC4AA66" w14:textId="77777777" w:rsidR="00911EE2" w:rsidRDefault="00911EE2">
      <w:pPr>
        <w:spacing w:line="240" w:lineRule="auto"/>
        <w:rPr>
          <w:rFonts w:ascii="Times New Roman" w:eastAsia="Times New Roman" w:hAnsi="Times New Roman" w:cs="Times New Roman"/>
          <w:sz w:val="24"/>
          <w:szCs w:val="24"/>
        </w:rPr>
      </w:pPr>
    </w:p>
    <w:p w14:paraId="6FC9C738" w14:textId="77777777" w:rsidR="00911EE2" w:rsidRDefault="00911EE2">
      <w:pPr>
        <w:spacing w:line="240" w:lineRule="auto"/>
        <w:jc w:val="center"/>
        <w:rPr>
          <w:rFonts w:ascii="Times New Roman" w:eastAsia="Times New Roman" w:hAnsi="Times New Roman" w:cs="Times New Roman"/>
          <w:b/>
          <w:sz w:val="24"/>
          <w:szCs w:val="24"/>
        </w:rPr>
      </w:pPr>
    </w:p>
    <w:p w14:paraId="2AECAA14" w14:textId="77777777" w:rsidR="00911EE2" w:rsidRDefault="00C373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5445891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researchers at a public university, we are driven by our ethical-political commitment to the production of quality knowledge about relevant social problems that require specific contributions from Psychology. In the case of the prevention of sexual violence, we have prioritized treatment with sex offenders as a strategy to reduce the recurrence of such crimes and protect the human rights of potential victims. In this sense, we understand how relevant it is to link scientific knowledge produced from Psychology with public policy through the design, implementation, and evaluation of technical interventions based on an ethical approach to the commitment to human rights.</w:t>
      </w:r>
    </w:p>
    <w:p w14:paraId="0AAA4B86"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political and social sphere, various measures to deal with sexual violence are discussed. The increase in criminal penalties for sex offenders, including life imprisonment, has been proposed. Others hint that the death penalty should be applied. It is crucial to oppose this scenario with an alternative that is committed to the social reintegration of this population, based on the fact that we are facing a problem that is, at the same time, individual and social. Therefore, together with a policy of comprehensive treatment of sexual offenders, the Uruguayan State must deepen its policies of gender equality and transformation of inequitable power relations that are at the base of sexual violence as an expression of gender violence. In terms of theoretical-technical challenges, in our context, the need to deepen the articulation between the risk approach and models that emphasize processes focused on the motivation to change for the better, on strengths, and the construction of life projects far from crime is evident. A public community program with people released from prison with different profiles who attend voluntarily merits their articulation with proposals that use a wide range of work techniques to carry out the management of each case adequately. </w:t>
      </w:r>
    </w:p>
    <w:p w14:paraId="421FFE50" w14:textId="77777777" w:rsidR="00911EE2" w:rsidRDefault="00C3734E">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This work process involves agreeing with the institution and its technical team, the characteristics of the device, the approach that supports it, the diagnostic and evaluation instruments, the ways of recording the information, and the analysis of the results. One relevant aspect is the incorporation of technical strategies into the program for the achievement of an adequate work alliance that promotes more significant commitment and adherence to </w:t>
      </w:r>
      <w:r>
        <w:rPr>
          <w:rFonts w:ascii="Times New Roman" w:eastAsia="Times New Roman" w:hAnsi="Times New Roman" w:cs="Times New Roman"/>
          <w:sz w:val="24"/>
          <w:szCs w:val="24"/>
        </w:rPr>
        <w:lastRenderedPageBreak/>
        <w:t xml:space="preserve">treatment, including how communication with users is established (Willis et al., 2013). The concept of adherence to treatment is related to aspects such as cooperation, collaboration, therapeutic alliance, or adhesion. It involves a set of behaviors that includes the acceptance of being part of a treatment program, putting into practice the indications made, as well as incorporating them into your daily life (Zaldivar, 2003). Attendance to the program itself is not an indicator of adherence, but rather the person’s commitment and motivation to change should be considered. That is, successful rehabilitation increases as the professional and the person attended to can form a working relationship in collaborative terms (Mcgrath, 2016). </w:t>
      </w:r>
    </w:p>
    <w:p w14:paraId="606C2A76"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Group interviews with the technicians about the design of the treatment programme allowed us to identify beliefs and opinions about the possibilities of change for sex offenders, particularly in the face of the offenders' recurrent denial of the crime. This reality points to the relevance of incorporating motivational techniques from the initial stages of the intervention.  This aims to transform the factors that are linked to the stigma that hinders the recognition of the sexual crime, the particularities of their lives and their link to the desistance from the crime, as substantial aspects of the intervention (Maruna, 2001; Maruna and Mann, 2006).</w:t>
      </w:r>
    </w:p>
    <w:p w14:paraId="30A5E4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attending to the technical capabilities of professionals, but also their beliefs and conceptions about sexual violence and sexual offenders. Likewise, it is necessary to consider the social-preventive scope that a community treatment program has. In our case, the technical team has gone through a review of their conceptualizations about sexual violence, training in theoretical frameworks of reference and modeling of their therapeutic style.</w:t>
      </w:r>
    </w:p>
    <w:p w14:paraId="672FA774" w14:textId="77777777" w:rsidR="00911EE2" w:rsidRDefault="00911EE2">
      <w:pPr>
        <w:spacing w:line="240" w:lineRule="auto"/>
        <w:jc w:val="both"/>
        <w:rPr>
          <w:rFonts w:ascii="Times New Roman" w:eastAsia="Times New Roman" w:hAnsi="Times New Roman" w:cs="Times New Roman"/>
          <w:b/>
          <w:sz w:val="24"/>
          <w:szCs w:val="24"/>
          <w:highlight w:val="red"/>
        </w:rPr>
      </w:pPr>
    </w:p>
    <w:p w14:paraId="2A37F8D0"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implementation of a treatment program with sexual offenders within the framework of a public policy presents enormous challenges and demands. In this process of intervention-research, we proposed a strategy that bets on the link between the implementation of public policy and the production of scientific knowledge in the field of sexual violence. The challenge of combining a research process with professional intervention has allowed us to contribute to the design and systematization of a pilot program of community treatment for sexual offenders, a pioneer in our country. In future research, it is necessary to define and implement an evaluation and monitoring system appropriate to this type of public program that analyzes its results and impact in terms of reduced recidivism and social insertion of ex-jailed sex offenders. </w:t>
      </w:r>
    </w:p>
    <w:p w14:paraId="40511E1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also have important implications for intervention. From our perspective, the definition of a program with these characteristics requires commitment and political will from decision-makers and the personnel assigned to its technical implementation. It is crucial to consider its viability and sustainability in the medium and long term as a state policy regarding prevention and attention in sexual violence. In our country, obstacles are visible that must be addressed to advance in the sustainable implementation of a program of these characteristics. We refer to the collaboration between state agencies to attend the passage from the penitentiary system to the community, coordination with probation devices, access to information management systems, among others.</w:t>
      </w:r>
    </w:p>
    <w:p w14:paraId="02FBA8E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Likewise, the results shine a light on the theoretical and technical training needs of professionals who implement a program with these characteristics. This implies the importance of having a solvent technical position and conceptions and therapeutic style in tune with the population and specific objectives of the program: profiles of sexual offenders, denial and minimization of crime and motivation for change, with particular attention to community-based treatments (Collins et al., 2010). These factors are linked to the principle of the responsivity of </w:t>
      </w:r>
      <w:r>
        <w:rPr>
          <w:rFonts w:ascii="Times New Roman" w:eastAsia="Times New Roman" w:hAnsi="Times New Roman" w:cs="Times New Roman"/>
          <w:sz w:val="24"/>
          <w:szCs w:val="24"/>
        </w:rPr>
        <w:lastRenderedPageBreak/>
        <w:t>the RNR model, which has little development in research and which has established its close relationship with the effectiveness of treatments (Looman et al., 2005).</w:t>
      </w:r>
    </w:p>
    <w:p w14:paraId="0B8C66C4"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intervention-research, we have been able to systematize the process of design and implementation of a pioneering program in Uruguay for the community treatment of sexual offenders. Given the characteristics of the research, a case study, the possibilities of transferring the information produced are linked to the specific aspects of the program, and the work process we do. </w:t>
      </w:r>
    </w:p>
    <w:p w14:paraId="244F1871" w14:textId="77777777" w:rsidR="00911EE2" w:rsidRDefault="00C3734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implementation of this intervention-research, we face challenges related to the changes of authorities in the public body with the ensuing uncertainty about the continuity of the program, as well as the absence of team members to group interviews scheduled to overlap with other work activities.</w:t>
      </w:r>
    </w:p>
    <w:p w14:paraId="09696A1B" w14:textId="77777777" w:rsidR="00911EE2" w:rsidRDefault="00911EE2">
      <w:pPr>
        <w:spacing w:before="240" w:line="240" w:lineRule="auto"/>
        <w:jc w:val="both"/>
        <w:rPr>
          <w:rFonts w:ascii="Times New Roman" w:eastAsia="Times New Roman" w:hAnsi="Times New Roman" w:cs="Times New Roman"/>
          <w:b/>
          <w:sz w:val="24"/>
          <w:szCs w:val="24"/>
        </w:rPr>
      </w:pPr>
    </w:p>
    <w:p w14:paraId="2C1847D8"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3A88E3E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and implementation of a sexual offender psychological treatment program with a community approach require taking into account multiple dimensions related to technical issues about this population and also to the social and institutional conditions for its development. The intervention-research implemented so far has demonstrated the need for the training of professional-technical personnel to deal with sexual offenders; the resistances and difficulties of professionals for technical intervention— which express the resistances that can be observed at a social level— and the complexities involved in the relationship between a public body and an academic institution to develop a public policy on a socially sensitive and controversial issue.</w:t>
      </w:r>
    </w:p>
    <w:p w14:paraId="309AE5A0" w14:textId="77777777" w:rsidR="00911EE2" w:rsidRDefault="00911EE2">
      <w:pPr>
        <w:spacing w:before="240" w:line="240" w:lineRule="auto"/>
        <w:jc w:val="both"/>
        <w:rPr>
          <w:rFonts w:ascii="Times New Roman" w:eastAsia="Times New Roman" w:hAnsi="Times New Roman" w:cs="Times New Roman"/>
          <w:b/>
          <w:sz w:val="24"/>
          <w:szCs w:val="24"/>
        </w:rPr>
      </w:pPr>
    </w:p>
    <w:p w14:paraId="4167F3CE" w14:textId="77777777" w:rsidR="00911EE2" w:rsidRDefault="00C3734E">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C010704"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7714D8" w14:textId="77777777" w:rsidR="00911EE2" w:rsidRDefault="00911EE2">
      <w:pPr>
        <w:spacing w:line="240" w:lineRule="auto"/>
        <w:rPr>
          <w:rFonts w:ascii="Times New Roman" w:eastAsia="Times New Roman" w:hAnsi="Times New Roman" w:cs="Times New Roman"/>
          <w:sz w:val="24"/>
          <w:szCs w:val="24"/>
        </w:rPr>
      </w:pPr>
    </w:p>
    <w:p w14:paraId="19678DFE"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Psychological Association (2017). Ethical principles of psychologists and code of conduct (pp. 1-16). Washington, DC: APA.</w:t>
      </w:r>
    </w:p>
    <w:p w14:paraId="34BF15DA" w14:textId="7EB5F2AF"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&amp; Bonta, J. (2010). Rehabilitating criminal justice policy and practice. </w:t>
      </w:r>
      <w:r>
        <w:rPr>
          <w:rFonts w:ascii="Times New Roman" w:eastAsia="Times New Roman" w:hAnsi="Times New Roman" w:cs="Times New Roman"/>
          <w:i/>
          <w:sz w:val="24"/>
          <w:szCs w:val="24"/>
        </w:rPr>
        <w:t>Psychology, Public Policy, and Law</w:t>
      </w:r>
      <w:r>
        <w:rPr>
          <w:rFonts w:ascii="Times New Roman" w:eastAsia="Times New Roman" w:hAnsi="Times New Roman" w:cs="Times New Roman"/>
          <w:sz w:val="24"/>
          <w:szCs w:val="24"/>
        </w:rPr>
        <w:t xml:space="preserve">, 16 (1), 39-55. </w:t>
      </w:r>
      <w:r w:rsidR="00D03C5E">
        <w:rPr>
          <w:rFonts w:ascii="Times New Roman" w:eastAsia="Times New Roman" w:hAnsi="Times New Roman" w:cs="Times New Roman"/>
          <w:sz w:val="24"/>
          <w:szCs w:val="24"/>
        </w:rPr>
        <w:t>http://dx.doi.org/</w:t>
      </w:r>
      <w:r>
        <w:rPr>
          <w:rFonts w:ascii="Times New Roman" w:eastAsia="Times New Roman" w:hAnsi="Times New Roman" w:cs="Times New Roman"/>
          <w:sz w:val="24"/>
          <w:szCs w:val="24"/>
        </w:rPr>
        <w:t>10.1037/a0018362</w:t>
      </w:r>
    </w:p>
    <w:p w14:paraId="21B6181A" w14:textId="27075D4D"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Bonta, J. &amp; Wormith, S. (2011). The risk-need-responsivity (RNR) model does adding the Good Lives Model contribute to effective crime prevention? </w:t>
      </w:r>
      <w:r>
        <w:rPr>
          <w:rFonts w:ascii="Times New Roman" w:eastAsia="Times New Roman" w:hAnsi="Times New Roman" w:cs="Times New Roman"/>
          <w:i/>
          <w:sz w:val="24"/>
          <w:szCs w:val="24"/>
        </w:rPr>
        <w:t>Criminal Justice and Behavior, 38,</w:t>
      </w:r>
      <w:r>
        <w:rPr>
          <w:rFonts w:ascii="Times New Roman" w:eastAsia="Times New Roman" w:hAnsi="Times New Roman" w:cs="Times New Roman"/>
          <w:sz w:val="24"/>
          <w:szCs w:val="24"/>
        </w:rPr>
        <w:t xml:space="preserve"> 735 -755. </w:t>
      </w:r>
      <w:hyperlink r:id="rId11" w:history="1">
        <w:r w:rsidR="00D03C5E" w:rsidRPr="00150D47">
          <w:rPr>
            <w:rStyle w:val="Hipervnculo"/>
            <w:rFonts w:ascii="Times New Roman" w:eastAsia="Times New Roman" w:hAnsi="Times New Roman" w:cs="Times New Roman"/>
            <w:sz w:val="24"/>
            <w:szCs w:val="24"/>
          </w:rPr>
          <w:t>http://dx.doi.org/</w:t>
        </w:r>
        <w:r w:rsidR="00D03C5E" w:rsidRPr="00150D47">
          <w:rPr>
            <w:rStyle w:val="Hipervnculo"/>
            <w:rFonts w:ascii="Times New Roman" w:eastAsia="Times New Roman" w:hAnsi="Times New Roman" w:cs="Times New Roman"/>
            <w:sz w:val="24"/>
            <w:szCs w:val="24"/>
          </w:rPr>
          <w:t>10.1177/0093854811406356</w:t>
        </w:r>
      </w:hyperlink>
      <w:r w:rsidR="00D03C5E">
        <w:rPr>
          <w:rFonts w:ascii="Times New Roman" w:eastAsia="Times New Roman" w:hAnsi="Times New Roman" w:cs="Times New Roman"/>
          <w:sz w:val="24"/>
          <w:szCs w:val="24"/>
        </w:rPr>
        <w:t xml:space="preserve"> </w:t>
      </w:r>
    </w:p>
    <w:p w14:paraId="61C750FF"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Bandura, A. (1989). Human agency in Social Cognitive Theory. </w:t>
      </w:r>
      <w:r w:rsidRPr="00E165FE">
        <w:rPr>
          <w:rFonts w:ascii="Times New Roman" w:eastAsia="Times New Roman" w:hAnsi="Times New Roman" w:cs="Times New Roman"/>
          <w:i/>
          <w:sz w:val="24"/>
          <w:szCs w:val="24"/>
        </w:rPr>
        <w:t>American Psychologist, Vol 44 (9)</w:t>
      </w:r>
      <w:r w:rsidRPr="00E165FE">
        <w:rPr>
          <w:rFonts w:ascii="Times New Roman" w:eastAsia="Times New Roman" w:hAnsi="Times New Roman" w:cs="Times New Roman"/>
          <w:sz w:val="24"/>
          <w:szCs w:val="24"/>
        </w:rPr>
        <w:t>, 1175-1186 https://doi.apa.org/doi/10.1037/0003-066X.44.9.1175</w:t>
      </w:r>
    </w:p>
    <w:p w14:paraId="367B1F47"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E., Brown, J. &amp; Lennings, C. (2010). A qualitative review of community treatment with sex offenders: Perspective of the Offender and the Expert. </w:t>
      </w:r>
      <w:r>
        <w:rPr>
          <w:rFonts w:ascii="Times New Roman" w:eastAsia="Times New Roman" w:hAnsi="Times New Roman" w:cs="Times New Roman"/>
          <w:i/>
          <w:sz w:val="24"/>
          <w:szCs w:val="24"/>
        </w:rPr>
        <w:t xml:space="preserve">Psychiatry, Psychology and Law, 17 </w:t>
      </w:r>
      <w:r>
        <w:rPr>
          <w:rFonts w:ascii="Times New Roman" w:eastAsia="Times New Roman" w:hAnsi="Times New Roman" w:cs="Times New Roman"/>
          <w:sz w:val="24"/>
          <w:szCs w:val="24"/>
        </w:rPr>
        <w:t>(2), 290-303</w:t>
      </w:r>
      <w:r w:rsidRPr="00E165FE">
        <w:rPr>
          <w:rFonts w:ascii="Times New Roman" w:eastAsia="Times New Roman" w:hAnsi="Times New Roman" w:cs="Times New Roman"/>
          <w:sz w:val="24"/>
          <w:szCs w:val="24"/>
        </w:rPr>
        <w:t xml:space="preserve">. </w:t>
      </w:r>
      <w:hyperlink r:id="rId12">
        <w:r w:rsidRPr="00E165FE">
          <w:rPr>
            <w:rFonts w:ascii="Times New Roman" w:eastAsia="Times New Roman" w:hAnsi="Times New Roman" w:cs="Times New Roman"/>
            <w:sz w:val="24"/>
            <w:szCs w:val="24"/>
            <w:u w:val="single"/>
          </w:rPr>
          <w:t>https://doi.org/10.1080/13218710903421282</w:t>
        </w:r>
      </w:hyperlink>
    </w:p>
    <w:p w14:paraId="2C6BBC10"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3C1A806A"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&amp; Lincoln, Y. (Eds.). (2018). </w:t>
      </w:r>
      <w:r>
        <w:rPr>
          <w:rFonts w:ascii="Times New Roman" w:eastAsia="Times New Roman" w:hAnsi="Times New Roman" w:cs="Times New Roman"/>
          <w:i/>
          <w:sz w:val="24"/>
          <w:szCs w:val="24"/>
        </w:rPr>
        <w:t>The SAGE handbook of qualitative research</w:t>
      </w:r>
      <w:r>
        <w:rPr>
          <w:rFonts w:ascii="Times New Roman" w:eastAsia="Times New Roman" w:hAnsi="Times New Roman" w:cs="Times New Roman"/>
          <w:sz w:val="24"/>
          <w:szCs w:val="24"/>
        </w:rPr>
        <w:t>. London: SAGE</w:t>
      </w:r>
    </w:p>
    <w:p w14:paraId="5FBD2ABD" w14:textId="1B9E417D" w:rsidR="00911EE2"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de Almeida, A., Eyland, S., Ware, J., Galouzis, J. &amp; Kevin, M. (2013). Internet sexual offending: overview of potential contributing factors and intervention strategies. </w:t>
      </w:r>
      <w:r>
        <w:rPr>
          <w:rFonts w:ascii="Times New Roman" w:eastAsia="Times New Roman" w:hAnsi="Times New Roman" w:cs="Times New Roman"/>
          <w:i/>
          <w:sz w:val="24"/>
          <w:szCs w:val="24"/>
        </w:rPr>
        <w:t>Psychiatry, Psychology and Law</w:t>
      </w:r>
      <w:r>
        <w:rPr>
          <w:rFonts w:ascii="Times New Roman" w:eastAsia="Times New Roman" w:hAnsi="Times New Roman" w:cs="Times New Roman"/>
          <w:sz w:val="24"/>
          <w:szCs w:val="24"/>
        </w:rPr>
        <w:t xml:space="preserve">, 20 (2), 168-181. </w:t>
      </w:r>
      <w:hyperlink r:id="rId13" w:history="1">
        <w:r w:rsidR="00D03C5E" w:rsidRPr="00150D47">
          <w:rPr>
            <w:rStyle w:val="Hipervnculo"/>
            <w:rFonts w:ascii="Times New Roman" w:eastAsia="Times New Roman" w:hAnsi="Times New Roman" w:cs="Times New Roman"/>
            <w:sz w:val="24"/>
            <w:szCs w:val="24"/>
          </w:rPr>
          <w:t>http://dx.doi.org/</w:t>
        </w:r>
        <w:r w:rsidR="00D03C5E" w:rsidRPr="00150D47">
          <w:rPr>
            <w:rStyle w:val="Hipervnculo"/>
            <w:rFonts w:ascii="Times New Roman" w:eastAsia="Times New Roman" w:hAnsi="Times New Roman" w:cs="Times New Roman"/>
            <w:sz w:val="24"/>
            <w:szCs w:val="24"/>
            <w:highlight w:val="white"/>
          </w:rPr>
          <w:t>10.1080/13218719.2011.633328</w:t>
        </w:r>
      </w:hyperlink>
      <w:r w:rsidR="00D03C5E">
        <w:rPr>
          <w:rFonts w:ascii="Times New Roman" w:eastAsia="Times New Roman" w:hAnsi="Times New Roman" w:cs="Times New Roman"/>
          <w:sz w:val="24"/>
          <w:szCs w:val="24"/>
          <w:highlight w:val="white"/>
        </w:rPr>
        <w:t xml:space="preserve"> </w:t>
      </w:r>
    </w:p>
    <w:p w14:paraId="771D7264"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sidRPr="00E165FE">
        <w:rPr>
          <w:rFonts w:ascii="Times New Roman" w:eastAsia="Times New Roman" w:hAnsi="Times New Roman" w:cs="Times New Roman"/>
          <w:sz w:val="24"/>
          <w:szCs w:val="24"/>
          <w:highlight w:val="white"/>
        </w:rPr>
        <w:t xml:space="preserve">Farmer, M., McAlinden, AM &amp; Maruna, S. (2015). Understanding desistance from sexual offending: A thematic review of research findings. </w:t>
      </w:r>
      <w:r w:rsidRPr="00E165FE">
        <w:rPr>
          <w:rFonts w:ascii="Times New Roman" w:eastAsia="Times New Roman" w:hAnsi="Times New Roman" w:cs="Times New Roman"/>
          <w:i/>
          <w:sz w:val="24"/>
          <w:szCs w:val="24"/>
          <w:highlight w:val="white"/>
        </w:rPr>
        <w:t>Probation Journal, Vol 62(4)</w:t>
      </w:r>
      <w:r w:rsidRPr="00E165FE">
        <w:rPr>
          <w:rFonts w:ascii="Times New Roman" w:eastAsia="Times New Roman" w:hAnsi="Times New Roman" w:cs="Times New Roman"/>
          <w:sz w:val="24"/>
          <w:szCs w:val="24"/>
          <w:highlight w:val="white"/>
        </w:rPr>
        <w:t>, 320-335 https://doi.org/10.1177%2F0264550515600545</w:t>
      </w:r>
    </w:p>
    <w:p w14:paraId="3FBA6F7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Fishman, DB, &amp; Messer, SB (2013). Pragmatic case studies as a source of unity in applied psychology. </w:t>
      </w:r>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17, 156–161</w:t>
      </w:r>
      <w:r w:rsidRPr="00E165FE">
        <w:rPr>
          <w:rFonts w:ascii="Times New Roman" w:eastAsia="Times New Roman" w:hAnsi="Times New Roman" w:cs="Times New Roman"/>
          <w:sz w:val="24"/>
          <w:szCs w:val="24"/>
        </w:rPr>
        <w:t xml:space="preserve">. </w:t>
      </w:r>
      <w:hyperlink r:id="rId14">
        <w:r w:rsidRPr="00E165FE">
          <w:rPr>
            <w:rFonts w:ascii="Times New Roman" w:eastAsia="Times New Roman" w:hAnsi="Times New Roman" w:cs="Times New Roman"/>
            <w:sz w:val="24"/>
            <w:szCs w:val="24"/>
            <w:u w:val="single"/>
          </w:rPr>
          <w:t>http://dx.doi.org/10.1037/a0032927</w:t>
        </w:r>
      </w:hyperlink>
    </w:p>
    <w:p w14:paraId="6E5251D6"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Gergen, KJ (2014). Pursuing excellence in qualitative inquiry. </w:t>
      </w:r>
      <w:r w:rsidRPr="00E165FE">
        <w:rPr>
          <w:rFonts w:ascii="Times New Roman" w:eastAsia="Times New Roman" w:hAnsi="Times New Roman" w:cs="Times New Roman"/>
          <w:i/>
          <w:sz w:val="24"/>
          <w:szCs w:val="24"/>
        </w:rPr>
        <w:t xml:space="preserve">Qualitative Psychology, 1, </w:t>
      </w:r>
      <w:r w:rsidRPr="00E165FE">
        <w:rPr>
          <w:rFonts w:ascii="Times New Roman" w:eastAsia="Times New Roman" w:hAnsi="Times New Roman" w:cs="Times New Roman"/>
          <w:sz w:val="24"/>
          <w:szCs w:val="24"/>
        </w:rPr>
        <w:t xml:space="preserve">49–60. </w:t>
      </w:r>
      <w:hyperlink r:id="rId15">
        <w:r w:rsidRPr="00E165FE">
          <w:rPr>
            <w:rFonts w:ascii="Times New Roman" w:eastAsia="Times New Roman" w:hAnsi="Times New Roman" w:cs="Times New Roman"/>
            <w:sz w:val="24"/>
            <w:szCs w:val="24"/>
            <w:u w:val="single"/>
          </w:rPr>
          <w:t>http://dx.doi.org/10.1037/qup0000002</w:t>
        </w:r>
      </w:hyperlink>
    </w:p>
    <w:p w14:paraId="671A6E6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Gergen, KJ, Josselson, R., &amp; Freeman, M. (2015). The promises of qualitative inquiry. </w:t>
      </w:r>
      <w:r>
        <w:rPr>
          <w:rFonts w:ascii="Times New Roman" w:eastAsia="Times New Roman" w:hAnsi="Times New Roman" w:cs="Times New Roman"/>
          <w:i/>
          <w:sz w:val="24"/>
          <w:szCs w:val="24"/>
        </w:rPr>
        <w:t>American Psychologist, 70</w:t>
      </w:r>
      <w:r>
        <w:rPr>
          <w:rFonts w:ascii="Times New Roman" w:eastAsia="Times New Roman" w:hAnsi="Times New Roman" w:cs="Times New Roman"/>
          <w:sz w:val="24"/>
          <w:szCs w:val="24"/>
        </w:rPr>
        <w:t xml:space="preserve">, 1–9. </w:t>
      </w:r>
      <w:hyperlink r:id="rId16">
        <w:r w:rsidRPr="00E165FE">
          <w:rPr>
            <w:rFonts w:ascii="Times New Roman" w:eastAsia="Times New Roman" w:hAnsi="Times New Roman" w:cs="Times New Roman"/>
            <w:sz w:val="24"/>
            <w:szCs w:val="24"/>
            <w:u w:val="single"/>
          </w:rPr>
          <w:t>http://dx.doi.org/10.1037/a0038597</w:t>
        </w:r>
      </w:hyperlink>
    </w:p>
    <w:p w14:paraId="7C099850"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E., Martínez, V., Leyton, C. &amp; Bardi, A. (2004). Características de abusadores sexuales. </w:t>
      </w:r>
      <w:r>
        <w:rPr>
          <w:rFonts w:ascii="Times New Roman" w:eastAsia="Times New Roman" w:hAnsi="Times New Roman" w:cs="Times New Roman"/>
          <w:i/>
          <w:sz w:val="24"/>
          <w:szCs w:val="24"/>
        </w:rPr>
        <w:t xml:space="preserve">Rev SOGIA </w:t>
      </w:r>
      <w:r>
        <w:rPr>
          <w:rFonts w:ascii="Times New Roman" w:eastAsia="Times New Roman" w:hAnsi="Times New Roman" w:cs="Times New Roman"/>
          <w:sz w:val="24"/>
          <w:szCs w:val="24"/>
        </w:rPr>
        <w:t>, 11 (1 ), 6 -14.</w:t>
      </w:r>
    </w:p>
    <w:p w14:paraId="172538CA" w14:textId="7A11CE31"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Morton-Bourgon, K. (2005). The characteristics of persistent sexual offenders: a meta-analysis of recidivism studies. </w:t>
      </w:r>
      <w:r>
        <w:rPr>
          <w:rFonts w:ascii="Times New Roman" w:eastAsia="Times New Roman" w:hAnsi="Times New Roman" w:cs="Times New Roman"/>
          <w:i/>
          <w:sz w:val="24"/>
          <w:szCs w:val="24"/>
        </w:rPr>
        <w:t>Journal of consulting and clinical psychology</w:t>
      </w:r>
      <w:r>
        <w:rPr>
          <w:rFonts w:ascii="Times New Roman" w:eastAsia="Times New Roman" w:hAnsi="Times New Roman" w:cs="Times New Roman"/>
          <w:sz w:val="24"/>
          <w:szCs w:val="24"/>
        </w:rPr>
        <w:t xml:space="preserve">, 73 (6), p. 1154-1163. </w:t>
      </w:r>
      <w:r w:rsidR="00D03C5E">
        <w:rPr>
          <w:rFonts w:ascii="Times New Roman" w:eastAsia="Times New Roman" w:hAnsi="Times New Roman" w:cs="Times New Roman"/>
          <w:sz w:val="24"/>
          <w:szCs w:val="24"/>
        </w:rPr>
        <w:t>http://dx.doi.org/</w:t>
      </w:r>
      <w:r>
        <w:rPr>
          <w:rFonts w:ascii="Times New Roman" w:eastAsia="Times New Roman" w:hAnsi="Times New Roman" w:cs="Times New Roman"/>
          <w:sz w:val="24"/>
          <w:szCs w:val="24"/>
        </w:rPr>
        <w:t>10.1037/0022-006X.73.6.1154</w:t>
      </w:r>
    </w:p>
    <w:p w14:paraId="0A005D7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Yates, PM. ( 2013). Psychological treatment of sex offenders. </w:t>
      </w:r>
      <w:r>
        <w:rPr>
          <w:rFonts w:ascii="Times New Roman" w:eastAsia="Times New Roman" w:hAnsi="Times New Roman" w:cs="Times New Roman"/>
          <w:i/>
          <w:sz w:val="24"/>
          <w:szCs w:val="24"/>
        </w:rPr>
        <w:t>Current Psychiatry Reports, 15</w:t>
      </w:r>
      <w:r>
        <w:rPr>
          <w:rFonts w:ascii="Times New Roman" w:eastAsia="Times New Roman" w:hAnsi="Times New Roman" w:cs="Times New Roman"/>
          <w:sz w:val="24"/>
          <w:szCs w:val="24"/>
        </w:rPr>
        <w:t>, 1-8. DOI 10.1007/s11920-012-0348-x</w:t>
      </w:r>
    </w:p>
    <w:p w14:paraId="4B0DC3D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Hercovich, I. (1992). De la opción “sexo o muerte” a la transacción “sexo por vida”. Ana M. Fernández (comp.) Las mujeres en la imaginación colectiva. Una historia de discriminación y resistencias. Argentina: Paidós, 63-68.</w:t>
      </w:r>
    </w:p>
    <w:p w14:paraId="6A1FF33D"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O. (2013). ¿Por qué no reincide la mayoría de los agresores sexuales? Anuario de Psicología Jurídica, 23, 71-77 </w:t>
      </w:r>
      <w:hyperlink r:id="rId17">
        <w:r w:rsidRPr="00E165FE">
          <w:rPr>
            <w:rFonts w:ascii="Times New Roman" w:eastAsia="Times New Roman" w:hAnsi="Times New Roman" w:cs="Times New Roman"/>
            <w:sz w:val="24"/>
            <w:szCs w:val="24"/>
            <w:u w:val="single"/>
          </w:rPr>
          <w:t>https://doi.org/10.5093/aj2013a11</w:t>
        </w:r>
      </w:hyperlink>
    </w:p>
    <w:p w14:paraId="66C351F6" w14:textId="77777777" w:rsidR="00911EE2"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Hilterman, E .; Andrés- Pueyo, A. (2005). SVR-20 Manual de valoración del riesgo de violencia sexual. Adaptación versión española. España: Universidad de Barcelona.</w:t>
      </w:r>
    </w:p>
    <w:p w14:paraId="6E2C2C4C"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International Association for the Treatment of Sexual Offenders (2020). Standards of care for the treatment of adult sexual offenders</w:t>
      </w:r>
      <w:r w:rsidRPr="00E165FE">
        <w:rPr>
          <w:rFonts w:ascii="Times New Roman" w:eastAsia="Times New Roman" w:hAnsi="Times New Roman" w:cs="Times New Roman"/>
          <w:sz w:val="24"/>
          <w:szCs w:val="24"/>
        </w:rPr>
        <w:t xml:space="preserve">. </w:t>
      </w:r>
      <w:hyperlink r:id="rId18">
        <w:r w:rsidRPr="00E165FE">
          <w:rPr>
            <w:rFonts w:ascii="Times New Roman" w:eastAsia="Times New Roman" w:hAnsi="Times New Roman" w:cs="Times New Roman"/>
            <w:sz w:val="24"/>
            <w:szCs w:val="24"/>
            <w:u w:val="single"/>
          </w:rPr>
          <w:t>https://www.iatso.org/index.php/iatso/standards-of-care</w:t>
        </w:r>
      </w:hyperlink>
    </w:p>
    <w:p w14:paraId="2FAC48F6"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Instituto Nacional de Estadísticas (2013) Encuesta de Violencia Basada en Género y Generaciones.</w:t>
      </w:r>
      <w:hyperlink r:id="rId19">
        <w:r w:rsidRPr="00E165FE">
          <w:rPr>
            <w:rFonts w:ascii="Times New Roman" w:eastAsia="Times New Roman" w:hAnsi="Times New Roman" w:cs="Times New Roman"/>
            <w:sz w:val="24"/>
            <w:szCs w:val="24"/>
            <w:u w:val="single"/>
          </w:rPr>
          <w:t>http://www.ine.gub.uy/encuesta-de-violencia-basada-en-genero-y-generaciones-evbgg-2013</w:t>
        </w:r>
      </w:hyperlink>
    </w:p>
    <w:p w14:paraId="7F77C7D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Larrotta, R. &amp; Rangel-Noriega, K. (2013). Agresor sexual. Aproximación teórica a su caracterización. Informes psicológicos, 13 (2), 103-120.</w:t>
      </w:r>
    </w:p>
    <w:p w14:paraId="3139EE47"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Lenta, M. M., Longo, R.G. &amp; Zaldúa, G. (2019). Estrategias de mujeres ferroviarias frente a las violencias de género. Una experiencia desde la Psicología Social Comunitaria. </w:t>
      </w:r>
      <w:r>
        <w:rPr>
          <w:rFonts w:ascii="Times New Roman" w:eastAsia="Times New Roman" w:hAnsi="Times New Roman" w:cs="Times New Roman"/>
          <w:i/>
          <w:sz w:val="24"/>
          <w:szCs w:val="24"/>
        </w:rPr>
        <w:t>Revista Interamericana de Psicologia/Interamerican Journal of Psychology (IJP)</w:t>
      </w:r>
      <w:r>
        <w:rPr>
          <w:rFonts w:ascii="Times New Roman" w:eastAsia="Times New Roman" w:hAnsi="Times New Roman" w:cs="Times New Roman"/>
          <w:sz w:val="24"/>
          <w:szCs w:val="24"/>
        </w:rPr>
        <w:t xml:space="preserve">, 53 (2), 195-207. </w:t>
      </w:r>
    </w:p>
    <w:p w14:paraId="1676E0C1" w14:textId="223920C3"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Levenson, JS &amp; Macgowan, MJ (2004). Engagement, Denial, and Treatment Progress Among Sex Offenders in Group Therapy. </w:t>
      </w:r>
      <w:r>
        <w:rPr>
          <w:rFonts w:ascii="Times New Roman" w:eastAsia="Times New Roman" w:hAnsi="Times New Roman" w:cs="Times New Roman"/>
          <w:i/>
          <w:sz w:val="24"/>
          <w:szCs w:val="24"/>
        </w:rPr>
        <w:t xml:space="preserve">Sexual Abuse: A Journal of Research and Treatment, 16 </w:t>
      </w:r>
      <w:r>
        <w:rPr>
          <w:rFonts w:ascii="Times New Roman" w:eastAsia="Times New Roman" w:hAnsi="Times New Roman" w:cs="Times New Roman"/>
          <w:sz w:val="24"/>
          <w:szCs w:val="24"/>
        </w:rPr>
        <w:t xml:space="preserve">(1), 49-63. </w:t>
      </w:r>
      <w:r w:rsidR="00D03C5E">
        <w:rPr>
          <w:rFonts w:ascii="Times New Roman" w:eastAsia="Times New Roman" w:hAnsi="Times New Roman" w:cs="Times New Roman"/>
          <w:sz w:val="24"/>
          <w:szCs w:val="24"/>
        </w:rPr>
        <w:t>http://dx.doi.org/</w:t>
      </w:r>
      <w:hyperlink r:id="rId20">
        <w:r w:rsidRPr="00E165FE">
          <w:rPr>
            <w:rFonts w:ascii="Times New Roman" w:eastAsia="Times New Roman" w:hAnsi="Times New Roman" w:cs="Times New Roman"/>
            <w:sz w:val="24"/>
            <w:szCs w:val="24"/>
            <w:u w:val="single"/>
          </w:rPr>
          <w:t>10.1177/107906320401600104</w:t>
        </w:r>
      </w:hyperlink>
    </w:p>
    <w:p w14:paraId="6999001C"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Levitt, HM, Bamberg, M., Creswell, JW, Frost, DM, Josselson, R., &amp; Suárez-Orozco, C. (2018). Journal article reporting standards for qualitative primary, qualitative meta-analytic, and mixed methods research in psychology: The APA Publications and Communications Board task force report. </w:t>
      </w:r>
      <w:r>
        <w:rPr>
          <w:rFonts w:ascii="Times New Roman" w:eastAsia="Times New Roman" w:hAnsi="Times New Roman" w:cs="Times New Roman"/>
          <w:i/>
          <w:sz w:val="24"/>
          <w:szCs w:val="24"/>
          <w:highlight w:val="white"/>
        </w:rPr>
        <w:t xml:space="preserve">American Psychologist, 73 </w:t>
      </w:r>
      <w:r>
        <w:rPr>
          <w:rFonts w:ascii="Times New Roman" w:eastAsia="Times New Roman" w:hAnsi="Times New Roman" w:cs="Times New Roman"/>
          <w:sz w:val="24"/>
          <w:szCs w:val="24"/>
          <w:highlight w:val="white"/>
        </w:rPr>
        <w:t>(1), 26-46</w:t>
      </w:r>
      <w:r w:rsidRPr="00E165FE">
        <w:rPr>
          <w:rFonts w:ascii="Times New Roman" w:eastAsia="Times New Roman" w:hAnsi="Times New Roman" w:cs="Times New Roman"/>
          <w:sz w:val="24"/>
          <w:szCs w:val="24"/>
          <w:highlight w:val="white"/>
        </w:rPr>
        <w:t xml:space="preserve">. </w:t>
      </w:r>
      <w:hyperlink r:id="rId21">
        <w:r w:rsidRPr="00E165FE">
          <w:rPr>
            <w:rFonts w:ascii="Times New Roman" w:eastAsia="Times New Roman" w:hAnsi="Times New Roman" w:cs="Times New Roman"/>
            <w:sz w:val="24"/>
            <w:szCs w:val="24"/>
            <w:highlight w:val="white"/>
            <w:u w:val="single"/>
          </w:rPr>
          <w:t>http://dx.doi.org/10.1037/amp0000151</w:t>
        </w:r>
      </w:hyperlink>
    </w:p>
    <w:p w14:paraId="2DA634A0"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Ley N°17815 (2004) Violencia sexual comercial o no comercial </w:t>
      </w:r>
      <w:r>
        <w:rPr>
          <w:rFonts w:ascii="Times New Roman" w:eastAsia="Times New Roman" w:hAnsi="Times New Roman" w:cs="Times New Roman"/>
          <w:sz w:val="24"/>
          <w:szCs w:val="24"/>
        </w:rPr>
        <w:t xml:space="preserve">contra niños, adolescentes o incapaces.Uruguay:Poder Legislativo. </w:t>
      </w:r>
      <w:hyperlink r:id="rId22">
        <w:r w:rsidRPr="00E165FE">
          <w:rPr>
            <w:rFonts w:ascii="Times New Roman" w:eastAsia="Times New Roman" w:hAnsi="Times New Roman" w:cs="Times New Roman"/>
            <w:sz w:val="24"/>
            <w:szCs w:val="24"/>
            <w:u w:val="single"/>
          </w:rPr>
          <w:t>https://legislativo.parlamento.gub.uy/temporales/leytemp2450953.htm</w:t>
        </w:r>
      </w:hyperlink>
    </w:p>
    <w:p w14:paraId="5C3D9AAA"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Ley N° 19580 (2017) Violencia hacia las mujeres basada en género. Uruguay: Poder Legislativo. </w:t>
      </w:r>
      <w:hyperlink r:id="rId23">
        <w:r w:rsidRPr="00E165FE">
          <w:rPr>
            <w:rFonts w:ascii="Times New Roman" w:eastAsia="Times New Roman" w:hAnsi="Times New Roman" w:cs="Times New Roman"/>
            <w:sz w:val="24"/>
            <w:szCs w:val="24"/>
            <w:u w:val="single"/>
          </w:rPr>
          <w:t>https://www.impo.com.uy/bases/leyes/19580-2017</w:t>
        </w:r>
      </w:hyperlink>
    </w:p>
    <w:p w14:paraId="426362F8"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Looman, J. &amp; Abracen, J. (2013). The risk need responsivity model of offender rehabilitation: is there really a need for a paradigm shift?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8 (3-4 ), 30 -36 </w:t>
      </w:r>
      <w:hyperlink r:id="rId24">
        <w:r w:rsidRPr="00E165FE">
          <w:rPr>
            <w:rFonts w:ascii="Times New Roman" w:eastAsia="Times New Roman" w:hAnsi="Times New Roman" w:cs="Times New Roman"/>
            <w:sz w:val="24"/>
            <w:szCs w:val="24"/>
            <w:highlight w:val="white"/>
            <w:u w:val="single"/>
          </w:rPr>
          <w:t>http://dx.doi.org/10.1037/h0100980</w:t>
        </w:r>
      </w:hyperlink>
    </w:p>
    <w:p w14:paraId="79D89D8E" w14:textId="77777777" w:rsidR="00911EE2"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Loinaz, I.; Nguyen, T.; Navarro, J.C. &amp; Andrés-Pueyo, A. (201</w:t>
      </w:r>
      <w:r>
        <w:rPr>
          <w:rFonts w:ascii="Times New Roman" w:eastAsia="Times New Roman" w:hAnsi="Times New Roman" w:cs="Times New Roman"/>
          <w:sz w:val="24"/>
          <w:szCs w:val="24"/>
        </w:rPr>
        <w:t>5). RSVP Protocolo para la valoración del riesgo de violencia sexual. Adaptación al español. España: Universidad de Barcelona.</w:t>
      </w:r>
    </w:p>
    <w:p w14:paraId="06214C26"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Looman, J., Dickie, I. &amp; Abracen, J. (2005). Responsivity Issues in the Treatment of Sexual Offenders. </w:t>
      </w:r>
      <w:r>
        <w:rPr>
          <w:rFonts w:ascii="Times New Roman" w:eastAsia="Times New Roman" w:hAnsi="Times New Roman" w:cs="Times New Roman"/>
          <w:i/>
          <w:sz w:val="24"/>
          <w:szCs w:val="24"/>
        </w:rPr>
        <w:t xml:space="preserve">Trauma, Violence and Abuse, 6 </w:t>
      </w:r>
      <w:r>
        <w:rPr>
          <w:rFonts w:ascii="Times New Roman" w:eastAsia="Times New Roman" w:hAnsi="Times New Roman" w:cs="Times New Roman"/>
          <w:sz w:val="24"/>
          <w:szCs w:val="24"/>
        </w:rPr>
        <w:t xml:space="preserve">(4), 330-353. </w:t>
      </w:r>
      <w:hyperlink r:id="rId25">
        <w:r w:rsidRPr="00E165FE">
          <w:rPr>
            <w:rFonts w:ascii="Times New Roman" w:eastAsia="Times New Roman" w:hAnsi="Times New Roman" w:cs="Times New Roman"/>
            <w:sz w:val="24"/>
            <w:szCs w:val="24"/>
            <w:u w:val="single"/>
          </w:rPr>
          <w:t>https://doi.org/10.1177%2F1524838005280857</w:t>
        </w:r>
      </w:hyperlink>
    </w:p>
    <w:p w14:paraId="4672EF26"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Magnone, N., Pacci, G. &amp; Calce, C. (2016). Diagnóstico prospectivo en brechas de género y su impacto en el desarrollo. Violencias de Género. Montevideo: Oficina de Planeamiento y Presupuesto. Presidencia de la </w:t>
      </w:r>
      <w:r w:rsidRPr="00E165FE">
        <w:rPr>
          <w:rFonts w:ascii="Times New Roman" w:eastAsia="Times New Roman" w:hAnsi="Times New Roman" w:cs="Times New Roman"/>
          <w:sz w:val="24"/>
          <w:szCs w:val="24"/>
        </w:rPr>
        <w:t xml:space="preserve">República. </w:t>
      </w:r>
      <w:hyperlink r:id="rId26">
        <w:r w:rsidRPr="00E165FE">
          <w:rPr>
            <w:rFonts w:ascii="Times New Roman" w:eastAsia="Times New Roman" w:hAnsi="Times New Roman" w:cs="Times New Roman"/>
            <w:sz w:val="24"/>
            <w:szCs w:val="24"/>
            <w:u w:val="single"/>
          </w:rPr>
          <w:t>https: //www.opp.gub.u and / sites / default / files / inline-files / Genero_violencias.pdf</w:t>
        </w:r>
      </w:hyperlink>
    </w:p>
    <w:p w14:paraId="424D5820"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Maruna, S. (2001). Making good: How ex-convicts reform and rebuild their lives. Washington, DC: American Psychological Association. https://psycnet.apa.org/doi/10.1037/10430-000</w:t>
      </w:r>
    </w:p>
    <w:p w14:paraId="2C3A9CDE"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McCartan, KF. &amp; Richards, K. (2021). The integration of people convicted of a sexual offence into the community and their (risk) management. </w:t>
      </w:r>
      <w:r w:rsidRPr="00E165FE">
        <w:rPr>
          <w:rFonts w:ascii="Times New Roman" w:eastAsia="Times New Roman" w:hAnsi="Times New Roman" w:cs="Times New Roman"/>
          <w:i/>
          <w:sz w:val="24"/>
          <w:szCs w:val="24"/>
        </w:rPr>
        <w:t>Current Psychiatry Report, 23(8)</w:t>
      </w:r>
      <w:r w:rsidRPr="00E165FE">
        <w:rPr>
          <w:rFonts w:ascii="Times New Roman" w:eastAsia="Times New Roman" w:hAnsi="Times New Roman" w:cs="Times New Roman"/>
          <w:sz w:val="24"/>
          <w:szCs w:val="24"/>
        </w:rPr>
        <w:t>:52. https://doi.org/10.1007/s11920-021-01258-4</w:t>
      </w:r>
    </w:p>
    <w:p w14:paraId="5FA0B0E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(2001). </w:t>
      </w:r>
      <w:r>
        <w:rPr>
          <w:rFonts w:ascii="Times New Roman" w:eastAsia="Times New Roman" w:hAnsi="Times New Roman" w:cs="Times New Roman"/>
          <w:i/>
          <w:sz w:val="24"/>
          <w:szCs w:val="24"/>
        </w:rPr>
        <w:t xml:space="preserve">Agresores Sexuales offenders </w:t>
      </w:r>
      <w:r>
        <w:rPr>
          <w:rFonts w:ascii="Times New Roman" w:eastAsia="Times New Roman" w:hAnsi="Times New Roman" w:cs="Times New Roman"/>
          <w:sz w:val="24"/>
          <w:szCs w:val="24"/>
        </w:rPr>
        <w:t>España: Ariel.</w:t>
      </w:r>
    </w:p>
    <w:p w14:paraId="32B0BB2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(2015). </w:t>
      </w:r>
      <w:r>
        <w:rPr>
          <w:rFonts w:ascii="Times New Roman" w:eastAsia="Times New Roman" w:hAnsi="Times New Roman" w:cs="Times New Roman"/>
          <w:i/>
          <w:sz w:val="24"/>
          <w:szCs w:val="24"/>
        </w:rPr>
        <w:t>Rehabilitating Sexual Offenders. A strength-based approach</w:t>
      </w:r>
      <w:r>
        <w:rPr>
          <w:rFonts w:ascii="Times New Roman" w:eastAsia="Times New Roman" w:hAnsi="Times New Roman" w:cs="Times New Roman"/>
          <w:sz w:val="24"/>
          <w:szCs w:val="24"/>
        </w:rPr>
        <w:t>. 2nd. Ed. Washington DC: APA Books.</w:t>
      </w:r>
    </w:p>
    <w:p w14:paraId="4109C54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(2009). Self-esteem, shame, cognitive distortions and empathy in sexual offenders: their integration and treatment implications. </w:t>
      </w:r>
      <w:r>
        <w:rPr>
          <w:rFonts w:ascii="Times New Roman" w:eastAsia="Times New Roman" w:hAnsi="Times New Roman" w:cs="Times New Roman"/>
          <w:i/>
          <w:sz w:val="24"/>
          <w:szCs w:val="24"/>
        </w:rPr>
        <w:t xml:space="preserve">Psychology, Crime, and Law, Vol. 15 (2,3 </w:t>
      </w:r>
      <w:r>
        <w:rPr>
          <w:rFonts w:ascii="Times New Roman" w:eastAsia="Times New Roman" w:hAnsi="Times New Roman" w:cs="Times New Roman"/>
          <w:sz w:val="24"/>
          <w:szCs w:val="24"/>
        </w:rPr>
        <w:t>), 217-234.</w:t>
      </w:r>
    </w:p>
    <w:p w14:paraId="2EE302E6"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Maruna, S. &amp; Mann, RE (2006) A fundamental attribution error? Rethinking cognitive distortions. </w:t>
      </w:r>
      <w:r>
        <w:rPr>
          <w:rFonts w:ascii="Times New Roman" w:eastAsia="Times New Roman" w:hAnsi="Times New Roman" w:cs="Times New Roman"/>
          <w:i/>
          <w:sz w:val="24"/>
          <w:szCs w:val="24"/>
        </w:rPr>
        <w:t xml:space="preserve">Legal and Criminological Psychology, 11 </w:t>
      </w:r>
      <w:r>
        <w:rPr>
          <w:rFonts w:ascii="Times New Roman" w:eastAsia="Times New Roman" w:hAnsi="Times New Roman" w:cs="Times New Roman"/>
          <w:sz w:val="24"/>
          <w:szCs w:val="24"/>
        </w:rPr>
        <w:t xml:space="preserve">(2), 155-177. </w:t>
      </w:r>
      <w:hyperlink r:id="rId27">
        <w:r w:rsidRPr="00E165FE">
          <w:rPr>
            <w:rFonts w:ascii="Times New Roman" w:eastAsia="Times New Roman" w:hAnsi="Times New Roman" w:cs="Times New Roman"/>
            <w:sz w:val="24"/>
            <w:szCs w:val="24"/>
            <w:u w:val="single"/>
          </w:rPr>
          <w:t>https://doi.org/10.1348/135532506X114608</w:t>
        </w:r>
      </w:hyperlink>
    </w:p>
    <w:p w14:paraId="55F308EC"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Mcgrath, RJ (2016) Clinical strategies for evaluating sexual offenders. A. Phenix HM Hoberman (eds.) </w:t>
      </w:r>
      <w:r>
        <w:rPr>
          <w:rFonts w:ascii="Times New Roman" w:eastAsia="Times New Roman" w:hAnsi="Times New Roman" w:cs="Times New Roman"/>
          <w:i/>
          <w:sz w:val="24"/>
          <w:szCs w:val="24"/>
        </w:rPr>
        <w:t xml:space="preserve">Sexual Offending. </w:t>
      </w:r>
      <w:r>
        <w:rPr>
          <w:rFonts w:ascii="Times New Roman" w:eastAsia="Times New Roman" w:hAnsi="Times New Roman" w:cs="Times New Roman"/>
          <w:sz w:val="24"/>
          <w:szCs w:val="24"/>
        </w:rPr>
        <w:t>New York: Springer Science + Business Media.</w:t>
      </w:r>
    </w:p>
    <w:p w14:paraId="67AA17A1"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Desarrollo Social (2017). Violencia Basada en género: desde el ámbito privado a la agenda pública. Cuadernos del Sistema de Información de Género Nº 7, Montevideo: MIDES, INMUJERES.</w:t>
      </w:r>
    </w:p>
    <w:p w14:paraId="035969C9"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Ministerio del Interior. (2019) Presentación de cifras anuales de violencia de género de 2018. Uruguay: Observatorio de Criminalidad y Violencia. </w:t>
      </w:r>
      <w:hyperlink r:id="rId28">
        <w:r w:rsidRPr="00E165FE">
          <w:rPr>
            <w:rFonts w:ascii="Times New Roman" w:eastAsia="Times New Roman" w:hAnsi="Times New Roman" w:cs="Times New Roman"/>
            <w:sz w:val="24"/>
            <w:szCs w:val="24"/>
            <w:u w:val="single"/>
          </w:rPr>
          <w:t>https://www.minterior.gub.uy/index.php?option=com_content&amp;view=article&amp;id=6283</w:t>
        </w:r>
      </w:hyperlink>
    </w:p>
    <w:p w14:paraId="183C05E2"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United Nations (2013). Introduction guide to the prevention of recidivism and social reintegration of criminals. NY</w:t>
      </w:r>
      <w:r w:rsidRPr="00E165FE">
        <w:rPr>
          <w:rFonts w:ascii="Times New Roman" w:eastAsia="Times New Roman" w:hAnsi="Times New Roman" w:cs="Times New Roman"/>
          <w:sz w:val="24"/>
          <w:szCs w:val="24"/>
        </w:rPr>
        <w:t xml:space="preserve">. </w:t>
      </w:r>
      <w:hyperlink r:id="rId29">
        <w:r w:rsidRPr="00E165FE">
          <w:rPr>
            <w:rFonts w:ascii="Times New Roman" w:eastAsia="Times New Roman" w:hAnsi="Times New Roman" w:cs="Times New Roman"/>
            <w:sz w:val="24"/>
            <w:szCs w:val="24"/>
            <w:u w:val="single"/>
          </w:rPr>
          <w:t>www.unodc.org</w:t>
        </w:r>
      </w:hyperlink>
    </w:p>
    <w:p w14:paraId="51BA7BFA"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 xml:space="preserve">WHO (2002) World Report </w:t>
      </w:r>
      <w:r>
        <w:rPr>
          <w:rFonts w:ascii="Times New Roman" w:eastAsia="Times New Roman" w:hAnsi="Times New Roman" w:cs="Times New Roman"/>
          <w:sz w:val="24"/>
          <w:szCs w:val="24"/>
        </w:rPr>
        <w:t xml:space="preserve">on Violence and Health. </w:t>
      </w:r>
      <w:hyperlink r:id="rId30">
        <w:r w:rsidRPr="00E165FE">
          <w:rPr>
            <w:rFonts w:ascii="Times New Roman" w:eastAsia="Times New Roman" w:hAnsi="Times New Roman" w:cs="Times New Roman"/>
            <w:sz w:val="24"/>
            <w:szCs w:val="24"/>
            <w:u w:val="single"/>
          </w:rPr>
          <w:t>http://www.who.int/violence_injury_prevention/violence/world_report/es/summary_es.pdf</w:t>
        </w:r>
      </w:hyperlink>
    </w:p>
    <w:p w14:paraId="7A330D98" w14:textId="77777777" w:rsidR="00911EE2" w:rsidRPr="00E165FE" w:rsidRDefault="00C3734E">
      <w:pPr>
        <w:spacing w:before="240" w:line="240" w:lineRule="auto"/>
        <w:jc w:val="both"/>
        <w:rPr>
          <w:rFonts w:ascii="Times New Roman" w:eastAsia="Times New Roman" w:hAnsi="Times New Roman" w:cs="Times New Roman"/>
          <w:sz w:val="24"/>
          <w:szCs w:val="24"/>
          <w:u w:val="single"/>
        </w:rPr>
      </w:pPr>
      <w:r w:rsidRPr="00E165FE">
        <w:rPr>
          <w:rFonts w:ascii="Times New Roman" w:eastAsia="Times New Roman" w:hAnsi="Times New Roman" w:cs="Times New Roman"/>
          <w:sz w:val="24"/>
          <w:szCs w:val="24"/>
        </w:rPr>
        <w:t>WHO (2011) Sexual violence. http:</w:t>
      </w:r>
      <w:hyperlink r:id="rId31">
        <w:r w:rsidRPr="00E165FE">
          <w:rPr>
            <w:rFonts w:ascii="Times New Roman" w:eastAsia="Times New Roman" w:hAnsi="Times New Roman" w:cs="Times New Roman"/>
            <w:sz w:val="24"/>
            <w:szCs w:val="24"/>
            <w:u w:val="single"/>
          </w:rPr>
          <w:t>//apps.who.int/iris/bitstream/10665/98821/1/WHO_RHR_12.37_spa.pdf</w:t>
        </w:r>
      </w:hyperlink>
    </w:p>
    <w:p w14:paraId="139D7004"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American Health Organization. (2013). Understand and embroider violence against women. Sexual violence Washington, DC: PAHO.</w:t>
      </w:r>
    </w:p>
    <w:p w14:paraId="19DEFD3B"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Judicial (2018). Procesos concluidos en los juzgados letrados con competencia en materia penal en el nuevo Código del Proceso Penal (CPP, 2017). Uruguay: Departamento de Estadísticas.</w:t>
      </w:r>
    </w:p>
    <w:p w14:paraId="1AA5879E"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Redondo, S., Pérez, M. &amp; Martínez, M. (2007). El riesgo de reincidencia en agresores sexuales: investigación básica y valoración mediante el SVR-20. Papeles del Psicólogo, 28(3), 187-195.</w:t>
      </w:r>
    </w:p>
    <w:p w14:paraId="5B50814D" w14:textId="77777777" w:rsidR="00911EE2" w:rsidRPr="00E165FE"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Robertiello, G. &amp; Terry, G. (2007). Can we profile sex offenders? A review of sex offender typologies.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508-518. </w:t>
      </w:r>
      <w:hyperlink r:id="rId32">
        <w:r w:rsidRPr="00E165FE">
          <w:rPr>
            <w:rFonts w:ascii="Times New Roman" w:eastAsia="Times New Roman" w:hAnsi="Times New Roman" w:cs="Times New Roman"/>
            <w:sz w:val="24"/>
            <w:szCs w:val="24"/>
            <w:u w:val="single"/>
          </w:rPr>
          <w:t>https://doi.org/10.1016/j.avb.2007.02.010</w:t>
        </w:r>
      </w:hyperlink>
    </w:p>
    <w:p w14:paraId="3A7D5D0F" w14:textId="77777777" w:rsidR="00911EE2" w:rsidRPr="00E165FE" w:rsidRDefault="00911EE2">
      <w:pPr>
        <w:spacing w:line="240" w:lineRule="auto"/>
        <w:rPr>
          <w:rFonts w:ascii="Times New Roman" w:eastAsia="Times New Roman" w:hAnsi="Times New Roman" w:cs="Times New Roman"/>
          <w:sz w:val="24"/>
          <w:szCs w:val="24"/>
        </w:rPr>
      </w:pPr>
    </w:p>
    <w:p w14:paraId="7667EC7A" w14:textId="77777777" w:rsidR="00911EE2" w:rsidRPr="00E165FE"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Wl &amp; Von Unger, H. (2018). Current Perspectives on Research Ethics in Qualitative Research. </w:t>
      </w:r>
      <w:r>
        <w:rPr>
          <w:rFonts w:ascii="Times New Roman" w:eastAsia="Times New Roman" w:hAnsi="Times New Roman" w:cs="Times New Roman"/>
          <w:i/>
          <w:sz w:val="24"/>
          <w:szCs w:val="24"/>
        </w:rPr>
        <w:t>Forum: Qualitative Social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19 </w:t>
      </w:r>
      <w:r>
        <w:rPr>
          <w:rFonts w:ascii="Times New Roman" w:eastAsia="Times New Roman" w:hAnsi="Times New Roman" w:cs="Times New Roman"/>
          <w:sz w:val="24"/>
          <w:szCs w:val="24"/>
        </w:rPr>
        <w:t>(3), Art. 33</w:t>
      </w:r>
      <w:r w:rsidRPr="00E165FE">
        <w:rPr>
          <w:rFonts w:ascii="Times New Roman" w:eastAsia="Times New Roman" w:hAnsi="Times New Roman" w:cs="Times New Roman"/>
          <w:sz w:val="24"/>
          <w:szCs w:val="24"/>
        </w:rPr>
        <w:t xml:space="preserve">. </w:t>
      </w:r>
      <w:hyperlink r:id="rId33">
        <w:r w:rsidRPr="00E165FE">
          <w:rPr>
            <w:rFonts w:ascii="Times New Roman" w:eastAsia="Times New Roman" w:hAnsi="Times New Roman" w:cs="Times New Roman"/>
            <w:sz w:val="24"/>
            <w:szCs w:val="24"/>
            <w:u w:val="single"/>
          </w:rPr>
          <w:t>https://doi.org/10.17169/fqs-19.3.3155</w:t>
        </w:r>
      </w:hyperlink>
    </w:p>
    <w:p w14:paraId="0BE7F0F8"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5C141C41" w14:textId="77777777" w:rsidR="00911EE2" w:rsidRDefault="00C373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Terry, G., Hayfield, N., Clarke, V. &amp; Braun, V. (2017). Thematic Analysis In W. Staiton Rogers &amp; C. Willig (Eds), </w:t>
      </w:r>
      <w:r>
        <w:rPr>
          <w:rFonts w:ascii="Times New Roman" w:eastAsia="Times New Roman" w:hAnsi="Times New Roman" w:cs="Times New Roman"/>
          <w:i/>
          <w:sz w:val="24"/>
          <w:szCs w:val="24"/>
        </w:rPr>
        <w:t xml:space="preserve">The SAGE Handbook of Qualitative Research in Psychology </w:t>
      </w:r>
      <w:r>
        <w:rPr>
          <w:rFonts w:ascii="Times New Roman" w:eastAsia="Times New Roman" w:hAnsi="Times New Roman" w:cs="Times New Roman"/>
          <w:sz w:val="24"/>
          <w:szCs w:val="24"/>
        </w:rPr>
        <w:t>(pp. 17-37). London: SAGE.</w:t>
      </w:r>
    </w:p>
    <w:p w14:paraId="0A8CD25E" w14:textId="77777777" w:rsidR="00911EE2" w:rsidRDefault="00911EE2">
      <w:pPr>
        <w:spacing w:line="240" w:lineRule="auto"/>
        <w:rPr>
          <w:rFonts w:ascii="Times New Roman" w:eastAsia="Times New Roman" w:hAnsi="Times New Roman" w:cs="Times New Roman"/>
          <w:sz w:val="24"/>
          <w:szCs w:val="24"/>
        </w:rPr>
      </w:pPr>
    </w:p>
    <w:p w14:paraId="576F1113"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Tyler, N., Gannon, T.A &amp; Olver, M.E (2021). Does treatment for sexual offending work? Current Psychiatry Reports, 23, 51. </w:t>
      </w:r>
      <w:r w:rsidRPr="00E165FE">
        <w:rPr>
          <w:rFonts w:ascii="Times New Roman" w:eastAsia="Times New Roman" w:hAnsi="Times New Roman" w:cs="Times New Roman"/>
          <w:sz w:val="24"/>
          <w:szCs w:val="24"/>
          <w:shd w:val="clear" w:color="auto" w:fill="FCFCFC"/>
        </w:rPr>
        <w:t>https://doi.org/10.1007/s11920-021-01259-3</w:t>
      </w:r>
    </w:p>
    <w:p w14:paraId="5AEEF731" w14:textId="77777777" w:rsidR="00911EE2" w:rsidRPr="00E165FE" w:rsidRDefault="00C3734E">
      <w:pPr>
        <w:spacing w:line="240" w:lineRule="auto"/>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 </w:t>
      </w:r>
    </w:p>
    <w:p w14:paraId="1C8E0538" w14:textId="77777777" w:rsidR="00911EE2" w:rsidRPr="00E165FE" w:rsidRDefault="00C3734E">
      <w:pPr>
        <w:spacing w:line="240" w:lineRule="auto"/>
        <w:rPr>
          <w:rFonts w:ascii="Times New Roman" w:eastAsia="Times New Roman" w:hAnsi="Times New Roman" w:cs="Times New Roman"/>
          <w:sz w:val="24"/>
          <w:szCs w:val="24"/>
          <w:highlight w:val="white"/>
          <w:u w:val="single"/>
        </w:rPr>
      </w:pPr>
      <w:r w:rsidRPr="00E165FE">
        <w:rPr>
          <w:rFonts w:ascii="Times New Roman" w:eastAsia="Times New Roman" w:hAnsi="Times New Roman" w:cs="Times New Roman"/>
          <w:sz w:val="24"/>
          <w:szCs w:val="24"/>
          <w:highlight w:val="white"/>
        </w:rPr>
        <w:t xml:space="preserve">Vargas, L., Montenegro, M., &amp; Pujol, J. (2016). Miradas, formas de hacer y relaciones en la constitución de una investigación crítica. Universitas Psychologica, 14(5), 1833-1852. </w:t>
      </w:r>
      <w:hyperlink r:id="rId34">
        <w:r w:rsidRPr="00E165FE">
          <w:rPr>
            <w:rFonts w:ascii="Times New Roman" w:eastAsia="Times New Roman" w:hAnsi="Times New Roman" w:cs="Times New Roman"/>
            <w:sz w:val="24"/>
            <w:szCs w:val="24"/>
            <w:highlight w:val="white"/>
            <w:u w:val="single"/>
          </w:rPr>
          <w:t>https://revistas.javeriana.edu.co/index.ph p / revPsycho / article / view / 15610</w:t>
        </w:r>
      </w:hyperlink>
    </w:p>
    <w:p w14:paraId="0F6AF6D6" w14:textId="77777777" w:rsidR="00911EE2" w:rsidRPr="00E165FE" w:rsidRDefault="00C3734E">
      <w:pPr>
        <w:spacing w:before="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Ward, T. &amp; Stewart, C. (2003). Criminogenic needs and human needs: A theoretical model. </w:t>
      </w:r>
      <w:r w:rsidRPr="00E165FE">
        <w:rPr>
          <w:rFonts w:ascii="Times New Roman" w:eastAsia="Times New Roman" w:hAnsi="Times New Roman" w:cs="Times New Roman"/>
          <w:i/>
          <w:sz w:val="24"/>
          <w:szCs w:val="24"/>
        </w:rPr>
        <w:t>Psychology, Crime &amp; Law, 9</w:t>
      </w:r>
      <w:r w:rsidRPr="00E165FE">
        <w:rPr>
          <w:rFonts w:ascii="Times New Roman" w:eastAsia="Times New Roman" w:hAnsi="Times New Roman" w:cs="Times New Roman"/>
          <w:sz w:val="24"/>
          <w:szCs w:val="24"/>
        </w:rPr>
        <w:t xml:space="preserve">, 125-143. </w:t>
      </w:r>
      <w:hyperlink r:id="rId35">
        <w:r w:rsidRPr="00E165FE">
          <w:rPr>
            <w:rFonts w:ascii="Times New Roman" w:eastAsia="Times New Roman" w:hAnsi="Times New Roman" w:cs="Times New Roman"/>
            <w:sz w:val="24"/>
            <w:szCs w:val="24"/>
            <w:u w:val="single"/>
          </w:rPr>
          <w:t>https://doi.org/10.1080/1068316031000116247</w:t>
        </w:r>
      </w:hyperlink>
    </w:p>
    <w:p w14:paraId="158C19C8"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Ward, T., Mann, R. &amp; Gannon, T. (2007). The good lives model of offender rehabilitation: Clinical implications.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87-107. </w:t>
      </w:r>
      <w:hyperlink r:id="rId36">
        <w:r w:rsidRPr="00E165FE">
          <w:rPr>
            <w:rFonts w:ascii="Times New Roman" w:eastAsia="Times New Roman" w:hAnsi="Times New Roman" w:cs="Times New Roman"/>
            <w:sz w:val="24"/>
            <w:szCs w:val="24"/>
            <w:u w:val="single"/>
          </w:rPr>
          <w:t>https://psycnet.apa.org/doi/10.1016/j.avb.2006.03.004</w:t>
        </w:r>
      </w:hyperlink>
    </w:p>
    <w:p w14:paraId="3AC5BD50"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Ware, J., Blagden, N. &amp; Harper, C. (2018). Are categorical deniers different? Understanding demographics, personality, and psychological differences between denying and admitting individuals with sexual convictions. </w:t>
      </w:r>
      <w:r w:rsidRPr="00E165FE">
        <w:rPr>
          <w:rFonts w:ascii="Times New Roman" w:eastAsia="Times New Roman" w:hAnsi="Times New Roman" w:cs="Times New Roman"/>
          <w:i/>
          <w:sz w:val="24"/>
          <w:szCs w:val="24"/>
        </w:rPr>
        <w:t>Deviant Behavior</w:t>
      </w:r>
      <w:r w:rsidRPr="00E165FE">
        <w:rPr>
          <w:rFonts w:ascii="Times New Roman" w:eastAsia="Times New Roman" w:hAnsi="Times New Roman" w:cs="Times New Roman"/>
          <w:sz w:val="24"/>
          <w:szCs w:val="24"/>
        </w:rPr>
        <w:t xml:space="preserve">. UK: Routledge, 1-14. </w:t>
      </w:r>
      <w:hyperlink r:id="rId37">
        <w:r w:rsidRPr="00E165FE">
          <w:rPr>
            <w:rFonts w:ascii="Times New Roman" w:eastAsia="Times New Roman" w:hAnsi="Times New Roman" w:cs="Times New Roman"/>
            <w:sz w:val="24"/>
            <w:szCs w:val="24"/>
            <w:u w:val="single"/>
          </w:rPr>
          <w:t>https://doi.org/10.1080/01639625.2018.1558944</w:t>
        </w:r>
      </w:hyperlink>
    </w:p>
    <w:p w14:paraId="4EFC6D9E" w14:textId="77777777" w:rsidR="00911EE2" w:rsidRPr="00E165FE" w:rsidRDefault="00C3734E">
      <w:pPr>
        <w:spacing w:before="240" w:after="240" w:line="240" w:lineRule="auto"/>
        <w:jc w:val="both"/>
        <w:rPr>
          <w:rFonts w:ascii="Times New Roman" w:eastAsia="Times New Roman" w:hAnsi="Times New Roman" w:cs="Times New Roman"/>
          <w:sz w:val="24"/>
          <w:szCs w:val="24"/>
        </w:rPr>
      </w:pPr>
      <w:r w:rsidRPr="00E165FE">
        <w:rPr>
          <w:rFonts w:ascii="Times New Roman" w:eastAsia="Times New Roman" w:hAnsi="Times New Roman" w:cs="Times New Roman"/>
          <w:sz w:val="24"/>
          <w:szCs w:val="24"/>
        </w:rPr>
        <w:t xml:space="preserve">Willis, GM, Yates, PM, Gannon, TA &amp; Ward, T. (2013). How to Integrate the Good Lives Model into Treatment Programs for Sexual Offending: An Introduction and Overview. </w:t>
      </w:r>
      <w:r w:rsidRPr="00E165FE">
        <w:rPr>
          <w:rFonts w:ascii="Times New Roman" w:eastAsia="Times New Roman" w:hAnsi="Times New Roman" w:cs="Times New Roman"/>
          <w:i/>
          <w:sz w:val="24"/>
          <w:szCs w:val="24"/>
        </w:rPr>
        <w:t xml:space="preserve">Sexual Abuse: A Journal of Research and Treatment, 25 </w:t>
      </w:r>
      <w:r w:rsidRPr="00E165FE">
        <w:rPr>
          <w:rFonts w:ascii="Times New Roman" w:eastAsia="Times New Roman" w:hAnsi="Times New Roman" w:cs="Times New Roman"/>
          <w:sz w:val="24"/>
          <w:szCs w:val="24"/>
        </w:rPr>
        <w:t xml:space="preserve">(2), 123-142. </w:t>
      </w:r>
      <w:hyperlink r:id="rId38">
        <w:r w:rsidRPr="00E165FE">
          <w:rPr>
            <w:rFonts w:ascii="Times New Roman" w:eastAsia="Times New Roman" w:hAnsi="Times New Roman" w:cs="Times New Roman"/>
            <w:sz w:val="24"/>
            <w:szCs w:val="24"/>
            <w:u w:val="single"/>
          </w:rPr>
          <w:t>https://doi.org/10.1177/1079063212452618</w:t>
        </w:r>
      </w:hyperlink>
    </w:p>
    <w:p w14:paraId="45063225" w14:textId="77777777" w:rsidR="00911EE2" w:rsidRPr="00E165FE" w:rsidRDefault="00C3734E">
      <w:pPr>
        <w:spacing w:before="240" w:line="240" w:lineRule="auto"/>
        <w:jc w:val="both"/>
        <w:rPr>
          <w:rFonts w:ascii="Times New Roman" w:eastAsia="Times New Roman" w:hAnsi="Times New Roman" w:cs="Times New Roman"/>
          <w:sz w:val="24"/>
          <w:szCs w:val="24"/>
          <w:highlight w:val="white"/>
        </w:rPr>
      </w:pPr>
      <w:r w:rsidRPr="00E165FE">
        <w:rPr>
          <w:rFonts w:ascii="Times New Roman" w:eastAsia="Times New Roman" w:hAnsi="Times New Roman" w:cs="Times New Roman"/>
          <w:sz w:val="24"/>
          <w:szCs w:val="24"/>
        </w:rPr>
        <w:t xml:space="preserve">Yates, PM (2013). Treatment of sexual offenders: research, best practices, and emerging models. </w:t>
      </w:r>
      <w:r w:rsidRPr="00E165FE">
        <w:rPr>
          <w:rFonts w:ascii="Times New Roman" w:eastAsia="Times New Roman" w:hAnsi="Times New Roman" w:cs="Times New Roman"/>
          <w:i/>
          <w:sz w:val="24"/>
          <w:szCs w:val="24"/>
        </w:rPr>
        <w:t>International Journal of Behavioral consultation and therapy</w:t>
      </w:r>
      <w:r w:rsidRPr="00E165FE">
        <w:rPr>
          <w:rFonts w:ascii="Times New Roman" w:eastAsia="Times New Roman" w:hAnsi="Times New Roman" w:cs="Times New Roman"/>
          <w:sz w:val="24"/>
          <w:szCs w:val="24"/>
        </w:rPr>
        <w:t xml:space="preserve">, </w:t>
      </w:r>
      <w:r w:rsidRPr="00E165FE">
        <w:rPr>
          <w:rFonts w:ascii="Times New Roman" w:eastAsia="Times New Roman" w:hAnsi="Times New Roman" w:cs="Times New Roman"/>
          <w:i/>
          <w:sz w:val="24"/>
          <w:szCs w:val="24"/>
        </w:rPr>
        <w:t xml:space="preserve">8 </w:t>
      </w:r>
      <w:r w:rsidRPr="00E165FE">
        <w:rPr>
          <w:rFonts w:ascii="Times New Roman" w:eastAsia="Times New Roman" w:hAnsi="Times New Roman" w:cs="Times New Roman"/>
          <w:sz w:val="24"/>
          <w:szCs w:val="24"/>
        </w:rPr>
        <w:t xml:space="preserve">(3-4 ), 89-95. </w:t>
      </w:r>
      <w:hyperlink r:id="rId39">
        <w:r w:rsidRPr="00E165FE">
          <w:rPr>
            <w:rFonts w:ascii="Times New Roman" w:eastAsia="Times New Roman" w:hAnsi="Times New Roman" w:cs="Times New Roman"/>
            <w:sz w:val="24"/>
            <w:szCs w:val="24"/>
            <w:highlight w:val="white"/>
            <w:u w:val="single"/>
          </w:rPr>
          <w:t>http://dx.doi.org/10.1037/h0100989</w:t>
        </w:r>
      </w:hyperlink>
    </w:p>
    <w:p w14:paraId="19BE96ED"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P. &amp; Ward, T. (2008). Good lives, self-regulation and risk management: an integrated model of sexual offenders assessment and treatment. </w:t>
      </w:r>
      <w:r>
        <w:rPr>
          <w:rFonts w:ascii="Times New Roman" w:eastAsia="Times New Roman" w:hAnsi="Times New Roman" w:cs="Times New Roman"/>
          <w:i/>
          <w:sz w:val="24"/>
          <w:szCs w:val="24"/>
        </w:rPr>
        <w:t xml:space="preserve">Sexual abuse in Australia and New Zealand, </w:t>
      </w:r>
      <w:r>
        <w:rPr>
          <w:rFonts w:ascii="Times New Roman" w:eastAsia="Times New Roman" w:hAnsi="Times New Roman" w:cs="Times New Roman"/>
          <w:sz w:val="24"/>
          <w:szCs w:val="24"/>
        </w:rPr>
        <w:t>1 (1 ), 2 -19.</w:t>
      </w:r>
    </w:p>
    <w:p w14:paraId="3FB0C1A3"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RK (2018). </w:t>
      </w:r>
      <w:r>
        <w:rPr>
          <w:rFonts w:ascii="Times New Roman" w:eastAsia="Times New Roman" w:hAnsi="Times New Roman" w:cs="Times New Roman"/>
          <w:i/>
          <w:sz w:val="24"/>
          <w:szCs w:val="24"/>
        </w:rPr>
        <w:t>Case study research: Design and methods</w:t>
      </w:r>
      <w:r>
        <w:rPr>
          <w:rFonts w:ascii="Times New Roman" w:eastAsia="Times New Roman" w:hAnsi="Times New Roman" w:cs="Times New Roman"/>
          <w:sz w:val="24"/>
          <w:szCs w:val="24"/>
        </w:rPr>
        <w:t>. Thousand Oaks, CA: Sage.</w:t>
      </w:r>
    </w:p>
    <w:p w14:paraId="7B016540" w14:textId="77777777" w:rsidR="00911EE2" w:rsidRPr="00E165FE" w:rsidRDefault="00C3734E">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Zaldivar, D. (2003). Adherencia terapéutica y modelos explicativos. Salud para la vida. </w:t>
      </w:r>
      <w:hyperlink r:id="rId40">
        <w:r w:rsidRPr="00E165FE">
          <w:rPr>
            <w:rFonts w:ascii="Times New Roman" w:eastAsia="Times New Roman" w:hAnsi="Times New Roman" w:cs="Times New Roman"/>
            <w:sz w:val="24"/>
            <w:szCs w:val="24"/>
            <w:u w:val="single"/>
          </w:rPr>
          <w:t>www.infomed.sld.cu</w:t>
        </w:r>
      </w:hyperlink>
    </w:p>
    <w:p w14:paraId="7F963CAF" w14:textId="77777777" w:rsidR="00911EE2" w:rsidRDefault="00C3734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31044" w14:textId="77777777" w:rsidR="00911EE2" w:rsidRDefault="00911EE2">
      <w:pPr>
        <w:spacing w:line="240" w:lineRule="auto"/>
        <w:rPr>
          <w:rFonts w:ascii="Times New Roman" w:eastAsia="Times New Roman" w:hAnsi="Times New Roman" w:cs="Times New Roman"/>
          <w:sz w:val="24"/>
          <w:szCs w:val="24"/>
        </w:rPr>
      </w:pPr>
    </w:p>
    <w:p w14:paraId="27B3E2F0" w14:textId="77777777" w:rsidR="00911EE2" w:rsidRDefault="00911EE2">
      <w:pPr>
        <w:rPr>
          <w:rFonts w:ascii="Times New Roman" w:eastAsia="Times New Roman" w:hAnsi="Times New Roman" w:cs="Times New Roman"/>
          <w:sz w:val="24"/>
          <w:szCs w:val="24"/>
        </w:rPr>
      </w:pPr>
    </w:p>
    <w:sectPr w:rsidR="00911EE2">
      <w:headerReference w:type="default" r:id="rId4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8569" w14:textId="77777777" w:rsidR="006A704F" w:rsidRDefault="006A704F">
      <w:pPr>
        <w:spacing w:line="240" w:lineRule="auto"/>
      </w:pPr>
      <w:r>
        <w:separator/>
      </w:r>
    </w:p>
  </w:endnote>
  <w:endnote w:type="continuationSeparator" w:id="0">
    <w:p w14:paraId="4ECBD769" w14:textId="77777777" w:rsidR="006A704F" w:rsidRDefault="006A7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E90E" w14:textId="77777777" w:rsidR="006A704F" w:rsidRDefault="006A704F">
      <w:pPr>
        <w:spacing w:line="240" w:lineRule="auto"/>
      </w:pPr>
      <w:r>
        <w:separator/>
      </w:r>
    </w:p>
  </w:footnote>
  <w:footnote w:type="continuationSeparator" w:id="0">
    <w:p w14:paraId="6C63BEBC" w14:textId="77777777" w:rsidR="006A704F" w:rsidRDefault="006A70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A846" w14:textId="77777777" w:rsidR="00911EE2" w:rsidRDefault="00C3734E">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1D5E39" w14:textId="77777777" w:rsidR="00911EE2" w:rsidRDefault="00911EE2">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783CD4"/>
    <w:multiLevelType w:val="hybridMultilevel"/>
    <w:tmpl w:val="59A6C5FA"/>
    <w:lvl w:ilvl="0" w:tplc="B526FCA2">
      <w:numFmt w:val="decimalZero"/>
      <w:lvlText w:val="%1-"/>
      <w:lvlJc w:val="left"/>
      <w:pPr>
        <w:ind w:left="915" w:hanging="555"/>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041637256">
    <w:abstractNumId w:val="0"/>
  </w:num>
  <w:num w:numId="2" w16cid:durableId="56426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E2"/>
    <w:rsid w:val="00030412"/>
    <w:rsid w:val="00035A59"/>
    <w:rsid w:val="000A4670"/>
    <w:rsid w:val="00107FBF"/>
    <w:rsid w:val="00176D2D"/>
    <w:rsid w:val="00493867"/>
    <w:rsid w:val="006A704F"/>
    <w:rsid w:val="00823AB9"/>
    <w:rsid w:val="00911EE2"/>
    <w:rsid w:val="00933EE3"/>
    <w:rsid w:val="009603C0"/>
    <w:rsid w:val="00A203C6"/>
    <w:rsid w:val="00C15770"/>
    <w:rsid w:val="00C3734E"/>
    <w:rsid w:val="00CA3034"/>
    <w:rsid w:val="00CB16ED"/>
    <w:rsid w:val="00D03C5E"/>
    <w:rsid w:val="00D064E1"/>
    <w:rsid w:val="00E165FE"/>
    <w:rsid w:val="00E34CC7"/>
    <w:rsid w:val="00EA1954"/>
    <w:rsid w:val="00EB15E2"/>
    <w:rsid w:val="00F81F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1204"/>
  <w15:docId w15:val="{55C77B29-15A8-4F8A-A8AF-0D0A9514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EB15E2"/>
    <w:pPr>
      <w:spacing w:line="240" w:lineRule="auto"/>
      <w:ind w:left="720"/>
      <w:contextualSpacing/>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EB15E2"/>
    <w:rPr>
      <w:color w:val="0000FF" w:themeColor="hyperlink"/>
      <w:u w:val="single"/>
    </w:rPr>
  </w:style>
  <w:style w:type="character" w:styleId="Hipervnculovisitado">
    <w:name w:val="FollowedHyperlink"/>
    <w:basedOn w:val="Fuentedeprrafopredeter"/>
    <w:uiPriority w:val="99"/>
    <w:semiHidden/>
    <w:unhideWhenUsed/>
    <w:rsid w:val="00EB15E2"/>
    <w:rPr>
      <w:color w:val="800080" w:themeColor="followedHyperlink"/>
      <w:u w:val="single"/>
    </w:rPr>
  </w:style>
  <w:style w:type="character" w:styleId="Mencinsinresolver">
    <w:name w:val="Unresolved Mention"/>
    <w:basedOn w:val="Fuentedeprrafopredeter"/>
    <w:uiPriority w:val="99"/>
    <w:semiHidden/>
    <w:unhideWhenUsed/>
    <w:rsid w:val="00EB15E2"/>
    <w:rPr>
      <w:color w:val="605E5C"/>
      <w:shd w:val="clear" w:color="auto" w:fill="E1DFDD"/>
    </w:rPr>
  </w:style>
  <w:style w:type="table" w:styleId="Tablanormal2">
    <w:name w:val="Plain Table 2"/>
    <w:basedOn w:val="Tablanormal"/>
    <w:uiPriority w:val="42"/>
    <w:rsid w:val="00D03C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x.doi.org/10.1080/13218719.2011.633328" TargetMode="External"/><Relationship Id="rId18" Type="http://schemas.openxmlformats.org/officeDocument/2006/relationships/hyperlink" Target="https://translate.google.com/translate?hl=da&amp;prev=_t&amp;sl=es&amp;tl=en&amp;u=https://www.iatso.org/index.php/iatso/standards-of-care" TargetMode="External"/><Relationship Id="rId26" Type="http://schemas.openxmlformats.org/officeDocument/2006/relationships/hyperlink" Target="https://translate.google.com/translate?hl=da&amp;prev=_t&amp;sl=es&amp;tl=en&amp;u=https://www.opp.gub.uy/sites/default/files/inline-files/Genero_violencias.pdf" TargetMode="External"/><Relationship Id="rId39" Type="http://schemas.openxmlformats.org/officeDocument/2006/relationships/hyperlink" Target="http://dx.doi.org/10.1037/h0100989" TargetMode="External"/><Relationship Id="rId21" Type="http://schemas.openxmlformats.org/officeDocument/2006/relationships/hyperlink" Target="https://translate.google.com/translate?hl=da&amp;prev=_t&amp;sl=es&amp;tl=en&amp;u=http://dx.doi.org/10.1037/amp0000151" TargetMode="External"/><Relationship Id="rId34" Type="http://schemas.openxmlformats.org/officeDocument/2006/relationships/hyperlink" Target="https://translate.google.com/translate?hl=da&amp;prev=_t&amp;sl=es&amp;tl=en&amp;u=https://revistas.javeriana.edu.co/index.php/revPsycho/article/view/15610" TargetMode="External"/><Relationship Id="rId42" Type="http://schemas.openxmlformats.org/officeDocument/2006/relationships/fontTable" Target="fontTable.xml"/><Relationship Id="rId7" Type="http://schemas.openxmlformats.org/officeDocument/2006/relationships/hyperlink" Target="https://orcid.org/0000-0002-8279-9877" TargetMode="External"/><Relationship Id="rId2" Type="http://schemas.openxmlformats.org/officeDocument/2006/relationships/styles" Target="styles.xml"/><Relationship Id="rId16" Type="http://schemas.openxmlformats.org/officeDocument/2006/relationships/hyperlink" Target="https://translate.google.com/translate?hl=da&amp;prev=_t&amp;sl=es&amp;tl=en&amp;u=http://dx.doi.org/10.1037/a0038597" TargetMode="External"/><Relationship Id="rId20" Type="http://schemas.openxmlformats.org/officeDocument/2006/relationships/hyperlink" Target="https://doi.org/10.1177/107906320401600104" TargetMode="External"/><Relationship Id="rId29" Type="http://schemas.openxmlformats.org/officeDocument/2006/relationships/hyperlink" Target="https://translate.google.com/translate?hl=da&amp;prev=_t&amp;sl=es&amp;tl=en&amp;u=http://www.unodc.org/"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77/0093854811406356" TargetMode="External"/><Relationship Id="rId24" Type="http://schemas.openxmlformats.org/officeDocument/2006/relationships/hyperlink" Target="http://dx.doi.org/10.1037/h0100980" TargetMode="External"/><Relationship Id="rId32" Type="http://schemas.openxmlformats.org/officeDocument/2006/relationships/hyperlink" Target="https://doi.org/10.1016/j.avb.2007.02.010" TargetMode="External"/><Relationship Id="rId37" Type="http://schemas.openxmlformats.org/officeDocument/2006/relationships/hyperlink" Target="https://doi.org/10.1080/01639625.2018.1558944" TargetMode="External"/><Relationship Id="rId40" Type="http://schemas.openxmlformats.org/officeDocument/2006/relationships/hyperlink" Target="https://translate.google.com/translate?hl=da&amp;prev=_t&amp;sl=es&amp;tl=en&amp;u=http://www.infomed.sld.cu/" TargetMode="External"/><Relationship Id="rId5" Type="http://schemas.openxmlformats.org/officeDocument/2006/relationships/footnotes" Target="footnotes.xml"/><Relationship Id="rId15" Type="http://schemas.openxmlformats.org/officeDocument/2006/relationships/hyperlink" Target="https://translate.google.com/translate?hl=da&amp;prev=_t&amp;sl=es&amp;tl=en&amp;u=http://dx.doi.org/10.1037/qup0000002" TargetMode="External"/><Relationship Id="rId23" Type="http://schemas.openxmlformats.org/officeDocument/2006/relationships/hyperlink" Target="https://translate.google.com/translate?hl=da&amp;prev=_t&amp;sl=es&amp;tl=en&amp;u=https://www.impo.com.uy/bases/leyes/19580-2017" TargetMode="External"/><Relationship Id="rId28" Type="http://schemas.openxmlformats.org/officeDocument/2006/relationships/hyperlink" Target="https://translate.google.com/translate?hl=da&amp;prev=_t&amp;sl=es&amp;tl=en&amp;u=https://www.minterior.gub.uy/index.php%3Foption%3Dcom_content%26view%3Darticle%26id%3D6283" TargetMode="External"/><Relationship Id="rId36" Type="http://schemas.openxmlformats.org/officeDocument/2006/relationships/hyperlink" Target="https://psycnet.apa.org/doi/10.1016/j.avb.2006.03.004" TargetMode="External"/><Relationship Id="rId10" Type="http://schemas.openxmlformats.org/officeDocument/2006/relationships/hyperlink" Target="mailto:galeotti@psico.edu.uy" TargetMode="External"/><Relationship Id="rId19" Type="http://schemas.openxmlformats.org/officeDocument/2006/relationships/hyperlink" Target="https://translate.google.com/translate?hl=da&amp;prev=_t&amp;sl=es&amp;tl=en&amp;u=http://www.ine.gub.uy/encuesta-de-violencia-basada-en-genero-y-generaciones-evbgg-2013-" TargetMode="External"/><Relationship Id="rId31" Type="http://schemas.openxmlformats.org/officeDocument/2006/relationships/hyperlink" Target="https://translate.google.com/translate?hl=da&amp;prev=_t&amp;sl=es&amp;tl=en&amp;u=http://apps.who.int/iris/bitstream/10665/98821/1/WHO_RHR_12.37_spa.pdf" TargetMode="External"/><Relationship Id="rId4" Type="http://schemas.openxmlformats.org/officeDocument/2006/relationships/webSettings" Target="webSettings.xml"/><Relationship Id="rId9" Type="http://schemas.openxmlformats.org/officeDocument/2006/relationships/hyperlink" Target="https://orcid.org/0000-0001-9975-7297" TargetMode="External"/><Relationship Id="rId14" Type="http://schemas.openxmlformats.org/officeDocument/2006/relationships/hyperlink" Target="https://translate.google.com/translate?hl=da&amp;prev=_t&amp;sl=es&amp;tl=en&amp;u=http://dx.doi.org/10.1037/a0032927" TargetMode="External"/><Relationship Id="rId22" Type="http://schemas.openxmlformats.org/officeDocument/2006/relationships/hyperlink" Target="https://translate.google.com/translate?hl=da&amp;prev=_t&amp;sl=es&amp;tl=en&amp;u=https://legislativo.parlamento.gub.uy/temporales/leytemp2450953.htm" TargetMode="External"/><Relationship Id="rId27" Type="http://schemas.openxmlformats.org/officeDocument/2006/relationships/hyperlink" Target="https://doi.org/10.1348/135532506X114608" TargetMode="External"/><Relationship Id="rId30" Type="http://schemas.openxmlformats.org/officeDocument/2006/relationships/hyperlink" Target="https://translate.google.com/translate?hl=da&amp;prev=_t&amp;sl=es&amp;tl=en&amp;u=http://www.who.int/violence_injury_prevention/violence/world_report/es/summary_es.pdf" TargetMode="External"/><Relationship Id="rId35" Type="http://schemas.openxmlformats.org/officeDocument/2006/relationships/hyperlink" Target="https://doi.org/10.1080/1068316031000116247" TargetMode="External"/><Relationship Id="rId43" Type="http://schemas.openxmlformats.org/officeDocument/2006/relationships/theme" Target="theme/theme1.xml"/><Relationship Id="rId8" Type="http://schemas.openxmlformats.org/officeDocument/2006/relationships/hyperlink" Target="https://orcid.org/0000-0003-3413-8537" TargetMode="External"/><Relationship Id="rId3" Type="http://schemas.openxmlformats.org/officeDocument/2006/relationships/settings" Target="settings.xml"/><Relationship Id="rId12" Type="http://schemas.openxmlformats.org/officeDocument/2006/relationships/hyperlink" Target="https://doi.org/10.1080/13218710903421282" TargetMode="External"/><Relationship Id="rId17" Type="http://schemas.openxmlformats.org/officeDocument/2006/relationships/hyperlink" Target="https://doi.org/10.5093/aj2013a11" TargetMode="External"/><Relationship Id="rId25" Type="http://schemas.openxmlformats.org/officeDocument/2006/relationships/hyperlink" Target="https://doi.org/10.1177%2F1524838005280857" TargetMode="External"/><Relationship Id="rId33" Type="http://schemas.openxmlformats.org/officeDocument/2006/relationships/hyperlink" Target="https://doi.org/10.17169/fqs-19.3.3155" TargetMode="External"/><Relationship Id="rId38" Type="http://schemas.openxmlformats.org/officeDocument/2006/relationships/hyperlink" Target="https://doi.org/10.1177/1079063212452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9069</Words>
  <Characters>49885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Andrés Polanco</cp:lastModifiedBy>
  <cp:revision>2</cp:revision>
  <dcterms:created xsi:type="dcterms:W3CDTF">2022-05-10T19:37:00Z</dcterms:created>
  <dcterms:modified xsi:type="dcterms:W3CDTF">2022-05-10T19:37:00Z</dcterms:modified>
</cp:coreProperties>
</file>