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FA970" w14:textId="489BA1F2" w:rsidR="002359D8" w:rsidRPr="000F45AD" w:rsidRDefault="00E522A8">
      <w:pPr>
        <w:spacing w:line="240" w:lineRule="auto"/>
        <w:ind w:firstLine="0"/>
        <w:jc w:val="center"/>
        <w:rPr>
          <w:rFonts w:asciiTheme="majorHAnsi" w:hAnsiTheme="majorHAnsi" w:cstheme="majorHAnsi"/>
          <w:b/>
          <w:lang w:val="en-US"/>
        </w:rPr>
      </w:pPr>
      <w:r w:rsidRPr="000F45AD">
        <w:rPr>
          <w:rFonts w:asciiTheme="majorHAnsi" w:eastAsia="Times New Roman" w:hAnsiTheme="majorHAnsi" w:cstheme="majorHAnsi"/>
          <w:b/>
          <w:color w:val="222222"/>
          <w:lang w:val="en-US"/>
        </w:rPr>
        <w:t xml:space="preserve">Perception of </w:t>
      </w:r>
      <w:r w:rsidR="00C71583" w:rsidRPr="000F45AD">
        <w:rPr>
          <w:rFonts w:asciiTheme="majorHAnsi" w:eastAsia="Times New Roman" w:hAnsiTheme="majorHAnsi" w:cstheme="majorHAnsi"/>
          <w:b/>
          <w:color w:val="222222"/>
          <w:lang w:val="en-US"/>
        </w:rPr>
        <w:t>college dropout</w:t>
      </w:r>
      <w:r w:rsidRPr="000F45AD">
        <w:rPr>
          <w:rFonts w:asciiTheme="majorHAnsi" w:eastAsia="Times New Roman" w:hAnsiTheme="majorHAnsi" w:cstheme="majorHAnsi"/>
          <w:b/>
          <w:color w:val="222222"/>
          <w:lang w:val="en-US"/>
        </w:rPr>
        <w:t xml:space="preserve"> factors for Paraguayan students</w:t>
      </w:r>
      <w:bookmarkStart w:id="0" w:name="_GoBack"/>
      <w:bookmarkEnd w:id="0"/>
    </w:p>
    <w:p w14:paraId="581F9F31" w14:textId="77777777" w:rsidR="00227AE3" w:rsidRPr="000F45AD" w:rsidRDefault="00227AE3">
      <w:pPr>
        <w:spacing w:line="240" w:lineRule="auto"/>
        <w:ind w:firstLine="0"/>
        <w:jc w:val="center"/>
        <w:rPr>
          <w:rFonts w:asciiTheme="majorHAnsi" w:hAnsiTheme="majorHAnsi" w:cstheme="majorHAnsi"/>
          <w:lang w:val="en-US"/>
        </w:rPr>
      </w:pPr>
    </w:p>
    <w:p w14:paraId="6087CEF0" w14:textId="77777777" w:rsidR="002359D8" w:rsidRPr="001138DF" w:rsidRDefault="00E522A8">
      <w:pPr>
        <w:pStyle w:val="Ttulo1"/>
        <w:spacing w:line="240" w:lineRule="auto"/>
        <w:rPr>
          <w:rFonts w:asciiTheme="majorHAnsi" w:hAnsiTheme="majorHAnsi" w:cstheme="majorHAnsi"/>
          <w:sz w:val="24"/>
          <w:szCs w:val="24"/>
          <w:lang w:val="en-US"/>
        </w:rPr>
      </w:pPr>
      <w:r w:rsidRPr="001138DF">
        <w:rPr>
          <w:rFonts w:asciiTheme="majorHAnsi" w:hAnsiTheme="majorHAnsi" w:cstheme="majorHAnsi"/>
          <w:sz w:val="24"/>
          <w:szCs w:val="24"/>
          <w:lang w:val="en-US"/>
        </w:rPr>
        <w:t>Abstract</w:t>
      </w:r>
    </w:p>
    <w:p w14:paraId="551AA873" w14:textId="51D8BD99" w:rsidR="002359D8" w:rsidRPr="00227AE3" w:rsidRDefault="00E522A8">
      <w:pPr>
        <w:pStyle w:val="Ttulo1"/>
        <w:spacing w:line="240" w:lineRule="auto"/>
        <w:jc w:val="both"/>
        <w:rPr>
          <w:rFonts w:asciiTheme="majorHAnsi" w:eastAsia="SimSun" w:hAnsiTheme="majorHAnsi" w:cstheme="majorHAnsi"/>
          <w:b w:val="0"/>
          <w:color w:val="auto"/>
          <w:kern w:val="1"/>
          <w:sz w:val="20"/>
          <w:szCs w:val="20"/>
          <w:lang w:val="en-US"/>
        </w:rPr>
      </w:pPr>
      <w:r w:rsidRPr="00227AE3">
        <w:rPr>
          <w:rFonts w:asciiTheme="majorHAnsi" w:eastAsia="Arial" w:hAnsiTheme="majorHAnsi" w:cstheme="majorHAnsi"/>
          <w:b w:val="0"/>
          <w:color w:val="auto"/>
          <w:kern w:val="1"/>
          <w:sz w:val="24"/>
          <w:szCs w:val="24"/>
          <w:lang w:val="en-US"/>
        </w:rPr>
        <w:t xml:space="preserve">The objective of this research was to identify and compare the </w:t>
      </w:r>
      <w:proofErr w:type="spellStart"/>
      <w:r w:rsidRPr="00227AE3">
        <w:rPr>
          <w:rFonts w:asciiTheme="majorHAnsi" w:eastAsia="Arial" w:hAnsiTheme="majorHAnsi" w:cstheme="majorHAnsi"/>
          <w:b w:val="0"/>
          <w:color w:val="auto"/>
          <w:kern w:val="1"/>
          <w:sz w:val="24"/>
          <w:szCs w:val="24"/>
          <w:lang w:val="en-US"/>
        </w:rPr>
        <w:t>multicausal</w:t>
      </w:r>
      <w:proofErr w:type="spellEnd"/>
      <w:r w:rsidRPr="00227AE3">
        <w:rPr>
          <w:rFonts w:asciiTheme="majorHAnsi" w:eastAsia="Arial" w:hAnsiTheme="majorHAnsi" w:cstheme="majorHAnsi"/>
          <w:b w:val="0"/>
          <w:color w:val="auto"/>
          <w:kern w:val="1"/>
          <w:sz w:val="24"/>
          <w:szCs w:val="24"/>
          <w:lang w:val="en-US"/>
        </w:rPr>
        <w:t xml:space="preserve"> factors associated with </w:t>
      </w:r>
      <w:r w:rsidR="00C71583" w:rsidRPr="00227AE3">
        <w:rPr>
          <w:rFonts w:asciiTheme="majorHAnsi" w:eastAsia="Arial" w:hAnsiTheme="majorHAnsi" w:cstheme="majorHAnsi"/>
          <w:b w:val="0"/>
          <w:color w:val="auto"/>
          <w:kern w:val="1"/>
          <w:sz w:val="24"/>
          <w:szCs w:val="24"/>
          <w:lang w:val="en-US"/>
        </w:rPr>
        <w:t>college dropout</w:t>
      </w:r>
      <w:r w:rsidR="00844C44" w:rsidRPr="00227AE3">
        <w:rPr>
          <w:rFonts w:asciiTheme="majorHAnsi" w:eastAsia="Arial" w:hAnsiTheme="majorHAnsi" w:cstheme="majorHAnsi"/>
          <w:b w:val="0"/>
          <w:color w:val="auto"/>
          <w:kern w:val="1"/>
          <w:sz w:val="24"/>
          <w:szCs w:val="24"/>
          <w:lang w:val="en-US"/>
        </w:rPr>
        <w:t>s</w:t>
      </w:r>
      <w:r w:rsidRPr="00227AE3">
        <w:rPr>
          <w:rFonts w:asciiTheme="majorHAnsi" w:eastAsia="Arial" w:hAnsiTheme="majorHAnsi" w:cstheme="majorHAnsi"/>
          <w:b w:val="0"/>
          <w:color w:val="auto"/>
          <w:kern w:val="1"/>
          <w:sz w:val="24"/>
          <w:szCs w:val="24"/>
          <w:lang w:val="en-US"/>
        </w:rPr>
        <w:t xml:space="preserve"> of students from public and private institutions in Asunción, Paraguay. The Design is descriptive, transversal and comparative. Of the intentional sample of 351 students, 197 are from private universities and 154 from public universities, evaluated </w:t>
      </w:r>
      <w:r w:rsidR="00F70744" w:rsidRPr="00227AE3">
        <w:rPr>
          <w:rFonts w:asciiTheme="majorHAnsi" w:eastAsia="Arial" w:hAnsiTheme="majorHAnsi" w:cstheme="majorHAnsi"/>
          <w:b w:val="0"/>
          <w:color w:val="auto"/>
          <w:kern w:val="1"/>
          <w:sz w:val="24"/>
          <w:szCs w:val="24"/>
          <w:lang w:val="en-US"/>
        </w:rPr>
        <w:t>with a pilot self-administered q</w:t>
      </w:r>
      <w:r w:rsidRPr="00227AE3">
        <w:rPr>
          <w:rFonts w:asciiTheme="majorHAnsi" w:eastAsia="Arial" w:hAnsiTheme="majorHAnsi" w:cstheme="majorHAnsi"/>
          <w:b w:val="0"/>
          <w:color w:val="auto"/>
          <w:kern w:val="1"/>
          <w:sz w:val="24"/>
          <w:szCs w:val="24"/>
          <w:lang w:val="en-US"/>
        </w:rPr>
        <w:t>uestionnaire. There were 204 women and 147 men, single, mostly workers, between 18 and 42 years</w:t>
      </w:r>
      <w:r w:rsidR="003069F1" w:rsidRPr="00227AE3">
        <w:rPr>
          <w:rFonts w:asciiTheme="majorHAnsi" w:eastAsia="Arial" w:hAnsiTheme="majorHAnsi" w:cstheme="majorHAnsi"/>
          <w:b w:val="0"/>
          <w:color w:val="auto"/>
          <w:kern w:val="1"/>
          <w:sz w:val="24"/>
          <w:szCs w:val="24"/>
          <w:lang w:val="en-US"/>
        </w:rPr>
        <w:t xml:space="preserve"> of age, of diverse careers. </w:t>
      </w:r>
      <w:r w:rsidRPr="00227AE3">
        <w:rPr>
          <w:rFonts w:asciiTheme="majorHAnsi" w:eastAsia="Arial" w:hAnsiTheme="majorHAnsi" w:cstheme="majorHAnsi"/>
          <w:b w:val="0"/>
          <w:color w:val="auto"/>
          <w:kern w:val="1"/>
          <w:sz w:val="24"/>
          <w:szCs w:val="24"/>
          <w:lang w:val="en-US"/>
        </w:rPr>
        <w:t>It was found that irregular students have greater dropout factors associated with the family and personal environment, the academic course in which they enrolled, and the educational and institutional environment.</w:t>
      </w:r>
    </w:p>
    <w:p w14:paraId="7ABD26C1" w14:textId="77777777" w:rsidR="002359D8" w:rsidRPr="00227AE3" w:rsidRDefault="002359D8">
      <w:pPr>
        <w:pStyle w:val="Ttulo1"/>
        <w:spacing w:line="240" w:lineRule="auto"/>
        <w:jc w:val="both"/>
        <w:rPr>
          <w:rFonts w:asciiTheme="majorHAnsi" w:hAnsiTheme="majorHAnsi" w:cstheme="majorHAnsi"/>
          <w:b w:val="0"/>
          <w:color w:val="auto"/>
          <w:lang w:val="en-US"/>
        </w:rPr>
      </w:pPr>
    </w:p>
    <w:p w14:paraId="4584B84B" w14:textId="77777777" w:rsidR="002359D8" w:rsidRPr="00227AE3" w:rsidRDefault="00E522A8">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Keywords: Attrition, Risk factors, Private Universities, Public Universities.</w:t>
      </w:r>
    </w:p>
    <w:p w14:paraId="0F9EEA98" w14:textId="3ECFF7A4" w:rsidR="002359D8" w:rsidRPr="00227AE3" w:rsidRDefault="002359D8">
      <w:pPr>
        <w:spacing w:line="240" w:lineRule="auto"/>
        <w:ind w:firstLine="0"/>
        <w:jc w:val="both"/>
        <w:rPr>
          <w:rFonts w:asciiTheme="majorHAnsi" w:hAnsiTheme="majorHAnsi" w:cstheme="majorHAnsi"/>
          <w:lang w:val="en-US"/>
        </w:rPr>
      </w:pPr>
    </w:p>
    <w:p w14:paraId="1B934245" w14:textId="084172AB" w:rsidR="00227AE3" w:rsidRPr="001138DF" w:rsidRDefault="00227AE3" w:rsidP="00227AE3">
      <w:pPr>
        <w:spacing w:line="240" w:lineRule="auto"/>
        <w:jc w:val="center"/>
        <w:rPr>
          <w:rFonts w:asciiTheme="majorHAnsi" w:hAnsiTheme="majorHAnsi" w:cstheme="majorHAnsi"/>
          <w:b/>
        </w:rPr>
      </w:pPr>
      <w:r w:rsidRPr="001138DF">
        <w:rPr>
          <w:rFonts w:asciiTheme="majorHAnsi" w:hAnsiTheme="majorHAnsi" w:cstheme="majorHAnsi"/>
          <w:b/>
        </w:rPr>
        <w:t>Resumen</w:t>
      </w:r>
    </w:p>
    <w:p w14:paraId="2C9A3C4A" w14:textId="0F225F02" w:rsidR="00844C44" w:rsidRPr="00227AE3" w:rsidRDefault="00844C44" w:rsidP="00227AE3">
      <w:pPr>
        <w:spacing w:line="240" w:lineRule="auto"/>
        <w:ind w:firstLine="0"/>
        <w:jc w:val="both"/>
        <w:rPr>
          <w:rFonts w:asciiTheme="majorHAnsi" w:eastAsia="SimSun" w:hAnsiTheme="majorHAnsi" w:cstheme="majorHAnsi"/>
          <w:color w:val="000000"/>
          <w:kern w:val="1"/>
        </w:rPr>
      </w:pPr>
      <w:r w:rsidRPr="00227AE3">
        <w:rPr>
          <w:rFonts w:asciiTheme="majorHAnsi" w:eastAsia="SimSun" w:hAnsiTheme="majorHAnsi" w:cstheme="majorHAnsi"/>
          <w:color w:val="000000"/>
          <w:kern w:val="1"/>
        </w:rPr>
        <w:t xml:space="preserve">El </w:t>
      </w:r>
      <w:r w:rsidR="00227AE3">
        <w:rPr>
          <w:rFonts w:asciiTheme="majorHAnsi" w:eastAsia="SimSun" w:hAnsiTheme="majorHAnsi" w:cstheme="majorHAnsi"/>
          <w:color w:val="000000"/>
          <w:kern w:val="1"/>
        </w:rPr>
        <w:t>o</w:t>
      </w:r>
      <w:r w:rsidRPr="00227AE3">
        <w:rPr>
          <w:rFonts w:asciiTheme="majorHAnsi" w:eastAsia="SimSun" w:hAnsiTheme="majorHAnsi" w:cstheme="majorHAnsi"/>
          <w:color w:val="000000"/>
          <w:kern w:val="1"/>
        </w:rPr>
        <w:t>bjetivo de esta investigación fue identificar y comparar los factores multicausales asociados a la deserción de estudiantes universitarios presenciales de instituciones públicas y privadas de Asunción, Paraguay. El Diseño es descriptivo, transversal y comparativo. De la muestra intencional de 351 estudiantes, 197 son de universidades privadas y 154 de universidad pública, evaluados con un Cuestionario autoadministrable piloto. Participaron 204 mujeres y 147 hombres, solteros, trabajadores en mayoría, entre 18 y 42 años de edad, de carreras diversas. Se encontró que los estudiantes irregulares presentan mayores factores de abandono asociados al ambiente familiar y personal, al curso académico en el cual se inscribieron, y al ambiente educativo e institucional.</w:t>
      </w:r>
    </w:p>
    <w:p w14:paraId="34079F47" w14:textId="77777777" w:rsidR="00844C44" w:rsidRPr="00227AE3" w:rsidRDefault="00844C44" w:rsidP="00844C44">
      <w:pPr>
        <w:spacing w:line="240" w:lineRule="auto"/>
        <w:jc w:val="both"/>
        <w:rPr>
          <w:rFonts w:asciiTheme="majorHAnsi" w:hAnsiTheme="majorHAnsi" w:cstheme="majorHAnsi"/>
        </w:rPr>
      </w:pPr>
    </w:p>
    <w:p w14:paraId="237629B5" w14:textId="77777777" w:rsidR="00844C44" w:rsidRPr="00227AE3" w:rsidRDefault="00844C44" w:rsidP="00844C44">
      <w:pPr>
        <w:spacing w:line="240" w:lineRule="auto"/>
        <w:jc w:val="both"/>
        <w:rPr>
          <w:rFonts w:asciiTheme="majorHAnsi" w:hAnsiTheme="majorHAnsi" w:cstheme="majorHAnsi"/>
        </w:rPr>
      </w:pPr>
      <w:r w:rsidRPr="00227AE3">
        <w:rPr>
          <w:rFonts w:asciiTheme="majorHAnsi" w:hAnsiTheme="majorHAnsi" w:cstheme="majorHAnsi"/>
          <w:bCs/>
          <w:i/>
        </w:rPr>
        <w:t>Palabras Clave</w:t>
      </w:r>
      <w:r w:rsidRPr="00227AE3">
        <w:rPr>
          <w:rFonts w:asciiTheme="majorHAnsi" w:hAnsiTheme="majorHAnsi" w:cstheme="majorHAnsi"/>
        </w:rPr>
        <w:t>: Deserción, Factores de riesgo, Universidades Privadas, Universidades Públicas.</w:t>
      </w:r>
    </w:p>
    <w:p w14:paraId="4B5C1D2D" w14:textId="77777777" w:rsidR="00844C44" w:rsidRPr="00227AE3" w:rsidRDefault="00844C44">
      <w:pPr>
        <w:spacing w:line="240" w:lineRule="auto"/>
        <w:ind w:firstLine="0"/>
        <w:jc w:val="both"/>
        <w:rPr>
          <w:rFonts w:asciiTheme="majorHAnsi" w:hAnsiTheme="majorHAnsi" w:cstheme="majorHAnsi"/>
        </w:rPr>
      </w:pPr>
    </w:p>
    <w:p w14:paraId="530D0E88" w14:textId="3CDC9061" w:rsidR="002A1F9A" w:rsidRPr="00227AE3" w:rsidRDefault="00843FDE" w:rsidP="00843FDE">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The study of dropouts it’s a </w:t>
      </w:r>
      <w:proofErr w:type="spellStart"/>
      <w:r w:rsidRPr="00227AE3">
        <w:rPr>
          <w:rFonts w:asciiTheme="majorHAnsi" w:hAnsiTheme="majorHAnsi" w:cstheme="majorHAnsi"/>
          <w:lang w:val="en-US"/>
        </w:rPr>
        <w:t>multicausal</w:t>
      </w:r>
      <w:proofErr w:type="spellEnd"/>
      <w:r w:rsidRPr="00227AE3">
        <w:rPr>
          <w:rFonts w:asciiTheme="majorHAnsi" w:hAnsiTheme="majorHAnsi" w:cstheme="majorHAnsi"/>
          <w:lang w:val="en-US"/>
        </w:rPr>
        <w:t xml:space="preserve"> problem and there lies </w:t>
      </w:r>
      <w:r w:rsidR="00227AE3" w:rsidRPr="00227AE3">
        <w:rPr>
          <w:rFonts w:asciiTheme="majorHAnsi" w:hAnsiTheme="majorHAnsi" w:cstheme="majorHAnsi"/>
          <w:lang w:val="en-US"/>
        </w:rPr>
        <w:t>it’s</w:t>
      </w:r>
      <w:r w:rsidRPr="00227AE3">
        <w:rPr>
          <w:rFonts w:asciiTheme="majorHAnsi" w:hAnsiTheme="majorHAnsi" w:cstheme="majorHAnsi"/>
          <w:lang w:val="en-US"/>
        </w:rPr>
        <w:t xml:space="preserve"> difficult to evaluate it, </w:t>
      </w:r>
      <w:r w:rsidR="00227AE3" w:rsidRPr="00227AE3">
        <w:rPr>
          <w:rFonts w:asciiTheme="majorHAnsi" w:hAnsiTheme="majorHAnsi" w:cstheme="majorHAnsi"/>
          <w:lang w:val="en-US"/>
        </w:rPr>
        <w:t>which</w:t>
      </w:r>
      <w:r w:rsidRPr="00227AE3">
        <w:rPr>
          <w:rFonts w:asciiTheme="majorHAnsi" w:hAnsiTheme="majorHAnsi" w:cstheme="majorHAnsi"/>
          <w:lang w:val="en-US"/>
        </w:rPr>
        <w:t xml:space="preserve"> also explains the shortage in researches about it, </w:t>
      </w:r>
      <w:r w:rsidR="00227AE3" w:rsidRPr="00227AE3">
        <w:rPr>
          <w:rFonts w:asciiTheme="majorHAnsi" w:hAnsiTheme="majorHAnsi" w:cstheme="majorHAnsi"/>
          <w:lang w:val="en-US"/>
        </w:rPr>
        <w:t>reliable</w:t>
      </w:r>
      <w:r w:rsidRPr="00227AE3">
        <w:rPr>
          <w:rFonts w:asciiTheme="majorHAnsi" w:hAnsiTheme="majorHAnsi" w:cstheme="majorHAnsi"/>
          <w:lang w:val="en-US"/>
        </w:rPr>
        <w:t xml:space="preserve"> results, and proposals to fix it. </w:t>
      </w:r>
      <w:r w:rsidR="00844C44" w:rsidRPr="00227AE3">
        <w:rPr>
          <w:rFonts w:asciiTheme="majorHAnsi" w:hAnsiTheme="majorHAnsi" w:cstheme="majorHAnsi"/>
          <w:lang w:val="en-US"/>
        </w:rPr>
        <w:t xml:space="preserve">The following investigation identifies, characterizes and compares the factors associated with </w:t>
      </w:r>
      <w:r w:rsidR="00C71583" w:rsidRPr="00227AE3">
        <w:rPr>
          <w:rFonts w:asciiTheme="majorHAnsi" w:hAnsiTheme="majorHAnsi" w:cstheme="majorHAnsi"/>
          <w:lang w:val="en-US"/>
        </w:rPr>
        <w:t>college dropout</w:t>
      </w:r>
      <w:r w:rsidR="00844C44" w:rsidRPr="00227AE3">
        <w:rPr>
          <w:rFonts w:asciiTheme="majorHAnsi" w:hAnsiTheme="majorHAnsi" w:cstheme="majorHAnsi"/>
          <w:lang w:val="en-US"/>
        </w:rPr>
        <w:t xml:space="preserve"> and or involuntary abandonment of students </w:t>
      </w:r>
      <w:r w:rsidR="002A1F9A" w:rsidRPr="00227AE3">
        <w:rPr>
          <w:rFonts w:asciiTheme="majorHAnsi" w:hAnsiTheme="majorHAnsi" w:cstheme="majorHAnsi"/>
          <w:lang w:val="en-US"/>
        </w:rPr>
        <w:t>f</w:t>
      </w:r>
      <w:r w:rsidR="00844C44" w:rsidRPr="00227AE3">
        <w:rPr>
          <w:rFonts w:asciiTheme="majorHAnsi" w:hAnsiTheme="majorHAnsi" w:cstheme="majorHAnsi"/>
          <w:lang w:val="en-US"/>
        </w:rPr>
        <w:t>rom public and p</w:t>
      </w:r>
      <w:r w:rsidR="002A1F9A" w:rsidRPr="00227AE3">
        <w:rPr>
          <w:rFonts w:asciiTheme="majorHAnsi" w:hAnsiTheme="majorHAnsi" w:cstheme="majorHAnsi"/>
          <w:lang w:val="en-US"/>
        </w:rPr>
        <w:t xml:space="preserve">rivate universities of Asunción, evaluated through the Perception of </w:t>
      </w:r>
      <w:r w:rsidR="00C71583" w:rsidRPr="00227AE3">
        <w:rPr>
          <w:rFonts w:asciiTheme="majorHAnsi" w:hAnsiTheme="majorHAnsi" w:cstheme="majorHAnsi"/>
          <w:lang w:val="en-US"/>
        </w:rPr>
        <w:t>college dropout</w:t>
      </w:r>
      <w:r w:rsidR="002A1F9A" w:rsidRPr="00227AE3">
        <w:rPr>
          <w:rFonts w:asciiTheme="majorHAnsi" w:hAnsiTheme="majorHAnsi" w:cstheme="majorHAnsi"/>
          <w:lang w:val="en-US"/>
        </w:rPr>
        <w:t xml:space="preserve"> factors. Student Version (Coppari, et. al., 2019).</w:t>
      </w:r>
    </w:p>
    <w:p w14:paraId="0E185388" w14:textId="5E8F1188" w:rsidR="00844C44" w:rsidRPr="00227AE3" w:rsidRDefault="00844C44">
      <w:pPr>
        <w:spacing w:line="240" w:lineRule="auto"/>
        <w:jc w:val="both"/>
        <w:rPr>
          <w:rFonts w:asciiTheme="majorHAnsi" w:hAnsiTheme="majorHAnsi" w:cstheme="majorHAnsi"/>
          <w:lang w:val="en-US"/>
        </w:rPr>
      </w:pPr>
    </w:p>
    <w:p w14:paraId="4FFA1106" w14:textId="538ED569" w:rsidR="000A7A9E" w:rsidRPr="00227AE3" w:rsidRDefault="002A1F9A">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The acknowledge of a significant </w:t>
      </w:r>
      <w:r w:rsidR="00544796" w:rsidRPr="00227AE3">
        <w:rPr>
          <w:rFonts w:asciiTheme="majorHAnsi" w:hAnsiTheme="majorHAnsi" w:cstheme="majorHAnsi"/>
          <w:lang w:val="en-US"/>
        </w:rPr>
        <w:t xml:space="preserve">problem </w:t>
      </w:r>
      <w:r w:rsidRPr="00227AE3">
        <w:rPr>
          <w:rFonts w:asciiTheme="majorHAnsi" w:hAnsiTheme="majorHAnsi" w:cstheme="majorHAnsi"/>
          <w:lang w:val="en-US"/>
        </w:rPr>
        <w:t>as dropouts i</w:t>
      </w:r>
      <w:r w:rsidR="00544796" w:rsidRPr="00227AE3">
        <w:rPr>
          <w:rFonts w:asciiTheme="majorHAnsi" w:hAnsiTheme="majorHAnsi" w:cstheme="majorHAnsi"/>
          <w:lang w:val="en-US"/>
        </w:rPr>
        <w:t>n the university probably implies admitting a failure in the system. At a local level, Paraguay is a country with numerous deficiencies, not only in university levels, with one of the lowest investments in education (Coppari, et al., 2019), designating only 3,</w:t>
      </w:r>
      <w:r w:rsidR="00843FDE" w:rsidRPr="00227AE3">
        <w:rPr>
          <w:rFonts w:asciiTheme="majorHAnsi" w:hAnsiTheme="majorHAnsi" w:cstheme="majorHAnsi"/>
          <w:lang w:val="en-US"/>
        </w:rPr>
        <w:t>5</w:t>
      </w:r>
      <w:r w:rsidR="00544796" w:rsidRPr="00227AE3">
        <w:rPr>
          <w:rFonts w:asciiTheme="majorHAnsi" w:hAnsiTheme="majorHAnsi" w:cstheme="majorHAnsi"/>
          <w:lang w:val="en-US"/>
        </w:rPr>
        <w:t>% of the gross domestic product to this area</w:t>
      </w:r>
      <w:r w:rsidR="00843FDE" w:rsidRPr="00227AE3">
        <w:rPr>
          <w:rFonts w:asciiTheme="majorHAnsi" w:hAnsiTheme="majorHAnsi" w:cstheme="majorHAnsi"/>
          <w:lang w:val="en-US"/>
        </w:rPr>
        <w:t xml:space="preserve"> (BCP, 2014).</w:t>
      </w:r>
    </w:p>
    <w:p w14:paraId="299DFD34" w14:textId="19178D91" w:rsidR="00843FDE" w:rsidRPr="00227AE3" w:rsidRDefault="00843FDE">
      <w:pPr>
        <w:spacing w:line="240" w:lineRule="auto"/>
        <w:jc w:val="both"/>
        <w:rPr>
          <w:rFonts w:asciiTheme="majorHAnsi" w:hAnsiTheme="majorHAnsi" w:cstheme="majorHAnsi"/>
          <w:lang w:val="en-US"/>
        </w:rPr>
      </w:pPr>
    </w:p>
    <w:p w14:paraId="379EC20D" w14:textId="4A65EF33" w:rsidR="00843FDE" w:rsidRPr="00227AE3" w:rsidRDefault="00843FDE">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The evidence about Paraguay shows </w:t>
      </w:r>
      <w:r w:rsidR="00E223F3" w:rsidRPr="00227AE3">
        <w:rPr>
          <w:rFonts w:asciiTheme="majorHAnsi" w:hAnsiTheme="majorHAnsi" w:cstheme="majorHAnsi"/>
          <w:lang w:val="en-US"/>
        </w:rPr>
        <w:t>the</w:t>
      </w:r>
      <w:r w:rsidR="00227AE3">
        <w:rPr>
          <w:rFonts w:asciiTheme="majorHAnsi" w:hAnsiTheme="majorHAnsi" w:cstheme="majorHAnsi"/>
          <w:lang w:val="en-US"/>
        </w:rPr>
        <w:t xml:space="preserve"> </w:t>
      </w:r>
      <w:r w:rsidR="00E223F3" w:rsidRPr="00227AE3">
        <w:rPr>
          <w:rFonts w:asciiTheme="majorHAnsi" w:hAnsiTheme="majorHAnsi" w:cstheme="majorHAnsi"/>
          <w:lang w:val="en-US"/>
        </w:rPr>
        <w:t xml:space="preserve">low quality of </w:t>
      </w:r>
      <w:r w:rsidRPr="00227AE3">
        <w:rPr>
          <w:rFonts w:asciiTheme="majorHAnsi" w:hAnsiTheme="majorHAnsi" w:cstheme="majorHAnsi"/>
          <w:lang w:val="en-US"/>
        </w:rPr>
        <w:t>higher education</w:t>
      </w:r>
      <w:r w:rsidR="00E223F3" w:rsidRPr="00227AE3">
        <w:rPr>
          <w:rFonts w:asciiTheme="majorHAnsi" w:hAnsiTheme="majorHAnsi" w:cstheme="majorHAnsi"/>
          <w:lang w:val="en-US"/>
        </w:rPr>
        <w:t xml:space="preserve">, there is a growing number of so called “mushrooms universities”, a term used for universities with low-credibility and mediocre </w:t>
      </w:r>
      <w:r w:rsidR="00227AE3" w:rsidRPr="00227AE3">
        <w:rPr>
          <w:rFonts w:asciiTheme="majorHAnsi" w:hAnsiTheme="majorHAnsi" w:cstheme="majorHAnsi"/>
          <w:lang w:val="en-US"/>
        </w:rPr>
        <w:t>standards</w:t>
      </w:r>
      <w:r w:rsidR="0020397E" w:rsidRPr="00227AE3">
        <w:rPr>
          <w:rFonts w:asciiTheme="majorHAnsi" w:hAnsiTheme="majorHAnsi" w:cstheme="majorHAnsi"/>
          <w:lang w:val="en-US"/>
        </w:rPr>
        <w:t xml:space="preserve">, such as “fast courses”, unqualified teachers and where the accreditation and certification controls are practically inexistent or at least suspicious. This makes its approach more complex, because implies not only a variety of institutions, but also a range of different criteria for acceptance, permanence, dropouts and conclusion rates unknown (Robledo, 2016), </w:t>
      </w:r>
    </w:p>
    <w:p w14:paraId="59E97943" w14:textId="7CC73B54" w:rsidR="0020397E" w:rsidRPr="00227AE3" w:rsidRDefault="0020397E">
      <w:pPr>
        <w:spacing w:line="240" w:lineRule="auto"/>
        <w:jc w:val="both"/>
        <w:rPr>
          <w:rFonts w:asciiTheme="majorHAnsi" w:hAnsiTheme="majorHAnsi" w:cstheme="majorHAnsi"/>
          <w:lang w:val="en-US"/>
        </w:rPr>
      </w:pPr>
    </w:p>
    <w:p w14:paraId="166005B2" w14:textId="774F453E" w:rsidR="0020397E" w:rsidRPr="00227AE3" w:rsidRDefault="0020397E" w:rsidP="00C66E4A">
      <w:pPr>
        <w:spacing w:line="240" w:lineRule="auto"/>
        <w:jc w:val="both"/>
        <w:rPr>
          <w:rFonts w:asciiTheme="majorHAnsi" w:hAnsiTheme="majorHAnsi" w:cstheme="majorHAnsi"/>
          <w:lang w:val="en-US"/>
        </w:rPr>
      </w:pPr>
      <w:r w:rsidRPr="00227AE3">
        <w:rPr>
          <w:rFonts w:asciiTheme="majorHAnsi" w:hAnsiTheme="majorHAnsi" w:cstheme="majorHAnsi"/>
          <w:lang w:val="en-US"/>
        </w:rPr>
        <w:lastRenderedPageBreak/>
        <w:t xml:space="preserve">The focus is on this last aspect, and the research shows that probably none definition can fully grasp the complexity of </w:t>
      </w:r>
      <w:r w:rsidR="00C71583" w:rsidRPr="00227AE3">
        <w:rPr>
          <w:rFonts w:asciiTheme="majorHAnsi" w:hAnsiTheme="majorHAnsi" w:cstheme="majorHAnsi"/>
          <w:lang w:val="en-US"/>
        </w:rPr>
        <w:t>college dropout</w:t>
      </w:r>
      <w:r w:rsidRPr="00227AE3">
        <w:rPr>
          <w:rFonts w:asciiTheme="majorHAnsi" w:hAnsiTheme="majorHAnsi" w:cstheme="majorHAnsi"/>
          <w:lang w:val="en-US"/>
        </w:rPr>
        <w:t xml:space="preserve">s, and therefore, neither it can be properly measured. Researchers and </w:t>
      </w:r>
      <w:r w:rsidR="00C66E4A" w:rsidRPr="00227AE3">
        <w:rPr>
          <w:rFonts w:asciiTheme="majorHAnsi" w:hAnsiTheme="majorHAnsi" w:cstheme="majorHAnsi"/>
          <w:lang w:val="en-US"/>
        </w:rPr>
        <w:t>university high range staff should choose carefully the definitions that best fi</w:t>
      </w:r>
      <w:r w:rsidR="00227AE3">
        <w:rPr>
          <w:rFonts w:asciiTheme="majorHAnsi" w:hAnsiTheme="majorHAnsi" w:cstheme="majorHAnsi"/>
          <w:lang w:val="en-US"/>
        </w:rPr>
        <w:t>t</w:t>
      </w:r>
      <w:r w:rsidR="00C66E4A" w:rsidRPr="00227AE3">
        <w:rPr>
          <w:rFonts w:asciiTheme="majorHAnsi" w:hAnsiTheme="majorHAnsi" w:cstheme="majorHAnsi"/>
          <w:lang w:val="en-US"/>
        </w:rPr>
        <w:t xml:space="preserve"> their goals. In doing so, they must remember that the firs</w:t>
      </w:r>
      <w:r w:rsidR="00227AE3">
        <w:rPr>
          <w:rFonts w:asciiTheme="majorHAnsi" w:hAnsiTheme="majorHAnsi" w:cstheme="majorHAnsi"/>
          <w:lang w:val="en-US"/>
        </w:rPr>
        <w:t>t</w:t>
      </w:r>
      <w:r w:rsidR="00C66E4A" w:rsidRPr="00227AE3">
        <w:rPr>
          <w:rFonts w:asciiTheme="majorHAnsi" w:hAnsiTheme="majorHAnsi" w:cstheme="majorHAnsi"/>
          <w:lang w:val="en-US"/>
        </w:rPr>
        <w:t xml:space="preserve"> goal that justifies the existence of the university is the education of its students, not just their </w:t>
      </w:r>
      <w:proofErr w:type="spellStart"/>
      <w:r w:rsidR="00C66E4A" w:rsidRPr="00227AE3">
        <w:rPr>
          <w:rFonts w:asciiTheme="majorHAnsi" w:hAnsiTheme="majorHAnsi" w:cstheme="majorHAnsi"/>
          <w:lang w:val="en-US"/>
        </w:rPr>
        <w:t>scolarization</w:t>
      </w:r>
      <w:proofErr w:type="spellEnd"/>
      <w:r w:rsidR="00C66E4A" w:rsidRPr="00227AE3">
        <w:rPr>
          <w:rFonts w:asciiTheme="majorHAnsi" w:hAnsiTheme="majorHAnsi" w:cstheme="majorHAnsi"/>
          <w:lang w:val="en-US"/>
        </w:rPr>
        <w:t xml:space="preserve">. </w:t>
      </w:r>
    </w:p>
    <w:p w14:paraId="096D6BB4" w14:textId="77777777" w:rsidR="00C66E4A" w:rsidRPr="00227AE3" w:rsidRDefault="00C66E4A">
      <w:pPr>
        <w:spacing w:line="240" w:lineRule="auto"/>
        <w:jc w:val="both"/>
        <w:rPr>
          <w:rFonts w:asciiTheme="majorHAnsi" w:hAnsiTheme="majorHAnsi" w:cstheme="majorHAnsi"/>
          <w:lang w:val="en-US"/>
        </w:rPr>
      </w:pPr>
    </w:p>
    <w:p w14:paraId="41C316C8" w14:textId="6D4C78D5" w:rsidR="00C66E4A" w:rsidRPr="00227AE3" w:rsidRDefault="00C66E4A">
      <w:pPr>
        <w:spacing w:line="240" w:lineRule="auto"/>
        <w:jc w:val="both"/>
        <w:rPr>
          <w:rFonts w:asciiTheme="majorHAnsi" w:hAnsiTheme="majorHAnsi" w:cstheme="majorHAnsi"/>
          <w:iCs/>
          <w:lang w:val="en-US"/>
        </w:rPr>
      </w:pPr>
      <w:r w:rsidRPr="00227AE3">
        <w:rPr>
          <w:rFonts w:asciiTheme="majorHAnsi" w:hAnsiTheme="majorHAnsi" w:cstheme="majorHAnsi"/>
          <w:lang w:val="en-US"/>
        </w:rPr>
        <w:t>According to T</w:t>
      </w:r>
      <w:r w:rsidR="00E522A8" w:rsidRPr="00227AE3">
        <w:rPr>
          <w:rFonts w:asciiTheme="majorHAnsi" w:hAnsiTheme="majorHAnsi" w:cstheme="majorHAnsi"/>
          <w:iCs/>
          <w:lang w:val="en-US"/>
        </w:rPr>
        <w:t>into (1989)</w:t>
      </w:r>
      <w:r w:rsidRPr="00227AE3">
        <w:rPr>
          <w:rFonts w:asciiTheme="majorHAnsi" w:hAnsiTheme="majorHAnsi" w:cstheme="majorHAnsi"/>
          <w:iCs/>
          <w:lang w:val="en-US"/>
        </w:rPr>
        <w:t xml:space="preserve"> there is a variety of </w:t>
      </w:r>
      <w:r w:rsidR="00227AE3" w:rsidRPr="00227AE3">
        <w:rPr>
          <w:rFonts w:asciiTheme="majorHAnsi" w:hAnsiTheme="majorHAnsi" w:cstheme="majorHAnsi"/>
          <w:iCs/>
          <w:lang w:val="en-US"/>
        </w:rPr>
        <w:t>behaviors</w:t>
      </w:r>
      <w:r w:rsidRPr="00227AE3">
        <w:rPr>
          <w:rFonts w:asciiTheme="majorHAnsi" w:hAnsiTheme="majorHAnsi" w:cstheme="majorHAnsi"/>
          <w:iCs/>
          <w:lang w:val="en-US"/>
        </w:rPr>
        <w:t xml:space="preserve"> called dropout; but that shouldn’t be defined as such, because not all dropouts deserve institutional intervention. The research field of dropout is messy</w:t>
      </w:r>
      <w:r w:rsidR="00144197" w:rsidRPr="00227AE3">
        <w:rPr>
          <w:rFonts w:asciiTheme="majorHAnsi" w:hAnsiTheme="majorHAnsi" w:cstheme="majorHAnsi"/>
          <w:iCs/>
          <w:lang w:val="en-US"/>
        </w:rPr>
        <w:t>, mostly because it has been almost impossible to agree on the types of behavior that strictly deserve the denomination of dropout.</w:t>
      </w:r>
    </w:p>
    <w:p w14:paraId="68BD2460" w14:textId="2CD4742B" w:rsidR="00C66E4A" w:rsidRPr="00227AE3" w:rsidRDefault="00C66E4A">
      <w:pPr>
        <w:spacing w:line="240" w:lineRule="auto"/>
        <w:jc w:val="both"/>
        <w:rPr>
          <w:rFonts w:asciiTheme="majorHAnsi" w:hAnsiTheme="majorHAnsi" w:cstheme="majorHAnsi"/>
          <w:iCs/>
          <w:lang w:val="en-US"/>
        </w:rPr>
      </w:pPr>
    </w:p>
    <w:p w14:paraId="7C2FD923" w14:textId="086E8457" w:rsidR="002359D8" w:rsidRPr="00227AE3" w:rsidRDefault="00144197" w:rsidP="0022123A">
      <w:pPr>
        <w:spacing w:line="240" w:lineRule="auto"/>
        <w:jc w:val="both"/>
        <w:rPr>
          <w:rFonts w:asciiTheme="majorHAnsi" w:hAnsiTheme="majorHAnsi" w:cstheme="majorHAnsi"/>
          <w:iCs/>
          <w:lang w:val="en-US"/>
        </w:rPr>
      </w:pPr>
      <w:r w:rsidRPr="00227AE3">
        <w:rPr>
          <w:rFonts w:asciiTheme="majorHAnsi" w:hAnsiTheme="majorHAnsi" w:cstheme="majorHAnsi"/>
          <w:iCs/>
          <w:lang w:val="en-US"/>
        </w:rPr>
        <w:t xml:space="preserve">There is also confusion and contradiction about the dropout causes. For example, some studies say that the probability of dropping out has an inverse relation with the </w:t>
      </w:r>
      <w:r w:rsidR="00227AE3" w:rsidRPr="00227AE3">
        <w:rPr>
          <w:rFonts w:asciiTheme="majorHAnsi" w:hAnsiTheme="majorHAnsi" w:cstheme="majorHAnsi"/>
          <w:iCs/>
          <w:lang w:val="en-US"/>
        </w:rPr>
        <w:t>student’s</w:t>
      </w:r>
      <w:r w:rsidRPr="00227AE3">
        <w:rPr>
          <w:rFonts w:asciiTheme="majorHAnsi" w:hAnsiTheme="majorHAnsi" w:cstheme="majorHAnsi"/>
          <w:iCs/>
          <w:lang w:val="en-US"/>
        </w:rPr>
        <w:t xml:space="preserve"> capacities, while others say the contrary, that is, that brilliant students tend more to dropout.</w:t>
      </w:r>
      <w:r w:rsidR="0022123A" w:rsidRPr="00227AE3">
        <w:rPr>
          <w:rFonts w:asciiTheme="majorHAnsi" w:hAnsiTheme="majorHAnsi" w:cstheme="majorHAnsi"/>
          <w:iCs/>
          <w:lang w:val="en-US"/>
        </w:rPr>
        <w:t xml:space="preserve"> </w:t>
      </w:r>
      <w:r w:rsidR="00227AE3" w:rsidRPr="00227AE3">
        <w:rPr>
          <w:rFonts w:asciiTheme="majorHAnsi" w:hAnsiTheme="majorHAnsi" w:cstheme="majorHAnsi"/>
          <w:iCs/>
          <w:lang w:val="en-US"/>
        </w:rPr>
        <w:t>Although</w:t>
      </w:r>
      <w:r w:rsidR="0022123A" w:rsidRPr="00227AE3">
        <w:rPr>
          <w:rFonts w:asciiTheme="majorHAnsi" w:hAnsiTheme="majorHAnsi" w:cstheme="majorHAnsi"/>
          <w:iCs/>
          <w:lang w:val="en-US"/>
        </w:rPr>
        <w:t xml:space="preserve"> it’s obvious that both conclusions can’t be true, </w:t>
      </w:r>
      <w:r w:rsidR="00227AE3" w:rsidRPr="00227AE3">
        <w:rPr>
          <w:rFonts w:asciiTheme="majorHAnsi" w:hAnsiTheme="majorHAnsi" w:cstheme="majorHAnsi"/>
          <w:iCs/>
          <w:lang w:val="en-US"/>
        </w:rPr>
        <w:t>researchers</w:t>
      </w:r>
      <w:r w:rsidR="0022123A" w:rsidRPr="00227AE3">
        <w:rPr>
          <w:rFonts w:asciiTheme="majorHAnsi" w:hAnsiTheme="majorHAnsi" w:cstheme="majorHAnsi"/>
          <w:iCs/>
          <w:lang w:val="en-US"/>
        </w:rPr>
        <w:t xml:space="preserve"> took a while in finding out that those studies described two types of different behavior, that is, academic exclusion and voluntary dropout</w:t>
      </w:r>
      <w:r w:rsidR="00E522A8" w:rsidRPr="00227AE3">
        <w:rPr>
          <w:rFonts w:asciiTheme="majorHAnsi" w:hAnsiTheme="majorHAnsi" w:cstheme="majorHAnsi"/>
          <w:lang w:val="en-US"/>
        </w:rPr>
        <w:t xml:space="preserve"> (Tinto, 1989).</w:t>
      </w:r>
    </w:p>
    <w:p w14:paraId="3CAFCA29" w14:textId="77777777" w:rsidR="0009354E" w:rsidRPr="00227AE3" w:rsidRDefault="0009354E">
      <w:pPr>
        <w:spacing w:line="240" w:lineRule="auto"/>
        <w:jc w:val="both"/>
        <w:rPr>
          <w:rFonts w:asciiTheme="majorHAnsi" w:hAnsiTheme="majorHAnsi" w:cstheme="majorHAnsi"/>
          <w:lang w:val="en-US"/>
        </w:rPr>
      </w:pPr>
    </w:p>
    <w:p w14:paraId="63B1E315" w14:textId="7C160A18" w:rsidR="0009354E" w:rsidRPr="00227AE3" w:rsidRDefault="0022123A">
      <w:pPr>
        <w:spacing w:line="240" w:lineRule="auto"/>
        <w:jc w:val="both"/>
        <w:rPr>
          <w:rFonts w:asciiTheme="majorHAnsi" w:hAnsiTheme="majorHAnsi" w:cstheme="majorHAnsi"/>
          <w:iCs/>
          <w:lang w:val="en-US"/>
        </w:rPr>
      </w:pPr>
      <w:r w:rsidRPr="00227AE3">
        <w:rPr>
          <w:rFonts w:asciiTheme="majorHAnsi" w:hAnsiTheme="majorHAnsi" w:cstheme="majorHAnsi"/>
          <w:iCs/>
          <w:lang w:val="en-US"/>
        </w:rPr>
        <w:t xml:space="preserve">The concept of dropout, defined by Tinto (1989), is the situation that a student faces when he or she fails to complete his or her studies. However, he clarifies that this definition is limited to the individual aspect. </w:t>
      </w:r>
    </w:p>
    <w:p w14:paraId="22AF5249" w14:textId="6E892576" w:rsidR="0022123A" w:rsidRPr="00227AE3" w:rsidRDefault="0022123A">
      <w:pPr>
        <w:spacing w:line="240" w:lineRule="auto"/>
        <w:jc w:val="both"/>
        <w:rPr>
          <w:rFonts w:asciiTheme="majorHAnsi" w:hAnsiTheme="majorHAnsi" w:cstheme="majorHAnsi"/>
          <w:iCs/>
          <w:lang w:val="en-US"/>
        </w:rPr>
      </w:pPr>
      <w:r w:rsidRPr="00227AE3">
        <w:rPr>
          <w:rFonts w:asciiTheme="majorHAnsi" w:hAnsiTheme="majorHAnsi" w:cstheme="majorHAnsi"/>
          <w:iCs/>
          <w:lang w:val="en-US"/>
        </w:rPr>
        <w:t xml:space="preserve">To </w:t>
      </w:r>
      <w:proofErr w:type="spellStart"/>
      <w:r w:rsidRPr="00227AE3">
        <w:rPr>
          <w:rFonts w:asciiTheme="majorHAnsi" w:hAnsiTheme="majorHAnsi" w:cstheme="majorHAnsi"/>
          <w:iCs/>
          <w:lang w:val="en-US"/>
        </w:rPr>
        <w:t>Himmel</w:t>
      </w:r>
      <w:proofErr w:type="spellEnd"/>
      <w:r w:rsidRPr="00227AE3">
        <w:rPr>
          <w:rFonts w:asciiTheme="majorHAnsi" w:hAnsiTheme="majorHAnsi" w:cstheme="majorHAnsi"/>
          <w:iCs/>
          <w:lang w:val="en-US"/>
        </w:rPr>
        <w:t xml:space="preserve"> (2002), the concept is defined as the premature abandonment of a study program before </w:t>
      </w:r>
      <w:r w:rsidR="00F40273" w:rsidRPr="00227AE3">
        <w:rPr>
          <w:rFonts w:asciiTheme="majorHAnsi" w:hAnsiTheme="majorHAnsi" w:cstheme="majorHAnsi"/>
          <w:iCs/>
          <w:lang w:val="en-US"/>
        </w:rPr>
        <w:t xml:space="preserve">reaching </w:t>
      </w:r>
      <w:r w:rsidR="00227AE3" w:rsidRPr="00227AE3">
        <w:rPr>
          <w:rFonts w:asciiTheme="majorHAnsi" w:hAnsiTheme="majorHAnsi" w:cstheme="majorHAnsi"/>
          <w:iCs/>
          <w:lang w:val="en-US"/>
        </w:rPr>
        <w:t>the title</w:t>
      </w:r>
      <w:r w:rsidR="00F40273" w:rsidRPr="00227AE3">
        <w:rPr>
          <w:rFonts w:asciiTheme="majorHAnsi" w:hAnsiTheme="majorHAnsi" w:cstheme="majorHAnsi"/>
          <w:iCs/>
          <w:lang w:val="en-US"/>
        </w:rPr>
        <w:t xml:space="preserve"> or </w:t>
      </w:r>
      <w:r w:rsidR="000C1039" w:rsidRPr="00227AE3">
        <w:rPr>
          <w:rFonts w:asciiTheme="majorHAnsi" w:hAnsiTheme="majorHAnsi" w:cstheme="majorHAnsi"/>
          <w:iCs/>
          <w:lang w:val="en-US"/>
        </w:rPr>
        <w:t xml:space="preserve">degree, and considers a sufficiently long time to </w:t>
      </w:r>
      <w:r w:rsidR="00227AE3" w:rsidRPr="00227AE3">
        <w:rPr>
          <w:rFonts w:asciiTheme="majorHAnsi" w:hAnsiTheme="majorHAnsi" w:cstheme="majorHAnsi"/>
          <w:iCs/>
          <w:lang w:val="en-US"/>
        </w:rPr>
        <w:t>discard</w:t>
      </w:r>
      <w:r w:rsidR="000C1039" w:rsidRPr="00227AE3">
        <w:rPr>
          <w:rFonts w:asciiTheme="majorHAnsi" w:hAnsiTheme="majorHAnsi" w:cstheme="majorHAnsi"/>
          <w:iCs/>
          <w:lang w:val="en-US"/>
        </w:rPr>
        <w:t xml:space="preserve"> other possibility. It can be voluntary, if the student decides to abandon his or her studies, and involuntary when the decision comes from the institution, based on its </w:t>
      </w:r>
      <w:r w:rsidR="00227AE3" w:rsidRPr="00227AE3">
        <w:rPr>
          <w:rFonts w:asciiTheme="majorHAnsi" w:hAnsiTheme="majorHAnsi" w:cstheme="majorHAnsi"/>
          <w:iCs/>
          <w:lang w:val="en-US"/>
        </w:rPr>
        <w:t>regulations</w:t>
      </w:r>
      <w:r w:rsidR="000C1039" w:rsidRPr="00227AE3">
        <w:rPr>
          <w:rFonts w:asciiTheme="majorHAnsi" w:hAnsiTheme="majorHAnsi" w:cstheme="majorHAnsi"/>
          <w:iCs/>
          <w:lang w:val="en-US"/>
        </w:rPr>
        <w:t>, and decides to expel the student. He also proposed the distinction between career dropout and institution dropout,</w:t>
      </w:r>
      <w:r w:rsidR="00F40273" w:rsidRPr="00227AE3">
        <w:rPr>
          <w:rFonts w:asciiTheme="majorHAnsi" w:hAnsiTheme="majorHAnsi" w:cstheme="majorHAnsi"/>
          <w:iCs/>
          <w:lang w:val="en-US"/>
        </w:rPr>
        <w:t xml:space="preserve"> that can be named as transference. This differs from other types of dropout because it happens in the same institution. When the institutional dropout </w:t>
      </w:r>
      <w:r w:rsidR="00227AE3" w:rsidRPr="00227AE3">
        <w:rPr>
          <w:rFonts w:asciiTheme="majorHAnsi" w:hAnsiTheme="majorHAnsi" w:cstheme="majorHAnsi"/>
          <w:iCs/>
          <w:lang w:val="en-US"/>
        </w:rPr>
        <w:t>occurs</w:t>
      </w:r>
      <w:r w:rsidR="00F40273" w:rsidRPr="00227AE3">
        <w:rPr>
          <w:rFonts w:asciiTheme="majorHAnsi" w:hAnsiTheme="majorHAnsi" w:cstheme="majorHAnsi"/>
          <w:iCs/>
          <w:lang w:val="en-US"/>
        </w:rPr>
        <w:t>, there is a possibility that the student transferred or that is a definitive dropout.</w:t>
      </w:r>
    </w:p>
    <w:p w14:paraId="0523B7AB" w14:textId="5D4DC91C" w:rsidR="000C1039" w:rsidRPr="00227AE3" w:rsidRDefault="000C1039">
      <w:pPr>
        <w:spacing w:line="240" w:lineRule="auto"/>
        <w:jc w:val="both"/>
        <w:rPr>
          <w:rFonts w:asciiTheme="majorHAnsi" w:hAnsiTheme="majorHAnsi" w:cstheme="majorHAnsi"/>
          <w:lang w:val="en-US"/>
        </w:rPr>
      </w:pPr>
    </w:p>
    <w:p w14:paraId="75EDD7F7" w14:textId="43C6204C" w:rsidR="002359D8" w:rsidRPr="00227AE3" w:rsidRDefault="00F40273" w:rsidP="00F40273">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Also, it is understood as the process of abandonment of studies before reaching the title or degree, due to the positive or negative influence of external or internal events of the student. Its opposite would be the concept of retention, which means the persistence of students in a university study program until they achieve their degree or title </w:t>
      </w:r>
      <w:r w:rsidR="00E522A8" w:rsidRPr="00227AE3">
        <w:rPr>
          <w:rFonts w:asciiTheme="majorHAnsi" w:hAnsiTheme="majorHAnsi" w:cstheme="majorHAnsi"/>
          <w:lang w:val="en-US"/>
        </w:rPr>
        <w:t>(</w:t>
      </w:r>
      <w:proofErr w:type="spellStart"/>
      <w:r w:rsidR="00E522A8" w:rsidRPr="00227AE3">
        <w:rPr>
          <w:rFonts w:asciiTheme="majorHAnsi" w:hAnsiTheme="majorHAnsi" w:cstheme="majorHAnsi"/>
          <w:lang w:val="en-US"/>
        </w:rPr>
        <w:t>Himmel</w:t>
      </w:r>
      <w:proofErr w:type="spellEnd"/>
      <w:r w:rsidR="00E522A8" w:rsidRPr="00227AE3">
        <w:rPr>
          <w:rFonts w:asciiTheme="majorHAnsi" w:hAnsiTheme="majorHAnsi" w:cstheme="majorHAnsi"/>
          <w:lang w:val="en-US"/>
        </w:rPr>
        <w:t>, 2018).</w:t>
      </w:r>
    </w:p>
    <w:p w14:paraId="69938627" w14:textId="2953C376" w:rsidR="00F40273" w:rsidRPr="00227AE3" w:rsidRDefault="00F40273">
      <w:pPr>
        <w:spacing w:line="240" w:lineRule="auto"/>
        <w:jc w:val="both"/>
        <w:rPr>
          <w:rFonts w:asciiTheme="majorHAnsi" w:hAnsiTheme="majorHAnsi" w:cstheme="majorHAnsi"/>
          <w:lang w:val="en-US"/>
        </w:rPr>
      </w:pPr>
      <w:r w:rsidRPr="00227AE3">
        <w:rPr>
          <w:rFonts w:asciiTheme="majorHAnsi" w:hAnsiTheme="majorHAnsi" w:cstheme="majorHAnsi"/>
          <w:lang w:val="en-US"/>
        </w:rPr>
        <w:t>In another case, dropout is defined as the “action by which a student interrupts studies voluntarily or involuntarily, without having fully covered the curriculum of the respective degree" (</w:t>
      </w:r>
      <w:proofErr w:type="spellStart"/>
      <w:r w:rsidRPr="00227AE3">
        <w:rPr>
          <w:rFonts w:asciiTheme="majorHAnsi" w:hAnsiTheme="majorHAnsi" w:cstheme="majorHAnsi"/>
          <w:lang w:val="en-US"/>
        </w:rPr>
        <w:t>Durán</w:t>
      </w:r>
      <w:proofErr w:type="spellEnd"/>
      <w:r w:rsidRPr="00227AE3">
        <w:rPr>
          <w:rFonts w:asciiTheme="majorHAnsi" w:hAnsiTheme="majorHAnsi" w:cstheme="majorHAnsi"/>
          <w:lang w:val="en-US"/>
        </w:rPr>
        <w:t xml:space="preserve"> &amp; </w:t>
      </w:r>
      <w:proofErr w:type="spellStart"/>
      <w:r w:rsidRPr="00227AE3">
        <w:rPr>
          <w:rFonts w:asciiTheme="majorHAnsi" w:hAnsiTheme="majorHAnsi" w:cstheme="majorHAnsi"/>
          <w:lang w:val="en-US"/>
        </w:rPr>
        <w:t>Díaz</w:t>
      </w:r>
      <w:proofErr w:type="spellEnd"/>
      <w:r w:rsidRPr="00227AE3">
        <w:rPr>
          <w:rFonts w:asciiTheme="majorHAnsi" w:hAnsiTheme="majorHAnsi" w:cstheme="majorHAnsi"/>
          <w:lang w:val="en-US"/>
        </w:rPr>
        <w:t>, 1990, p .3). Furthermore, to operationalize this definition, the author proposes to classify dropout students into three modalities. Voluntary dropout, incurred dropout and potential dropout.</w:t>
      </w:r>
    </w:p>
    <w:p w14:paraId="0D7E4C87" w14:textId="414A9589" w:rsidR="00F40273" w:rsidRPr="00227AE3" w:rsidRDefault="00F40273">
      <w:pPr>
        <w:spacing w:line="240" w:lineRule="auto"/>
        <w:jc w:val="both"/>
        <w:rPr>
          <w:rFonts w:asciiTheme="majorHAnsi" w:hAnsiTheme="majorHAnsi" w:cstheme="majorHAnsi"/>
          <w:lang w:val="en-US"/>
        </w:rPr>
      </w:pPr>
    </w:p>
    <w:p w14:paraId="65576EFA" w14:textId="701BFB80" w:rsidR="00F40273" w:rsidRPr="00227AE3" w:rsidRDefault="00F40273">
      <w:pPr>
        <w:spacing w:line="240" w:lineRule="auto"/>
        <w:jc w:val="both"/>
        <w:rPr>
          <w:rFonts w:asciiTheme="majorHAnsi" w:hAnsiTheme="majorHAnsi" w:cstheme="majorHAnsi"/>
          <w:lang w:val="en-US"/>
        </w:rPr>
      </w:pPr>
      <w:r w:rsidRPr="00227AE3">
        <w:rPr>
          <w:rFonts w:asciiTheme="majorHAnsi" w:hAnsiTheme="majorHAnsi" w:cstheme="majorHAnsi"/>
          <w:lang w:val="en-US"/>
        </w:rPr>
        <w:t>For other authors, such as Horn (1996), the study of desertion requires classifying students into two categories, those called traditional and non-traditional students. This last group is the one that presents the highest dropout risks and is characterized by having one or more of seven characteristics, which are: late enrollment in post-secondary education, part-time attendance, they are fin</w:t>
      </w:r>
      <w:r w:rsidR="00605D6F" w:rsidRPr="00227AE3">
        <w:rPr>
          <w:rFonts w:asciiTheme="majorHAnsi" w:hAnsiTheme="majorHAnsi" w:cstheme="majorHAnsi"/>
          <w:lang w:val="en-US"/>
        </w:rPr>
        <w:t>ancially independent, they work</w:t>
      </w:r>
      <w:r w:rsidRPr="00227AE3">
        <w:rPr>
          <w:rFonts w:asciiTheme="majorHAnsi" w:hAnsiTheme="majorHAnsi" w:cstheme="majorHAnsi"/>
          <w:lang w:val="en-US"/>
        </w:rPr>
        <w:t xml:space="preserve"> full-time while enrolled</w:t>
      </w:r>
      <w:r w:rsidR="00605D6F" w:rsidRPr="00227AE3">
        <w:rPr>
          <w:rFonts w:asciiTheme="majorHAnsi" w:hAnsiTheme="majorHAnsi" w:cstheme="majorHAnsi"/>
          <w:lang w:val="en-US"/>
        </w:rPr>
        <w:t>, have</w:t>
      </w:r>
      <w:r w:rsidRPr="00227AE3">
        <w:rPr>
          <w:rFonts w:asciiTheme="majorHAnsi" w:hAnsiTheme="majorHAnsi" w:cstheme="majorHAnsi"/>
          <w:lang w:val="en-US"/>
        </w:rPr>
        <w:t xml:space="preserve"> dependent people who </w:t>
      </w:r>
      <w:r w:rsidR="00605D6F" w:rsidRPr="00227AE3">
        <w:rPr>
          <w:rFonts w:asciiTheme="majorHAnsi" w:hAnsiTheme="majorHAnsi" w:cstheme="majorHAnsi"/>
          <w:lang w:val="en-US"/>
        </w:rPr>
        <w:t>are</w:t>
      </w:r>
      <w:r w:rsidRPr="00227AE3">
        <w:rPr>
          <w:rFonts w:asciiTheme="majorHAnsi" w:hAnsiTheme="majorHAnsi" w:cstheme="majorHAnsi"/>
          <w:lang w:val="en-US"/>
        </w:rPr>
        <w:t xml:space="preserve"> not a spouse, </w:t>
      </w:r>
      <w:r w:rsidR="00605D6F" w:rsidRPr="00227AE3">
        <w:rPr>
          <w:rFonts w:asciiTheme="majorHAnsi" w:hAnsiTheme="majorHAnsi" w:cstheme="majorHAnsi"/>
          <w:lang w:val="en-US"/>
        </w:rPr>
        <w:t>are</w:t>
      </w:r>
      <w:r w:rsidRPr="00227AE3">
        <w:rPr>
          <w:rFonts w:asciiTheme="majorHAnsi" w:hAnsiTheme="majorHAnsi" w:cstheme="majorHAnsi"/>
          <w:lang w:val="en-US"/>
        </w:rPr>
        <w:t xml:space="preserve"> single parents, or failed to earn a standard high school diploma.</w:t>
      </w:r>
    </w:p>
    <w:p w14:paraId="7C8C4C04" w14:textId="2D4D32A9" w:rsidR="00605D6F" w:rsidRPr="00227AE3" w:rsidRDefault="00605D6F">
      <w:pPr>
        <w:spacing w:line="240" w:lineRule="auto"/>
        <w:jc w:val="both"/>
        <w:rPr>
          <w:rFonts w:asciiTheme="majorHAnsi" w:hAnsiTheme="majorHAnsi" w:cstheme="majorHAnsi"/>
          <w:lang w:val="en-US"/>
        </w:rPr>
      </w:pPr>
    </w:p>
    <w:p w14:paraId="64C2779E" w14:textId="0071FEE8" w:rsidR="00605D6F" w:rsidRPr="00227AE3" w:rsidRDefault="00605D6F" w:rsidP="00605D6F">
      <w:pPr>
        <w:spacing w:line="240" w:lineRule="auto"/>
        <w:jc w:val="both"/>
        <w:rPr>
          <w:rFonts w:asciiTheme="majorHAnsi" w:hAnsiTheme="majorHAnsi" w:cstheme="majorHAnsi"/>
          <w:lang w:val="en-US"/>
        </w:rPr>
      </w:pPr>
      <w:r w:rsidRPr="00227AE3">
        <w:rPr>
          <w:rFonts w:asciiTheme="majorHAnsi" w:hAnsiTheme="majorHAnsi" w:cstheme="majorHAnsi"/>
          <w:lang w:val="en-US"/>
        </w:rPr>
        <w:t>Likewise, the author proposes that this group should be subdivided into minimally non-traditional students (only one characteristic), moderately non-traditional (it meets two or three characteristics and, finally, highly non-traditional (four or more characteristics).</w:t>
      </w:r>
    </w:p>
    <w:p w14:paraId="059D44F4" w14:textId="479B9D5F" w:rsidR="00605D6F" w:rsidRPr="00227AE3" w:rsidRDefault="00C71583" w:rsidP="00605D6F">
      <w:pPr>
        <w:spacing w:line="240" w:lineRule="auto"/>
        <w:jc w:val="both"/>
        <w:rPr>
          <w:rFonts w:asciiTheme="majorHAnsi" w:hAnsiTheme="majorHAnsi" w:cstheme="majorHAnsi"/>
          <w:lang w:val="en-US"/>
        </w:rPr>
      </w:pPr>
      <w:r w:rsidRPr="00227AE3">
        <w:rPr>
          <w:rFonts w:asciiTheme="majorHAnsi" w:hAnsiTheme="majorHAnsi" w:cstheme="majorHAnsi"/>
          <w:lang w:val="en-US"/>
        </w:rPr>
        <w:t>College dropout</w:t>
      </w:r>
      <w:r w:rsidR="00605D6F" w:rsidRPr="00227AE3">
        <w:rPr>
          <w:rFonts w:asciiTheme="majorHAnsi" w:hAnsiTheme="majorHAnsi" w:cstheme="majorHAnsi"/>
          <w:lang w:val="en-US"/>
        </w:rPr>
        <w:t xml:space="preserve"> has been analyzed from three perspectives. The first is the internal perspective regarding teaching processes (educational quality, curricular structure and relevance, teacher training, etc.). The second places an emphasis on external processes to what is properly educational (characteristics of the student body, socioeconomic situation of the country, access to financing, etc.); and the third, which focuses on the interaction between both types of factors.</w:t>
      </w:r>
    </w:p>
    <w:p w14:paraId="1FCE831A" w14:textId="77777777" w:rsidR="00F40273" w:rsidRPr="00227AE3" w:rsidRDefault="00F40273">
      <w:pPr>
        <w:spacing w:line="240" w:lineRule="auto"/>
        <w:jc w:val="both"/>
        <w:rPr>
          <w:rFonts w:asciiTheme="majorHAnsi" w:hAnsiTheme="majorHAnsi" w:cstheme="majorHAnsi"/>
          <w:lang w:val="en-US"/>
        </w:rPr>
      </w:pPr>
    </w:p>
    <w:p w14:paraId="3AD624D0" w14:textId="6FBA9479" w:rsidR="005B420B" w:rsidRPr="00227AE3" w:rsidRDefault="00605D6F">
      <w:pPr>
        <w:spacing w:line="240" w:lineRule="auto"/>
        <w:jc w:val="both"/>
        <w:rPr>
          <w:rFonts w:asciiTheme="majorHAnsi" w:hAnsiTheme="majorHAnsi" w:cstheme="majorHAnsi"/>
          <w:lang w:val="en-US"/>
        </w:rPr>
      </w:pPr>
      <w:r w:rsidRPr="00227AE3">
        <w:rPr>
          <w:rFonts w:asciiTheme="majorHAnsi" w:hAnsiTheme="majorHAnsi" w:cstheme="majorHAnsi"/>
          <w:lang w:val="en-US"/>
        </w:rPr>
        <w:t>For this last approach, desertion must be considered as the product of the interrelation of multiple factors, which relates the educational system and the social and economic structure of society; and as a manifestation of the profound changes that have occurred in university institutions, in the composition of students and in the job market (CINDA, 2006).</w:t>
      </w:r>
    </w:p>
    <w:p w14:paraId="444F0DDD" w14:textId="27596DDC" w:rsidR="005B420B" w:rsidRPr="00227AE3" w:rsidRDefault="00C71583">
      <w:pPr>
        <w:spacing w:line="240" w:lineRule="auto"/>
        <w:jc w:val="both"/>
        <w:rPr>
          <w:rFonts w:asciiTheme="majorHAnsi" w:hAnsiTheme="majorHAnsi" w:cstheme="majorHAnsi"/>
          <w:lang w:val="en-US"/>
        </w:rPr>
      </w:pPr>
      <w:r w:rsidRPr="00227AE3">
        <w:rPr>
          <w:rFonts w:asciiTheme="majorHAnsi" w:hAnsiTheme="majorHAnsi" w:cstheme="majorHAnsi"/>
          <w:lang w:val="en-US"/>
        </w:rPr>
        <w:t>College dropout</w:t>
      </w:r>
      <w:r w:rsidR="00605D6F" w:rsidRPr="00227AE3">
        <w:rPr>
          <w:rFonts w:asciiTheme="majorHAnsi" w:hAnsiTheme="majorHAnsi" w:cstheme="majorHAnsi"/>
          <w:lang w:val="en-US"/>
        </w:rPr>
        <w:t xml:space="preserve"> </w:t>
      </w:r>
      <w:r w:rsidR="00227AE3" w:rsidRPr="00227AE3">
        <w:rPr>
          <w:rFonts w:asciiTheme="majorHAnsi" w:hAnsiTheme="majorHAnsi" w:cstheme="majorHAnsi"/>
          <w:lang w:val="en-US"/>
        </w:rPr>
        <w:t>cannot</w:t>
      </w:r>
      <w:r w:rsidR="00605D6F" w:rsidRPr="00227AE3">
        <w:rPr>
          <w:rFonts w:asciiTheme="majorHAnsi" w:hAnsiTheme="majorHAnsi" w:cstheme="majorHAnsi"/>
          <w:lang w:val="en-US"/>
        </w:rPr>
        <w:t xml:space="preserve"> be expressed from a single category as the individual, because sociodemographic, personal, institutional and academic variables also affect the voluntary abandonment of studies (</w:t>
      </w:r>
      <w:proofErr w:type="spellStart"/>
      <w:r w:rsidR="00605D6F" w:rsidRPr="00227AE3">
        <w:rPr>
          <w:rFonts w:asciiTheme="majorHAnsi" w:hAnsiTheme="majorHAnsi" w:cstheme="majorHAnsi"/>
          <w:lang w:val="en-US"/>
        </w:rPr>
        <w:t>Díaz</w:t>
      </w:r>
      <w:proofErr w:type="spellEnd"/>
      <w:r w:rsidR="00605D6F" w:rsidRPr="00227AE3">
        <w:rPr>
          <w:rFonts w:asciiTheme="majorHAnsi" w:hAnsiTheme="majorHAnsi" w:cstheme="majorHAnsi"/>
          <w:lang w:val="en-US"/>
        </w:rPr>
        <w:t>, 2008). Although many investigations have started from one of them, others emphasize the need to combine perspectives to achieve a deeper understanding of the phenomenon. Such is the case of the Ministry of National Education of Colombia (2008), which considers a dropout student to a student at a higher education institution that does not present academic activity for two consecutive academic semesters. This division allows classifying students based on two criteria, time and space. Regarding the first, there are early dropouts (is admitted, but not enrolled), the early ones (they drop out in the first semesters of the program) and the late ones (they drop out in the last semesters of the program). In the other category there is institutional dropout (leaves the institution), and internal dropout or academic program (moves within the same institution).</w:t>
      </w:r>
    </w:p>
    <w:p w14:paraId="09DB4B4C" w14:textId="15B01461" w:rsidR="00605D6F" w:rsidRPr="00227AE3" w:rsidRDefault="00605D6F">
      <w:pPr>
        <w:spacing w:line="240" w:lineRule="auto"/>
        <w:jc w:val="both"/>
        <w:rPr>
          <w:rFonts w:asciiTheme="majorHAnsi" w:hAnsiTheme="majorHAnsi" w:cstheme="majorHAnsi"/>
          <w:lang w:val="en-US"/>
        </w:rPr>
      </w:pPr>
    </w:p>
    <w:p w14:paraId="1F0A9433" w14:textId="023B57FF" w:rsidR="00605D6F" w:rsidRPr="00227AE3" w:rsidRDefault="00605D6F">
      <w:pPr>
        <w:spacing w:line="240" w:lineRule="auto"/>
        <w:jc w:val="both"/>
        <w:rPr>
          <w:rFonts w:asciiTheme="majorHAnsi" w:hAnsiTheme="majorHAnsi" w:cstheme="majorHAnsi"/>
          <w:lang w:val="en-US"/>
        </w:rPr>
      </w:pPr>
      <w:r w:rsidRPr="00227AE3">
        <w:rPr>
          <w:rFonts w:asciiTheme="majorHAnsi" w:hAnsiTheme="majorHAnsi" w:cstheme="majorHAnsi"/>
          <w:lang w:val="en-US"/>
        </w:rPr>
        <w:t>Achieving a higher level of understanding about the factors that influence Paraguayan university students to drop out of their studies at the university is relevant, due to the fact that information on the situation in Paraguay is scarce and unreliable, which makes it necessary to investigate the determinants of forced abandonment or not, to generate public policies for the retention of students that can culminate their educational cycles, not only at a higher level, but also basic and medium.</w:t>
      </w:r>
    </w:p>
    <w:p w14:paraId="11274322" w14:textId="357C8AA9" w:rsidR="00605D6F" w:rsidRPr="00227AE3" w:rsidRDefault="00C71583">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To analyze the situation of college dropout, there is evidence from countries such as Venezuela, Chile, Colombia, Paraguay, Argentina. In the literature review by </w:t>
      </w:r>
      <w:proofErr w:type="spellStart"/>
      <w:r w:rsidRPr="00227AE3">
        <w:rPr>
          <w:rFonts w:asciiTheme="majorHAnsi" w:hAnsiTheme="majorHAnsi" w:cstheme="majorHAnsi"/>
          <w:lang w:val="en-US"/>
        </w:rPr>
        <w:t>Seminara</w:t>
      </w:r>
      <w:proofErr w:type="spellEnd"/>
      <w:r w:rsidRPr="00227AE3">
        <w:rPr>
          <w:rFonts w:asciiTheme="majorHAnsi" w:hAnsiTheme="majorHAnsi" w:cstheme="majorHAnsi"/>
          <w:lang w:val="en-US"/>
        </w:rPr>
        <w:t xml:space="preserve"> and </w:t>
      </w:r>
      <w:proofErr w:type="spellStart"/>
      <w:r w:rsidRPr="00227AE3">
        <w:rPr>
          <w:rFonts w:asciiTheme="majorHAnsi" w:hAnsiTheme="majorHAnsi" w:cstheme="majorHAnsi"/>
          <w:lang w:val="en-US"/>
        </w:rPr>
        <w:t>Aparicio</w:t>
      </w:r>
      <w:proofErr w:type="spellEnd"/>
      <w:r w:rsidRPr="00227AE3">
        <w:rPr>
          <w:rFonts w:asciiTheme="majorHAnsi" w:hAnsiTheme="majorHAnsi" w:cstheme="majorHAnsi"/>
          <w:lang w:val="en-US"/>
        </w:rPr>
        <w:t xml:space="preserve"> (2018) it was found that university dropout in Latin America oscillates around 55% of the total number of students. This figure is alarming because it shows the deficiencies of the educational system, which has difficulties in retaining its students</w:t>
      </w:r>
      <w:r w:rsidR="003069F1" w:rsidRPr="00227AE3">
        <w:rPr>
          <w:rFonts w:asciiTheme="majorHAnsi" w:hAnsiTheme="majorHAnsi" w:cstheme="majorHAnsi"/>
          <w:lang w:val="en-US"/>
        </w:rPr>
        <w:t>.</w:t>
      </w:r>
      <w:r w:rsidRPr="00227AE3">
        <w:rPr>
          <w:rFonts w:asciiTheme="majorHAnsi" w:hAnsiTheme="majorHAnsi" w:cstheme="majorHAnsi"/>
          <w:lang w:val="en-US"/>
        </w:rPr>
        <w:t xml:space="preserve"> In addition, having a university degree has a high economic cost. The main problems in </w:t>
      </w:r>
      <w:r w:rsidR="003069F1" w:rsidRPr="00227AE3">
        <w:rPr>
          <w:rFonts w:asciiTheme="majorHAnsi" w:hAnsiTheme="majorHAnsi" w:cstheme="majorHAnsi"/>
          <w:lang w:val="en-US"/>
        </w:rPr>
        <w:t>college dropout</w:t>
      </w:r>
      <w:r w:rsidRPr="00227AE3">
        <w:rPr>
          <w:rFonts w:asciiTheme="majorHAnsi" w:hAnsiTheme="majorHAnsi" w:cstheme="majorHAnsi"/>
          <w:lang w:val="en-US"/>
        </w:rPr>
        <w:t xml:space="preserve"> research, according to the same authors are: the definition of the research object, the measurement of its magnitude and the lack of a shared methodology for the </w:t>
      </w:r>
      <w:r w:rsidR="003069F1" w:rsidRPr="00227AE3">
        <w:rPr>
          <w:rFonts w:asciiTheme="majorHAnsi" w:hAnsiTheme="majorHAnsi" w:cstheme="majorHAnsi"/>
          <w:lang w:val="en-US"/>
        </w:rPr>
        <w:t>gathering</w:t>
      </w:r>
      <w:r w:rsidRPr="00227AE3">
        <w:rPr>
          <w:rFonts w:asciiTheme="majorHAnsi" w:hAnsiTheme="majorHAnsi" w:cstheme="majorHAnsi"/>
          <w:lang w:val="en-US"/>
        </w:rPr>
        <w:t xml:space="preserve"> of information (</w:t>
      </w:r>
      <w:proofErr w:type="spellStart"/>
      <w:r w:rsidRPr="00227AE3">
        <w:rPr>
          <w:rFonts w:asciiTheme="majorHAnsi" w:hAnsiTheme="majorHAnsi" w:cstheme="majorHAnsi"/>
          <w:lang w:val="en-US"/>
        </w:rPr>
        <w:t>Seminara</w:t>
      </w:r>
      <w:proofErr w:type="spellEnd"/>
      <w:r w:rsidRPr="00227AE3">
        <w:rPr>
          <w:rFonts w:asciiTheme="majorHAnsi" w:hAnsiTheme="majorHAnsi" w:cstheme="majorHAnsi"/>
          <w:lang w:val="en-US"/>
        </w:rPr>
        <w:t xml:space="preserve"> and </w:t>
      </w:r>
      <w:proofErr w:type="spellStart"/>
      <w:r w:rsidRPr="00227AE3">
        <w:rPr>
          <w:rFonts w:asciiTheme="majorHAnsi" w:hAnsiTheme="majorHAnsi" w:cstheme="majorHAnsi"/>
          <w:lang w:val="en-US"/>
        </w:rPr>
        <w:t>Aparicio</w:t>
      </w:r>
      <w:proofErr w:type="spellEnd"/>
      <w:r w:rsidRPr="00227AE3">
        <w:rPr>
          <w:rFonts w:asciiTheme="majorHAnsi" w:hAnsiTheme="majorHAnsi" w:cstheme="majorHAnsi"/>
          <w:lang w:val="en-US"/>
        </w:rPr>
        <w:t>, 2018</w:t>
      </w:r>
      <w:r w:rsidR="003069F1" w:rsidRPr="00227AE3">
        <w:rPr>
          <w:rFonts w:asciiTheme="majorHAnsi" w:hAnsiTheme="majorHAnsi" w:cstheme="majorHAnsi"/>
          <w:lang w:val="en-US"/>
        </w:rPr>
        <w:t>)</w:t>
      </w:r>
    </w:p>
    <w:p w14:paraId="09DC3C02" w14:textId="1D403322" w:rsidR="003069F1" w:rsidRPr="00227AE3" w:rsidRDefault="003069F1">
      <w:pPr>
        <w:spacing w:line="240" w:lineRule="auto"/>
        <w:jc w:val="both"/>
        <w:rPr>
          <w:rFonts w:asciiTheme="majorHAnsi" w:hAnsiTheme="majorHAnsi" w:cstheme="majorHAnsi"/>
          <w:lang w:val="en-US"/>
        </w:rPr>
      </w:pPr>
    </w:p>
    <w:p w14:paraId="42F670F3" w14:textId="685C4A61" w:rsidR="003069F1" w:rsidRPr="00227AE3" w:rsidRDefault="003069F1">
      <w:pPr>
        <w:spacing w:line="240" w:lineRule="auto"/>
        <w:jc w:val="both"/>
        <w:rPr>
          <w:rFonts w:asciiTheme="majorHAnsi" w:hAnsiTheme="majorHAnsi" w:cstheme="majorHAnsi"/>
          <w:lang w:val="en-US"/>
        </w:rPr>
      </w:pPr>
      <w:r w:rsidRPr="00227AE3">
        <w:rPr>
          <w:rFonts w:asciiTheme="majorHAnsi" w:hAnsiTheme="majorHAnsi" w:cstheme="majorHAnsi"/>
          <w:lang w:val="en-US"/>
        </w:rPr>
        <w:t>In a publication carried out by UNESCO (2013), it is reported that within higher education the</w:t>
      </w:r>
      <w:r w:rsidR="00E9069B" w:rsidRPr="00227AE3">
        <w:rPr>
          <w:rFonts w:asciiTheme="majorHAnsi" w:hAnsiTheme="majorHAnsi" w:cstheme="majorHAnsi"/>
          <w:lang w:val="en-US"/>
        </w:rPr>
        <w:t>re are high levels of dropout. I</w:t>
      </w:r>
      <w:r w:rsidRPr="00227AE3">
        <w:rPr>
          <w:rFonts w:asciiTheme="majorHAnsi" w:hAnsiTheme="majorHAnsi" w:cstheme="majorHAnsi"/>
          <w:lang w:val="en-US"/>
        </w:rPr>
        <w:t xml:space="preserve">n Latin America there is still a long way to go in this matter, since only </w:t>
      </w:r>
      <w:r w:rsidR="00E9069B" w:rsidRPr="00227AE3">
        <w:rPr>
          <w:rFonts w:asciiTheme="majorHAnsi" w:hAnsiTheme="majorHAnsi" w:cstheme="majorHAnsi"/>
          <w:lang w:val="en-US"/>
        </w:rPr>
        <w:t xml:space="preserve">1 </w:t>
      </w:r>
      <w:r w:rsidRPr="00227AE3">
        <w:rPr>
          <w:rFonts w:asciiTheme="majorHAnsi" w:hAnsiTheme="majorHAnsi" w:cstheme="majorHAnsi"/>
          <w:lang w:val="en-US"/>
        </w:rPr>
        <w:t>in 10 young people from 25 to 29 ye</w:t>
      </w:r>
      <w:r w:rsidR="00E9069B" w:rsidRPr="00227AE3">
        <w:rPr>
          <w:rFonts w:asciiTheme="majorHAnsi" w:hAnsiTheme="majorHAnsi" w:cstheme="majorHAnsi"/>
          <w:lang w:val="en-US"/>
        </w:rPr>
        <w:t>ars</w:t>
      </w:r>
      <w:r w:rsidRPr="00227AE3">
        <w:rPr>
          <w:rFonts w:asciiTheme="majorHAnsi" w:hAnsiTheme="majorHAnsi" w:cstheme="majorHAnsi"/>
          <w:lang w:val="en-US"/>
        </w:rPr>
        <w:t xml:space="preserve"> old has completed </w:t>
      </w:r>
      <w:r w:rsidRPr="00227AE3">
        <w:rPr>
          <w:rFonts w:asciiTheme="majorHAnsi" w:hAnsiTheme="majorHAnsi" w:cstheme="majorHAnsi"/>
          <w:lang w:val="en-US"/>
        </w:rPr>
        <w:lastRenderedPageBreak/>
        <w:t xml:space="preserve">five years of higher education in 2010, which is a </w:t>
      </w:r>
      <w:r w:rsidR="00E9069B" w:rsidRPr="00227AE3">
        <w:rPr>
          <w:rFonts w:asciiTheme="majorHAnsi" w:hAnsiTheme="majorHAnsi" w:cstheme="majorHAnsi"/>
          <w:lang w:val="en-US"/>
        </w:rPr>
        <w:t>slight increase from 7% in 2000</w:t>
      </w:r>
      <w:r w:rsidRPr="00227AE3">
        <w:rPr>
          <w:rFonts w:asciiTheme="majorHAnsi" w:hAnsiTheme="majorHAnsi" w:cstheme="majorHAnsi"/>
          <w:lang w:val="en-US"/>
        </w:rPr>
        <w:t xml:space="preserve"> (</w:t>
      </w:r>
      <w:proofErr w:type="spellStart"/>
      <w:r w:rsidRPr="00227AE3">
        <w:rPr>
          <w:rFonts w:asciiTheme="majorHAnsi" w:hAnsiTheme="majorHAnsi" w:cstheme="majorHAnsi"/>
          <w:lang w:val="en-US"/>
        </w:rPr>
        <w:t>Bellei</w:t>
      </w:r>
      <w:proofErr w:type="spellEnd"/>
      <w:r w:rsidRPr="00227AE3">
        <w:rPr>
          <w:rFonts w:asciiTheme="majorHAnsi" w:hAnsiTheme="majorHAnsi" w:cstheme="majorHAnsi"/>
          <w:lang w:val="en-US"/>
        </w:rPr>
        <w:t>, 2013).</w:t>
      </w:r>
    </w:p>
    <w:p w14:paraId="379E4A9F" w14:textId="77777777" w:rsidR="00E9069B" w:rsidRPr="00227AE3" w:rsidRDefault="00E9069B">
      <w:pPr>
        <w:spacing w:line="240" w:lineRule="auto"/>
        <w:jc w:val="both"/>
        <w:rPr>
          <w:rFonts w:asciiTheme="majorHAnsi" w:hAnsiTheme="majorHAnsi" w:cstheme="majorHAnsi"/>
          <w:lang w:val="en-US"/>
        </w:rPr>
      </w:pPr>
    </w:p>
    <w:p w14:paraId="373667E0" w14:textId="07171BC2" w:rsidR="00E9069B" w:rsidRPr="00227AE3" w:rsidRDefault="00E9069B">
      <w:pPr>
        <w:spacing w:line="240" w:lineRule="auto"/>
        <w:jc w:val="both"/>
        <w:rPr>
          <w:rFonts w:asciiTheme="majorHAnsi" w:hAnsiTheme="majorHAnsi" w:cstheme="majorHAnsi"/>
          <w:lang w:val="en-US"/>
        </w:rPr>
      </w:pPr>
      <w:r w:rsidRPr="00227AE3">
        <w:rPr>
          <w:rFonts w:asciiTheme="majorHAnsi" w:hAnsiTheme="majorHAnsi" w:cstheme="majorHAnsi"/>
          <w:lang w:val="en-US"/>
        </w:rPr>
        <w:t>Another UNESCO publication (2015) points out the deficiencies that affect higher education in Latin America and the Caribbean, which are college dropout due to emotional, academic, cultural, economic or social exclusion, or disability; lack of teaching materials; little relationship and team work between educators, researchers, administrators and authorities that block the solving of existing problems in the universities.</w:t>
      </w:r>
    </w:p>
    <w:p w14:paraId="1C908346" w14:textId="5562A8B5" w:rsidR="00E9069B" w:rsidRPr="00227AE3" w:rsidRDefault="00E9069B">
      <w:pPr>
        <w:spacing w:line="240" w:lineRule="auto"/>
        <w:jc w:val="both"/>
        <w:rPr>
          <w:rFonts w:asciiTheme="majorHAnsi" w:hAnsiTheme="majorHAnsi" w:cstheme="majorHAnsi"/>
          <w:lang w:val="en-US"/>
        </w:rPr>
      </w:pPr>
      <w:r w:rsidRPr="00227AE3">
        <w:rPr>
          <w:rFonts w:asciiTheme="majorHAnsi" w:hAnsiTheme="majorHAnsi" w:cstheme="majorHAnsi"/>
          <w:lang w:val="en-US"/>
        </w:rPr>
        <w:t>There is research that describes a positive correlation between college dropout and demographic and economic factors. In a University of Chile, it was found that the main characteristics of the deserting population have between the age 17 and 25 and have adverse socioeconomic conditions. This implies a low family income, having gone to a public or subsidized school</w:t>
      </w:r>
      <w:r w:rsidR="00227AE3">
        <w:rPr>
          <w:rFonts w:asciiTheme="majorHAnsi" w:hAnsiTheme="majorHAnsi" w:cstheme="majorHAnsi"/>
          <w:lang w:val="en-US"/>
        </w:rPr>
        <w:t xml:space="preserve"> in 97% of cases (Moya et al.</w:t>
      </w:r>
      <w:r w:rsidRPr="00227AE3">
        <w:rPr>
          <w:rFonts w:asciiTheme="majorHAnsi" w:hAnsiTheme="majorHAnsi" w:cstheme="majorHAnsi"/>
          <w:lang w:val="en-US"/>
        </w:rPr>
        <w:t>, 2018).</w:t>
      </w:r>
    </w:p>
    <w:p w14:paraId="67B60079" w14:textId="0E2F6AB2" w:rsidR="00E9069B" w:rsidRPr="00227AE3" w:rsidRDefault="00E9069B">
      <w:pPr>
        <w:spacing w:line="240" w:lineRule="auto"/>
        <w:jc w:val="both"/>
        <w:rPr>
          <w:rFonts w:asciiTheme="majorHAnsi" w:hAnsiTheme="majorHAnsi" w:cstheme="majorHAnsi"/>
          <w:lang w:val="en-US"/>
        </w:rPr>
      </w:pPr>
    </w:p>
    <w:p w14:paraId="4C1CF3D3" w14:textId="34A6AEED" w:rsidR="00E9069B" w:rsidRPr="00227AE3" w:rsidRDefault="00E9069B">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Other investigations focus on factors of a more individual nature, such as the one carried out by Vázquez, </w:t>
      </w:r>
      <w:r w:rsidR="00227AE3">
        <w:rPr>
          <w:rFonts w:asciiTheme="majorHAnsi" w:hAnsiTheme="majorHAnsi" w:cstheme="majorHAnsi"/>
          <w:lang w:val="en-US"/>
        </w:rPr>
        <w:t>et al.</w:t>
      </w:r>
      <w:r w:rsidRPr="00227AE3">
        <w:rPr>
          <w:rFonts w:asciiTheme="majorHAnsi" w:hAnsiTheme="majorHAnsi" w:cstheme="majorHAnsi"/>
          <w:lang w:val="en-US"/>
        </w:rPr>
        <w:t xml:space="preserve"> (2013), who found that spatial competence affects academic performance, with the intermediate variable being learning style. A deep learning style favors the use of capacity.</w:t>
      </w:r>
    </w:p>
    <w:p w14:paraId="013C4D57" w14:textId="77777777" w:rsidR="00E9069B" w:rsidRPr="00227AE3" w:rsidRDefault="00E9069B">
      <w:pPr>
        <w:spacing w:line="240" w:lineRule="auto"/>
        <w:jc w:val="both"/>
        <w:rPr>
          <w:rFonts w:asciiTheme="majorHAnsi" w:hAnsiTheme="majorHAnsi" w:cstheme="majorHAnsi"/>
          <w:lang w:val="en-US"/>
        </w:rPr>
      </w:pPr>
    </w:p>
    <w:p w14:paraId="1A559A19" w14:textId="2E64110D" w:rsidR="003B7C24" w:rsidRPr="00227AE3" w:rsidRDefault="003B7C24" w:rsidP="003B7C24">
      <w:pPr>
        <w:spacing w:line="240" w:lineRule="auto"/>
        <w:jc w:val="both"/>
        <w:rPr>
          <w:rFonts w:asciiTheme="majorHAnsi" w:hAnsiTheme="majorHAnsi" w:cstheme="majorHAnsi"/>
          <w:lang w:val="en-US"/>
        </w:rPr>
      </w:pPr>
      <w:r w:rsidRPr="00227AE3">
        <w:rPr>
          <w:rFonts w:asciiTheme="majorHAnsi" w:hAnsiTheme="majorHAnsi" w:cstheme="majorHAnsi"/>
          <w:lang w:val="en-US"/>
        </w:rPr>
        <w:t>Regarding repetition and dropout, a study carried out in Chile indicates that the reasons that lead young people to drop out of education are multiple. According to the results obtained, the main reasons correspond to the motivations and expectations of the students. In this sense, the average of approved semesters (3.5) indicates that it is during the first years of the degree that students drop out. The personal reasons for motivation and vocational definition are relevant, generating a dissonance between the expectations and aspirations of the students and the reality of their studies.</w:t>
      </w:r>
    </w:p>
    <w:p w14:paraId="32C1EDDC" w14:textId="654AECF0" w:rsidR="003B7C24" w:rsidRPr="00227AE3" w:rsidRDefault="003B7C24" w:rsidP="003B7C24">
      <w:pPr>
        <w:spacing w:line="240" w:lineRule="auto"/>
        <w:jc w:val="both"/>
        <w:rPr>
          <w:rFonts w:asciiTheme="majorHAnsi" w:hAnsiTheme="majorHAnsi" w:cstheme="majorHAnsi"/>
          <w:lang w:val="en-US"/>
        </w:rPr>
      </w:pPr>
      <w:r w:rsidRPr="00227AE3">
        <w:rPr>
          <w:rFonts w:asciiTheme="majorHAnsi" w:hAnsiTheme="majorHAnsi" w:cstheme="majorHAnsi"/>
          <w:lang w:val="en-US"/>
        </w:rPr>
        <w:t>Likewise,</w:t>
      </w:r>
      <w:r w:rsidR="00620E93" w:rsidRPr="00227AE3">
        <w:rPr>
          <w:rFonts w:asciiTheme="majorHAnsi" w:hAnsiTheme="majorHAnsi" w:cstheme="majorHAnsi"/>
          <w:lang w:val="en-US"/>
        </w:rPr>
        <w:t xml:space="preserve"> there is evidence of</w:t>
      </w:r>
      <w:r w:rsidRPr="00227AE3">
        <w:rPr>
          <w:rFonts w:asciiTheme="majorHAnsi" w:hAnsiTheme="majorHAnsi" w:cstheme="majorHAnsi"/>
          <w:lang w:val="en-US"/>
        </w:rPr>
        <w:t xml:space="preserve"> insti</w:t>
      </w:r>
      <w:r w:rsidR="00620E93" w:rsidRPr="00227AE3">
        <w:rPr>
          <w:rFonts w:asciiTheme="majorHAnsi" w:hAnsiTheme="majorHAnsi" w:cstheme="majorHAnsi"/>
          <w:lang w:val="en-US"/>
        </w:rPr>
        <w:t xml:space="preserve">tutional and pedagogical causes. These ones are </w:t>
      </w:r>
      <w:r w:rsidRPr="00227AE3">
        <w:rPr>
          <w:rFonts w:asciiTheme="majorHAnsi" w:hAnsiTheme="majorHAnsi" w:cstheme="majorHAnsi"/>
          <w:lang w:val="en-US"/>
        </w:rPr>
        <w:t>associated with the difficulties i</w:t>
      </w:r>
      <w:r w:rsidR="00620E93" w:rsidRPr="00227AE3">
        <w:rPr>
          <w:rFonts w:asciiTheme="majorHAnsi" w:hAnsiTheme="majorHAnsi" w:cstheme="majorHAnsi"/>
          <w:lang w:val="en-US"/>
        </w:rPr>
        <w:t xml:space="preserve">n meeting academic requirements, </w:t>
      </w:r>
      <w:r w:rsidRPr="00227AE3">
        <w:rPr>
          <w:rFonts w:asciiTheme="majorHAnsi" w:hAnsiTheme="majorHAnsi" w:cstheme="majorHAnsi"/>
          <w:lang w:val="en-US"/>
        </w:rPr>
        <w:t>the institutional climate and the</w:t>
      </w:r>
      <w:r w:rsidR="00620E93" w:rsidRPr="00227AE3">
        <w:rPr>
          <w:rFonts w:asciiTheme="majorHAnsi" w:hAnsiTheme="majorHAnsi" w:cstheme="majorHAnsi"/>
          <w:lang w:val="en-US"/>
        </w:rPr>
        <w:t xml:space="preserve"> perception of reception </w:t>
      </w:r>
      <w:r w:rsidRPr="00227AE3">
        <w:rPr>
          <w:rFonts w:asciiTheme="majorHAnsi" w:hAnsiTheme="majorHAnsi" w:cstheme="majorHAnsi"/>
          <w:lang w:val="en-US"/>
        </w:rPr>
        <w:t xml:space="preserve">(González, </w:t>
      </w:r>
      <w:r w:rsidR="00227AE3">
        <w:rPr>
          <w:rFonts w:asciiTheme="majorHAnsi" w:hAnsiTheme="majorHAnsi" w:cstheme="majorHAnsi"/>
          <w:lang w:val="en-US"/>
        </w:rPr>
        <w:t>et al.,</w:t>
      </w:r>
      <w:r w:rsidRPr="00227AE3">
        <w:rPr>
          <w:rFonts w:asciiTheme="majorHAnsi" w:hAnsiTheme="majorHAnsi" w:cstheme="majorHAnsi"/>
          <w:lang w:val="en-US"/>
        </w:rPr>
        <w:t xml:space="preserve"> 2005).</w:t>
      </w:r>
    </w:p>
    <w:p w14:paraId="21A3A5EB" w14:textId="77777777" w:rsidR="003B7C24" w:rsidRPr="00227AE3" w:rsidRDefault="003B7C24">
      <w:pPr>
        <w:spacing w:line="240" w:lineRule="auto"/>
        <w:jc w:val="both"/>
        <w:rPr>
          <w:rFonts w:asciiTheme="majorHAnsi" w:hAnsiTheme="majorHAnsi" w:cstheme="majorHAnsi"/>
          <w:lang w:val="en-US"/>
        </w:rPr>
      </w:pPr>
    </w:p>
    <w:p w14:paraId="708D23BF" w14:textId="3FAA4120" w:rsidR="003B7C24" w:rsidRPr="00227AE3" w:rsidRDefault="00620E93" w:rsidP="00620E93">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 xml:space="preserve">For Moreno and </w:t>
      </w:r>
      <w:proofErr w:type="spellStart"/>
      <w:r w:rsidRPr="00227AE3">
        <w:rPr>
          <w:rFonts w:asciiTheme="majorHAnsi" w:hAnsiTheme="majorHAnsi" w:cstheme="majorHAnsi"/>
          <w:lang w:val="en-US"/>
        </w:rPr>
        <w:t>Chiecher</w:t>
      </w:r>
      <w:proofErr w:type="spellEnd"/>
      <w:r w:rsidRPr="00227AE3">
        <w:rPr>
          <w:rFonts w:asciiTheme="majorHAnsi" w:hAnsiTheme="majorHAnsi" w:cstheme="majorHAnsi"/>
          <w:lang w:val="en-US"/>
        </w:rPr>
        <w:t xml:space="preserve"> (2019), vital events, whether personal, family, economic or even health, can be an important factor. However, going deeper into their studies, they found that young people attribute more personal aspects related to an erroneous vocational choice, with disenchantment for the chosen career, difficulties in studying and the insufficient knowledge base that they bring from school, expressed within academic reasons. Another factor that seems to have an important weight is the possibility of regulating the study itself, since many students recognized themselves as inexperienced in that area.</w:t>
      </w:r>
    </w:p>
    <w:p w14:paraId="40B0B885" w14:textId="76B193D7" w:rsidR="002359D8" w:rsidRPr="00227AE3" w:rsidRDefault="002359D8" w:rsidP="00620E93">
      <w:pPr>
        <w:spacing w:line="240" w:lineRule="auto"/>
        <w:ind w:firstLine="0"/>
        <w:jc w:val="both"/>
        <w:rPr>
          <w:rFonts w:asciiTheme="majorHAnsi" w:hAnsiTheme="majorHAnsi" w:cstheme="majorHAnsi"/>
          <w:lang w:val="en-US"/>
        </w:rPr>
      </w:pPr>
    </w:p>
    <w:p w14:paraId="1581A2E8" w14:textId="2CB291B6" w:rsidR="00620E93" w:rsidRPr="00227AE3" w:rsidRDefault="00620E93" w:rsidP="00620E93">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 xml:space="preserve">Along the same lines, Reyes, </w:t>
      </w:r>
      <w:r w:rsidR="00227AE3">
        <w:rPr>
          <w:rFonts w:asciiTheme="majorHAnsi" w:hAnsiTheme="majorHAnsi" w:cstheme="majorHAnsi"/>
          <w:lang w:val="en-US"/>
        </w:rPr>
        <w:t>et al.</w:t>
      </w:r>
      <w:r w:rsidRPr="00227AE3">
        <w:rPr>
          <w:rFonts w:asciiTheme="majorHAnsi" w:hAnsiTheme="majorHAnsi" w:cstheme="majorHAnsi"/>
          <w:lang w:val="en-US"/>
        </w:rPr>
        <w:t xml:space="preserve"> (2012) suggest adjustments in the selection and admission process of applicants to enter the university in order to detect </w:t>
      </w:r>
      <w:r w:rsidR="0098702B" w:rsidRPr="00227AE3">
        <w:rPr>
          <w:rFonts w:asciiTheme="majorHAnsi" w:hAnsiTheme="majorHAnsi" w:cstheme="majorHAnsi"/>
          <w:lang w:val="en-US"/>
        </w:rPr>
        <w:t xml:space="preserve">early </w:t>
      </w:r>
      <w:r w:rsidRPr="00227AE3">
        <w:rPr>
          <w:rFonts w:asciiTheme="majorHAnsi" w:hAnsiTheme="majorHAnsi" w:cstheme="majorHAnsi"/>
          <w:lang w:val="en-US"/>
        </w:rPr>
        <w:t xml:space="preserve">potential dropouts, </w:t>
      </w:r>
      <w:r w:rsidR="0098702B" w:rsidRPr="00227AE3">
        <w:rPr>
          <w:rFonts w:asciiTheme="majorHAnsi" w:hAnsiTheme="majorHAnsi" w:cstheme="majorHAnsi"/>
          <w:lang w:val="en-US"/>
        </w:rPr>
        <w:t xml:space="preserve">and to make a proper </w:t>
      </w:r>
      <w:r w:rsidRPr="00227AE3">
        <w:rPr>
          <w:rFonts w:asciiTheme="majorHAnsi" w:hAnsiTheme="majorHAnsi" w:cstheme="majorHAnsi"/>
          <w:lang w:val="en-US"/>
        </w:rPr>
        <w:t>follow up and take appropriate support measures.</w:t>
      </w:r>
      <w:r w:rsidR="0098702B" w:rsidRPr="00227AE3">
        <w:rPr>
          <w:rFonts w:asciiTheme="majorHAnsi" w:hAnsiTheme="majorHAnsi" w:cstheme="majorHAnsi"/>
          <w:lang w:val="en-US"/>
        </w:rPr>
        <w:t xml:space="preserve"> </w:t>
      </w:r>
      <w:r w:rsidRPr="00227AE3">
        <w:rPr>
          <w:rFonts w:asciiTheme="majorHAnsi" w:hAnsiTheme="majorHAnsi" w:cstheme="majorHAnsi"/>
          <w:lang w:val="en-US"/>
        </w:rPr>
        <w:t xml:space="preserve">These support measures must be comprehensive enough to respond to a wide variety of psychosocial factors, since the aspects that are significant at one time or another are changing (Herrero, </w:t>
      </w:r>
      <w:r w:rsidR="00227AE3">
        <w:rPr>
          <w:rFonts w:asciiTheme="majorHAnsi" w:hAnsiTheme="majorHAnsi" w:cstheme="majorHAnsi"/>
          <w:lang w:val="en-US"/>
        </w:rPr>
        <w:t>et al.</w:t>
      </w:r>
      <w:r w:rsidRPr="00227AE3">
        <w:rPr>
          <w:rFonts w:asciiTheme="majorHAnsi" w:hAnsiTheme="majorHAnsi" w:cstheme="majorHAnsi"/>
          <w:lang w:val="en-US"/>
        </w:rPr>
        <w:t>, 2013).</w:t>
      </w:r>
    </w:p>
    <w:p w14:paraId="5B1D9946" w14:textId="198E0273" w:rsidR="0098702B" w:rsidRPr="00227AE3" w:rsidRDefault="0098702B" w:rsidP="00620E93">
      <w:pPr>
        <w:spacing w:line="240" w:lineRule="auto"/>
        <w:ind w:firstLine="0"/>
        <w:jc w:val="both"/>
        <w:rPr>
          <w:rFonts w:asciiTheme="majorHAnsi" w:hAnsiTheme="majorHAnsi" w:cstheme="majorHAnsi"/>
          <w:lang w:val="en-US"/>
        </w:rPr>
      </w:pPr>
    </w:p>
    <w:p w14:paraId="7800BE74" w14:textId="6F35CFE0" w:rsidR="0098702B" w:rsidRPr="00227AE3" w:rsidRDefault="0098702B" w:rsidP="00620E93">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 xml:space="preserve">Other studies have focused on the characteristics of the non-traditional student. Such is the case of </w:t>
      </w:r>
      <w:proofErr w:type="spellStart"/>
      <w:r w:rsidRPr="00227AE3">
        <w:rPr>
          <w:rFonts w:asciiTheme="majorHAnsi" w:hAnsiTheme="majorHAnsi" w:cstheme="majorHAnsi"/>
          <w:lang w:val="en-US"/>
        </w:rPr>
        <w:t>Carvajal</w:t>
      </w:r>
      <w:proofErr w:type="spellEnd"/>
      <w:r w:rsidRPr="00227AE3">
        <w:rPr>
          <w:rFonts w:asciiTheme="majorHAnsi" w:hAnsiTheme="majorHAnsi" w:cstheme="majorHAnsi"/>
          <w:lang w:val="en-US"/>
        </w:rPr>
        <w:t xml:space="preserve"> and Cervantes (2018), who focused on evening university students. </w:t>
      </w:r>
      <w:r w:rsidRPr="00227AE3">
        <w:rPr>
          <w:rFonts w:asciiTheme="majorHAnsi" w:hAnsiTheme="majorHAnsi" w:cstheme="majorHAnsi"/>
          <w:lang w:val="en-US"/>
        </w:rPr>
        <w:lastRenderedPageBreak/>
        <w:t>Their findings demonstrate that universities appear to be unprepared to assist students with the multiple and often conflicting demands that they have.</w:t>
      </w:r>
    </w:p>
    <w:p w14:paraId="7E74C5D9" w14:textId="60D7113D" w:rsidR="0098702B" w:rsidRPr="00227AE3" w:rsidRDefault="0098702B" w:rsidP="00620E93">
      <w:pPr>
        <w:spacing w:line="240" w:lineRule="auto"/>
        <w:ind w:firstLine="0"/>
        <w:jc w:val="both"/>
        <w:rPr>
          <w:rFonts w:asciiTheme="majorHAnsi" w:hAnsiTheme="majorHAnsi" w:cstheme="majorHAnsi"/>
          <w:lang w:val="en-US"/>
        </w:rPr>
      </w:pPr>
    </w:p>
    <w:p w14:paraId="74A5A654" w14:textId="5BE4225A" w:rsidR="0098702B" w:rsidRPr="00227AE3" w:rsidRDefault="0098702B" w:rsidP="00620E93">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 xml:space="preserve">For </w:t>
      </w:r>
      <w:proofErr w:type="spellStart"/>
      <w:r w:rsidRPr="00227AE3">
        <w:rPr>
          <w:rFonts w:asciiTheme="majorHAnsi" w:hAnsiTheme="majorHAnsi" w:cstheme="majorHAnsi"/>
          <w:lang w:val="en-US"/>
        </w:rPr>
        <w:t>Zárate</w:t>
      </w:r>
      <w:proofErr w:type="spellEnd"/>
      <w:r w:rsidRPr="00227AE3">
        <w:rPr>
          <w:rFonts w:asciiTheme="majorHAnsi" w:hAnsiTheme="majorHAnsi" w:cstheme="majorHAnsi"/>
          <w:lang w:val="en-US"/>
        </w:rPr>
        <w:t xml:space="preserve"> and Mantilla (2014), facing dropout implies or requires assuming three challenges: 1) Establish a link with students from their arrival with feedback systems, 2) become aware of students as social managers and direct actors in the development of a country and 3) recognize their importance as human beings with potential to improve.</w:t>
      </w:r>
    </w:p>
    <w:p w14:paraId="5A06B900" w14:textId="4EF41AD4" w:rsidR="0098702B" w:rsidRPr="00227AE3" w:rsidRDefault="0098702B" w:rsidP="00620E93">
      <w:pPr>
        <w:spacing w:line="240" w:lineRule="auto"/>
        <w:ind w:firstLine="0"/>
        <w:jc w:val="both"/>
        <w:rPr>
          <w:rFonts w:asciiTheme="majorHAnsi" w:hAnsiTheme="majorHAnsi" w:cstheme="majorHAnsi"/>
          <w:lang w:val="en-US"/>
        </w:rPr>
      </w:pPr>
    </w:p>
    <w:p w14:paraId="05B60B17" w14:textId="4121A904" w:rsidR="0098702B" w:rsidRPr="00227AE3" w:rsidRDefault="0098702B" w:rsidP="00620E93">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In Paraguay, the most relevant results show that there are characteristics that determine the</w:t>
      </w:r>
      <w:r w:rsidR="00273796" w:rsidRPr="00227AE3">
        <w:rPr>
          <w:rFonts w:asciiTheme="majorHAnsi" w:hAnsiTheme="majorHAnsi" w:cstheme="majorHAnsi"/>
          <w:lang w:val="en-US"/>
        </w:rPr>
        <w:t xml:space="preserve"> college</w:t>
      </w:r>
      <w:r w:rsidRPr="00227AE3">
        <w:rPr>
          <w:rFonts w:asciiTheme="majorHAnsi" w:hAnsiTheme="majorHAnsi" w:cstheme="majorHAnsi"/>
          <w:lang w:val="en-US"/>
        </w:rPr>
        <w:t xml:space="preserve"> dropout, which can be internal and external. Regarding external factors, it is verified that the economic situation is an important incidence in </w:t>
      </w:r>
      <w:r w:rsidR="00273796" w:rsidRPr="00227AE3">
        <w:rPr>
          <w:rFonts w:asciiTheme="majorHAnsi" w:hAnsiTheme="majorHAnsi" w:cstheme="majorHAnsi"/>
          <w:lang w:val="en-US"/>
        </w:rPr>
        <w:t>college dropout</w:t>
      </w:r>
      <w:r w:rsidRPr="00227AE3">
        <w:rPr>
          <w:rFonts w:asciiTheme="majorHAnsi" w:hAnsiTheme="majorHAnsi" w:cstheme="majorHAnsi"/>
          <w:lang w:val="en-US"/>
        </w:rPr>
        <w:t xml:space="preserve">, </w:t>
      </w:r>
      <w:r w:rsidR="00273796" w:rsidRPr="00227AE3">
        <w:rPr>
          <w:rFonts w:asciiTheme="majorHAnsi" w:hAnsiTheme="majorHAnsi" w:cstheme="majorHAnsi"/>
          <w:lang w:val="en-US"/>
        </w:rPr>
        <w:t>where some students report</w:t>
      </w:r>
      <w:r w:rsidRPr="00227AE3">
        <w:rPr>
          <w:rFonts w:asciiTheme="majorHAnsi" w:hAnsiTheme="majorHAnsi" w:cstheme="majorHAnsi"/>
          <w:lang w:val="en-US"/>
        </w:rPr>
        <w:t xml:space="preserve"> work</w:t>
      </w:r>
      <w:r w:rsidR="00273796" w:rsidRPr="00227AE3">
        <w:rPr>
          <w:rFonts w:asciiTheme="majorHAnsi" w:hAnsiTheme="majorHAnsi" w:cstheme="majorHAnsi"/>
          <w:lang w:val="en-US"/>
        </w:rPr>
        <w:t>ing</w:t>
      </w:r>
      <w:r w:rsidRPr="00227AE3">
        <w:rPr>
          <w:rFonts w:asciiTheme="majorHAnsi" w:hAnsiTheme="majorHAnsi" w:cstheme="majorHAnsi"/>
          <w:lang w:val="en-US"/>
        </w:rPr>
        <w:t xml:space="preserve"> even more than eight hours a day. The positive that can be rescued is that the students have family support. Re</w:t>
      </w:r>
      <w:r w:rsidR="00273796" w:rsidRPr="00227AE3">
        <w:rPr>
          <w:rFonts w:asciiTheme="majorHAnsi" w:hAnsiTheme="majorHAnsi" w:cstheme="majorHAnsi"/>
          <w:lang w:val="en-US"/>
        </w:rPr>
        <w:t>garding the internal factors</w:t>
      </w:r>
      <w:r w:rsidRPr="00227AE3">
        <w:rPr>
          <w:rFonts w:asciiTheme="majorHAnsi" w:hAnsiTheme="majorHAnsi" w:cstheme="majorHAnsi"/>
          <w:lang w:val="en-US"/>
        </w:rPr>
        <w:t xml:space="preserve">, the following can be named: temperamental differences, the wrong choice of career, cases of pregnancy and the accumulation of deferrals (Smulders </w:t>
      </w:r>
      <w:proofErr w:type="spellStart"/>
      <w:r w:rsidRPr="00227AE3">
        <w:rPr>
          <w:rFonts w:asciiTheme="majorHAnsi" w:hAnsiTheme="majorHAnsi" w:cstheme="majorHAnsi"/>
          <w:lang w:val="en-US"/>
        </w:rPr>
        <w:t>Chaparro</w:t>
      </w:r>
      <w:proofErr w:type="spellEnd"/>
      <w:r w:rsidRPr="00227AE3">
        <w:rPr>
          <w:rFonts w:asciiTheme="majorHAnsi" w:hAnsiTheme="majorHAnsi" w:cstheme="majorHAnsi"/>
          <w:lang w:val="en-US"/>
        </w:rPr>
        <w:t>, 2018).</w:t>
      </w:r>
    </w:p>
    <w:p w14:paraId="435DD346" w14:textId="017EEF96" w:rsidR="00F70744" w:rsidRPr="00227AE3" w:rsidRDefault="00F70744" w:rsidP="00620E93">
      <w:pPr>
        <w:spacing w:line="240" w:lineRule="auto"/>
        <w:ind w:firstLine="0"/>
        <w:jc w:val="both"/>
        <w:rPr>
          <w:rFonts w:asciiTheme="majorHAnsi" w:hAnsiTheme="majorHAnsi" w:cstheme="majorHAnsi"/>
          <w:lang w:val="en-US"/>
        </w:rPr>
      </w:pPr>
    </w:p>
    <w:p w14:paraId="7DBA0815" w14:textId="50BC1A26" w:rsidR="00F70744" w:rsidRPr="00227AE3" w:rsidRDefault="00F70744" w:rsidP="00620E93">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In another investigation carried out in Paraguay, the results show that the factors associated with the permanence or non-dropout of students in regular and irregular courses are, among the most relevant, personal tastes and the characteristics of the degree program. Also that factors related to family and personal environment have a greater influence on student retention. The factors associated with the academic year represent a factor related to higher dropout, among which are low score averages and repetition, among others. In addition, a lower tendency to dropout is observed in people who actively participate in the courses, are satisfied with the methodology used, and more motivated (Coppari, et al., 2019).</w:t>
      </w:r>
    </w:p>
    <w:p w14:paraId="7EC2E75B" w14:textId="77777777" w:rsidR="00BE0EC1" w:rsidRPr="00227AE3" w:rsidRDefault="00BE0EC1">
      <w:pPr>
        <w:spacing w:line="240" w:lineRule="auto"/>
        <w:jc w:val="both"/>
        <w:rPr>
          <w:rFonts w:asciiTheme="majorHAnsi" w:hAnsiTheme="majorHAnsi" w:cstheme="majorHAnsi"/>
          <w:lang w:val="en-US"/>
        </w:rPr>
      </w:pPr>
    </w:p>
    <w:p w14:paraId="340A1DEE" w14:textId="77777777"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En relación con los factores que producen la deserción, la bibliografía consultada muestra que no es posible atribuir la deserción a un solo determinante sino, más bien, a una multiplicidad de factores. </w:t>
      </w:r>
    </w:p>
    <w:p w14:paraId="032B15FF" w14:textId="52970BB2"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Parece no existir consenso respecto de si las causas individuales, sociales o académicas son las más relevantes a la hora de explicar la deserción. Por consiguiente, tampoco parece existir consenso acerca de las medidas que deben tomarse para combatir la deserción. Algunos trabajos recomiendan apoyo socio-económico, mientras otros hacen énfasis en la necesidad de la orientación vocacional y los conocimientos adquiridos previamente.</w:t>
      </w:r>
    </w:p>
    <w:p w14:paraId="07A88BF3" w14:textId="680DAC69" w:rsidR="00F70744" w:rsidRPr="00227AE3" w:rsidRDefault="00F70744">
      <w:pPr>
        <w:spacing w:line="240" w:lineRule="auto"/>
        <w:jc w:val="both"/>
        <w:rPr>
          <w:rFonts w:asciiTheme="majorHAnsi" w:hAnsiTheme="majorHAnsi" w:cstheme="majorHAnsi"/>
        </w:rPr>
      </w:pPr>
    </w:p>
    <w:p w14:paraId="118847B0" w14:textId="41902234"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In relation to the factors that cause desertion, the research shows that it is not possible to attribute this phenomenon to a single determinant but, rather, to a multiplicity of factors.</w:t>
      </w:r>
    </w:p>
    <w:p w14:paraId="6F9C2EC1" w14:textId="53F4CC7D"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There seems to be no consensus on whether individual, social or academic causes are the most relevant when it comes to explaining college dropout. Consequently, there does not appear to be a consensus either on the measures to be taken to combat dropout. Some works recommend socio-economic support, while others emphasize the need for vocational guidance and previously acquired knowledge.</w:t>
      </w:r>
    </w:p>
    <w:p w14:paraId="71488DE5" w14:textId="77777777" w:rsidR="00F70744" w:rsidRPr="00227AE3" w:rsidRDefault="00F70744">
      <w:pPr>
        <w:spacing w:line="240" w:lineRule="auto"/>
        <w:jc w:val="both"/>
        <w:rPr>
          <w:rFonts w:asciiTheme="majorHAnsi" w:hAnsiTheme="majorHAnsi" w:cstheme="majorHAnsi"/>
          <w:lang w:val="en-US"/>
        </w:rPr>
      </w:pPr>
    </w:p>
    <w:p w14:paraId="6113FCD3" w14:textId="7FF999FC"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From the exposed definitions and the current research, the problem leading this investigation is as follows:</w:t>
      </w:r>
    </w:p>
    <w:p w14:paraId="0A532311" w14:textId="0650008B"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What are the factors that are quantitatively and qualitatively associated with the voluntary dropout and or involuntary abandonment of students from public and private universities in Asunción? Are there differences in the numbers and factors associated </w:t>
      </w:r>
      <w:r w:rsidRPr="00227AE3">
        <w:rPr>
          <w:rFonts w:asciiTheme="majorHAnsi" w:hAnsiTheme="majorHAnsi" w:cstheme="majorHAnsi"/>
          <w:lang w:val="en-US"/>
        </w:rPr>
        <w:lastRenderedPageBreak/>
        <w:t>quantitatively and qualitatively with the voluntary dropout and or involuntary abandonment of students from public and private universities in Asunción?</w:t>
      </w:r>
    </w:p>
    <w:p w14:paraId="55EED746" w14:textId="46C58227" w:rsidR="00F70744" w:rsidRPr="00227AE3" w:rsidRDefault="00F70744">
      <w:pPr>
        <w:spacing w:line="240" w:lineRule="auto"/>
        <w:jc w:val="both"/>
        <w:rPr>
          <w:rFonts w:asciiTheme="majorHAnsi" w:hAnsiTheme="majorHAnsi" w:cstheme="majorHAnsi"/>
          <w:lang w:val="en-US"/>
        </w:rPr>
      </w:pPr>
    </w:p>
    <w:p w14:paraId="221EF753" w14:textId="56A405B9" w:rsidR="00F70744" w:rsidRPr="00227AE3" w:rsidRDefault="00F70744">
      <w:pPr>
        <w:spacing w:line="240" w:lineRule="auto"/>
        <w:jc w:val="both"/>
        <w:rPr>
          <w:rFonts w:asciiTheme="majorHAnsi" w:hAnsiTheme="majorHAnsi" w:cstheme="majorHAnsi"/>
          <w:lang w:val="en-US"/>
        </w:rPr>
      </w:pPr>
      <w:r w:rsidRPr="00227AE3">
        <w:rPr>
          <w:rFonts w:asciiTheme="majorHAnsi" w:hAnsiTheme="majorHAnsi" w:cstheme="majorHAnsi"/>
          <w:lang w:val="en-US"/>
        </w:rPr>
        <w:t>The present research proposes as a general objective to identify, characterize and compare the factors that cause the voluntary dropout and or involuntary abandonment of face-to-face degree courses of students from public and private universities of Asunción evaluated through the instrument “Perception of college dropout factors. Student Version” (Coppari, et al., 2019).</w:t>
      </w:r>
    </w:p>
    <w:p w14:paraId="1F5FC9F0" w14:textId="10204FEE" w:rsidR="00F70744" w:rsidRPr="00227AE3" w:rsidRDefault="00F70744">
      <w:pPr>
        <w:spacing w:line="240" w:lineRule="auto"/>
        <w:jc w:val="both"/>
        <w:rPr>
          <w:rFonts w:asciiTheme="majorHAnsi" w:hAnsiTheme="majorHAnsi" w:cstheme="majorHAnsi"/>
          <w:lang w:val="en-US"/>
        </w:rPr>
      </w:pPr>
    </w:p>
    <w:p w14:paraId="42A7125C" w14:textId="1E783668" w:rsidR="00F70744" w:rsidRPr="00227AE3" w:rsidRDefault="00F70744">
      <w:pPr>
        <w:spacing w:line="240" w:lineRule="auto"/>
        <w:jc w:val="both"/>
        <w:rPr>
          <w:rFonts w:asciiTheme="majorHAnsi" w:hAnsiTheme="majorHAnsi" w:cstheme="majorHAnsi"/>
          <w:lang w:val="en-US"/>
        </w:rPr>
      </w:pPr>
    </w:p>
    <w:p w14:paraId="3B8E67BE" w14:textId="77777777"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The specific objectives seek:</w:t>
      </w:r>
    </w:p>
    <w:p w14:paraId="612EB252" w14:textId="77777777"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1. Describe the sociodemographic and academic characteristics of the sample such as sex, age, public or private university, type of attendance, academic situation, economic situation, hours dedicated to work.</w:t>
      </w:r>
    </w:p>
    <w:p w14:paraId="577BECDF" w14:textId="77777777"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2. Identify and compare all the factors associated with dropout according to the perception of university students.</w:t>
      </w:r>
    </w:p>
    <w:p w14:paraId="483B153B" w14:textId="77777777"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3. Compare the profiles of dropout factors according to the perception of university students, differentiating regular from irregular students.</w:t>
      </w:r>
    </w:p>
    <w:p w14:paraId="1B20F29F" w14:textId="1DAA59B1" w:rsidR="00F70744" w:rsidRPr="00227AE3" w:rsidRDefault="00F70744" w:rsidP="00F70744">
      <w:pPr>
        <w:spacing w:line="240" w:lineRule="auto"/>
        <w:jc w:val="both"/>
        <w:rPr>
          <w:rFonts w:asciiTheme="majorHAnsi" w:hAnsiTheme="majorHAnsi" w:cstheme="majorHAnsi"/>
          <w:lang w:val="en-US"/>
        </w:rPr>
      </w:pPr>
      <w:r w:rsidRPr="00227AE3">
        <w:rPr>
          <w:rFonts w:asciiTheme="majorHAnsi" w:hAnsiTheme="majorHAnsi" w:cstheme="majorHAnsi"/>
          <w:lang w:val="en-US"/>
        </w:rPr>
        <w:t>4. Calculate the instrument's reliability index for the evaluated sample.</w:t>
      </w:r>
    </w:p>
    <w:p w14:paraId="754A0FF0" w14:textId="77777777" w:rsidR="006527ED" w:rsidRPr="00227AE3" w:rsidRDefault="006527ED">
      <w:pPr>
        <w:spacing w:line="240" w:lineRule="auto"/>
        <w:jc w:val="both"/>
        <w:rPr>
          <w:rFonts w:asciiTheme="majorHAnsi" w:hAnsiTheme="majorHAnsi" w:cstheme="majorHAnsi"/>
          <w:lang w:val="en-US"/>
        </w:rPr>
      </w:pPr>
    </w:p>
    <w:p w14:paraId="4E0914DC" w14:textId="0FA36A7A" w:rsidR="002359D8" w:rsidRPr="00227AE3" w:rsidRDefault="00F70744">
      <w:pPr>
        <w:pStyle w:val="Ttulo1"/>
        <w:spacing w:line="240" w:lineRule="auto"/>
        <w:jc w:val="both"/>
        <w:rPr>
          <w:rFonts w:asciiTheme="majorHAnsi" w:hAnsiTheme="majorHAnsi" w:cstheme="majorHAnsi"/>
          <w:sz w:val="24"/>
          <w:szCs w:val="24"/>
          <w:lang w:val="en-US"/>
        </w:rPr>
      </w:pPr>
      <w:r w:rsidRPr="00227AE3">
        <w:rPr>
          <w:rFonts w:asciiTheme="majorHAnsi" w:hAnsiTheme="majorHAnsi" w:cstheme="majorHAnsi"/>
          <w:sz w:val="24"/>
          <w:szCs w:val="24"/>
          <w:lang w:val="en-US"/>
        </w:rPr>
        <w:t>Method</w:t>
      </w:r>
    </w:p>
    <w:p w14:paraId="0B387628" w14:textId="77777777" w:rsidR="00F70744" w:rsidRPr="00227AE3" w:rsidRDefault="00F70744" w:rsidP="00F70744">
      <w:pPr>
        <w:rPr>
          <w:rFonts w:asciiTheme="majorHAnsi" w:hAnsiTheme="majorHAnsi" w:cstheme="majorHAnsi"/>
          <w:lang w:val="en-US"/>
        </w:rPr>
      </w:pPr>
    </w:p>
    <w:p w14:paraId="4D72275E" w14:textId="676220CB" w:rsidR="002359D8" w:rsidRPr="00227AE3" w:rsidRDefault="00F05A0C">
      <w:pPr>
        <w:pStyle w:val="Ttulo2"/>
        <w:spacing w:line="240" w:lineRule="auto"/>
        <w:jc w:val="both"/>
        <w:rPr>
          <w:rFonts w:asciiTheme="majorHAnsi" w:hAnsiTheme="majorHAnsi" w:cstheme="majorHAnsi"/>
          <w:b w:val="0"/>
          <w:lang w:val="en-US"/>
        </w:rPr>
      </w:pPr>
      <w:r w:rsidRPr="00227AE3">
        <w:rPr>
          <w:rFonts w:asciiTheme="majorHAnsi" w:hAnsiTheme="majorHAnsi" w:cstheme="majorHAnsi"/>
          <w:b w:val="0"/>
          <w:lang w:val="en-US"/>
        </w:rPr>
        <w:t>Study design</w:t>
      </w:r>
    </w:p>
    <w:p w14:paraId="2CFA3832" w14:textId="77777777" w:rsidR="00F70744" w:rsidRPr="00227AE3" w:rsidRDefault="00F70744" w:rsidP="00F70744">
      <w:pPr>
        <w:rPr>
          <w:rFonts w:asciiTheme="majorHAnsi" w:hAnsiTheme="majorHAnsi" w:cstheme="majorHAnsi"/>
          <w:lang w:val="en-US"/>
        </w:rPr>
      </w:pPr>
    </w:p>
    <w:p w14:paraId="07878E63" w14:textId="6389DD82" w:rsidR="00F70744" w:rsidRPr="00227AE3" w:rsidRDefault="00F70744">
      <w:pPr>
        <w:spacing w:line="240" w:lineRule="auto"/>
        <w:jc w:val="both"/>
        <w:rPr>
          <w:rFonts w:asciiTheme="majorHAnsi" w:hAnsiTheme="majorHAnsi" w:cstheme="majorHAnsi"/>
          <w:lang w:val="en-US"/>
        </w:rPr>
      </w:pPr>
      <w:r w:rsidRPr="00227AE3">
        <w:rPr>
          <w:rFonts w:asciiTheme="majorHAnsi" w:hAnsiTheme="majorHAnsi" w:cstheme="majorHAnsi"/>
          <w:lang w:val="en-US"/>
        </w:rPr>
        <w:t>The study was comparative and descriptive. A self-a</w:t>
      </w:r>
      <w:r w:rsidR="00F05A0C" w:rsidRPr="00227AE3">
        <w:rPr>
          <w:rFonts w:asciiTheme="majorHAnsi" w:hAnsiTheme="majorHAnsi" w:cstheme="majorHAnsi"/>
          <w:lang w:val="en-US"/>
        </w:rPr>
        <w:t xml:space="preserve">dministered questionnaire was applied. Comparative studies allow </w:t>
      </w:r>
      <w:r w:rsidRPr="00227AE3">
        <w:rPr>
          <w:rFonts w:asciiTheme="majorHAnsi" w:hAnsiTheme="majorHAnsi" w:cstheme="majorHAnsi"/>
          <w:lang w:val="en-US"/>
        </w:rPr>
        <w:t>comparing two different groups taking into account the same variable (</w:t>
      </w:r>
      <w:proofErr w:type="spellStart"/>
      <w:r w:rsidRPr="00227AE3">
        <w:rPr>
          <w:rFonts w:asciiTheme="majorHAnsi" w:hAnsiTheme="majorHAnsi" w:cstheme="majorHAnsi"/>
          <w:lang w:val="en-US"/>
        </w:rPr>
        <w:t>Martínez</w:t>
      </w:r>
      <w:proofErr w:type="spellEnd"/>
      <w:r w:rsidRPr="00227AE3">
        <w:rPr>
          <w:rFonts w:asciiTheme="majorHAnsi" w:hAnsiTheme="majorHAnsi" w:cstheme="majorHAnsi"/>
          <w:lang w:val="en-US"/>
        </w:rPr>
        <w:t xml:space="preserve"> Hernández, 1984).</w:t>
      </w:r>
    </w:p>
    <w:p w14:paraId="0761592C" w14:textId="77777777" w:rsidR="00F70744" w:rsidRPr="00227AE3" w:rsidRDefault="00F70744">
      <w:pPr>
        <w:spacing w:line="240" w:lineRule="auto"/>
        <w:jc w:val="both"/>
        <w:rPr>
          <w:rFonts w:asciiTheme="majorHAnsi" w:hAnsiTheme="majorHAnsi" w:cstheme="majorHAnsi"/>
          <w:lang w:val="en-US"/>
        </w:rPr>
      </w:pPr>
    </w:p>
    <w:p w14:paraId="2498CE4A" w14:textId="5DD43E25" w:rsidR="002359D8" w:rsidRPr="00227AE3" w:rsidRDefault="00E522A8">
      <w:pPr>
        <w:pStyle w:val="Ttulo2"/>
        <w:spacing w:line="240" w:lineRule="auto"/>
        <w:jc w:val="both"/>
        <w:rPr>
          <w:rFonts w:asciiTheme="majorHAnsi" w:hAnsiTheme="majorHAnsi" w:cstheme="majorHAnsi"/>
          <w:b w:val="0"/>
          <w:lang w:val="en-US"/>
        </w:rPr>
      </w:pPr>
      <w:r w:rsidRPr="00227AE3">
        <w:rPr>
          <w:rFonts w:asciiTheme="majorHAnsi" w:hAnsiTheme="majorHAnsi" w:cstheme="majorHAnsi"/>
          <w:b w:val="0"/>
          <w:lang w:val="en-US"/>
        </w:rPr>
        <w:t>Participant</w:t>
      </w:r>
      <w:r w:rsidR="00F70744" w:rsidRPr="00227AE3">
        <w:rPr>
          <w:rFonts w:asciiTheme="majorHAnsi" w:hAnsiTheme="majorHAnsi" w:cstheme="majorHAnsi"/>
          <w:b w:val="0"/>
          <w:lang w:val="en-US"/>
        </w:rPr>
        <w:t>s</w:t>
      </w:r>
    </w:p>
    <w:p w14:paraId="401F7AA0" w14:textId="77777777" w:rsidR="00F05A0C" w:rsidRPr="00227AE3" w:rsidRDefault="00F05A0C">
      <w:pPr>
        <w:spacing w:line="240" w:lineRule="auto"/>
        <w:jc w:val="both"/>
        <w:rPr>
          <w:rFonts w:asciiTheme="majorHAnsi" w:hAnsiTheme="majorHAnsi" w:cstheme="majorHAnsi"/>
          <w:lang w:val="en-US"/>
        </w:rPr>
      </w:pPr>
    </w:p>
    <w:p w14:paraId="152FBFB6" w14:textId="26D4ECC2" w:rsidR="00F05A0C" w:rsidRPr="00227AE3" w:rsidRDefault="00F05A0C">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Participants were selected by a </w:t>
      </w:r>
      <w:r w:rsidR="00227AE3" w:rsidRPr="00227AE3">
        <w:rPr>
          <w:rFonts w:asciiTheme="majorHAnsi" w:hAnsiTheme="majorHAnsi" w:cstheme="majorHAnsi"/>
          <w:lang w:val="en-US"/>
        </w:rPr>
        <w:t>non-probabilistic</w:t>
      </w:r>
      <w:r w:rsidRPr="00227AE3">
        <w:rPr>
          <w:rFonts w:asciiTheme="majorHAnsi" w:hAnsiTheme="majorHAnsi" w:cstheme="majorHAnsi"/>
          <w:lang w:val="en-US"/>
        </w:rPr>
        <w:t xml:space="preserve"> method, by intentional or convenience sampling. The inclusion criteria </w:t>
      </w:r>
      <w:r w:rsidR="00227AE3" w:rsidRPr="00227AE3">
        <w:rPr>
          <w:rFonts w:asciiTheme="majorHAnsi" w:hAnsiTheme="majorHAnsi" w:cstheme="majorHAnsi"/>
          <w:lang w:val="en-US"/>
        </w:rPr>
        <w:t>were</w:t>
      </w:r>
      <w:r w:rsidRPr="00227AE3">
        <w:rPr>
          <w:rFonts w:asciiTheme="majorHAnsi" w:hAnsiTheme="majorHAnsi" w:cstheme="majorHAnsi"/>
          <w:lang w:val="en-US"/>
        </w:rPr>
        <w:t xml:space="preserve"> being an enrolled university student during the time of the study (year 2019). In this study participated 351 college students, 154 belong to public universities and 197 belong to private universities. </w:t>
      </w:r>
    </w:p>
    <w:p w14:paraId="0E83D9BD" w14:textId="77777777" w:rsidR="00F05A0C" w:rsidRPr="00227AE3" w:rsidRDefault="00F05A0C">
      <w:pPr>
        <w:pStyle w:val="Ttulo2"/>
        <w:spacing w:line="240" w:lineRule="auto"/>
        <w:jc w:val="both"/>
        <w:rPr>
          <w:rFonts w:asciiTheme="majorHAnsi" w:hAnsiTheme="majorHAnsi" w:cstheme="majorHAnsi"/>
          <w:b w:val="0"/>
          <w:lang w:val="en-US"/>
        </w:rPr>
      </w:pPr>
    </w:p>
    <w:p w14:paraId="1B5EB98C" w14:textId="36635F2F" w:rsidR="002359D8" w:rsidRPr="00227AE3" w:rsidRDefault="00F05A0C">
      <w:pPr>
        <w:pStyle w:val="Ttulo2"/>
        <w:spacing w:line="240" w:lineRule="auto"/>
        <w:jc w:val="both"/>
        <w:rPr>
          <w:rFonts w:asciiTheme="majorHAnsi" w:hAnsiTheme="majorHAnsi" w:cstheme="majorHAnsi"/>
          <w:b w:val="0"/>
          <w:lang w:val="en-US"/>
        </w:rPr>
      </w:pPr>
      <w:r w:rsidRPr="00227AE3">
        <w:rPr>
          <w:rFonts w:asciiTheme="majorHAnsi" w:hAnsiTheme="majorHAnsi" w:cstheme="majorHAnsi"/>
          <w:b w:val="0"/>
          <w:lang w:val="en-US"/>
        </w:rPr>
        <w:t>Instrument</w:t>
      </w:r>
    </w:p>
    <w:p w14:paraId="6895EC50" w14:textId="6EE9D364" w:rsidR="00F05A0C" w:rsidRPr="00227AE3" w:rsidRDefault="00F05A0C">
      <w:pPr>
        <w:spacing w:line="240" w:lineRule="auto"/>
        <w:jc w:val="both"/>
        <w:rPr>
          <w:rFonts w:asciiTheme="majorHAnsi" w:hAnsiTheme="majorHAnsi" w:cstheme="majorHAnsi"/>
          <w:lang w:val="en-US"/>
        </w:rPr>
      </w:pPr>
      <w:r w:rsidRPr="00227AE3">
        <w:rPr>
          <w:rFonts w:asciiTheme="majorHAnsi" w:hAnsiTheme="majorHAnsi" w:cstheme="majorHAnsi"/>
          <w:lang w:val="en-US"/>
        </w:rPr>
        <w:t>“Perception of college dropout factors. Student Version” (Coppari, et al., 2019): the instrument consists of 100 items, it is an experimental device in the testing phase, the options of the participants were evaluated by multiple-choice answers, on a Likert scale with values of 1. None, 2. Few, 3. Some, 4. Quite a lot and 5. Many. There are other dichotomous options. (Coppari, et al., 2019). From the sum of the values it can be deduced which category of factors determines their irregularity, maintenance or abandonment of studies.</w:t>
      </w:r>
    </w:p>
    <w:p w14:paraId="6CE6E054" w14:textId="190FE52D"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La confiabilidad indica valores de coeficientes alfa de </w:t>
      </w:r>
      <w:proofErr w:type="spellStart"/>
      <w:r w:rsidRPr="00227AE3">
        <w:rPr>
          <w:rFonts w:asciiTheme="majorHAnsi" w:hAnsiTheme="majorHAnsi" w:cstheme="majorHAnsi"/>
        </w:rPr>
        <w:t>Cronbach</w:t>
      </w:r>
      <w:proofErr w:type="spellEnd"/>
      <w:r w:rsidRPr="00227AE3">
        <w:rPr>
          <w:rFonts w:asciiTheme="majorHAnsi" w:hAnsiTheme="majorHAnsi" w:cstheme="majorHAnsi"/>
        </w:rPr>
        <w:t xml:space="preserve"> elevados, alcanzando un índice de 0,879 el cual muestra que el instrumento es fiable en un óptimo nivel. </w:t>
      </w:r>
    </w:p>
    <w:p w14:paraId="0DB4825D" w14:textId="77777777" w:rsidR="00F05A0C" w:rsidRPr="00227AE3" w:rsidRDefault="00F05A0C" w:rsidP="00F05A0C">
      <w:pPr>
        <w:spacing w:line="240" w:lineRule="auto"/>
        <w:jc w:val="both"/>
        <w:rPr>
          <w:rFonts w:asciiTheme="majorHAnsi" w:hAnsiTheme="majorHAnsi" w:cstheme="majorHAnsi"/>
          <w:lang w:val="en-US"/>
        </w:rPr>
      </w:pPr>
      <w:r w:rsidRPr="00227AE3">
        <w:rPr>
          <w:rFonts w:asciiTheme="majorHAnsi" w:hAnsiTheme="majorHAnsi" w:cstheme="majorHAnsi"/>
          <w:lang w:val="en-US"/>
        </w:rPr>
        <w:t>Reliability indicates high Cronbach's alpha coefficient values, reaching an index of 0.879 which shows that the instrument is reliable at an optimal level.</w:t>
      </w:r>
    </w:p>
    <w:p w14:paraId="60F9F144" w14:textId="2F3550EA" w:rsidR="00F05A0C" w:rsidRPr="00227AE3" w:rsidRDefault="00F05A0C" w:rsidP="00F05A0C">
      <w:pPr>
        <w:spacing w:line="240" w:lineRule="auto"/>
        <w:jc w:val="both"/>
        <w:rPr>
          <w:rFonts w:asciiTheme="majorHAnsi" w:hAnsiTheme="majorHAnsi" w:cstheme="majorHAnsi"/>
          <w:lang w:val="en-US"/>
        </w:rPr>
      </w:pPr>
      <w:r w:rsidRPr="00227AE3">
        <w:rPr>
          <w:rFonts w:asciiTheme="majorHAnsi" w:hAnsiTheme="majorHAnsi" w:cstheme="majorHAnsi"/>
          <w:lang w:val="en-US"/>
        </w:rPr>
        <w:lastRenderedPageBreak/>
        <w:t xml:space="preserve">In addition, Cronbach's Alpha per </w:t>
      </w:r>
      <w:r w:rsidR="00F70C5C" w:rsidRPr="00227AE3">
        <w:rPr>
          <w:rFonts w:asciiTheme="majorHAnsi" w:hAnsiTheme="majorHAnsi" w:cstheme="majorHAnsi"/>
          <w:lang w:val="en-US"/>
        </w:rPr>
        <w:t>item</w:t>
      </w:r>
      <w:r w:rsidRPr="00227AE3">
        <w:rPr>
          <w:rFonts w:asciiTheme="majorHAnsi" w:hAnsiTheme="majorHAnsi" w:cstheme="majorHAnsi"/>
          <w:lang w:val="en-US"/>
        </w:rPr>
        <w:t xml:space="preserve"> was analyzed, which indicates how much the reliability of the instrument varies if said </w:t>
      </w:r>
      <w:r w:rsidR="00F70C5C" w:rsidRPr="00227AE3">
        <w:rPr>
          <w:rFonts w:asciiTheme="majorHAnsi" w:hAnsiTheme="majorHAnsi" w:cstheme="majorHAnsi"/>
          <w:lang w:val="en-US"/>
        </w:rPr>
        <w:t>item</w:t>
      </w:r>
      <w:r w:rsidRPr="00227AE3">
        <w:rPr>
          <w:rFonts w:asciiTheme="majorHAnsi" w:hAnsiTheme="majorHAnsi" w:cstheme="majorHAnsi"/>
          <w:lang w:val="en-US"/>
        </w:rPr>
        <w:t xml:space="preserve"> is removed from it.</w:t>
      </w:r>
    </w:p>
    <w:p w14:paraId="36A24A06" w14:textId="6E5380E3" w:rsidR="00F05A0C" w:rsidRPr="00227AE3" w:rsidRDefault="00F05A0C" w:rsidP="00F05A0C">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For the present study, the elimination of any </w:t>
      </w:r>
      <w:r w:rsidR="00F70C5C" w:rsidRPr="00227AE3">
        <w:rPr>
          <w:rFonts w:asciiTheme="majorHAnsi" w:hAnsiTheme="majorHAnsi" w:cstheme="majorHAnsi"/>
          <w:lang w:val="en-US"/>
        </w:rPr>
        <w:t xml:space="preserve">item was </w:t>
      </w:r>
      <w:r w:rsidRPr="00227AE3">
        <w:rPr>
          <w:rFonts w:asciiTheme="majorHAnsi" w:hAnsiTheme="majorHAnsi" w:cstheme="majorHAnsi"/>
          <w:lang w:val="en-US"/>
        </w:rPr>
        <w:t>not necessary for a significant increase in reliability since the results ranged from 0.872 to 0.884. (Coppari, et al. 2019).</w:t>
      </w:r>
    </w:p>
    <w:p w14:paraId="4076F4F4" w14:textId="0FCED595" w:rsidR="00F70C5C" w:rsidRPr="00227AE3" w:rsidRDefault="00F70C5C">
      <w:pPr>
        <w:spacing w:line="240" w:lineRule="auto"/>
        <w:jc w:val="both"/>
        <w:rPr>
          <w:rFonts w:asciiTheme="majorHAnsi" w:hAnsiTheme="majorHAnsi" w:cstheme="majorHAnsi"/>
          <w:lang w:val="en-US"/>
        </w:rPr>
      </w:pPr>
      <w:r w:rsidRPr="00227AE3">
        <w:rPr>
          <w:rFonts w:asciiTheme="majorHAnsi" w:hAnsiTheme="majorHAnsi" w:cstheme="majorHAnsi"/>
          <w:lang w:val="en-US"/>
        </w:rPr>
        <w:t>The instrument consists of 4 factors: 1) Sociodemographic and Academic Data. 2) Possible Factors of Dropout, distributed in 5 sections: Factors Related to your Pre-university preparation, Factors Related to the academic year coursed, Factors Related to the Educational and Institutional Environment, Factors Related to the Family and Personal Environment, and Factors Related to Economic Aspects. 3) Factors associated with the Chosen Career, distributed in 3 sections: Dropout Factors Associated with the Evaluation of the Quality of the Courses, Factors Associated with the Teaching Methodological Quality of the Course and Factors Associated with the Technical Quality. 4) Factors Associated with the Evaluation of the Student Personal Profile.</w:t>
      </w:r>
    </w:p>
    <w:p w14:paraId="4A3EFA0D" w14:textId="77777777" w:rsidR="00F70C5C" w:rsidRPr="00227AE3" w:rsidRDefault="00F70C5C">
      <w:pPr>
        <w:spacing w:line="240" w:lineRule="auto"/>
        <w:jc w:val="both"/>
        <w:rPr>
          <w:rFonts w:asciiTheme="majorHAnsi" w:hAnsiTheme="majorHAnsi" w:cstheme="majorHAnsi"/>
          <w:lang w:val="en-US"/>
        </w:rPr>
      </w:pPr>
    </w:p>
    <w:p w14:paraId="76C35ABE" w14:textId="35AFC491" w:rsidR="002359D8" w:rsidRPr="00227AE3" w:rsidRDefault="00F70C5C">
      <w:pPr>
        <w:pStyle w:val="Ttulo2"/>
        <w:spacing w:line="240" w:lineRule="auto"/>
        <w:jc w:val="both"/>
        <w:rPr>
          <w:rFonts w:asciiTheme="majorHAnsi" w:hAnsiTheme="majorHAnsi" w:cstheme="majorHAnsi"/>
          <w:b w:val="0"/>
          <w:lang w:val="en-US"/>
        </w:rPr>
      </w:pPr>
      <w:r w:rsidRPr="00227AE3">
        <w:rPr>
          <w:rFonts w:asciiTheme="majorHAnsi" w:hAnsiTheme="majorHAnsi" w:cstheme="majorHAnsi"/>
          <w:b w:val="0"/>
          <w:lang w:val="en-US"/>
        </w:rPr>
        <w:t>Procedure</w:t>
      </w:r>
    </w:p>
    <w:p w14:paraId="3F7D19FE" w14:textId="4326DE57" w:rsidR="002359D8" w:rsidRPr="00227AE3" w:rsidRDefault="00F70C5C">
      <w:pPr>
        <w:spacing w:line="240" w:lineRule="auto"/>
        <w:jc w:val="both"/>
        <w:rPr>
          <w:rFonts w:asciiTheme="majorHAnsi" w:hAnsiTheme="majorHAnsi" w:cstheme="majorHAnsi"/>
          <w:lang w:val="en-US"/>
        </w:rPr>
      </w:pPr>
      <w:r w:rsidRPr="00227AE3">
        <w:rPr>
          <w:rFonts w:asciiTheme="majorHAnsi" w:hAnsiTheme="majorHAnsi" w:cstheme="majorHAnsi"/>
          <w:lang w:val="en-US"/>
        </w:rPr>
        <w:br/>
        <w:t xml:space="preserve">An online version of the questionnaire was built, which contains the questions and their answer options. The questionnaire was sent via WhatsApp where each person answered on computers and cell phones. The application of the questionnaire was in a collective way, in natural environments, where the subjects developed their university studies (campus of both samples), with the supervision of the assistant researchers. </w:t>
      </w:r>
      <w:r w:rsidR="003612F6" w:rsidRPr="00227AE3">
        <w:rPr>
          <w:rFonts w:asciiTheme="majorHAnsi" w:hAnsiTheme="majorHAnsi" w:cstheme="majorHAnsi"/>
          <w:lang w:val="en-US"/>
        </w:rPr>
        <w:t>Informed consent and other ethical aspects were applied through all the making of this study.</w:t>
      </w:r>
    </w:p>
    <w:p w14:paraId="3D5AFF90" w14:textId="77777777" w:rsidR="002359D8" w:rsidRPr="00227AE3" w:rsidRDefault="002359D8">
      <w:pPr>
        <w:spacing w:line="240" w:lineRule="auto"/>
        <w:jc w:val="both"/>
        <w:rPr>
          <w:rFonts w:asciiTheme="majorHAnsi" w:hAnsiTheme="majorHAnsi" w:cstheme="majorHAnsi"/>
          <w:lang w:val="en-US"/>
        </w:rPr>
      </w:pPr>
    </w:p>
    <w:p w14:paraId="670B0C6E" w14:textId="03047425" w:rsidR="002359D8" w:rsidRPr="001138DF" w:rsidRDefault="003612F6">
      <w:pPr>
        <w:pStyle w:val="Ttulo1"/>
        <w:spacing w:line="240" w:lineRule="auto"/>
        <w:jc w:val="both"/>
        <w:rPr>
          <w:rFonts w:asciiTheme="majorHAnsi" w:hAnsiTheme="majorHAnsi" w:cstheme="majorHAnsi"/>
          <w:sz w:val="24"/>
          <w:szCs w:val="24"/>
          <w:lang w:val="en-US"/>
        </w:rPr>
      </w:pPr>
      <w:r w:rsidRPr="001138DF">
        <w:rPr>
          <w:rFonts w:asciiTheme="majorHAnsi" w:hAnsiTheme="majorHAnsi" w:cstheme="majorHAnsi"/>
          <w:sz w:val="24"/>
          <w:szCs w:val="24"/>
          <w:lang w:val="en-US"/>
        </w:rPr>
        <w:t>Result</w:t>
      </w:r>
      <w:r w:rsidR="00E522A8" w:rsidRPr="001138DF">
        <w:rPr>
          <w:rFonts w:asciiTheme="majorHAnsi" w:hAnsiTheme="majorHAnsi" w:cstheme="majorHAnsi"/>
          <w:sz w:val="24"/>
          <w:szCs w:val="24"/>
          <w:lang w:val="en-US"/>
        </w:rPr>
        <w:t xml:space="preserve">s </w:t>
      </w:r>
      <w:r w:rsidRPr="001138DF">
        <w:rPr>
          <w:rFonts w:asciiTheme="majorHAnsi" w:hAnsiTheme="majorHAnsi" w:cstheme="majorHAnsi"/>
          <w:sz w:val="24"/>
          <w:szCs w:val="24"/>
          <w:lang w:val="en-US"/>
        </w:rPr>
        <w:t>and Discussion</w:t>
      </w:r>
    </w:p>
    <w:p w14:paraId="3E6A41CE" w14:textId="0D6B596D" w:rsidR="003612F6" w:rsidRPr="00227AE3" w:rsidRDefault="003612F6">
      <w:pPr>
        <w:spacing w:line="240" w:lineRule="auto"/>
        <w:jc w:val="both"/>
        <w:rPr>
          <w:rFonts w:asciiTheme="majorHAnsi" w:hAnsiTheme="majorHAnsi" w:cstheme="majorHAnsi"/>
          <w:lang w:val="en-US"/>
        </w:rPr>
      </w:pPr>
    </w:p>
    <w:p w14:paraId="6A52590D" w14:textId="5EB5245E" w:rsidR="003612F6" w:rsidRPr="00227AE3" w:rsidRDefault="003612F6">
      <w:pPr>
        <w:spacing w:line="240" w:lineRule="auto"/>
        <w:jc w:val="both"/>
        <w:rPr>
          <w:rFonts w:asciiTheme="majorHAnsi" w:hAnsiTheme="majorHAnsi" w:cstheme="majorHAnsi"/>
          <w:lang w:val="en-US"/>
        </w:rPr>
      </w:pPr>
      <w:r w:rsidRPr="00227AE3">
        <w:rPr>
          <w:rFonts w:asciiTheme="majorHAnsi" w:hAnsiTheme="majorHAnsi" w:cstheme="majorHAnsi"/>
          <w:lang w:val="en-US"/>
        </w:rPr>
        <w:t>Descriptive and inferential statistics were applied, and the data was systematized on SPSS, version 22. The sample N = 351 is made up of a majority of female participants, reaching 204 students (representing 58.1% of the sample) and 147 male participants (representing 41.9% of the sample). Most are in an age range between 18 and 42 years, with the most frequent age being 22 years (17.9%).</w:t>
      </w:r>
    </w:p>
    <w:p w14:paraId="766651A4" w14:textId="77777777" w:rsidR="003612F6" w:rsidRPr="00227AE3" w:rsidRDefault="003612F6">
      <w:pPr>
        <w:spacing w:line="240" w:lineRule="auto"/>
        <w:jc w:val="both"/>
        <w:rPr>
          <w:rFonts w:asciiTheme="majorHAnsi" w:hAnsiTheme="majorHAnsi" w:cstheme="majorHAnsi"/>
          <w:lang w:val="en-US"/>
        </w:rPr>
      </w:pPr>
    </w:p>
    <w:p w14:paraId="26984D28" w14:textId="1566E013" w:rsidR="003612F6" w:rsidRPr="00227AE3" w:rsidRDefault="003612F6">
      <w:pPr>
        <w:spacing w:line="240" w:lineRule="auto"/>
        <w:jc w:val="both"/>
        <w:rPr>
          <w:rFonts w:asciiTheme="majorHAnsi" w:hAnsiTheme="majorHAnsi" w:cstheme="majorHAnsi"/>
          <w:lang w:val="en-US"/>
        </w:rPr>
      </w:pPr>
      <w:r w:rsidRPr="00227AE3">
        <w:rPr>
          <w:rFonts w:asciiTheme="majorHAnsi" w:hAnsiTheme="majorHAnsi" w:cstheme="majorHAnsi"/>
          <w:lang w:val="en-US"/>
        </w:rPr>
        <w:t>Most of the participants are in the middle socioeconomic level, which represents 171 students (being 48.7% of the sample), and 120 students (34.2%) of the upper middle socioeconomic level, 41 students (11.7%) lower middle socioeconomic level, 11 high socioeconomic level students (3.1%), and 8 (2.3%) low socioeconomic level.</w:t>
      </w:r>
    </w:p>
    <w:p w14:paraId="6CF86C1F" w14:textId="77777777" w:rsidR="003612F6" w:rsidRPr="00227AE3" w:rsidRDefault="003612F6">
      <w:pPr>
        <w:spacing w:line="240" w:lineRule="auto"/>
        <w:jc w:val="both"/>
        <w:rPr>
          <w:rFonts w:asciiTheme="majorHAnsi" w:hAnsiTheme="majorHAnsi" w:cstheme="majorHAnsi"/>
          <w:lang w:val="en-US"/>
        </w:rPr>
      </w:pPr>
    </w:p>
    <w:p w14:paraId="26CF41E7" w14:textId="66F28B84" w:rsidR="003612F6" w:rsidRPr="00227AE3" w:rsidRDefault="003612F6">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In relation to the hours dedicated to work, the majority are working full time, this represents 128 participants (36.5%), 66 work </w:t>
      </w:r>
      <w:r w:rsidR="00CD7C71" w:rsidRPr="00227AE3">
        <w:rPr>
          <w:rFonts w:asciiTheme="majorHAnsi" w:hAnsiTheme="majorHAnsi" w:cstheme="majorHAnsi"/>
          <w:lang w:val="en-US"/>
        </w:rPr>
        <w:t>occasionally</w:t>
      </w:r>
      <w:r w:rsidRPr="00227AE3">
        <w:rPr>
          <w:rFonts w:asciiTheme="majorHAnsi" w:hAnsiTheme="majorHAnsi" w:cstheme="majorHAnsi"/>
          <w:lang w:val="en-US"/>
        </w:rPr>
        <w:t xml:space="preserve"> (18.8%), and 51 participants (14.5%) work part time. The students that belong to Public Universities are 154 (43.9%), and 197 attend Private Universities (56.1%).</w:t>
      </w:r>
    </w:p>
    <w:p w14:paraId="7EA44C5B" w14:textId="77777777" w:rsidR="003612F6" w:rsidRPr="00227AE3" w:rsidRDefault="003612F6">
      <w:pPr>
        <w:spacing w:line="240" w:lineRule="auto"/>
        <w:jc w:val="both"/>
        <w:rPr>
          <w:rFonts w:asciiTheme="majorHAnsi" w:hAnsiTheme="majorHAnsi" w:cstheme="majorHAnsi"/>
          <w:lang w:val="en-US"/>
        </w:rPr>
      </w:pPr>
    </w:p>
    <w:p w14:paraId="0B0C63E1" w14:textId="5820E31C" w:rsidR="003612F6" w:rsidRPr="00227AE3" w:rsidRDefault="003612F6">
      <w:pPr>
        <w:spacing w:line="240" w:lineRule="auto"/>
        <w:ind w:firstLine="0"/>
        <w:jc w:val="both"/>
        <w:rPr>
          <w:rFonts w:asciiTheme="majorHAnsi" w:hAnsiTheme="majorHAnsi" w:cstheme="majorHAnsi"/>
          <w:lang w:val="en-US"/>
        </w:rPr>
      </w:pPr>
      <w:r w:rsidRPr="00227AE3">
        <w:rPr>
          <w:rFonts w:asciiTheme="majorHAnsi" w:hAnsiTheme="majorHAnsi" w:cstheme="majorHAnsi"/>
          <w:lang w:val="en-US"/>
        </w:rPr>
        <w:t>According to the academic situation, it is observed that the majority are regular students, being a total of 243 students (69.2%), while 96 students are irregular (27.4%), 11 students (3.1%) they report dropping out from other careers other than the current one they are studying, and only 1 student (0.3%) dropped out of a postgraduate degree.</w:t>
      </w:r>
    </w:p>
    <w:p w14:paraId="0B51A46D" w14:textId="518B8E2A" w:rsidR="003612F6" w:rsidRDefault="003612F6">
      <w:pPr>
        <w:spacing w:line="240" w:lineRule="auto"/>
        <w:ind w:firstLine="0"/>
        <w:jc w:val="both"/>
        <w:rPr>
          <w:rFonts w:asciiTheme="majorHAnsi" w:hAnsiTheme="majorHAnsi" w:cstheme="majorHAnsi"/>
          <w:lang w:val="en-US"/>
        </w:rPr>
      </w:pPr>
    </w:p>
    <w:p w14:paraId="71D9CA3B" w14:textId="4B3025A1" w:rsidR="00227AE3" w:rsidRDefault="00227AE3">
      <w:pPr>
        <w:spacing w:line="240" w:lineRule="auto"/>
        <w:ind w:firstLine="0"/>
        <w:jc w:val="both"/>
        <w:rPr>
          <w:rFonts w:asciiTheme="majorHAnsi" w:hAnsiTheme="majorHAnsi" w:cstheme="majorHAnsi"/>
          <w:lang w:val="en-US"/>
        </w:rPr>
      </w:pPr>
    </w:p>
    <w:p w14:paraId="1120766B" w14:textId="77777777" w:rsidR="00227AE3" w:rsidRPr="00227AE3" w:rsidRDefault="00227AE3">
      <w:pPr>
        <w:spacing w:line="240" w:lineRule="auto"/>
        <w:ind w:firstLine="0"/>
        <w:jc w:val="both"/>
        <w:rPr>
          <w:rFonts w:asciiTheme="majorHAnsi" w:hAnsiTheme="majorHAnsi" w:cstheme="majorHAnsi"/>
          <w:lang w:val="en-US"/>
        </w:rPr>
      </w:pPr>
    </w:p>
    <w:tbl>
      <w:tblPr>
        <w:tblStyle w:val="Tablaconcuadrcula"/>
        <w:tblW w:w="8488" w:type="dxa"/>
        <w:tblLook w:val="04A0" w:firstRow="1" w:lastRow="0" w:firstColumn="1" w:lastColumn="0" w:noHBand="0" w:noVBand="1"/>
      </w:tblPr>
      <w:tblGrid>
        <w:gridCol w:w="2829"/>
        <w:gridCol w:w="2829"/>
        <w:gridCol w:w="2830"/>
      </w:tblGrid>
      <w:tr w:rsidR="002359D8" w:rsidRPr="00227AE3" w14:paraId="11CAF053" w14:textId="77777777">
        <w:tc>
          <w:tcPr>
            <w:tcW w:w="8488" w:type="dxa"/>
            <w:gridSpan w:val="3"/>
            <w:tcBorders>
              <w:top w:val="nil"/>
              <w:left w:val="nil"/>
              <w:bottom w:val="nil"/>
              <w:right w:val="nil"/>
            </w:tcBorders>
          </w:tcPr>
          <w:p w14:paraId="6CFF1B65" w14:textId="602049BE" w:rsidR="002359D8" w:rsidRPr="00227AE3" w:rsidRDefault="00E522A8" w:rsidP="004F3EED">
            <w:pPr>
              <w:spacing w:line="276" w:lineRule="auto"/>
              <w:ind w:firstLine="0"/>
              <w:jc w:val="both"/>
              <w:rPr>
                <w:rFonts w:asciiTheme="majorHAnsi" w:hAnsiTheme="majorHAnsi" w:cstheme="majorHAnsi"/>
                <w:bCs/>
                <w:lang w:val="en-US"/>
              </w:rPr>
            </w:pPr>
            <w:r w:rsidRPr="00227AE3">
              <w:rPr>
                <w:rFonts w:asciiTheme="majorHAnsi" w:hAnsiTheme="majorHAnsi" w:cstheme="majorHAnsi"/>
                <w:bCs/>
                <w:lang w:val="en-US"/>
              </w:rPr>
              <w:t>Tabl</w:t>
            </w:r>
            <w:r w:rsidR="004F3EED" w:rsidRPr="00227AE3">
              <w:rPr>
                <w:rFonts w:asciiTheme="majorHAnsi" w:hAnsiTheme="majorHAnsi" w:cstheme="majorHAnsi"/>
                <w:bCs/>
                <w:lang w:val="en-US"/>
              </w:rPr>
              <w:t>e</w:t>
            </w:r>
            <w:r w:rsidRPr="00227AE3">
              <w:rPr>
                <w:rFonts w:asciiTheme="majorHAnsi" w:hAnsiTheme="majorHAnsi" w:cstheme="majorHAnsi"/>
                <w:bCs/>
                <w:lang w:val="en-US"/>
              </w:rPr>
              <w:t xml:space="preserve"> 1</w:t>
            </w:r>
          </w:p>
        </w:tc>
      </w:tr>
      <w:tr w:rsidR="002359D8" w:rsidRPr="000F45AD" w14:paraId="09DC9AB7" w14:textId="77777777">
        <w:tc>
          <w:tcPr>
            <w:tcW w:w="8488" w:type="dxa"/>
            <w:gridSpan w:val="3"/>
            <w:tcBorders>
              <w:top w:val="nil"/>
              <w:left w:val="nil"/>
              <w:bottom w:val="single" w:sz="4" w:space="0" w:color="000000"/>
              <w:right w:val="nil"/>
            </w:tcBorders>
          </w:tcPr>
          <w:p w14:paraId="317252BB" w14:textId="3C8EDB09" w:rsidR="002359D8" w:rsidRPr="00227AE3" w:rsidRDefault="004F3EED" w:rsidP="004F3EED">
            <w:pPr>
              <w:spacing w:line="276" w:lineRule="auto"/>
              <w:ind w:firstLine="0"/>
              <w:jc w:val="both"/>
              <w:rPr>
                <w:rFonts w:asciiTheme="majorHAnsi" w:hAnsiTheme="majorHAnsi" w:cstheme="majorHAnsi"/>
                <w:i/>
                <w:iCs/>
                <w:lang w:val="en-US"/>
              </w:rPr>
            </w:pPr>
            <w:r w:rsidRPr="00227AE3">
              <w:rPr>
                <w:rFonts w:asciiTheme="majorHAnsi" w:hAnsiTheme="majorHAnsi" w:cstheme="majorHAnsi"/>
                <w:i/>
                <w:iCs/>
                <w:lang w:val="en-US"/>
              </w:rPr>
              <w:t>Identification and comparison of all factors associated with college dropout</w:t>
            </w:r>
          </w:p>
        </w:tc>
      </w:tr>
      <w:tr w:rsidR="002359D8" w:rsidRPr="00227AE3" w14:paraId="6D407A40" w14:textId="77777777">
        <w:tc>
          <w:tcPr>
            <w:tcW w:w="2829" w:type="dxa"/>
            <w:tcBorders>
              <w:top w:val="single" w:sz="4" w:space="0" w:color="000000"/>
              <w:left w:val="nil"/>
              <w:bottom w:val="single" w:sz="4" w:space="0" w:color="000000"/>
              <w:right w:val="nil"/>
            </w:tcBorders>
          </w:tcPr>
          <w:p w14:paraId="6F281C98" w14:textId="77777777" w:rsidR="002359D8" w:rsidRPr="00227AE3" w:rsidRDefault="002359D8">
            <w:pPr>
              <w:spacing w:line="276" w:lineRule="auto"/>
              <w:ind w:firstLine="0"/>
              <w:jc w:val="both"/>
              <w:rPr>
                <w:rFonts w:asciiTheme="majorHAnsi" w:hAnsiTheme="majorHAnsi" w:cstheme="majorHAnsi"/>
                <w:lang w:val="en-US"/>
              </w:rPr>
            </w:pPr>
          </w:p>
        </w:tc>
        <w:tc>
          <w:tcPr>
            <w:tcW w:w="2829" w:type="dxa"/>
            <w:tcBorders>
              <w:top w:val="single" w:sz="4" w:space="0" w:color="000000"/>
              <w:left w:val="nil"/>
              <w:bottom w:val="single" w:sz="4" w:space="0" w:color="000000"/>
              <w:right w:val="nil"/>
            </w:tcBorders>
          </w:tcPr>
          <w:p w14:paraId="70DDE34F" w14:textId="2950A9AF" w:rsidR="002359D8" w:rsidRPr="00227AE3" w:rsidRDefault="004F3EED">
            <w:pPr>
              <w:spacing w:line="276" w:lineRule="auto"/>
              <w:ind w:firstLine="0"/>
              <w:jc w:val="both"/>
              <w:rPr>
                <w:rFonts w:asciiTheme="majorHAnsi" w:hAnsiTheme="majorHAnsi" w:cstheme="majorHAnsi"/>
                <w:b/>
                <w:bCs/>
                <w:lang w:val="en-US"/>
              </w:rPr>
            </w:pPr>
            <w:r w:rsidRPr="00227AE3">
              <w:rPr>
                <w:rFonts w:asciiTheme="majorHAnsi" w:hAnsiTheme="majorHAnsi" w:cstheme="majorHAnsi"/>
                <w:b/>
                <w:bCs/>
                <w:lang w:val="en-US"/>
              </w:rPr>
              <w:t>Mean</w:t>
            </w:r>
          </w:p>
        </w:tc>
        <w:tc>
          <w:tcPr>
            <w:tcW w:w="2830" w:type="dxa"/>
            <w:tcBorders>
              <w:top w:val="single" w:sz="4" w:space="0" w:color="000000"/>
              <w:left w:val="nil"/>
              <w:bottom w:val="single" w:sz="4" w:space="0" w:color="000000"/>
              <w:right w:val="nil"/>
            </w:tcBorders>
          </w:tcPr>
          <w:p w14:paraId="0B6643B7" w14:textId="09D4DA76" w:rsidR="002359D8" w:rsidRPr="00227AE3" w:rsidRDefault="00227AE3" w:rsidP="004F3EED">
            <w:pPr>
              <w:spacing w:line="276" w:lineRule="auto"/>
              <w:ind w:firstLine="0"/>
              <w:jc w:val="both"/>
              <w:rPr>
                <w:rFonts w:asciiTheme="majorHAnsi" w:hAnsiTheme="majorHAnsi" w:cstheme="majorHAnsi"/>
                <w:b/>
                <w:bCs/>
                <w:lang w:val="en-US"/>
              </w:rPr>
            </w:pPr>
            <w:r w:rsidRPr="00227AE3">
              <w:rPr>
                <w:rFonts w:asciiTheme="majorHAnsi" w:hAnsiTheme="majorHAnsi" w:cstheme="majorHAnsi"/>
                <w:b/>
                <w:bCs/>
                <w:lang w:val="en-US"/>
              </w:rPr>
              <w:t>Standard</w:t>
            </w:r>
            <w:r w:rsidR="004F3EED" w:rsidRPr="00227AE3">
              <w:rPr>
                <w:rFonts w:asciiTheme="majorHAnsi" w:hAnsiTheme="majorHAnsi" w:cstheme="majorHAnsi"/>
                <w:b/>
                <w:bCs/>
                <w:lang w:val="en-US"/>
              </w:rPr>
              <w:t xml:space="preserve"> Deviation</w:t>
            </w:r>
          </w:p>
        </w:tc>
      </w:tr>
      <w:tr w:rsidR="002359D8" w:rsidRPr="00227AE3" w14:paraId="1323D7BD" w14:textId="77777777">
        <w:tc>
          <w:tcPr>
            <w:tcW w:w="2829" w:type="dxa"/>
            <w:tcBorders>
              <w:top w:val="single" w:sz="4" w:space="0" w:color="000000"/>
              <w:left w:val="nil"/>
              <w:bottom w:val="nil"/>
              <w:right w:val="nil"/>
            </w:tcBorders>
          </w:tcPr>
          <w:p w14:paraId="5D9EE0FC"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FRPPU</w:t>
            </w:r>
          </w:p>
        </w:tc>
        <w:tc>
          <w:tcPr>
            <w:tcW w:w="2829" w:type="dxa"/>
            <w:tcBorders>
              <w:top w:val="single" w:sz="4" w:space="0" w:color="000000"/>
              <w:left w:val="nil"/>
              <w:bottom w:val="nil"/>
              <w:right w:val="nil"/>
            </w:tcBorders>
          </w:tcPr>
          <w:p w14:paraId="332A0794"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3,0684</w:t>
            </w:r>
          </w:p>
        </w:tc>
        <w:tc>
          <w:tcPr>
            <w:tcW w:w="2830" w:type="dxa"/>
            <w:tcBorders>
              <w:top w:val="single" w:sz="4" w:space="0" w:color="000000"/>
              <w:left w:val="nil"/>
              <w:bottom w:val="nil"/>
              <w:right w:val="nil"/>
            </w:tcBorders>
          </w:tcPr>
          <w:p w14:paraId="6E717F0C"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,60785</w:t>
            </w:r>
          </w:p>
        </w:tc>
      </w:tr>
      <w:tr w:rsidR="002359D8" w:rsidRPr="00227AE3" w14:paraId="378E9C33" w14:textId="77777777">
        <w:tc>
          <w:tcPr>
            <w:tcW w:w="2829" w:type="dxa"/>
            <w:tcBorders>
              <w:top w:val="nil"/>
              <w:left w:val="nil"/>
              <w:bottom w:val="nil"/>
              <w:right w:val="nil"/>
            </w:tcBorders>
          </w:tcPr>
          <w:p w14:paraId="6118222F"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FRCA</w:t>
            </w:r>
          </w:p>
        </w:tc>
        <w:tc>
          <w:tcPr>
            <w:tcW w:w="2829" w:type="dxa"/>
            <w:tcBorders>
              <w:top w:val="nil"/>
              <w:left w:val="nil"/>
              <w:bottom w:val="nil"/>
              <w:right w:val="nil"/>
            </w:tcBorders>
          </w:tcPr>
          <w:p w14:paraId="75E44B93"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2,5287</w:t>
            </w:r>
          </w:p>
        </w:tc>
        <w:tc>
          <w:tcPr>
            <w:tcW w:w="2830" w:type="dxa"/>
            <w:tcBorders>
              <w:top w:val="nil"/>
              <w:left w:val="nil"/>
              <w:bottom w:val="nil"/>
              <w:right w:val="nil"/>
            </w:tcBorders>
          </w:tcPr>
          <w:p w14:paraId="523432D3"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,49142</w:t>
            </w:r>
          </w:p>
        </w:tc>
      </w:tr>
      <w:tr w:rsidR="002359D8" w:rsidRPr="00227AE3" w14:paraId="1123DE71" w14:textId="77777777">
        <w:tc>
          <w:tcPr>
            <w:tcW w:w="2829" w:type="dxa"/>
            <w:tcBorders>
              <w:top w:val="nil"/>
              <w:left w:val="nil"/>
              <w:bottom w:val="nil"/>
              <w:right w:val="nil"/>
            </w:tcBorders>
          </w:tcPr>
          <w:p w14:paraId="750B184E"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FRAEI</w:t>
            </w:r>
          </w:p>
        </w:tc>
        <w:tc>
          <w:tcPr>
            <w:tcW w:w="2829" w:type="dxa"/>
            <w:tcBorders>
              <w:top w:val="nil"/>
              <w:left w:val="nil"/>
              <w:bottom w:val="nil"/>
              <w:right w:val="nil"/>
            </w:tcBorders>
          </w:tcPr>
          <w:p w14:paraId="45B068FD"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3,1233</w:t>
            </w:r>
          </w:p>
        </w:tc>
        <w:tc>
          <w:tcPr>
            <w:tcW w:w="2830" w:type="dxa"/>
            <w:tcBorders>
              <w:top w:val="nil"/>
              <w:left w:val="nil"/>
              <w:bottom w:val="nil"/>
              <w:right w:val="nil"/>
            </w:tcBorders>
          </w:tcPr>
          <w:p w14:paraId="1BB8871B"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,49279</w:t>
            </w:r>
          </w:p>
        </w:tc>
      </w:tr>
      <w:tr w:rsidR="002359D8" w:rsidRPr="00227AE3" w14:paraId="419221A1" w14:textId="77777777">
        <w:tc>
          <w:tcPr>
            <w:tcW w:w="2829" w:type="dxa"/>
            <w:tcBorders>
              <w:top w:val="nil"/>
              <w:left w:val="nil"/>
              <w:bottom w:val="nil"/>
              <w:right w:val="nil"/>
            </w:tcBorders>
          </w:tcPr>
          <w:p w14:paraId="28196168"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FRAFP</w:t>
            </w:r>
          </w:p>
        </w:tc>
        <w:tc>
          <w:tcPr>
            <w:tcW w:w="2829" w:type="dxa"/>
            <w:tcBorders>
              <w:top w:val="nil"/>
              <w:left w:val="nil"/>
              <w:bottom w:val="nil"/>
              <w:right w:val="nil"/>
            </w:tcBorders>
          </w:tcPr>
          <w:p w14:paraId="70BA89C7"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1,8313</w:t>
            </w:r>
          </w:p>
        </w:tc>
        <w:tc>
          <w:tcPr>
            <w:tcW w:w="2830" w:type="dxa"/>
            <w:tcBorders>
              <w:top w:val="nil"/>
              <w:left w:val="nil"/>
              <w:bottom w:val="nil"/>
              <w:right w:val="nil"/>
            </w:tcBorders>
          </w:tcPr>
          <w:p w14:paraId="3F447D92"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,53600</w:t>
            </w:r>
          </w:p>
        </w:tc>
      </w:tr>
      <w:tr w:rsidR="002359D8" w:rsidRPr="00227AE3" w14:paraId="32D9E378" w14:textId="77777777">
        <w:tc>
          <w:tcPr>
            <w:tcW w:w="2829" w:type="dxa"/>
            <w:tcBorders>
              <w:top w:val="nil"/>
              <w:left w:val="nil"/>
              <w:bottom w:val="nil"/>
              <w:right w:val="nil"/>
            </w:tcBorders>
          </w:tcPr>
          <w:p w14:paraId="1E21044B"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FRAE</w:t>
            </w:r>
          </w:p>
        </w:tc>
        <w:tc>
          <w:tcPr>
            <w:tcW w:w="2829" w:type="dxa"/>
            <w:tcBorders>
              <w:top w:val="nil"/>
              <w:left w:val="nil"/>
              <w:bottom w:val="nil"/>
              <w:right w:val="nil"/>
            </w:tcBorders>
          </w:tcPr>
          <w:p w14:paraId="73AE6CD0"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1,9563</w:t>
            </w:r>
          </w:p>
        </w:tc>
        <w:tc>
          <w:tcPr>
            <w:tcW w:w="2830" w:type="dxa"/>
            <w:tcBorders>
              <w:top w:val="nil"/>
              <w:left w:val="nil"/>
              <w:bottom w:val="nil"/>
              <w:right w:val="nil"/>
            </w:tcBorders>
          </w:tcPr>
          <w:p w14:paraId="059150EA"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,94943</w:t>
            </w:r>
          </w:p>
        </w:tc>
      </w:tr>
      <w:tr w:rsidR="002359D8" w:rsidRPr="00227AE3" w14:paraId="63D3CD9A" w14:textId="77777777">
        <w:tc>
          <w:tcPr>
            <w:tcW w:w="2829" w:type="dxa"/>
            <w:tcBorders>
              <w:top w:val="nil"/>
              <w:left w:val="nil"/>
              <w:bottom w:val="nil"/>
              <w:right w:val="nil"/>
            </w:tcBorders>
          </w:tcPr>
          <w:p w14:paraId="6BF850DA"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FAECC</w:t>
            </w:r>
          </w:p>
        </w:tc>
        <w:tc>
          <w:tcPr>
            <w:tcW w:w="2829" w:type="dxa"/>
            <w:tcBorders>
              <w:top w:val="nil"/>
              <w:left w:val="nil"/>
              <w:bottom w:val="nil"/>
              <w:right w:val="nil"/>
            </w:tcBorders>
          </w:tcPr>
          <w:p w14:paraId="3042A85E"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3,2734</w:t>
            </w:r>
          </w:p>
        </w:tc>
        <w:tc>
          <w:tcPr>
            <w:tcW w:w="2830" w:type="dxa"/>
            <w:tcBorders>
              <w:top w:val="nil"/>
              <w:left w:val="nil"/>
              <w:bottom w:val="nil"/>
              <w:right w:val="nil"/>
            </w:tcBorders>
          </w:tcPr>
          <w:p w14:paraId="0841EAA7"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,74774</w:t>
            </w:r>
          </w:p>
        </w:tc>
      </w:tr>
      <w:tr w:rsidR="002359D8" w:rsidRPr="00227AE3" w14:paraId="6867D0F4" w14:textId="77777777">
        <w:tc>
          <w:tcPr>
            <w:tcW w:w="2829" w:type="dxa"/>
            <w:tcBorders>
              <w:top w:val="nil"/>
              <w:left w:val="nil"/>
              <w:bottom w:val="nil"/>
              <w:right w:val="nil"/>
            </w:tcBorders>
          </w:tcPr>
          <w:p w14:paraId="4F836AFB"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FACMDC</w:t>
            </w:r>
          </w:p>
        </w:tc>
        <w:tc>
          <w:tcPr>
            <w:tcW w:w="2829" w:type="dxa"/>
            <w:tcBorders>
              <w:top w:val="nil"/>
              <w:left w:val="nil"/>
              <w:bottom w:val="nil"/>
              <w:right w:val="nil"/>
            </w:tcBorders>
          </w:tcPr>
          <w:p w14:paraId="7FABF772"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3,2239</w:t>
            </w:r>
          </w:p>
        </w:tc>
        <w:tc>
          <w:tcPr>
            <w:tcW w:w="2830" w:type="dxa"/>
            <w:tcBorders>
              <w:top w:val="nil"/>
              <w:left w:val="nil"/>
              <w:bottom w:val="nil"/>
              <w:right w:val="nil"/>
            </w:tcBorders>
          </w:tcPr>
          <w:p w14:paraId="0340CF92"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,76188</w:t>
            </w:r>
          </w:p>
        </w:tc>
      </w:tr>
      <w:tr w:rsidR="002359D8" w:rsidRPr="00227AE3" w14:paraId="32750A22" w14:textId="77777777">
        <w:tc>
          <w:tcPr>
            <w:tcW w:w="2829" w:type="dxa"/>
            <w:tcBorders>
              <w:top w:val="nil"/>
              <w:left w:val="nil"/>
              <w:bottom w:val="nil"/>
              <w:right w:val="nil"/>
            </w:tcBorders>
          </w:tcPr>
          <w:p w14:paraId="71C81454"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FACT</w:t>
            </w:r>
          </w:p>
        </w:tc>
        <w:tc>
          <w:tcPr>
            <w:tcW w:w="2829" w:type="dxa"/>
            <w:tcBorders>
              <w:top w:val="nil"/>
              <w:left w:val="nil"/>
              <w:bottom w:val="nil"/>
              <w:right w:val="nil"/>
            </w:tcBorders>
          </w:tcPr>
          <w:p w14:paraId="23C0DCBE"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2,7448</w:t>
            </w:r>
          </w:p>
        </w:tc>
        <w:tc>
          <w:tcPr>
            <w:tcW w:w="2830" w:type="dxa"/>
            <w:tcBorders>
              <w:top w:val="nil"/>
              <w:left w:val="nil"/>
              <w:bottom w:val="nil"/>
              <w:right w:val="nil"/>
            </w:tcBorders>
          </w:tcPr>
          <w:p w14:paraId="38E1332D"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,29595</w:t>
            </w:r>
          </w:p>
        </w:tc>
      </w:tr>
      <w:tr w:rsidR="002359D8" w:rsidRPr="00227AE3" w14:paraId="28F2AE33" w14:textId="77777777">
        <w:tc>
          <w:tcPr>
            <w:tcW w:w="2829" w:type="dxa"/>
            <w:tcBorders>
              <w:top w:val="nil"/>
              <w:left w:val="nil"/>
              <w:bottom w:val="single" w:sz="4" w:space="0" w:color="000000"/>
              <w:right w:val="nil"/>
            </w:tcBorders>
          </w:tcPr>
          <w:p w14:paraId="4F128A73"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FAEPPE</w:t>
            </w:r>
          </w:p>
        </w:tc>
        <w:tc>
          <w:tcPr>
            <w:tcW w:w="2829" w:type="dxa"/>
            <w:tcBorders>
              <w:top w:val="nil"/>
              <w:left w:val="nil"/>
              <w:bottom w:val="single" w:sz="4" w:space="0" w:color="000000"/>
              <w:right w:val="nil"/>
            </w:tcBorders>
          </w:tcPr>
          <w:p w14:paraId="15563E4A"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2,4254</w:t>
            </w:r>
          </w:p>
        </w:tc>
        <w:tc>
          <w:tcPr>
            <w:tcW w:w="2830" w:type="dxa"/>
            <w:tcBorders>
              <w:top w:val="nil"/>
              <w:left w:val="nil"/>
              <w:bottom w:val="single" w:sz="4" w:space="0" w:color="000000"/>
              <w:right w:val="nil"/>
            </w:tcBorders>
          </w:tcPr>
          <w:p w14:paraId="28A04E90"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,56575</w:t>
            </w:r>
          </w:p>
        </w:tc>
      </w:tr>
    </w:tbl>
    <w:p w14:paraId="0111A3BD" w14:textId="77777777" w:rsidR="002359D8" w:rsidRPr="00227AE3" w:rsidRDefault="002359D8">
      <w:pPr>
        <w:spacing w:line="240" w:lineRule="auto"/>
        <w:jc w:val="both"/>
        <w:rPr>
          <w:rFonts w:asciiTheme="majorHAnsi" w:hAnsiTheme="majorHAnsi" w:cstheme="majorHAnsi"/>
          <w:lang w:val="en-US"/>
        </w:rPr>
      </w:pPr>
    </w:p>
    <w:p w14:paraId="1CC32888" w14:textId="77777777" w:rsidR="002359D8" w:rsidRPr="00227AE3" w:rsidRDefault="002359D8">
      <w:pPr>
        <w:spacing w:line="240" w:lineRule="auto"/>
        <w:ind w:firstLine="0"/>
        <w:jc w:val="both"/>
        <w:rPr>
          <w:rFonts w:asciiTheme="majorHAnsi" w:hAnsiTheme="majorHAnsi" w:cstheme="majorHAnsi"/>
          <w:i/>
          <w:sz w:val="18"/>
          <w:szCs w:val="18"/>
          <w:lang w:val="en-US"/>
        </w:rPr>
      </w:pPr>
    </w:p>
    <w:p w14:paraId="05F6BCF5" w14:textId="7D8DB863" w:rsidR="002359D8" w:rsidRPr="00227AE3" w:rsidRDefault="004F3EED">
      <w:pPr>
        <w:spacing w:line="240" w:lineRule="auto"/>
        <w:jc w:val="both"/>
        <w:rPr>
          <w:rFonts w:asciiTheme="majorHAnsi" w:hAnsiTheme="majorHAnsi" w:cstheme="majorHAnsi"/>
          <w:lang w:val="en-US"/>
        </w:rPr>
      </w:pPr>
      <w:r w:rsidRPr="00227AE3">
        <w:rPr>
          <w:rFonts w:asciiTheme="majorHAnsi" w:hAnsiTheme="majorHAnsi" w:cstheme="majorHAnsi"/>
          <w:lang w:val="en-US"/>
        </w:rPr>
        <w:t>The factors most associated with dropout, in order of the value of their means, are the dropout factors related to the evaluation of the quality of courses (FAECC), with an average of 3.2734, second, the factors associated with the methodological quality of the course (FACMDC), thirdly those related to the educational and institutional environment (FRAEI), fourth are the factors related to their pre-university preparation (FRPPU), fifth are the factors associated with technical quality (FACT), in sixth place the factors related to the academic year to which they enrolled (FRCA), the seventh place corresponds to the factors associated with the evaluation of the student's personal profile (FAEPPE), in eighth place are the factors related to economic aspects (FRAE), and in ninth and last place, factors related to family and personal environment (FRAFP) with an average of 1.8313.</w:t>
      </w:r>
      <w:r w:rsidR="00E522A8" w:rsidRPr="00227AE3">
        <w:rPr>
          <w:rFonts w:asciiTheme="majorHAnsi" w:hAnsiTheme="majorHAnsi" w:cstheme="majorHAnsi"/>
          <w:lang w:val="en-US"/>
        </w:rPr>
        <w:t xml:space="preserve"> </w:t>
      </w:r>
    </w:p>
    <w:p w14:paraId="6C58D9AB" w14:textId="76AFBBF6" w:rsidR="002359D8" w:rsidRPr="00227AE3" w:rsidRDefault="002359D8">
      <w:pPr>
        <w:spacing w:line="240" w:lineRule="auto"/>
        <w:jc w:val="both"/>
        <w:rPr>
          <w:rFonts w:asciiTheme="majorHAnsi" w:hAnsiTheme="majorHAnsi" w:cstheme="majorHAnsi"/>
          <w:lang w:val="en-US"/>
        </w:rPr>
      </w:pPr>
    </w:p>
    <w:p w14:paraId="70A16EC2" w14:textId="59E14AD8" w:rsidR="004F3EED" w:rsidRPr="00227AE3" w:rsidRDefault="004F3EED" w:rsidP="004F3EED">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These data agree with Canales and De </w:t>
      </w:r>
      <w:proofErr w:type="spellStart"/>
      <w:r w:rsidRPr="00227AE3">
        <w:rPr>
          <w:rFonts w:asciiTheme="majorHAnsi" w:hAnsiTheme="majorHAnsi" w:cstheme="majorHAnsi"/>
          <w:lang w:val="en-US"/>
        </w:rPr>
        <w:t>los</w:t>
      </w:r>
      <w:proofErr w:type="spellEnd"/>
      <w:r w:rsidRPr="00227AE3">
        <w:rPr>
          <w:rFonts w:asciiTheme="majorHAnsi" w:hAnsiTheme="majorHAnsi" w:cstheme="majorHAnsi"/>
          <w:lang w:val="en-US"/>
        </w:rPr>
        <w:t xml:space="preserve"> Ríos (2007); that affirm that the variables of the academic year are factors that affect the permanence of the student in the University. They also support the affirmation of </w:t>
      </w:r>
      <w:proofErr w:type="spellStart"/>
      <w:r w:rsidRPr="00227AE3">
        <w:rPr>
          <w:rFonts w:asciiTheme="majorHAnsi" w:hAnsiTheme="majorHAnsi" w:cstheme="majorHAnsi"/>
          <w:lang w:val="en-US"/>
        </w:rPr>
        <w:t>Ramírez</w:t>
      </w:r>
      <w:proofErr w:type="spellEnd"/>
      <w:r w:rsidRPr="00227AE3">
        <w:rPr>
          <w:rFonts w:asciiTheme="majorHAnsi" w:hAnsiTheme="majorHAnsi" w:cstheme="majorHAnsi"/>
          <w:lang w:val="en-US"/>
        </w:rPr>
        <w:t xml:space="preserve"> and </w:t>
      </w:r>
      <w:proofErr w:type="spellStart"/>
      <w:r w:rsidRPr="00227AE3">
        <w:rPr>
          <w:rFonts w:asciiTheme="majorHAnsi" w:hAnsiTheme="majorHAnsi" w:cstheme="majorHAnsi"/>
          <w:lang w:val="en-US"/>
        </w:rPr>
        <w:t>Grandón</w:t>
      </w:r>
      <w:proofErr w:type="spellEnd"/>
      <w:r w:rsidRPr="00227AE3">
        <w:rPr>
          <w:rFonts w:asciiTheme="majorHAnsi" w:hAnsiTheme="majorHAnsi" w:cstheme="majorHAnsi"/>
          <w:lang w:val="en-US"/>
        </w:rPr>
        <w:t xml:space="preserve"> (2018) and </w:t>
      </w:r>
      <w:proofErr w:type="spellStart"/>
      <w:r w:rsidRPr="00227AE3">
        <w:rPr>
          <w:rFonts w:asciiTheme="majorHAnsi" w:hAnsiTheme="majorHAnsi" w:cstheme="majorHAnsi"/>
          <w:lang w:val="en-US"/>
        </w:rPr>
        <w:t>Bermúdez</w:t>
      </w:r>
      <w:proofErr w:type="spellEnd"/>
      <w:r w:rsidRPr="00227AE3">
        <w:rPr>
          <w:rFonts w:asciiTheme="majorHAnsi" w:hAnsiTheme="majorHAnsi" w:cstheme="majorHAnsi"/>
          <w:lang w:val="en-US"/>
        </w:rPr>
        <w:t xml:space="preserve"> </w:t>
      </w:r>
      <w:proofErr w:type="spellStart"/>
      <w:r w:rsidRPr="00227AE3">
        <w:rPr>
          <w:rFonts w:asciiTheme="majorHAnsi" w:hAnsiTheme="majorHAnsi" w:cstheme="majorHAnsi"/>
          <w:lang w:val="en-US"/>
        </w:rPr>
        <w:t>García</w:t>
      </w:r>
      <w:proofErr w:type="spellEnd"/>
      <w:r w:rsidRPr="00227AE3">
        <w:rPr>
          <w:rFonts w:asciiTheme="majorHAnsi" w:hAnsiTheme="majorHAnsi" w:cstheme="majorHAnsi"/>
          <w:lang w:val="en-US"/>
        </w:rPr>
        <w:t xml:space="preserve"> and </w:t>
      </w:r>
      <w:proofErr w:type="spellStart"/>
      <w:r w:rsidRPr="00227AE3">
        <w:rPr>
          <w:rFonts w:asciiTheme="majorHAnsi" w:hAnsiTheme="majorHAnsi" w:cstheme="majorHAnsi"/>
          <w:lang w:val="en-US"/>
        </w:rPr>
        <w:t>Cassana</w:t>
      </w:r>
      <w:proofErr w:type="spellEnd"/>
      <w:r w:rsidRPr="00227AE3">
        <w:rPr>
          <w:rFonts w:asciiTheme="majorHAnsi" w:hAnsiTheme="majorHAnsi" w:cstheme="majorHAnsi"/>
          <w:lang w:val="en-US"/>
        </w:rPr>
        <w:t xml:space="preserve"> (2016) that economic factors do not always explain the phenomenon of desertion, and give importance to the vocation and motivation of the student, a difference from what </w:t>
      </w:r>
      <w:proofErr w:type="spellStart"/>
      <w:r w:rsidRPr="00227AE3">
        <w:rPr>
          <w:rFonts w:asciiTheme="majorHAnsi" w:hAnsiTheme="majorHAnsi" w:cstheme="majorHAnsi"/>
          <w:lang w:val="en-US"/>
        </w:rPr>
        <w:t>Girón</w:t>
      </w:r>
      <w:proofErr w:type="spellEnd"/>
      <w:r w:rsidRPr="00227AE3">
        <w:rPr>
          <w:rFonts w:asciiTheme="majorHAnsi" w:hAnsiTheme="majorHAnsi" w:cstheme="majorHAnsi"/>
          <w:lang w:val="en-US"/>
        </w:rPr>
        <w:t xml:space="preserve"> and González (2005) and Smulders </w:t>
      </w:r>
      <w:proofErr w:type="spellStart"/>
      <w:r w:rsidRPr="00227AE3">
        <w:rPr>
          <w:rFonts w:asciiTheme="majorHAnsi" w:hAnsiTheme="majorHAnsi" w:cstheme="majorHAnsi"/>
          <w:lang w:val="en-US"/>
        </w:rPr>
        <w:t>Chaparro</w:t>
      </w:r>
      <w:proofErr w:type="spellEnd"/>
      <w:r w:rsidRPr="00227AE3">
        <w:rPr>
          <w:rFonts w:asciiTheme="majorHAnsi" w:hAnsiTheme="majorHAnsi" w:cstheme="majorHAnsi"/>
          <w:lang w:val="en-US"/>
        </w:rPr>
        <w:t xml:space="preserve"> (2018) affirm, where aspects related to training costs do weigh more when it comes to staying in college.</w:t>
      </w:r>
    </w:p>
    <w:p w14:paraId="33F7A127" w14:textId="4C592DC8" w:rsidR="004F3EED" w:rsidRPr="00227AE3" w:rsidRDefault="004F3EED" w:rsidP="004F3EED">
      <w:pPr>
        <w:spacing w:line="240" w:lineRule="auto"/>
        <w:jc w:val="both"/>
        <w:rPr>
          <w:rFonts w:asciiTheme="majorHAnsi" w:hAnsiTheme="majorHAnsi" w:cstheme="majorHAnsi"/>
          <w:lang w:val="en-US"/>
        </w:rPr>
      </w:pPr>
      <w:r w:rsidRPr="00227AE3">
        <w:rPr>
          <w:rFonts w:asciiTheme="majorHAnsi" w:hAnsiTheme="majorHAnsi" w:cstheme="majorHAnsi"/>
          <w:lang w:val="en-US"/>
        </w:rPr>
        <w:t>To make the comparison of dropout factors between a population of regular students and another of irregular students, it was applied the parametric statistical analysis Mann-Whitney test for independent samples, given the scale is ordinal and two independent groups are analyzed.</w:t>
      </w:r>
    </w:p>
    <w:p w14:paraId="5ABB45AA" w14:textId="4FB99903" w:rsidR="004F3EED" w:rsidRPr="00227AE3" w:rsidRDefault="004F3EED" w:rsidP="004F3EED">
      <w:pPr>
        <w:spacing w:line="240" w:lineRule="auto"/>
        <w:jc w:val="both"/>
        <w:rPr>
          <w:rFonts w:asciiTheme="majorHAnsi" w:hAnsiTheme="majorHAnsi" w:cstheme="majorHAnsi"/>
          <w:lang w:val="en-US"/>
        </w:rPr>
      </w:pPr>
      <w:r w:rsidRPr="00227AE3">
        <w:rPr>
          <w:rFonts w:asciiTheme="majorHAnsi" w:hAnsiTheme="majorHAnsi" w:cstheme="majorHAnsi"/>
          <w:lang w:val="en-US"/>
        </w:rPr>
        <w:t>If the significance level is greater than 0.05, it is assumed that there are no significant differences in dropout factors between regular and irregular students. On the contrary, if the significance level is less than 0.05, it is assumed that there are significant differences. According to the results, there are no significant differences between regular and irregular students in the factors detailed.</w:t>
      </w:r>
    </w:p>
    <w:tbl>
      <w:tblPr>
        <w:tblStyle w:val="Tablaconcuadrcula"/>
        <w:tblW w:w="8498" w:type="dxa"/>
        <w:tblLook w:val="04A0" w:firstRow="1" w:lastRow="0" w:firstColumn="1" w:lastColumn="0" w:noHBand="0" w:noVBand="1"/>
      </w:tblPr>
      <w:tblGrid>
        <w:gridCol w:w="2217"/>
        <w:gridCol w:w="2113"/>
        <w:gridCol w:w="2243"/>
        <w:gridCol w:w="1925"/>
      </w:tblGrid>
      <w:tr w:rsidR="002359D8" w:rsidRPr="00227AE3" w14:paraId="69A428D5" w14:textId="77777777">
        <w:tc>
          <w:tcPr>
            <w:tcW w:w="8498" w:type="dxa"/>
            <w:gridSpan w:val="4"/>
            <w:tcBorders>
              <w:top w:val="nil"/>
              <w:left w:val="nil"/>
              <w:bottom w:val="nil"/>
              <w:right w:val="nil"/>
            </w:tcBorders>
          </w:tcPr>
          <w:p w14:paraId="2D907249" w14:textId="5417900B" w:rsidR="00514D09" w:rsidRDefault="00514D09">
            <w:pPr>
              <w:spacing w:line="276" w:lineRule="auto"/>
              <w:ind w:firstLine="0"/>
              <w:jc w:val="both"/>
              <w:rPr>
                <w:rFonts w:asciiTheme="majorHAnsi" w:hAnsiTheme="majorHAnsi" w:cstheme="majorHAnsi"/>
                <w:bCs/>
                <w:lang w:val="en-US"/>
              </w:rPr>
            </w:pPr>
          </w:p>
          <w:p w14:paraId="26FDE770" w14:textId="75A48DAC" w:rsidR="001138DF" w:rsidRDefault="001138DF">
            <w:pPr>
              <w:spacing w:line="276" w:lineRule="auto"/>
              <w:ind w:firstLine="0"/>
              <w:jc w:val="both"/>
              <w:rPr>
                <w:rFonts w:asciiTheme="majorHAnsi" w:hAnsiTheme="majorHAnsi" w:cstheme="majorHAnsi"/>
                <w:bCs/>
                <w:lang w:val="en-US"/>
              </w:rPr>
            </w:pPr>
          </w:p>
          <w:p w14:paraId="44DC0575" w14:textId="47CA2AA7" w:rsidR="001138DF" w:rsidRDefault="001138DF">
            <w:pPr>
              <w:spacing w:line="276" w:lineRule="auto"/>
              <w:ind w:firstLine="0"/>
              <w:jc w:val="both"/>
              <w:rPr>
                <w:rFonts w:asciiTheme="majorHAnsi" w:hAnsiTheme="majorHAnsi" w:cstheme="majorHAnsi"/>
                <w:bCs/>
                <w:lang w:val="en-US"/>
              </w:rPr>
            </w:pPr>
          </w:p>
          <w:p w14:paraId="31D317A5" w14:textId="0A3ED9A7" w:rsidR="001138DF" w:rsidRDefault="001138DF">
            <w:pPr>
              <w:spacing w:line="276" w:lineRule="auto"/>
              <w:ind w:firstLine="0"/>
              <w:jc w:val="both"/>
              <w:rPr>
                <w:rFonts w:asciiTheme="majorHAnsi" w:hAnsiTheme="majorHAnsi" w:cstheme="majorHAnsi"/>
                <w:bCs/>
                <w:lang w:val="en-US"/>
              </w:rPr>
            </w:pPr>
          </w:p>
          <w:p w14:paraId="2830A4CD" w14:textId="6D2F0ABC" w:rsidR="001138DF" w:rsidRDefault="001138DF">
            <w:pPr>
              <w:spacing w:line="276" w:lineRule="auto"/>
              <w:ind w:firstLine="0"/>
              <w:jc w:val="both"/>
              <w:rPr>
                <w:rFonts w:asciiTheme="majorHAnsi" w:hAnsiTheme="majorHAnsi" w:cstheme="majorHAnsi"/>
                <w:bCs/>
                <w:lang w:val="en-US"/>
              </w:rPr>
            </w:pPr>
          </w:p>
          <w:p w14:paraId="40BBCC54" w14:textId="7F9A7A12" w:rsidR="001138DF" w:rsidRDefault="001138DF">
            <w:pPr>
              <w:spacing w:line="276" w:lineRule="auto"/>
              <w:ind w:firstLine="0"/>
              <w:jc w:val="both"/>
              <w:rPr>
                <w:rFonts w:asciiTheme="majorHAnsi" w:hAnsiTheme="majorHAnsi" w:cstheme="majorHAnsi"/>
                <w:bCs/>
                <w:lang w:val="en-US"/>
              </w:rPr>
            </w:pPr>
          </w:p>
          <w:p w14:paraId="6449F049" w14:textId="03940228" w:rsidR="001138DF" w:rsidRDefault="001138DF">
            <w:pPr>
              <w:spacing w:line="276" w:lineRule="auto"/>
              <w:ind w:firstLine="0"/>
              <w:jc w:val="both"/>
              <w:rPr>
                <w:rFonts w:asciiTheme="majorHAnsi" w:hAnsiTheme="majorHAnsi" w:cstheme="majorHAnsi"/>
                <w:bCs/>
                <w:lang w:val="en-US"/>
              </w:rPr>
            </w:pPr>
          </w:p>
          <w:p w14:paraId="60235FA4" w14:textId="77777777" w:rsidR="001138DF" w:rsidRPr="00227AE3" w:rsidRDefault="001138DF">
            <w:pPr>
              <w:spacing w:line="276" w:lineRule="auto"/>
              <w:ind w:firstLine="0"/>
              <w:jc w:val="both"/>
              <w:rPr>
                <w:rFonts w:asciiTheme="majorHAnsi" w:hAnsiTheme="majorHAnsi" w:cstheme="majorHAnsi"/>
                <w:bCs/>
                <w:lang w:val="en-US"/>
              </w:rPr>
            </w:pPr>
          </w:p>
          <w:p w14:paraId="07FF5673" w14:textId="00768061" w:rsidR="002359D8" w:rsidRPr="00227AE3" w:rsidRDefault="004F3EED">
            <w:pPr>
              <w:spacing w:line="276" w:lineRule="auto"/>
              <w:ind w:firstLine="0"/>
              <w:jc w:val="both"/>
              <w:rPr>
                <w:rFonts w:asciiTheme="majorHAnsi" w:hAnsiTheme="majorHAnsi" w:cstheme="majorHAnsi"/>
                <w:bCs/>
                <w:lang w:val="en-US"/>
              </w:rPr>
            </w:pPr>
            <w:r w:rsidRPr="00227AE3">
              <w:rPr>
                <w:rFonts w:asciiTheme="majorHAnsi" w:hAnsiTheme="majorHAnsi" w:cstheme="majorHAnsi"/>
                <w:bCs/>
                <w:lang w:val="en-US"/>
              </w:rPr>
              <w:t>Table</w:t>
            </w:r>
            <w:r w:rsidR="00E522A8" w:rsidRPr="00227AE3">
              <w:rPr>
                <w:rFonts w:asciiTheme="majorHAnsi" w:hAnsiTheme="majorHAnsi" w:cstheme="majorHAnsi"/>
                <w:bCs/>
                <w:lang w:val="en-US"/>
              </w:rPr>
              <w:t xml:space="preserve"> 2</w:t>
            </w:r>
          </w:p>
        </w:tc>
      </w:tr>
      <w:tr w:rsidR="002359D8" w:rsidRPr="000F45AD" w14:paraId="1B69AA5D" w14:textId="77777777">
        <w:tc>
          <w:tcPr>
            <w:tcW w:w="8498" w:type="dxa"/>
            <w:gridSpan w:val="4"/>
            <w:tcBorders>
              <w:top w:val="nil"/>
              <w:left w:val="nil"/>
              <w:bottom w:val="single" w:sz="4" w:space="0" w:color="000000"/>
              <w:right w:val="nil"/>
            </w:tcBorders>
          </w:tcPr>
          <w:p w14:paraId="59BF4FEA" w14:textId="5E290E7D" w:rsidR="002359D8" w:rsidRPr="00227AE3" w:rsidRDefault="002A1549" w:rsidP="002A1549">
            <w:pPr>
              <w:spacing w:line="276" w:lineRule="auto"/>
              <w:ind w:firstLine="0"/>
              <w:jc w:val="both"/>
              <w:rPr>
                <w:rFonts w:asciiTheme="majorHAnsi" w:hAnsiTheme="majorHAnsi" w:cstheme="majorHAnsi"/>
                <w:i/>
                <w:iCs/>
                <w:lang w:val="en-US"/>
              </w:rPr>
            </w:pPr>
            <w:r w:rsidRPr="00227AE3">
              <w:rPr>
                <w:rFonts w:asciiTheme="majorHAnsi" w:hAnsiTheme="majorHAnsi" w:cstheme="majorHAnsi"/>
                <w:i/>
                <w:iCs/>
                <w:lang w:val="en-US"/>
              </w:rPr>
              <w:t>Comparison of f</w:t>
            </w:r>
            <w:r w:rsidR="004F3EED" w:rsidRPr="00227AE3">
              <w:rPr>
                <w:rFonts w:asciiTheme="majorHAnsi" w:hAnsiTheme="majorHAnsi" w:cstheme="majorHAnsi"/>
                <w:i/>
                <w:iCs/>
                <w:lang w:val="en-US"/>
              </w:rPr>
              <w:t xml:space="preserve">actors </w:t>
            </w:r>
            <w:r w:rsidRPr="00227AE3">
              <w:rPr>
                <w:rFonts w:asciiTheme="majorHAnsi" w:hAnsiTheme="majorHAnsi" w:cstheme="majorHAnsi"/>
                <w:i/>
                <w:iCs/>
                <w:lang w:val="en-US"/>
              </w:rPr>
              <w:t>a</w:t>
            </w:r>
            <w:r w:rsidR="004F3EED" w:rsidRPr="00227AE3">
              <w:rPr>
                <w:rFonts w:asciiTheme="majorHAnsi" w:hAnsiTheme="majorHAnsi" w:cstheme="majorHAnsi"/>
                <w:i/>
                <w:iCs/>
                <w:lang w:val="en-US"/>
              </w:rPr>
              <w:t xml:space="preserve">ssociated with </w:t>
            </w:r>
            <w:r w:rsidRPr="00227AE3">
              <w:rPr>
                <w:rFonts w:asciiTheme="majorHAnsi" w:hAnsiTheme="majorHAnsi" w:cstheme="majorHAnsi"/>
                <w:i/>
                <w:iCs/>
                <w:lang w:val="en-US"/>
              </w:rPr>
              <w:t>college d</w:t>
            </w:r>
            <w:r w:rsidR="004F3EED" w:rsidRPr="00227AE3">
              <w:rPr>
                <w:rFonts w:asciiTheme="majorHAnsi" w:hAnsiTheme="majorHAnsi" w:cstheme="majorHAnsi"/>
                <w:i/>
                <w:iCs/>
                <w:lang w:val="en-US"/>
              </w:rPr>
              <w:t xml:space="preserve">ropout </w:t>
            </w:r>
            <w:r w:rsidRPr="00227AE3">
              <w:rPr>
                <w:rFonts w:asciiTheme="majorHAnsi" w:hAnsiTheme="majorHAnsi" w:cstheme="majorHAnsi"/>
                <w:i/>
                <w:iCs/>
                <w:lang w:val="en-US"/>
              </w:rPr>
              <w:t>b</w:t>
            </w:r>
            <w:r w:rsidR="004F3EED" w:rsidRPr="00227AE3">
              <w:rPr>
                <w:rFonts w:asciiTheme="majorHAnsi" w:hAnsiTheme="majorHAnsi" w:cstheme="majorHAnsi"/>
                <w:i/>
                <w:iCs/>
                <w:lang w:val="en-US"/>
              </w:rPr>
              <w:t xml:space="preserve">etween </w:t>
            </w:r>
            <w:r w:rsidRPr="00227AE3">
              <w:rPr>
                <w:rFonts w:asciiTheme="majorHAnsi" w:hAnsiTheme="majorHAnsi" w:cstheme="majorHAnsi"/>
                <w:i/>
                <w:iCs/>
                <w:lang w:val="en-US"/>
              </w:rPr>
              <w:t>r</w:t>
            </w:r>
            <w:r w:rsidR="004F3EED" w:rsidRPr="00227AE3">
              <w:rPr>
                <w:rFonts w:asciiTheme="majorHAnsi" w:hAnsiTheme="majorHAnsi" w:cstheme="majorHAnsi"/>
                <w:i/>
                <w:iCs/>
                <w:lang w:val="en-US"/>
              </w:rPr>
              <w:t xml:space="preserve">egular and </w:t>
            </w:r>
            <w:r w:rsidRPr="00227AE3">
              <w:rPr>
                <w:rFonts w:asciiTheme="majorHAnsi" w:hAnsiTheme="majorHAnsi" w:cstheme="majorHAnsi"/>
                <w:i/>
                <w:iCs/>
                <w:lang w:val="en-US"/>
              </w:rPr>
              <w:t>i</w:t>
            </w:r>
            <w:r w:rsidR="004F3EED" w:rsidRPr="00227AE3">
              <w:rPr>
                <w:rFonts w:asciiTheme="majorHAnsi" w:hAnsiTheme="majorHAnsi" w:cstheme="majorHAnsi"/>
                <w:i/>
                <w:iCs/>
                <w:lang w:val="en-US"/>
              </w:rPr>
              <w:t>rregular Students</w:t>
            </w:r>
          </w:p>
        </w:tc>
      </w:tr>
      <w:tr w:rsidR="002359D8" w:rsidRPr="00227AE3" w14:paraId="6B421846" w14:textId="77777777">
        <w:tc>
          <w:tcPr>
            <w:tcW w:w="2217" w:type="dxa"/>
            <w:tcBorders>
              <w:top w:val="single" w:sz="4" w:space="0" w:color="000000"/>
              <w:left w:val="nil"/>
              <w:bottom w:val="single" w:sz="4" w:space="0" w:color="000000"/>
              <w:right w:val="nil"/>
            </w:tcBorders>
          </w:tcPr>
          <w:p w14:paraId="3FB969E8" w14:textId="77777777" w:rsidR="002359D8" w:rsidRPr="00227AE3" w:rsidRDefault="002359D8">
            <w:pPr>
              <w:spacing w:line="276" w:lineRule="auto"/>
              <w:ind w:firstLine="0"/>
              <w:jc w:val="both"/>
              <w:rPr>
                <w:rFonts w:asciiTheme="majorHAnsi" w:hAnsiTheme="majorHAnsi" w:cstheme="majorHAnsi"/>
                <w:lang w:val="en-US"/>
              </w:rPr>
            </w:pPr>
          </w:p>
        </w:tc>
        <w:tc>
          <w:tcPr>
            <w:tcW w:w="2113" w:type="dxa"/>
            <w:tcBorders>
              <w:top w:val="single" w:sz="4" w:space="0" w:color="000000"/>
              <w:left w:val="nil"/>
              <w:bottom w:val="single" w:sz="4" w:space="0" w:color="000000"/>
              <w:right w:val="nil"/>
            </w:tcBorders>
          </w:tcPr>
          <w:p w14:paraId="4720C4FE" w14:textId="77777777" w:rsidR="002359D8" w:rsidRPr="00227AE3" w:rsidRDefault="00E522A8">
            <w:pPr>
              <w:spacing w:line="276" w:lineRule="auto"/>
              <w:ind w:firstLine="0"/>
              <w:jc w:val="both"/>
              <w:rPr>
                <w:rFonts w:asciiTheme="majorHAnsi" w:hAnsiTheme="majorHAnsi" w:cstheme="majorHAnsi"/>
                <w:bCs/>
                <w:szCs w:val="20"/>
                <w:lang w:val="en-US"/>
              </w:rPr>
            </w:pPr>
            <w:r w:rsidRPr="00227AE3">
              <w:rPr>
                <w:rFonts w:asciiTheme="majorHAnsi" w:hAnsiTheme="majorHAnsi" w:cstheme="majorHAnsi"/>
                <w:bCs/>
                <w:szCs w:val="20"/>
                <w:lang w:val="en-US"/>
              </w:rPr>
              <w:t>U de Mann-Whitney</w:t>
            </w:r>
          </w:p>
        </w:tc>
        <w:tc>
          <w:tcPr>
            <w:tcW w:w="2243" w:type="dxa"/>
            <w:tcBorders>
              <w:top w:val="single" w:sz="4" w:space="0" w:color="000000"/>
              <w:left w:val="nil"/>
              <w:bottom w:val="single" w:sz="4" w:space="0" w:color="000000"/>
              <w:right w:val="nil"/>
            </w:tcBorders>
          </w:tcPr>
          <w:p w14:paraId="4F322AB3" w14:textId="580C7E5A" w:rsidR="002359D8" w:rsidRPr="00227AE3" w:rsidRDefault="00E522A8">
            <w:pPr>
              <w:spacing w:line="276" w:lineRule="auto"/>
              <w:ind w:firstLine="0"/>
              <w:jc w:val="both"/>
              <w:rPr>
                <w:rFonts w:asciiTheme="majorHAnsi" w:hAnsiTheme="majorHAnsi" w:cstheme="majorHAnsi"/>
                <w:bCs/>
                <w:szCs w:val="20"/>
                <w:lang w:val="en-US"/>
              </w:rPr>
            </w:pPr>
            <w:r w:rsidRPr="00227AE3">
              <w:rPr>
                <w:rFonts w:asciiTheme="majorHAnsi" w:hAnsiTheme="majorHAnsi" w:cstheme="majorHAnsi"/>
                <w:bCs/>
                <w:szCs w:val="20"/>
                <w:lang w:val="en-US"/>
              </w:rPr>
              <w:t>Z</w:t>
            </w:r>
            <w:r w:rsidR="002A1549" w:rsidRPr="00227AE3">
              <w:rPr>
                <w:rFonts w:asciiTheme="majorHAnsi" w:hAnsiTheme="majorHAnsi" w:cstheme="majorHAnsi"/>
                <w:bCs/>
                <w:szCs w:val="20"/>
                <w:lang w:val="en-US"/>
              </w:rPr>
              <w:t xml:space="preserve"> score</w:t>
            </w:r>
          </w:p>
        </w:tc>
        <w:tc>
          <w:tcPr>
            <w:tcW w:w="1925" w:type="dxa"/>
            <w:tcBorders>
              <w:top w:val="single" w:sz="4" w:space="0" w:color="000000"/>
              <w:left w:val="nil"/>
              <w:bottom w:val="single" w:sz="4" w:space="0" w:color="000000"/>
              <w:right w:val="nil"/>
            </w:tcBorders>
          </w:tcPr>
          <w:p w14:paraId="529CFA7B" w14:textId="0ED38004" w:rsidR="002359D8" w:rsidRPr="00227AE3" w:rsidRDefault="00CD7C71" w:rsidP="00CD7C71">
            <w:pPr>
              <w:spacing w:line="276" w:lineRule="auto"/>
              <w:ind w:firstLine="0"/>
              <w:jc w:val="both"/>
              <w:rPr>
                <w:rFonts w:asciiTheme="majorHAnsi" w:hAnsiTheme="majorHAnsi" w:cstheme="majorHAnsi"/>
                <w:bCs/>
                <w:szCs w:val="20"/>
                <w:lang w:val="en-US"/>
              </w:rPr>
            </w:pPr>
            <w:r w:rsidRPr="00227AE3">
              <w:rPr>
                <w:rFonts w:asciiTheme="majorHAnsi" w:hAnsiTheme="majorHAnsi" w:cstheme="majorHAnsi"/>
                <w:bCs/>
                <w:szCs w:val="20"/>
                <w:lang w:val="en-US"/>
              </w:rPr>
              <w:t>Asymptotic</w:t>
            </w:r>
            <w:r>
              <w:rPr>
                <w:rFonts w:asciiTheme="majorHAnsi" w:hAnsiTheme="majorHAnsi" w:cstheme="majorHAnsi"/>
                <w:bCs/>
                <w:szCs w:val="20"/>
                <w:lang w:val="en-US"/>
              </w:rPr>
              <w:t xml:space="preserve"> </w:t>
            </w:r>
            <w:r w:rsidR="00E522A8" w:rsidRPr="00227AE3">
              <w:rPr>
                <w:rFonts w:asciiTheme="majorHAnsi" w:hAnsiTheme="majorHAnsi" w:cstheme="majorHAnsi"/>
                <w:bCs/>
                <w:szCs w:val="20"/>
                <w:lang w:val="en-US"/>
              </w:rPr>
              <w:t>bilateral</w:t>
            </w:r>
            <w:r w:rsidR="002A1549" w:rsidRPr="00227AE3">
              <w:rPr>
                <w:rFonts w:asciiTheme="majorHAnsi" w:hAnsiTheme="majorHAnsi" w:cstheme="majorHAnsi"/>
                <w:bCs/>
                <w:szCs w:val="20"/>
                <w:lang w:val="en-US"/>
              </w:rPr>
              <w:t xml:space="preserve"> Sig.</w:t>
            </w:r>
          </w:p>
        </w:tc>
      </w:tr>
      <w:tr w:rsidR="002359D8" w:rsidRPr="00227AE3" w14:paraId="462113DE" w14:textId="77777777">
        <w:tc>
          <w:tcPr>
            <w:tcW w:w="2217" w:type="dxa"/>
            <w:tcBorders>
              <w:top w:val="single" w:sz="4" w:space="0" w:color="000000"/>
              <w:left w:val="nil"/>
              <w:bottom w:val="nil"/>
              <w:right w:val="nil"/>
            </w:tcBorders>
          </w:tcPr>
          <w:p w14:paraId="61AA1C3B"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FRPPU</w:t>
            </w:r>
          </w:p>
        </w:tc>
        <w:tc>
          <w:tcPr>
            <w:tcW w:w="2113" w:type="dxa"/>
            <w:tcBorders>
              <w:top w:val="single" w:sz="4" w:space="0" w:color="000000"/>
              <w:left w:val="nil"/>
              <w:bottom w:val="nil"/>
              <w:right w:val="nil"/>
            </w:tcBorders>
          </w:tcPr>
          <w:p w14:paraId="5609E55D"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10476,000</w:t>
            </w:r>
          </w:p>
        </w:tc>
        <w:tc>
          <w:tcPr>
            <w:tcW w:w="2243" w:type="dxa"/>
            <w:tcBorders>
              <w:top w:val="single" w:sz="4" w:space="0" w:color="000000"/>
              <w:left w:val="nil"/>
              <w:bottom w:val="nil"/>
              <w:right w:val="nil"/>
            </w:tcBorders>
          </w:tcPr>
          <w:p w14:paraId="54B10A22"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-1,478</w:t>
            </w:r>
          </w:p>
        </w:tc>
        <w:tc>
          <w:tcPr>
            <w:tcW w:w="1925" w:type="dxa"/>
            <w:tcBorders>
              <w:top w:val="single" w:sz="4" w:space="0" w:color="000000"/>
              <w:left w:val="nil"/>
              <w:bottom w:val="nil"/>
              <w:right w:val="nil"/>
            </w:tcBorders>
          </w:tcPr>
          <w:p w14:paraId="26DEA307"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,139</w:t>
            </w:r>
          </w:p>
        </w:tc>
      </w:tr>
      <w:tr w:rsidR="002359D8" w:rsidRPr="00227AE3" w14:paraId="6808A343" w14:textId="77777777">
        <w:tc>
          <w:tcPr>
            <w:tcW w:w="2217" w:type="dxa"/>
            <w:tcBorders>
              <w:top w:val="nil"/>
              <w:left w:val="nil"/>
              <w:bottom w:val="nil"/>
              <w:right w:val="nil"/>
            </w:tcBorders>
          </w:tcPr>
          <w:p w14:paraId="7E03FAB2"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FRCA</w:t>
            </w:r>
          </w:p>
        </w:tc>
        <w:tc>
          <w:tcPr>
            <w:tcW w:w="2113" w:type="dxa"/>
            <w:tcBorders>
              <w:top w:val="nil"/>
              <w:left w:val="nil"/>
              <w:bottom w:val="nil"/>
              <w:right w:val="nil"/>
            </w:tcBorders>
          </w:tcPr>
          <w:p w14:paraId="79B570B4"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7469,000</w:t>
            </w:r>
          </w:p>
        </w:tc>
        <w:tc>
          <w:tcPr>
            <w:tcW w:w="2243" w:type="dxa"/>
            <w:tcBorders>
              <w:top w:val="nil"/>
              <w:left w:val="nil"/>
              <w:bottom w:val="nil"/>
              <w:right w:val="nil"/>
            </w:tcBorders>
          </w:tcPr>
          <w:p w14:paraId="40B194EA"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-5,183</w:t>
            </w:r>
          </w:p>
        </w:tc>
        <w:tc>
          <w:tcPr>
            <w:tcW w:w="1925" w:type="dxa"/>
            <w:tcBorders>
              <w:top w:val="nil"/>
              <w:left w:val="nil"/>
              <w:bottom w:val="nil"/>
              <w:right w:val="nil"/>
            </w:tcBorders>
          </w:tcPr>
          <w:p w14:paraId="77AAA1A8"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,000</w:t>
            </w:r>
          </w:p>
        </w:tc>
      </w:tr>
      <w:tr w:rsidR="002359D8" w:rsidRPr="00227AE3" w14:paraId="3B48FEFE" w14:textId="77777777">
        <w:tc>
          <w:tcPr>
            <w:tcW w:w="2217" w:type="dxa"/>
            <w:tcBorders>
              <w:top w:val="nil"/>
              <w:left w:val="nil"/>
              <w:bottom w:val="nil"/>
              <w:right w:val="nil"/>
            </w:tcBorders>
          </w:tcPr>
          <w:p w14:paraId="2E6C3DA6"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FRAEI</w:t>
            </w:r>
          </w:p>
        </w:tc>
        <w:tc>
          <w:tcPr>
            <w:tcW w:w="2113" w:type="dxa"/>
            <w:tcBorders>
              <w:top w:val="nil"/>
              <w:left w:val="nil"/>
              <w:bottom w:val="nil"/>
              <w:right w:val="nil"/>
            </w:tcBorders>
          </w:tcPr>
          <w:p w14:paraId="0985C9E6"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9326,000</w:t>
            </w:r>
          </w:p>
        </w:tc>
        <w:tc>
          <w:tcPr>
            <w:tcW w:w="2243" w:type="dxa"/>
            <w:tcBorders>
              <w:top w:val="nil"/>
              <w:left w:val="nil"/>
              <w:bottom w:val="nil"/>
              <w:right w:val="nil"/>
            </w:tcBorders>
          </w:tcPr>
          <w:p w14:paraId="6C9F1FB2"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-2,881</w:t>
            </w:r>
          </w:p>
        </w:tc>
        <w:tc>
          <w:tcPr>
            <w:tcW w:w="1925" w:type="dxa"/>
            <w:tcBorders>
              <w:top w:val="nil"/>
              <w:left w:val="nil"/>
              <w:bottom w:val="nil"/>
              <w:right w:val="nil"/>
            </w:tcBorders>
          </w:tcPr>
          <w:p w14:paraId="2F8FD0C6"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,004</w:t>
            </w:r>
          </w:p>
        </w:tc>
      </w:tr>
      <w:tr w:rsidR="002359D8" w:rsidRPr="00227AE3" w14:paraId="31C19E97" w14:textId="77777777">
        <w:tc>
          <w:tcPr>
            <w:tcW w:w="2217" w:type="dxa"/>
            <w:tcBorders>
              <w:top w:val="nil"/>
              <w:left w:val="nil"/>
              <w:bottom w:val="nil"/>
              <w:right w:val="nil"/>
            </w:tcBorders>
          </w:tcPr>
          <w:p w14:paraId="7A6B1F8D"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FRAFP</w:t>
            </w:r>
          </w:p>
        </w:tc>
        <w:tc>
          <w:tcPr>
            <w:tcW w:w="2113" w:type="dxa"/>
            <w:tcBorders>
              <w:top w:val="nil"/>
              <w:left w:val="nil"/>
              <w:bottom w:val="nil"/>
              <w:right w:val="nil"/>
            </w:tcBorders>
          </w:tcPr>
          <w:p w14:paraId="7AA656C9"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9192,500</w:t>
            </w:r>
          </w:p>
        </w:tc>
        <w:tc>
          <w:tcPr>
            <w:tcW w:w="2243" w:type="dxa"/>
            <w:tcBorders>
              <w:top w:val="nil"/>
              <w:left w:val="nil"/>
              <w:bottom w:val="nil"/>
              <w:right w:val="nil"/>
            </w:tcBorders>
          </w:tcPr>
          <w:p w14:paraId="5A5C52E1"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-3,047</w:t>
            </w:r>
          </w:p>
        </w:tc>
        <w:tc>
          <w:tcPr>
            <w:tcW w:w="1925" w:type="dxa"/>
            <w:tcBorders>
              <w:top w:val="nil"/>
              <w:left w:val="nil"/>
              <w:bottom w:val="nil"/>
              <w:right w:val="nil"/>
            </w:tcBorders>
          </w:tcPr>
          <w:p w14:paraId="22E4774E"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,002</w:t>
            </w:r>
          </w:p>
        </w:tc>
      </w:tr>
      <w:tr w:rsidR="002359D8" w:rsidRPr="00227AE3" w14:paraId="62F6C6A1" w14:textId="77777777">
        <w:tc>
          <w:tcPr>
            <w:tcW w:w="2217" w:type="dxa"/>
            <w:tcBorders>
              <w:top w:val="nil"/>
              <w:left w:val="nil"/>
              <w:bottom w:val="nil"/>
              <w:right w:val="nil"/>
            </w:tcBorders>
          </w:tcPr>
          <w:p w14:paraId="6BEDC39F"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FRAE</w:t>
            </w:r>
          </w:p>
        </w:tc>
        <w:tc>
          <w:tcPr>
            <w:tcW w:w="2113" w:type="dxa"/>
            <w:tcBorders>
              <w:top w:val="nil"/>
              <w:left w:val="nil"/>
              <w:bottom w:val="nil"/>
              <w:right w:val="nil"/>
            </w:tcBorders>
          </w:tcPr>
          <w:p w14:paraId="1B769084"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10740,500</w:t>
            </w:r>
          </w:p>
        </w:tc>
        <w:tc>
          <w:tcPr>
            <w:tcW w:w="2243" w:type="dxa"/>
            <w:tcBorders>
              <w:top w:val="nil"/>
              <w:left w:val="nil"/>
              <w:bottom w:val="nil"/>
              <w:right w:val="nil"/>
            </w:tcBorders>
          </w:tcPr>
          <w:p w14:paraId="2E92E535"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-1,140</w:t>
            </w:r>
          </w:p>
        </w:tc>
        <w:tc>
          <w:tcPr>
            <w:tcW w:w="1925" w:type="dxa"/>
            <w:tcBorders>
              <w:top w:val="nil"/>
              <w:left w:val="nil"/>
              <w:bottom w:val="nil"/>
              <w:right w:val="nil"/>
            </w:tcBorders>
          </w:tcPr>
          <w:p w14:paraId="546FE025"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,254</w:t>
            </w:r>
          </w:p>
        </w:tc>
      </w:tr>
      <w:tr w:rsidR="002359D8" w:rsidRPr="00227AE3" w14:paraId="2AD22CFA" w14:textId="77777777">
        <w:tc>
          <w:tcPr>
            <w:tcW w:w="2217" w:type="dxa"/>
            <w:tcBorders>
              <w:top w:val="nil"/>
              <w:left w:val="nil"/>
              <w:bottom w:val="nil"/>
              <w:right w:val="nil"/>
            </w:tcBorders>
          </w:tcPr>
          <w:p w14:paraId="302EEA80"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FAAECC</w:t>
            </w:r>
          </w:p>
        </w:tc>
        <w:tc>
          <w:tcPr>
            <w:tcW w:w="2113" w:type="dxa"/>
            <w:tcBorders>
              <w:top w:val="nil"/>
              <w:left w:val="nil"/>
              <w:bottom w:val="nil"/>
              <w:right w:val="nil"/>
            </w:tcBorders>
          </w:tcPr>
          <w:p w14:paraId="12E70C71"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9984,000</w:t>
            </w:r>
          </w:p>
        </w:tc>
        <w:tc>
          <w:tcPr>
            <w:tcW w:w="2243" w:type="dxa"/>
            <w:tcBorders>
              <w:top w:val="nil"/>
              <w:left w:val="nil"/>
              <w:bottom w:val="nil"/>
              <w:right w:val="nil"/>
            </w:tcBorders>
          </w:tcPr>
          <w:p w14:paraId="44D4F9A8"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-2,069</w:t>
            </w:r>
          </w:p>
        </w:tc>
        <w:tc>
          <w:tcPr>
            <w:tcW w:w="1925" w:type="dxa"/>
            <w:tcBorders>
              <w:top w:val="nil"/>
              <w:left w:val="nil"/>
              <w:bottom w:val="nil"/>
              <w:right w:val="nil"/>
            </w:tcBorders>
          </w:tcPr>
          <w:p w14:paraId="397A7B1F"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,039</w:t>
            </w:r>
          </w:p>
        </w:tc>
      </w:tr>
      <w:tr w:rsidR="002359D8" w:rsidRPr="00227AE3" w14:paraId="0D79CF7B" w14:textId="77777777">
        <w:tc>
          <w:tcPr>
            <w:tcW w:w="2217" w:type="dxa"/>
            <w:tcBorders>
              <w:top w:val="nil"/>
              <w:left w:val="nil"/>
              <w:bottom w:val="nil"/>
              <w:right w:val="nil"/>
            </w:tcBorders>
          </w:tcPr>
          <w:p w14:paraId="5C144F0E"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FACMDC</w:t>
            </w:r>
          </w:p>
        </w:tc>
        <w:tc>
          <w:tcPr>
            <w:tcW w:w="2113" w:type="dxa"/>
            <w:tcBorders>
              <w:top w:val="nil"/>
              <w:left w:val="nil"/>
              <w:bottom w:val="nil"/>
              <w:right w:val="nil"/>
            </w:tcBorders>
          </w:tcPr>
          <w:p w14:paraId="1229BCEE"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11243,500</w:t>
            </w:r>
          </w:p>
        </w:tc>
        <w:tc>
          <w:tcPr>
            <w:tcW w:w="2243" w:type="dxa"/>
            <w:tcBorders>
              <w:top w:val="nil"/>
              <w:left w:val="nil"/>
              <w:bottom w:val="nil"/>
              <w:right w:val="nil"/>
            </w:tcBorders>
          </w:tcPr>
          <w:p w14:paraId="6641BF10"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-,518</w:t>
            </w:r>
          </w:p>
        </w:tc>
        <w:tc>
          <w:tcPr>
            <w:tcW w:w="1925" w:type="dxa"/>
            <w:tcBorders>
              <w:top w:val="nil"/>
              <w:left w:val="nil"/>
              <w:bottom w:val="nil"/>
              <w:right w:val="nil"/>
            </w:tcBorders>
          </w:tcPr>
          <w:p w14:paraId="034BC965"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,604</w:t>
            </w:r>
          </w:p>
        </w:tc>
      </w:tr>
      <w:tr w:rsidR="002359D8" w:rsidRPr="00227AE3" w14:paraId="0C8CD8D0" w14:textId="77777777">
        <w:tc>
          <w:tcPr>
            <w:tcW w:w="2217" w:type="dxa"/>
            <w:tcBorders>
              <w:top w:val="nil"/>
              <w:left w:val="nil"/>
              <w:bottom w:val="nil"/>
              <w:right w:val="nil"/>
            </w:tcBorders>
          </w:tcPr>
          <w:p w14:paraId="15196679"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FACT</w:t>
            </w:r>
          </w:p>
        </w:tc>
        <w:tc>
          <w:tcPr>
            <w:tcW w:w="2113" w:type="dxa"/>
            <w:tcBorders>
              <w:top w:val="nil"/>
              <w:left w:val="nil"/>
              <w:bottom w:val="nil"/>
              <w:right w:val="nil"/>
            </w:tcBorders>
          </w:tcPr>
          <w:p w14:paraId="0A7CF0B3"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10345,000</w:t>
            </w:r>
          </w:p>
        </w:tc>
        <w:tc>
          <w:tcPr>
            <w:tcW w:w="2243" w:type="dxa"/>
            <w:tcBorders>
              <w:top w:val="nil"/>
              <w:left w:val="nil"/>
              <w:bottom w:val="nil"/>
              <w:right w:val="nil"/>
            </w:tcBorders>
          </w:tcPr>
          <w:p w14:paraId="762AB41A"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-1,623</w:t>
            </w:r>
          </w:p>
        </w:tc>
        <w:tc>
          <w:tcPr>
            <w:tcW w:w="1925" w:type="dxa"/>
            <w:tcBorders>
              <w:top w:val="nil"/>
              <w:left w:val="nil"/>
              <w:bottom w:val="nil"/>
              <w:right w:val="nil"/>
            </w:tcBorders>
          </w:tcPr>
          <w:p w14:paraId="5F4C48AC"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,104</w:t>
            </w:r>
          </w:p>
        </w:tc>
      </w:tr>
      <w:tr w:rsidR="002359D8" w:rsidRPr="00227AE3" w14:paraId="5219DD43" w14:textId="77777777">
        <w:tc>
          <w:tcPr>
            <w:tcW w:w="2217" w:type="dxa"/>
            <w:tcBorders>
              <w:top w:val="nil"/>
              <w:left w:val="nil"/>
              <w:bottom w:val="single" w:sz="4" w:space="0" w:color="000000"/>
              <w:right w:val="nil"/>
            </w:tcBorders>
          </w:tcPr>
          <w:p w14:paraId="12664D60"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FAEPPE</w:t>
            </w:r>
          </w:p>
        </w:tc>
        <w:tc>
          <w:tcPr>
            <w:tcW w:w="2113" w:type="dxa"/>
            <w:tcBorders>
              <w:top w:val="nil"/>
              <w:left w:val="nil"/>
              <w:bottom w:val="single" w:sz="4" w:space="0" w:color="000000"/>
              <w:right w:val="nil"/>
            </w:tcBorders>
          </w:tcPr>
          <w:p w14:paraId="79B31CFC"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7768,000</w:t>
            </w:r>
          </w:p>
        </w:tc>
        <w:tc>
          <w:tcPr>
            <w:tcW w:w="2243" w:type="dxa"/>
            <w:tcBorders>
              <w:top w:val="nil"/>
              <w:left w:val="nil"/>
              <w:bottom w:val="single" w:sz="4" w:space="0" w:color="000000"/>
              <w:right w:val="nil"/>
            </w:tcBorders>
          </w:tcPr>
          <w:p w14:paraId="676BE9D4"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-4,799</w:t>
            </w:r>
          </w:p>
        </w:tc>
        <w:tc>
          <w:tcPr>
            <w:tcW w:w="1925" w:type="dxa"/>
            <w:tcBorders>
              <w:top w:val="nil"/>
              <w:left w:val="nil"/>
              <w:bottom w:val="single" w:sz="4" w:space="0" w:color="000000"/>
              <w:right w:val="nil"/>
            </w:tcBorders>
          </w:tcPr>
          <w:p w14:paraId="31F654A4" w14:textId="77777777" w:rsidR="002359D8" w:rsidRPr="00227AE3" w:rsidRDefault="00E522A8">
            <w:pPr>
              <w:spacing w:line="276" w:lineRule="auto"/>
              <w:ind w:firstLine="0"/>
              <w:jc w:val="both"/>
              <w:rPr>
                <w:rFonts w:asciiTheme="majorHAnsi" w:hAnsiTheme="majorHAnsi" w:cstheme="majorHAnsi"/>
                <w:lang w:val="en-US"/>
              </w:rPr>
            </w:pPr>
            <w:r w:rsidRPr="00227AE3">
              <w:rPr>
                <w:rFonts w:asciiTheme="majorHAnsi" w:hAnsiTheme="majorHAnsi" w:cstheme="majorHAnsi"/>
                <w:lang w:val="en-US"/>
              </w:rPr>
              <w:t>,000</w:t>
            </w:r>
          </w:p>
        </w:tc>
      </w:tr>
    </w:tbl>
    <w:p w14:paraId="454A2A55" w14:textId="77777777" w:rsidR="002359D8" w:rsidRPr="00227AE3" w:rsidRDefault="002359D8">
      <w:pPr>
        <w:spacing w:line="240" w:lineRule="auto"/>
        <w:jc w:val="both"/>
        <w:rPr>
          <w:rFonts w:asciiTheme="majorHAnsi" w:hAnsiTheme="majorHAnsi" w:cstheme="majorHAnsi"/>
          <w:lang w:val="en-US"/>
        </w:rPr>
      </w:pPr>
    </w:p>
    <w:p w14:paraId="0DEDD791" w14:textId="58A993C4" w:rsidR="002A1549" w:rsidRPr="00227AE3" w:rsidRDefault="002A1549">
      <w:pPr>
        <w:spacing w:line="240" w:lineRule="auto"/>
        <w:jc w:val="both"/>
        <w:rPr>
          <w:rFonts w:asciiTheme="majorHAnsi" w:hAnsiTheme="majorHAnsi" w:cstheme="majorHAnsi"/>
          <w:lang w:val="en-US"/>
        </w:rPr>
      </w:pPr>
      <w:r w:rsidRPr="00227AE3">
        <w:rPr>
          <w:rFonts w:asciiTheme="majorHAnsi" w:hAnsiTheme="majorHAnsi" w:cstheme="majorHAnsi"/>
          <w:lang w:val="en-US"/>
        </w:rPr>
        <w:t>These are the values for the factors associated with technical quality (P value 0.104&gt; 0.050), the factors related to pre-university preparation (P value 0.139&gt; 0.050), the factors related to economic aspects (P value 0.254&gt; 0.050) and the factors associated with the didactic methodological quality of the course (P value 0.604&gt; 0.050).</w:t>
      </w:r>
    </w:p>
    <w:p w14:paraId="21C5F447" w14:textId="4101E57E" w:rsidR="001138DF" w:rsidRDefault="002A1549">
      <w:pPr>
        <w:spacing w:line="240" w:lineRule="auto"/>
        <w:jc w:val="both"/>
        <w:rPr>
          <w:rFonts w:asciiTheme="majorHAnsi" w:hAnsiTheme="majorHAnsi" w:cstheme="majorHAnsi"/>
          <w:lang w:val="en-US"/>
        </w:rPr>
      </w:pPr>
      <w:r w:rsidRPr="00227AE3">
        <w:rPr>
          <w:rFonts w:asciiTheme="majorHAnsi" w:hAnsiTheme="majorHAnsi" w:cstheme="majorHAnsi"/>
          <w:lang w:val="en-US"/>
        </w:rPr>
        <w:t>On the other hand, there are significant differences (Table 2) between regular and irregular students, where the last ones score higher than regular s</w:t>
      </w:r>
      <w:r w:rsidR="001138DF">
        <w:rPr>
          <w:rFonts w:asciiTheme="majorHAnsi" w:hAnsiTheme="majorHAnsi" w:cstheme="majorHAnsi"/>
          <w:lang w:val="en-US"/>
        </w:rPr>
        <w:t>tudents in most of the factors:</w:t>
      </w:r>
      <w:r w:rsidR="001138DF" w:rsidRPr="001138DF">
        <w:rPr>
          <w:rFonts w:asciiTheme="majorHAnsi" w:hAnsiTheme="majorHAnsi" w:cstheme="majorHAnsi"/>
          <w:lang w:val="en-US"/>
        </w:rPr>
        <w:t xml:space="preserve"> factors related to the academic year to which they enrolled (p = 0.000); factors associated with the educational and institutional environment (p = 0.004); factors related to the family and personal environment (p = 0.002); factors associated with the evaluation of the quality of courses (p = 0.039); and in the factors associated with the evaluation of the student's personal profile (p = 0.000).</w:t>
      </w:r>
    </w:p>
    <w:p w14:paraId="23030A17" w14:textId="77777777" w:rsidR="001138DF" w:rsidRDefault="001138DF">
      <w:pPr>
        <w:spacing w:line="240" w:lineRule="auto"/>
        <w:jc w:val="both"/>
        <w:rPr>
          <w:rFonts w:asciiTheme="majorHAnsi" w:hAnsiTheme="majorHAnsi" w:cstheme="majorHAnsi"/>
          <w:lang w:val="en-US"/>
        </w:rPr>
      </w:pPr>
    </w:p>
    <w:p w14:paraId="2E1FA13E" w14:textId="0E798DCF" w:rsidR="002A1549" w:rsidRPr="00227AE3" w:rsidRDefault="002A1549">
      <w:pPr>
        <w:spacing w:line="240" w:lineRule="auto"/>
        <w:jc w:val="both"/>
        <w:rPr>
          <w:rFonts w:asciiTheme="majorHAnsi" w:hAnsiTheme="majorHAnsi" w:cstheme="majorHAnsi"/>
          <w:lang w:val="en-US"/>
        </w:rPr>
      </w:pPr>
    </w:p>
    <w:tbl>
      <w:tblPr>
        <w:tblStyle w:val="Tablaconcuadrcula"/>
        <w:tblW w:w="8498" w:type="dxa"/>
        <w:tblLook w:val="04A0" w:firstRow="1" w:lastRow="0" w:firstColumn="1" w:lastColumn="0" w:noHBand="0" w:noVBand="1"/>
      </w:tblPr>
      <w:tblGrid>
        <w:gridCol w:w="1828"/>
        <w:gridCol w:w="1780"/>
        <w:gridCol w:w="1721"/>
        <w:gridCol w:w="1638"/>
        <w:gridCol w:w="1531"/>
      </w:tblGrid>
      <w:tr w:rsidR="002359D8" w:rsidRPr="00227AE3" w14:paraId="1AF0BB3C" w14:textId="77777777">
        <w:tc>
          <w:tcPr>
            <w:tcW w:w="8498" w:type="dxa"/>
            <w:gridSpan w:val="5"/>
            <w:tcBorders>
              <w:top w:val="nil"/>
              <w:left w:val="nil"/>
              <w:bottom w:val="nil"/>
              <w:right w:val="nil"/>
            </w:tcBorders>
          </w:tcPr>
          <w:p w14:paraId="0B8225CC" w14:textId="5ECEDC0F" w:rsidR="002359D8" w:rsidRPr="00227AE3" w:rsidRDefault="00E522A8" w:rsidP="00805C12">
            <w:pPr>
              <w:spacing w:line="480" w:lineRule="auto"/>
              <w:ind w:firstLine="0"/>
              <w:jc w:val="both"/>
              <w:rPr>
                <w:rFonts w:asciiTheme="majorHAnsi" w:hAnsiTheme="majorHAnsi" w:cstheme="majorHAnsi"/>
                <w:bCs/>
                <w:sz w:val="22"/>
                <w:szCs w:val="22"/>
                <w:lang w:val="en-US"/>
              </w:rPr>
            </w:pPr>
            <w:r w:rsidRPr="00227AE3">
              <w:rPr>
                <w:rFonts w:asciiTheme="majorHAnsi" w:hAnsiTheme="majorHAnsi" w:cstheme="majorHAnsi"/>
                <w:bCs/>
                <w:sz w:val="22"/>
                <w:szCs w:val="22"/>
                <w:lang w:val="en-US"/>
              </w:rPr>
              <w:t>Tabl</w:t>
            </w:r>
            <w:r w:rsidR="00805C12" w:rsidRPr="00227AE3">
              <w:rPr>
                <w:rFonts w:asciiTheme="majorHAnsi" w:hAnsiTheme="majorHAnsi" w:cstheme="majorHAnsi"/>
                <w:bCs/>
                <w:sz w:val="22"/>
                <w:szCs w:val="22"/>
                <w:lang w:val="en-US"/>
              </w:rPr>
              <w:t>e</w:t>
            </w:r>
            <w:r w:rsidRPr="00227AE3">
              <w:rPr>
                <w:rFonts w:asciiTheme="majorHAnsi" w:hAnsiTheme="majorHAnsi" w:cstheme="majorHAnsi"/>
                <w:bCs/>
                <w:sz w:val="22"/>
                <w:szCs w:val="22"/>
                <w:lang w:val="en-US"/>
              </w:rPr>
              <w:t xml:space="preserve"> 3</w:t>
            </w:r>
          </w:p>
        </w:tc>
      </w:tr>
      <w:tr w:rsidR="002359D8" w:rsidRPr="000F45AD" w14:paraId="10984BDF" w14:textId="77777777">
        <w:tc>
          <w:tcPr>
            <w:tcW w:w="8498" w:type="dxa"/>
            <w:gridSpan w:val="5"/>
            <w:tcBorders>
              <w:top w:val="nil"/>
              <w:left w:val="nil"/>
              <w:bottom w:val="single" w:sz="4" w:space="0" w:color="000000"/>
              <w:right w:val="nil"/>
            </w:tcBorders>
          </w:tcPr>
          <w:p w14:paraId="204BA226" w14:textId="7DF8E0E6" w:rsidR="002359D8" w:rsidRPr="00227AE3" w:rsidRDefault="00805C12" w:rsidP="00805C12">
            <w:pPr>
              <w:spacing w:line="276" w:lineRule="auto"/>
              <w:ind w:firstLine="0"/>
              <w:jc w:val="both"/>
              <w:rPr>
                <w:rFonts w:asciiTheme="majorHAnsi" w:hAnsiTheme="majorHAnsi" w:cstheme="majorHAnsi"/>
                <w:i/>
                <w:iCs/>
                <w:sz w:val="22"/>
                <w:szCs w:val="22"/>
                <w:lang w:val="en-US"/>
              </w:rPr>
            </w:pPr>
            <w:r w:rsidRPr="00227AE3">
              <w:rPr>
                <w:rFonts w:asciiTheme="majorHAnsi" w:hAnsiTheme="majorHAnsi" w:cstheme="majorHAnsi"/>
                <w:i/>
                <w:iCs/>
                <w:sz w:val="22"/>
                <w:szCs w:val="22"/>
                <w:lang w:val="en-US"/>
              </w:rPr>
              <w:t>Comparison of factor profiles according to whether they are regular or irregular students</w:t>
            </w:r>
          </w:p>
        </w:tc>
      </w:tr>
      <w:tr w:rsidR="002359D8" w:rsidRPr="00227AE3" w14:paraId="0421D03B" w14:textId="77777777">
        <w:tc>
          <w:tcPr>
            <w:tcW w:w="1828" w:type="dxa"/>
            <w:tcBorders>
              <w:top w:val="single" w:sz="4" w:space="0" w:color="000000"/>
              <w:left w:val="nil"/>
              <w:bottom w:val="single" w:sz="4" w:space="0" w:color="000000"/>
              <w:right w:val="nil"/>
            </w:tcBorders>
          </w:tcPr>
          <w:p w14:paraId="3DA3691A" w14:textId="77777777" w:rsidR="002359D8" w:rsidRPr="00227AE3" w:rsidRDefault="002359D8">
            <w:pPr>
              <w:spacing w:line="276" w:lineRule="auto"/>
              <w:ind w:firstLine="0"/>
              <w:jc w:val="both"/>
              <w:rPr>
                <w:rFonts w:asciiTheme="majorHAnsi" w:hAnsiTheme="majorHAnsi" w:cstheme="majorHAnsi"/>
                <w:sz w:val="22"/>
                <w:szCs w:val="22"/>
                <w:lang w:val="en-US"/>
              </w:rPr>
            </w:pPr>
          </w:p>
        </w:tc>
        <w:tc>
          <w:tcPr>
            <w:tcW w:w="1780" w:type="dxa"/>
            <w:tcBorders>
              <w:top w:val="single" w:sz="4" w:space="0" w:color="000000"/>
              <w:left w:val="nil"/>
              <w:bottom w:val="single" w:sz="4" w:space="0" w:color="000000"/>
              <w:right w:val="nil"/>
            </w:tcBorders>
          </w:tcPr>
          <w:p w14:paraId="4103E209" w14:textId="46360C32" w:rsidR="002359D8" w:rsidRPr="00227AE3" w:rsidRDefault="00805C12">
            <w:pPr>
              <w:spacing w:line="276" w:lineRule="auto"/>
              <w:ind w:firstLine="0"/>
              <w:jc w:val="both"/>
              <w:rPr>
                <w:rFonts w:asciiTheme="majorHAnsi" w:hAnsiTheme="majorHAnsi" w:cstheme="majorHAnsi"/>
                <w:bCs/>
                <w:sz w:val="22"/>
                <w:szCs w:val="22"/>
                <w:lang w:val="en-US"/>
              </w:rPr>
            </w:pPr>
            <w:r w:rsidRPr="00227AE3">
              <w:rPr>
                <w:rFonts w:asciiTheme="majorHAnsi" w:hAnsiTheme="majorHAnsi" w:cstheme="majorHAnsi"/>
                <w:bCs/>
                <w:sz w:val="22"/>
                <w:szCs w:val="22"/>
                <w:lang w:val="en-US"/>
              </w:rPr>
              <w:t>Academic situation</w:t>
            </w:r>
          </w:p>
        </w:tc>
        <w:tc>
          <w:tcPr>
            <w:tcW w:w="1721" w:type="dxa"/>
            <w:tcBorders>
              <w:top w:val="single" w:sz="4" w:space="0" w:color="000000"/>
              <w:left w:val="nil"/>
              <w:bottom w:val="single" w:sz="4" w:space="0" w:color="000000"/>
              <w:right w:val="nil"/>
            </w:tcBorders>
          </w:tcPr>
          <w:p w14:paraId="4D035A12" w14:textId="77777777" w:rsidR="002359D8" w:rsidRPr="00227AE3" w:rsidRDefault="00E522A8">
            <w:pPr>
              <w:spacing w:line="276" w:lineRule="auto"/>
              <w:ind w:firstLine="0"/>
              <w:jc w:val="both"/>
              <w:rPr>
                <w:rFonts w:asciiTheme="majorHAnsi" w:hAnsiTheme="majorHAnsi" w:cstheme="majorHAnsi"/>
                <w:bCs/>
                <w:sz w:val="22"/>
                <w:szCs w:val="22"/>
                <w:lang w:val="en-US"/>
              </w:rPr>
            </w:pPr>
            <w:r w:rsidRPr="00227AE3">
              <w:rPr>
                <w:rFonts w:asciiTheme="majorHAnsi" w:hAnsiTheme="majorHAnsi" w:cstheme="majorHAnsi"/>
                <w:bCs/>
                <w:sz w:val="22"/>
                <w:szCs w:val="22"/>
                <w:lang w:val="en-US"/>
              </w:rPr>
              <w:t xml:space="preserve">      Nº</w:t>
            </w:r>
          </w:p>
        </w:tc>
        <w:tc>
          <w:tcPr>
            <w:tcW w:w="1638" w:type="dxa"/>
            <w:tcBorders>
              <w:top w:val="single" w:sz="4" w:space="0" w:color="000000"/>
              <w:left w:val="nil"/>
              <w:bottom w:val="single" w:sz="4" w:space="0" w:color="000000"/>
              <w:right w:val="nil"/>
            </w:tcBorders>
          </w:tcPr>
          <w:p w14:paraId="14A34679" w14:textId="62E2DB3D" w:rsidR="002359D8" w:rsidRPr="00227AE3" w:rsidRDefault="00805C12">
            <w:pPr>
              <w:spacing w:line="276" w:lineRule="auto"/>
              <w:ind w:firstLine="0"/>
              <w:jc w:val="both"/>
              <w:rPr>
                <w:rFonts w:asciiTheme="majorHAnsi" w:hAnsiTheme="majorHAnsi" w:cstheme="majorHAnsi"/>
                <w:bCs/>
                <w:sz w:val="22"/>
                <w:szCs w:val="22"/>
                <w:lang w:val="en-US"/>
              </w:rPr>
            </w:pPr>
            <w:r w:rsidRPr="00227AE3">
              <w:rPr>
                <w:rFonts w:asciiTheme="majorHAnsi" w:hAnsiTheme="majorHAnsi" w:cstheme="majorHAnsi"/>
                <w:bCs/>
                <w:sz w:val="22"/>
                <w:szCs w:val="22"/>
                <w:lang w:val="en-US"/>
              </w:rPr>
              <w:t>Aver</w:t>
            </w:r>
            <w:r w:rsidR="00CD7C71">
              <w:rPr>
                <w:rFonts w:asciiTheme="majorHAnsi" w:hAnsiTheme="majorHAnsi" w:cstheme="majorHAnsi"/>
                <w:bCs/>
                <w:sz w:val="22"/>
                <w:szCs w:val="22"/>
                <w:lang w:val="en-US"/>
              </w:rPr>
              <w:t>a</w:t>
            </w:r>
            <w:r w:rsidRPr="00227AE3">
              <w:rPr>
                <w:rFonts w:asciiTheme="majorHAnsi" w:hAnsiTheme="majorHAnsi" w:cstheme="majorHAnsi"/>
                <w:bCs/>
                <w:sz w:val="22"/>
                <w:szCs w:val="22"/>
                <w:lang w:val="en-US"/>
              </w:rPr>
              <w:t>ge range</w:t>
            </w:r>
          </w:p>
        </w:tc>
        <w:tc>
          <w:tcPr>
            <w:tcW w:w="1531" w:type="dxa"/>
            <w:tcBorders>
              <w:top w:val="single" w:sz="4" w:space="0" w:color="000000"/>
              <w:left w:val="nil"/>
              <w:bottom w:val="single" w:sz="4" w:space="0" w:color="000000"/>
              <w:right w:val="nil"/>
            </w:tcBorders>
          </w:tcPr>
          <w:p w14:paraId="56D352F1" w14:textId="044DE595" w:rsidR="002359D8" w:rsidRPr="00227AE3" w:rsidRDefault="00805C12" w:rsidP="00805C12">
            <w:pPr>
              <w:spacing w:line="276" w:lineRule="auto"/>
              <w:ind w:firstLine="0"/>
              <w:jc w:val="both"/>
              <w:rPr>
                <w:rFonts w:asciiTheme="majorHAnsi" w:hAnsiTheme="majorHAnsi" w:cstheme="majorHAnsi"/>
                <w:bCs/>
                <w:sz w:val="22"/>
                <w:szCs w:val="22"/>
                <w:lang w:val="en-US"/>
              </w:rPr>
            </w:pPr>
            <w:r w:rsidRPr="00227AE3">
              <w:rPr>
                <w:rFonts w:asciiTheme="majorHAnsi" w:hAnsiTheme="majorHAnsi" w:cstheme="majorHAnsi"/>
                <w:bCs/>
                <w:sz w:val="22"/>
                <w:szCs w:val="22"/>
                <w:lang w:val="en-US"/>
              </w:rPr>
              <w:t>Sum of Ranges</w:t>
            </w:r>
          </w:p>
        </w:tc>
      </w:tr>
      <w:tr w:rsidR="002359D8" w:rsidRPr="00227AE3" w14:paraId="5B43A98A" w14:textId="77777777">
        <w:tc>
          <w:tcPr>
            <w:tcW w:w="1828" w:type="dxa"/>
            <w:vMerge w:val="restart"/>
            <w:tcBorders>
              <w:top w:val="single" w:sz="4" w:space="0" w:color="000000"/>
              <w:left w:val="nil"/>
              <w:bottom w:val="nil"/>
              <w:right w:val="nil"/>
            </w:tcBorders>
            <w:vAlign w:val="center"/>
          </w:tcPr>
          <w:p w14:paraId="203E1165"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FRPPU</w:t>
            </w:r>
          </w:p>
        </w:tc>
        <w:tc>
          <w:tcPr>
            <w:tcW w:w="1780" w:type="dxa"/>
            <w:tcBorders>
              <w:top w:val="single" w:sz="4" w:space="0" w:color="000000"/>
              <w:left w:val="nil"/>
              <w:bottom w:val="nil"/>
              <w:right w:val="nil"/>
            </w:tcBorders>
          </w:tcPr>
          <w:p w14:paraId="082E1EBF"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single" w:sz="4" w:space="0" w:color="000000"/>
              <w:left w:val="nil"/>
              <w:bottom w:val="nil"/>
              <w:right w:val="nil"/>
            </w:tcBorders>
          </w:tcPr>
          <w:p w14:paraId="6C5E2AB3"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single" w:sz="4" w:space="0" w:color="000000"/>
              <w:left w:val="nil"/>
              <w:bottom w:val="nil"/>
              <w:right w:val="nil"/>
            </w:tcBorders>
          </w:tcPr>
          <w:p w14:paraId="73990066"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165,11</w:t>
            </w:r>
          </w:p>
        </w:tc>
        <w:tc>
          <w:tcPr>
            <w:tcW w:w="1531" w:type="dxa"/>
            <w:tcBorders>
              <w:top w:val="single" w:sz="4" w:space="0" w:color="000000"/>
              <w:left w:val="nil"/>
              <w:bottom w:val="nil"/>
              <w:right w:val="nil"/>
            </w:tcBorders>
          </w:tcPr>
          <w:p w14:paraId="4FB12E22"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40122,00</w:t>
            </w:r>
          </w:p>
        </w:tc>
      </w:tr>
      <w:tr w:rsidR="002359D8" w:rsidRPr="00227AE3" w14:paraId="2300C7D0" w14:textId="77777777">
        <w:tc>
          <w:tcPr>
            <w:tcW w:w="1828" w:type="dxa"/>
            <w:vMerge/>
            <w:tcBorders>
              <w:top w:val="nil"/>
              <w:left w:val="nil"/>
              <w:bottom w:val="nil"/>
              <w:right w:val="nil"/>
            </w:tcBorders>
            <w:vAlign w:val="center"/>
          </w:tcPr>
          <w:p w14:paraId="4DCBEF25"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23A23A61"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21A67036"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092B7A59"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182,38</w:t>
            </w:r>
          </w:p>
        </w:tc>
        <w:tc>
          <w:tcPr>
            <w:tcW w:w="1531" w:type="dxa"/>
            <w:tcBorders>
              <w:top w:val="nil"/>
              <w:left w:val="nil"/>
              <w:bottom w:val="nil"/>
              <w:right w:val="nil"/>
            </w:tcBorders>
          </w:tcPr>
          <w:p w14:paraId="64015AA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17508,00</w:t>
            </w:r>
          </w:p>
        </w:tc>
      </w:tr>
      <w:tr w:rsidR="002359D8" w:rsidRPr="00227AE3" w14:paraId="2542C4BF" w14:textId="77777777">
        <w:tc>
          <w:tcPr>
            <w:tcW w:w="1828" w:type="dxa"/>
            <w:vMerge w:val="restart"/>
            <w:tcBorders>
              <w:top w:val="nil"/>
              <w:left w:val="nil"/>
              <w:bottom w:val="nil"/>
              <w:right w:val="nil"/>
            </w:tcBorders>
            <w:vAlign w:val="center"/>
          </w:tcPr>
          <w:p w14:paraId="6FFE410A"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FRCA</w:t>
            </w:r>
          </w:p>
        </w:tc>
        <w:tc>
          <w:tcPr>
            <w:tcW w:w="1780" w:type="dxa"/>
            <w:tcBorders>
              <w:top w:val="nil"/>
              <w:left w:val="nil"/>
              <w:bottom w:val="nil"/>
              <w:right w:val="nil"/>
            </w:tcBorders>
          </w:tcPr>
          <w:p w14:paraId="08120B9B"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3753ED3C"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29C0EBEB"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152,74</w:t>
            </w:r>
          </w:p>
        </w:tc>
        <w:tc>
          <w:tcPr>
            <w:tcW w:w="1531" w:type="dxa"/>
            <w:tcBorders>
              <w:top w:val="nil"/>
              <w:left w:val="nil"/>
              <w:bottom w:val="nil"/>
              <w:right w:val="nil"/>
            </w:tcBorders>
          </w:tcPr>
          <w:p w14:paraId="69275708"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37115,00</w:t>
            </w:r>
          </w:p>
        </w:tc>
      </w:tr>
      <w:tr w:rsidR="002359D8" w:rsidRPr="00227AE3" w14:paraId="623A15AC" w14:textId="77777777">
        <w:tc>
          <w:tcPr>
            <w:tcW w:w="1828" w:type="dxa"/>
            <w:vMerge/>
            <w:tcBorders>
              <w:top w:val="nil"/>
              <w:left w:val="nil"/>
              <w:bottom w:val="nil"/>
              <w:right w:val="nil"/>
            </w:tcBorders>
            <w:vAlign w:val="center"/>
          </w:tcPr>
          <w:p w14:paraId="0D828A03"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63F55886"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5651F8CD"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21C2AE6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213,70</w:t>
            </w:r>
          </w:p>
        </w:tc>
        <w:tc>
          <w:tcPr>
            <w:tcW w:w="1531" w:type="dxa"/>
            <w:tcBorders>
              <w:top w:val="nil"/>
              <w:left w:val="nil"/>
              <w:bottom w:val="nil"/>
              <w:right w:val="nil"/>
            </w:tcBorders>
          </w:tcPr>
          <w:p w14:paraId="44AAA99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20515,00</w:t>
            </w:r>
          </w:p>
        </w:tc>
      </w:tr>
      <w:tr w:rsidR="002359D8" w:rsidRPr="00227AE3" w14:paraId="0AF0BF9F" w14:textId="77777777">
        <w:tc>
          <w:tcPr>
            <w:tcW w:w="1828" w:type="dxa"/>
            <w:vMerge w:val="restart"/>
            <w:tcBorders>
              <w:top w:val="nil"/>
              <w:left w:val="nil"/>
              <w:bottom w:val="nil"/>
              <w:right w:val="nil"/>
            </w:tcBorders>
            <w:vAlign w:val="center"/>
          </w:tcPr>
          <w:p w14:paraId="695E4A50"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FRAEI</w:t>
            </w:r>
          </w:p>
        </w:tc>
        <w:tc>
          <w:tcPr>
            <w:tcW w:w="1780" w:type="dxa"/>
            <w:tcBorders>
              <w:top w:val="nil"/>
              <w:left w:val="nil"/>
              <w:bottom w:val="nil"/>
              <w:right w:val="nil"/>
            </w:tcBorders>
          </w:tcPr>
          <w:p w14:paraId="6155CF4E"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33FEC0EC"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4F3BF28D"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160,38</w:t>
            </w:r>
          </w:p>
        </w:tc>
        <w:tc>
          <w:tcPr>
            <w:tcW w:w="1531" w:type="dxa"/>
            <w:tcBorders>
              <w:top w:val="nil"/>
              <w:left w:val="nil"/>
              <w:bottom w:val="nil"/>
              <w:right w:val="nil"/>
            </w:tcBorders>
          </w:tcPr>
          <w:p w14:paraId="49D4FCBD"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38972,00</w:t>
            </w:r>
          </w:p>
        </w:tc>
      </w:tr>
      <w:tr w:rsidR="002359D8" w:rsidRPr="00227AE3" w14:paraId="5A705B6B" w14:textId="77777777">
        <w:tc>
          <w:tcPr>
            <w:tcW w:w="1828" w:type="dxa"/>
            <w:vMerge/>
            <w:tcBorders>
              <w:top w:val="nil"/>
              <w:left w:val="nil"/>
              <w:bottom w:val="nil"/>
              <w:right w:val="nil"/>
            </w:tcBorders>
            <w:vAlign w:val="center"/>
          </w:tcPr>
          <w:p w14:paraId="50F3EBE3"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38AD34FD"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67D6995C"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2EC65B41"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194,35</w:t>
            </w:r>
          </w:p>
        </w:tc>
        <w:tc>
          <w:tcPr>
            <w:tcW w:w="1531" w:type="dxa"/>
            <w:tcBorders>
              <w:top w:val="nil"/>
              <w:left w:val="nil"/>
              <w:bottom w:val="nil"/>
              <w:right w:val="nil"/>
            </w:tcBorders>
          </w:tcPr>
          <w:p w14:paraId="0AA7979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18658,00</w:t>
            </w:r>
          </w:p>
        </w:tc>
      </w:tr>
      <w:tr w:rsidR="002359D8" w:rsidRPr="00227AE3" w14:paraId="35EEE239" w14:textId="77777777">
        <w:tc>
          <w:tcPr>
            <w:tcW w:w="1828" w:type="dxa"/>
            <w:vMerge w:val="restart"/>
            <w:tcBorders>
              <w:top w:val="nil"/>
              <w:left w:val="nil"/>
              <w:bottom w:val="nil"/>
              <w:right w:val="nil"/>
            </w:tcBorders>
            <w:vAlign w:val="center"/>
          </w:tcPr>
          <w:p w14:paraId="236FFB9A"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FRAFP</w:t>
            </w:r>
          </w:p>
        </w:tc>
        <w:tc>
          <w:tcPr>
            <w:tcW w:w="1780" w:type="dxa"/>
            <w:tcBorders>
              <w:top w:val="nil"/>
              <w:left w:val="nil"/>
              <w:bottom w:val="nil"/>
              <w:right w:val="nil"/>
            </w:tcBorders>
          </w:tcPr>
          <w:p w14:paraId="1A1413B8"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0F454C58"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708E7EEB"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159,83</w:t>
            </w:r>
          </w:p>
        </w:tc>
        <w:tc>
          <w:tcPr>
            <w:tcW w:w="1531" w:type="dxa"/>
            <w:tcBorders>
              <w:top w:val="nil"/>
              <w:left w:val="nil"/>
              <w:bottom w:val="nil"/>
              <w:right w:val="nil"/>
            </w:tcBorders>
          </w:tcPr>
          <w:p w14:paraId="25A7EAFE"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38838,50</w:t>
            </w:r>
          </w:p>
        </w:tc>
      </w:tr>
      <w:tr w:rsidR="002359D8" w:rsidRPr="00227AE3" w14:paraId="605D92B0" w14:textId="77777777">
        <w:tc>
          <w:tcPr>
            <w:tcW w:w="1828" w:type="dxa"/>
            <w:vMerge/>
            <w:tcBorders>
              <w:top w:val="nil"/>
              <w:left w:val="nil"/>
              <w:bottom w:val="nil"/>
              <w:right w:val="nil"/>
            </w:tcBorders>
            <w:vAlign w:val="center"/>
          </w:tcPr>
          <w:p w14:paraId="28697748"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7111BF13"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50DC2567"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2893B0AB"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195,74</w:t>
            </w:r>
          </w:p>
        </w:tc>
        <w:tc>
          <w:tcPr>
            <w:tcW w:w="1531" w:type="dxa"/>
            <w:tcBorders>
              <w:top w:val="nil"/>
              <w:left w:val="nil"/>
              <w:bottom w:val="nil"/>
              <w:right w:val="nil"/>
            </w:tcBorders>
          </w:tcPr>
          <w:p w14:paraId="44ED5834"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18791,50</w:t>
            </w:r>
          </w:p>
        </w:tc>
      </w:tr>
      <w:tr w:rsidR="002359D8" w:rsidRPr="00227AE3" w14:paraId="7EF5651E" w14:textId="77777777">
        <w:tc>
          <w:tcPr>
            <w:tcW w:w="1828" w:type="dxa"/>
            <w:vMerge w:val="restart"/>
            <w:tcBorders>
              <w:top w:val="nil"/>
              <w:left w:val="nil"/>
              <w:bottom w:val="nil"/>
              <w:right w:val="nil"/>
            </w:tcBorders>
            <w:vAlign w:val="center"/>
          </w:tcPr>
          <w:p w14:paraId="00D154F0"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FRAE</w:t>
            </w:r>
          </w:p>
        </w:tc>
        <w:tc>
          <w:tcPr>
            <w:tcW w:w="1780" w:type="dxa"/>
            <w:tcBorders>
              <w:top w:val="nil"/>
              <w:left w:val="nil"/>
              <w:bottom w:val="nil"/>
              <w:right w:val="nil"/>
            </w:tcBorders>
          </w:tcPr>
          <w:p w14:paraId="79B43D59"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12A26816"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7B7FD075"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166,20</w:t>
            </w:r>
          </w:p>
        </w:tc>
        <w:tc>
          <w:tcPr>
            <w:tcW w:w="1531" w:type="dxa"/>
            <w:tcBorders>
              <w:top w:val="nil"/>
              <w:left w:val="nil"/>
              <w:bottom w:val="nil"/>
              <w:right w:val="nil"/>
            </w:tcBorders>
          </w:tcPr>
          <w:p w14:paraId="716D08BE"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40386,50</w:t>
            </w:r>
          </w:p>
        </w:tc>
      </w:tr>
      <w:tr w:rsidR="002359D8" w:rsidRPr="00227AE3" w14:paraId="7B2BA929" w14:textId="77777777">
        <w:tc>
          <w:tcPr>
            <w:tcW w:w="1828" w:type="dxa"/>
            <w:vMerge/>
            <w:tcBorders>
              <w:top w:val="nil"/>
              <w:left w:val="nil"/>
              <w:bottom w:val="nil"/>
              <w:right w:val="nil"/>
            </w:tcBorders>
            <w:vAlign w:val="center"/>
          </w:tcPr>
          <w:p w14:paraId="27353918"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3FDC17AC"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79850609"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7F457E54"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179,62</w:t>
            </w:r>
          </w:p>
        </w:tc>
        <w:tc>
          <w:tcPr>
            <w:tcW w:w="1531" w:type="dxa"/>
            <w:tcBorders>
              <w:top w:val="nil"/>
              <w:left w:val="nil"/>
              <w:bottom w:val="nil"/>
              <w:right w:val="nil"/>
            </w:tcBorders>
          </w:tcPr>
          <w:p w14:paraId="280C4E7C"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17243,50</w:t>
            </w:r>
          </w:p>
        </w:tc>
      </w:tr>
      <w:tr w:rsidR="002359D8" w:rsidRPr="00227AE3" w14:paraId="0D02F945" w14:textId="77777777">
        <w:tc>
          <w:tcPr>
            <w:tcW w:w="1828" w:type="dxa"/>
            <w:vMerge w:val="restart"/>
            <w:tcBorders>
              <w:top w:val="nil"/>
              <w:left w:val="nil"/>
              <w:bottom w:val="nil"/>
              <w:right w:val="nil"/>
            </w:tcBorders>
            <w:vAlign w:val="center"/>
          </w:tcPr>
          <w:p w14:paraId="550579FC"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FAAECC</w:t>
            </w:r>
          </w:p>
        </w:tc>
        <w:tc>
          <w:tcPr>
            <w:tcW w:w="1780" w:type="dxa"/>
            <w:tcBorders>
              <w:top w:val="nil"/>
              <w:left w:val="nil"/>
              <w:bottom w:val="nil"/>
              <w:right w:val="nil"/>
            </w:tcBorders>
          </w:tcPr>
          <w:p w14:paraId="4E25AE8F"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16A68103"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0CB01A7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163,09</w:t>
            </w:r>
          </w:p>
        </w:tc>
        <w:tc>
          <w:tcPr>
            <w:tcW w:w="1531" w:type="dxa"/>
            <w:tcBorders>
              <w:top w:val="nil"/>
              <w:left w:val="nil"/>
              <w:bottom w:val="nil"/>
              <w:right w:val="nil"/>
            </w:tcBorders>
          </w:tcPr>
          <w:p w14:paraId="5AF53BC6"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39630,00</w:t>
            </w:r>
          </w:p>
        </w:tc>
      </w:tr>
      <w:tr w:rsidR="002359D8" w:rsidRPr="00227AE3" w14:paraId="573308E6" w14:textId="77777777">
        <w:tc>
          <w:tcPr>
            <w:tcW w:w="1828" w:type="dxa"/>
            <w:vMerge/>
            <w:tcBorders>
              <w:top w:val="nil"/>
              <w:left w:val="nil"/>
              <w:bottom w:val="nil"/>
              <w:right w:val="nil"/>
            </w:tcBorders>
            <w:vAlign w:val="center"/>
          </w:tcPr>
          <w:p w14:paraId="4621737B"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0C57FDFE"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26B7B79E"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710BE0AB"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187,50</w:t>
            </w:r>
          </w:p>
        </w:tc>
        <w:tc>
          <w:tcPr>
            <w:tcW w:w="1531" w:type="dxa"/>
            <w:tcBorders>
              <w:top w:val="nil"/>
              <w:left w:val="nil"/>
              <w:bottom w:val="nil"/>
              <w:right w:val="nil"/>
            </w:tcBorders>
          </w:tcPr>
          <w:p w14:paraId="6FB6E9C4"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18000,00</w:t>
            </w:r>
          </w:p>
        </w:tc>
      </w:tr>
      <w:tr w:rsidR="002359D8" w:rsidRPr="00227AE3" w14:paraId="6EAE4293" w14:textId="77777777">
        <w:tc>
          <w:tcPr>
            <w:tcW w:w="1828" w:type="dxa"/>
            <w:vMerge w:val="restart"/>
            <w:tcBorders>
              <w:top w:val="nil"/>
              <w:left w:val="nil"/>
              <w:bottom w:val="nil"/>
              <w:right w:val="nil"/>
            </w:tcBorders>
            <w:vAlign w:val="center"/>
          </w:tcPr>
          <w:p w14:paraId="5BE953C4"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FACMDC</w:t>
            </w:r>
          </w:p>
        </w:tc>
        <w:tc>
          <w:tcPr>
            <w:tcW w:w="1780" w:type="dxa"/>
            <w:tcBorders>
              <w:top w:val="nil"/>
              <w:left w:val="nil"/>
              <w:bottom w:val="nil"/>
              <w:right w:val="nil"/>
            </w:tcBorders>
          </w:tcPr>
          <w:p w14:paraId="213F7BD8"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1B7EC7B1"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69BF89F2"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168,27</w:t>
            </w:r>
          </w:p>
        </w:tc>
        <w:tc>
          <w:tcPr>
            <w:tcW w:w="1531" w:type="dxa"/>
            <w:tcBorders>
              <w:top w:val="nil"/>
              <w:left w:val="nil"/>
              <w:bottom w:val="nil"/>
              <w:right w:val="nil"/>
            </w:tcBorders>
          </w:tcPr>
          <w:p w14:paraId="741BEF0A"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40889,50</w:t>
            </w:r>
          </w:p>
        </w:tc>
      </w:tr>
      <w:tr w:rsidR="002359D8" w:rsidRPr="00227AE3" w14:paraId="4EB84E97" w14:textId="77777777">
        <w:tc>
          <w:tcPr>
            <w:tcW w:w="1828" w:type="dxa"/>
            <w:vMerge/>
            <w:tcBorders>
              <w:top w:val="nil"/>
              <w:left w:val="nil"/>
              <w:bottom w:val="nil"/>
              <w:right w:val="nil"/>
            </w:tcBorders>
            <w:vAlign w:val="center"/>
          </w:tcPr>
          <w:p w14:paraId="2E3CE9A1"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71DB9270"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0F8DC16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4C4284C8"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174,38</w:t>
            </w:r>
          </w:p>
        </w:tc>
        <w:tc>
          <w:tcPr>
            <w:tcW w:w="1531" w:type="dxa"/>
            <w:tcBorders>
              <w:top w:val="nil"/>
              <w:left w:val="nil"/>
              <w:bottom w:val="nil"/>
              <w:right w:val="nil"/>
            </w:tcBorders>
          </w:tcPr>
          <w:p w14:paraId="2EECD51C"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16740,50</w:t>
            </w:r>
          </w:p>
        </w:tc>
      </w:tr>
      <w:tr w:rsidR="002359D8" w:rsidRPr="00227AE3" w14:paraId="080E5ED5" w14:textId="77777777">
        <w:tc>
          <w:tcPr>
            <w:tcW w:w="1828" w:type="dxa"/>
            <w:vMerge w:val="restart"/>
            <w:tcBorders>
              <w:top w:val="nil"/>
              <w:left w:val="nil"/>
              <w:bottom w:val="nil"/>
              <w:right w:val="nil"/>
            </w:tcBorders>
            <w:vAlign w:val="center"/>
          </w:tcPr>
          <w:p w14:paraId="0FABD245"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FACT</w:t>
            </w:r>
          </w:p>
        </w:tc>
        <w:tc>
          <w:tcPr>
            <w:tcW w:w="1780" w:type="dxa"/>
            <w:tcBorders>
              <w:top w:val="nil"/>
              <w:left w:val="nil"/>
              <w:bottom w:val="nil"/>
              <w:right w:val="nil"/>
            </w:tcBorders>
          </w:tcPr>
          <w:p w14:paraId="4DAE6B9F"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37638256"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7F8BF355"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164,57</w:t>
            </w:r>
          </w:p>
        </w:tc>
        <w:tc>
          <w:tcPr>
            <w:tcW w:w="1531" w:type="dxa"/>
            <w:tcBorders>
              <w:top w:val="nil"/>
              <w:left w:val="nil"/>
              <w:bottom w:val="nil"/>
              <w:right w:val="nil"/>
            </w:tcBorders>
          </w:tcPr>
          <w:p w14:paraId="3702F8C5"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39991,00</w:t>
            </w:r>
          </w:p>
        </w:tc>
      </w:tr>
      <w:tr w:rsidR="002359D8" w:rsidRPr="00227AE3" w14:paraId="6CB2FEBD" w14:textId="77777777">
        <w:tc>
          <w:tcPr>
            <w:tcW w:w="1828" w:type="dxa"/>
            <w:vMerge/>
            <w:tcBorders>
              <w:top w:val="nil"/>
              <w:left w:val="nil"/>
              <w:bottom w:val="nil"/>
              <w:right w:val="nil"/>
            </w:tcBorders>
            <w:vAlign w:val="center"/>
          </w:tcPr>
          <w:p w14:paraId="2A58CCE0" w14:textId="77777777" w:rsidR="002359D8" w:rsidRPr="00227AE3" w:rsidRDefault="002359D8">
            <w:pPr>
              <w:rPr>
                <w:rFonts w:asciiTheme="majorHAnsi" w:hAnsiTheme="majorHAnsi" w:cstheme="majorHAnsi"/>
                <w:lang w:val="en-US"/>
              </w:rPr>
            </w:pPr>
          </w:p>
        </w:tc>
        <w:tc>
          <w:tcPr>
            <w:tcW w:w="1780" w:type="dxa"/>
            <w:tcBorders>
              <w:top w:val="nil"/>
              <w:left w:val="nil"/>
              <w:bottom w:val="nil"/>
              <w:right w:val="nil"/>
            </w:tcBorders>
          </w:tcPr>
          <w:p w14:paraId="2BB86965"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nil"/>
              <w:right w:val="nil"/>
            </w:tcBorders>
          </w:tcPr>
          <w:p w14:paraId="5CB00E1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nil"/>
              <w:right w:val="nil"/>
            </w:tcBorders>
          </w:tcPr>
          <w:p w14:paraId="691AB192"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183,74</w:t>
            </w:r>
          </w:p>
        </w:tc>
        <w:tc>
          <w:tcPr>
            <w:tcW w:w="1531" w:type="dxa"/>
            <w:tcBorders>
              <w:top w:val="nil"/>
              <w:left w:val="nil"/>
              <w:bottom w:val="nil"/>
              <w:right w:val="nil"/>
            </w:tcBorders>
          </w:tcPr>
          <w:p w14:paraId="401B26F9"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17639,00</w:t>
            </w:r>
          </w:p>
        </w:tc>
      </w:tr>
      <w:tr w:rsidR="002359D8" w:rsidRPr="00227AE3" w14:paraId="1B7F94F4" w14:textId="77777777">
        <w:tc>
          <w:tcPr>
            <w:tcW w:w="1828" w:type="dxa"/>
            <w:vMerge w:val="restart"/>
            <w:tcBorders>
              <w:top w:val="nil"/>
              <w:left w:val="nil"/>
              <w:bottom w:val="nil"/>
              <w:right w:val="nil"/>
            </w:tcBorders>
            <w:vAlign w:val="center"/>
          </w:tcPr>
          <w:p w14:paraId="29E38229"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FAEPPE</w:t>
            </w:r>
          </w:p>
        </w:tc>
        <w:tc>
          <w:tcPr>
            <w:tcW w:w="1780" w:type="dxa"/>
            <w:tcBorders>
              <w:top w:val="nil"/>
              <w:left w:val="nil"/>
              <w:bottom w:val="nil"/>
              <w:right w:val="nil"/>
            </w:tcBorders>
          </w:tcPr>
          <w:p w14:paraId="18052F25"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Regular</w:t>
            </w:r>
          </w:p>
        </w:tc>
        <w:tc>
          <w:tcPr>
            <w:tcW w:w="1721" w:type="dxa"/>
            <w:tcBorders>
              <w:top w:val="nil"/>
              <w:left w:val="nil"/>
              <w:bottom w:val="nil"/>
              <w:right w:val="nil"/>
            </w:tcBorders>
          </w:tcPr>
          <w:p w14:paraId="19EE6686"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243</w:t>
            </w:r>
          </w:p>
        </w:tc>
        <w:tc>
          <w:tcPr>
            <w:tcW w:w="1638" w:type="dxa"/>
            <w:tcBorders>
              <w:top w:val="nil"/>
              <w:left w:val="nil"/>
              <w:bottom w:val="nil"/>
              <w:right w:val="nil"/>
            </w:tcBorders>
          </w:tcPr>
          <w:p w14:paraId="69DFF27A"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153,97</w:t>
            </w:r>
          </w:p>
        </w:tc>
        <w:tc>
          <w:tcPr>
            <w:tcW w:w="1531" w:type="dxa"/>
            <w:tcBorders>
              <w:top w:val="nil"/>
              <w:left w:val="nil"/>
              <w:bottom w:val="nil"/>
              <w:right w:val="nil"/>
            </w:tcBorders>
          </w:tcPr>
          <w:p w14:paraId="4F661D51"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37414,00</w:t>
            </w:r>
          </w:p>
        </w:tc>
      </w:tr>
      <w:tr w:rsidR="002359D8" w:rsidRPr="00227AE3" w14:paraId="2907FB75" w14:textId="77777777">
        <w:tc>
          <w:tcPr>
            <w:tcW w:w="1828" w:type="dxa"/>
            <w:vMerge/>
            <w:tcBorders>
              <w:top w:val="nil"/>
              <w:left w:val="nil"/>
              <w:bottom w:val="single" w:sz="4" w:space="0" w:color="000000"/>
              <w:right w:val="nil"/>
            </w:tcBorders>
          </w:tcPr>
          <w:p w14:paraId="08821708" w14:textId="77777777" w:rsidR="002359D8" w:rsidRPr="00227AE3" w:rsidRDefault="002359D8">
            <w:pPr>
              <w:rPr>
                <w:rFonts w:asciiTheme="majorHAnsi" w:hAnsiTheme="majorHAnsi" w:cstheme="majorHAnsi"/>
                <w:lang w:val="en-US"/>
              </w:rPr>
            </w:pPr>
          </w:p>
        </w:tc>
        <w:tc>
          <w:tcPr>
            <w:tcW w:w="1780" w:type="dxa"/>
            <w:tcBorders>
              <w:top w:val="nil"/>
              <w:left w:val="nil"/>
              <w:bottom w:val="single" w:sz="4" w:space="0" w:color="000000"/>
              <w:right w:val="nil"/>
            </w:tcBorders>
          </w:tcPr>
          <w:p w14:paraId="01BA3ED7" w14:textId="77777777" w:rsidR="002359D8" w:rsidRPr="00227AE3" w:rsidRDefault="00E522A8">
            <w:pPr>
              <w:spacing w:line="276" w:lineRule="auto"/>
              <w:ind w:firstLine="0"/>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Irregular</w:t>
            </w:r>
          </w:p>
        </w:tc>
        <w:tc>
          <w:tcPr>
            <w:tcW w:w="1721" w:type="dxa"/>
            <w:tcBorders>
              <w:top w:val="nil"/>
              <w:left w:val="nil"/>
              <w:bottom w:val="single" w:sz="4" w:space="0" w:color="000000"/>
              <w:right w:val="nil"/>
            </w:tcBorders>
          </w:tcPr>
          <w:p w14:paraId="610962AB"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96</w:t>
            </w:r>
          </w:p>
        </w:tc>
        <w:tc>
          <w:tcPr>
            <w:tcW w:w="1638" w:type="dxa"/>
            <w:tcBorders>
              <w:top w:val="nil"/>
              <w:left w:val="nil"/>
              <w:bottom w:val="single" w:sz="4" w:space="0" w:color="000000"/>
              <w:right w:val="nil"/>
            </w:tcBorders>
          </w:tcPr>
          <w:p w14:paraId="401B2C8A"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210,58</w:t>
            </w:r>
          </w:p>
        </w:tc>
        <w:tc>
          <w:tcPr>
            <w:tcW w:w="1531" w:type="dxa"/>
            <w:tcBorders>
              <w:top w:val="nil"/>
              <w:left w:val="nil"/>
              <w:bottom w:val="single" w:sz="4" w:space="0" w:color="000000"/>
              <w:right w:val="nil"/>
            </w:tcBorders>
          </w:tcPr>
          <w:p w14:paraId="6D88829F" w14:textId="77777777" w:rsidR="002359D8" w:rsidRPr="00227AE3" w:rsidRDefault="00E522A8">
            <w:pPr>
              <w:spacing w:line="276" w:lineRule="auto"/>
              <w:jc w:val="both"/>
              <w:rPr>
                <w:rFonts w:asciiTheme="majorHAnsi" w:hAnsiTheme="majorHAnsi" w:cstheme="majorHAnsi"/>
                <w:sz w:val="22"/>
                <w:szCs w:val="22"/>
                <w:lang w:val="en-US"/>
              </w:rPr>
            </w:pPr>
            <w:r w:rsidRPr="00227AE3">
              <w:rPr>
                <w:rFonts w:asciiTheme="majorHAnsi" w:hAnsiTheme="majorHAnsi" w:cstheme="majorHAnsi"/>
                <w:sz w:val="22"/>
                <w:szCs w:val="22"/>
                <w:lang w:val="en-US"/>
              </w:rPr>
              <w:t>20216,00</w:t>
            </w:r>
          </w:p>
        </w:tc>
      </w:tr>
    </w:tbl>
    <w:p w14:paraId="32468E59" w14:textId="77777777" w:rsidR="002359D8" w:rsidRPr="00227AE3" w:rsidRDefault="002359D8">
      <w:pPr>
        <w:spacing w:line="240" w:lineRule="auto"/>
        <w:jc w:val="both"/>
        <w:rPr>
          <w:rFonts w:asciiTheme="majorHAnsi" w:hAnsiTheme="majorHAnsi" w:cstheme="majorHAnsi"/>
          <w:lang w:val="en-US"/>
        </w:rPr>
      </w:pPr>
    </w:p>
    <w:p w14:paraId="479CE67A" w14:textId="6942A5F8" w:rsidR="00805C12" w:rsidRPr="00227AE3" w:rsidRDefault="00805C12">
      <w:pPr>
        <w:spacing w:line="240" w:lineRule="auto"/>
        <w:jc w:val="both"/>
        <w:rPr>
          <w:rFonts w:asciiTheme="majorHAnsi" w:hAnsiTheme="majorHAnsi" w:cstheme="majorHAnsi"/>
          <w:lang w:val="en-US"/>
        </w:rPr>
      </w:pPr>
    </w:p>
    <w:p w14:paraId="70BE773E" w14:textId="62CDAE1B" w:rsidR="00805C12" w:rsidRPr="00227AE3" w:rsidRDefault="00805C12" w:rsidP="00805C12">
      <w:pPr>
        <w:spacing w:line="240" w:lineRule="auto"/>
        <w:jc w:val="both"/>
        <w:rPr>
          <w:rFonts w:asciiTheme="majorHAnsi" w:hAnsiTheme="majorHAnsi" w:cstheme="majorHAnsi"/>
          <w:lang w:val="en-US"/>
        </w:rPr>
      </w:pPr>
      <w:r w:rsidRPr="00227AE3">
        <w:rPr>
          <w:rFonts w:asciiTheme="majorHAnsi" w:hAnsiTheme="majorHAnsi" w:cstheme="majorHAnsi"/>
          <w:lang w:val="en-US"/>
        </w:rPr>
        <w:lastRenderedPageBreak/>
        <w:t xml:space="preserve">This indicates that dropout factors are perceived as more unfavorable, with greater intensity and determinism in the population of irregular students. These data agree with the study carried out by Eckert and </w:t>
      </w:r>
      <w:proofErr w:type="spellStart"/>
      <w:r w:rsidRPr="00227AE3">
        <w:rPr>
          <w:rFonts w:asciiTheme="majorHAnsi" w:hAnsiTheme="majorHAnsi" w:cstheme="majorHAnsi"/>
          <w:lang w:val="en-US"/>
        </w:rPr>
        <w:t>Suénaga</w:t>
      </w:r>
      <w:proofErr w:type="spellEnd"/>
      <w:r w:rsidRPr="00227AE3">
        <w:rPr>
          <w:rFonts w:asciiTheme="majorHAnsi" w:hAnsiTheme="majorHAnsi" w:cstheme="majorHAnsi"/>
          <w:lang w:val="en-US"/>
        </w:rPr>
        <w:t xml:space="preserve"> (2015) where an inverse relation was found between dropout and the approved subjects. Also agrees with Coppari, et al</w:t>
      </w:r>
      <w:r w:rsidR="00A50015" w:rsidRPr="00227AE3">
        <w:rPr>
          <w:rFonts w:asciiTheme="majorHAnsi" w:hAnsiTheme="majorHAnsi" w:cstheme="majorHAnsi"/>
          <w:lang w:val="en-US"/>
        </w:rPr>
        <w:t>.</w:t>
      </w:r>
      <w:r w:rsidRPr="00227AE3">
        <w:rPr>
          <w:rFonts w:asciiTheme="majorHAnsi" w:hAnsiTheme="majorHAnsi" w:cstheme="majorHAnsi"/>
          <w:lang w:val="en-US"/>
        </w:rPr>
        <w:t xml:space="preserve"> (2019) that links the factors associated with the academic year with low averages and repetition.</w:t>
      </w:r>
    </w:p>
    <w:p w14:paraId="3CE5F828" w14:textId="7ACF02F9" w:rsidR="00805C12" w:rsidRPr="00227AE3" w:rsidRDefault="00805C12" w:rsidP="00805C12">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To calculate the reliability of the instrument, the reliability calculation was </w:t>
      </w:r>
      <w:r w:rsidR="008B669F" w:rsidRPr="00227AE3">
        <w:rPr>
          <w:rFonts w:asciiTheme="majorHAnsi" w:hAnsiTheme="majorHAnsi" w:cstheme="majorHAnsi"/>
          <w:lang w:val="en-US"/>
        </w:rPr>
        <w:t>made</w:t>
      </w:r>
      <w:r w:rsidRPr="00227AE3">
        <w:rPr>
          <w:rFonts w:asciiTheme="majorHAnsi" w:hAnsiTheme="majorHAnsi" w:cstheme="majorHAnsi"/>
          <w:lang w:val="en-US"/>
        </w:rPr>
        <w:t xml:space="preserve"> with Cronbach's Alpha (Table 4), analyzing the 80 items that correspond to the total of the instrument, subtracting the items that correspond to the sociodemographic data; and resu</w:t>
      </w:r>
      <w:r w:rsidR="008B669F" w:rsidRPr="00227AE3">
        <w:rPr>
          <w:rFonts w:asciiTheme="majorHAnsi" w:hAnsiTheme="majorHAnsi" w:cstheme="majorHAnsi"/>
          <w:lang w:val="en-US"/>
        </w:rPr>
        <w:t xml:space="preserve">lted in a coefficient of 0.941 </w:t>
      </w:r>
      <w:r w:rsidR="00CD7C71" w:rsidRPr="00227AE3">
        <w:rPr>
          <w:rFonts w:asciiTheme="majorHAnsi" w:hAnsiTheme="majorHAnsi" w:cstheme="majorHAnsi"/>
          <w:lang w:val="en-US"/>
        </w:rPr>
        <w:t>which</w:t>
      </w:r>
      <w:r w:rsidR="008B669F" w:rsidRPr="00227AE3">
        <w:rPr>
          <w:rFonts w:asciiTheme="majorHAnsi" w:hAnsiTheme="majorHAnsi" w:cstheme="majorHAnsi"/>
          <w:lang w:val="en-US"/>
        </w:rPr>
        <w:t xml:space="preserve"> indicates</w:t>
      </w:r>
      <w:r w:rsidRPr="00227AE3">
        <w:rPr>
          <w:rFonts w:asciiTheme="majorHAnsi" w:hAnsiTheme="majorHAnsi" w:cstheme="majorHAnsi"/>
          <w:lang w:val="en-US"/>
        </w:rPr>
        <w:t xml:space="preserve"> a high level of reliability.</w:t>
      </w:r>
    </w:p>
    <w:tbl>
      <w:tblPr>
        <w:tblStyle w:val="Tablaconcuadrcula"/>
        <w:tblW w:w="8488" w:type="dxa"/>
        <w:tblLook w:val="04A0" w:firstRow="1" w:lastRow="0" w:firstColumn="1" w:lastColumn="0" w:noHBand="0" w:noVBand="1"/>
      </w:tblPr>
      <w:tblGrid>
        <w:gridCol w:w="4244"/>
        <w:gridCol w:w="4244"/>
      </w:tblGrid>
      <w:tr w:rsidR="002359D8" w:rsidRPr="000F45AD" w14:paraId="5248B3A9" w14:textId="77777777">
        <w:trPr>
          <w:trHeight w:val="293"/>
        </w:trPr>
        <w:tc>
          <w:tcPr>
            <w:tcW w:w="8488" w:type="dxa"/>
            <w:gridSpan w:val="2"/>
            <w:tcBorders>
              <w:top w:val="nil"/>
              <w:left w:val="nil"/>
              <w:bottom w:val="single" w:sz="4" w:space="0" w:color="000000"/>
              <w:right w:val="nil"/>
            </w:tcBorders>
          </w:tcPr>
          <w:p w14:paraId="5AB64A35" w14:textId="77777777" w:rsidR="002359D8" w:rsidRPr="00227AE3" w:rsidRDefault="002359D8">
            <w:pPr>
              <w:spacing w:line="276" w:lineRule="auto"/>
              <w:ind w:firstLine="0"/>
              <w:jc w:val="both"/>
              <w:rPr>
                <w:rFonts w:asciiTheme="majorHAnsi" w:hAnsiTheme="majorHAnsi" w:cstheme="majorHAnsi"/>
                <w:bCs/>
                <w:lang w:val="en-US"/>
              </w:rPr>
            </w:pPr>
          </w:p>
          <w:p w14:paraId="1E49B8C9" w14:textId="3BCBF51D" w:rsidR="002359D8" w:rsidRPr="00227AE3" w:rsidRDefault="00E522A8">
            <w:pPr>
              <w:spacing w:line="276" w:lineRule="auto"/>
              <w:ind w:firstLine="0"/>
              <w:jc w:val="both"/>
              <w:rPr>
                <w:rFonts w:asciiTheme="majorHAnsi" w:hAnsiTheme="majorHAnsi" w:cstheme="majorHAnsi"/>
                <w:i/>
                <w:iCs/>
                <w:lang w:val="en-US"/>
              </w:rPr>
            </w:pPr>
            <w:r w:rsidRPr="00227AE3">
              <w:rPr>
                <w:rFonts w:asciiTheme="majorHAnsi" w:hAnsiTheme="majorHAnsi" w:cstheme="majorHAnsi"/>
                <w:bCs/>
                <w:lang w:val="en-US"/>
              </w:rPr>
              <w:t>Tabl</w:t>
            </w:r>
            <w:r w:rsidR="008B669F" w:rsidRPr="00227AE3">
              <w:rPr>
                <w:rFonts w:asciiTheme="majorHAnsi" w:hAnsiTheme="majorHAnsi" w:cstheme="majorHAnsi"/>
                <w:bCs/>
                <w:lang w:val="en-US"/>
              </w:rPr>
              <w:t>e</w:t>
            </w:r>
            <w:r w:rsidRPr="00227AE3">
              <w:rPr>
                <w:rFonts w:asciiTheme="majorHAnsi" w:hAnsiTheme="majorHAnsi" w:cstheme="majorHAnsi"/>
                <w:bCs/>
                <w:lang w:val="en-US"/>
              </w:rPr>
              <w:t xml:space="preserve"> 4</w:t>
            </w:r>
          </w:p>
          <w:p w14:paraId="0D42AF38" w14:textId="297FF91D" w:rsidR="002359D8" w:rsidRPr="00227AE3" w:rsidRDefault="00E522A8">
            <w:pPr>
              <w:spacing w:line="276" w:lineRule="auto"/>
              <w:ind w:firstLine="0"/>
              <w:jc w:val="both"/>
              <w:rPr>
                <w:rFonts w:asciiTheme="majorHAnsi" w:hAnsiTheme="majorHAnsi" w:cstheme="majorHAnsi"/>
                <w:bCs/>
                <w:lang w:val="en-US"/>
              </w:rPr>
            </w:pPr>
            <w:r w:rsidRPr="00227AE3">
              <w:rPr>
                <w:rFonts w:asciiTheme="majorHAnsi" w:hAnsiTheme="majorHAnsi" w:cstheme="majorHAnsi"/>
                <w:i/>
                <w:iCs/>
                <w:lang w:val="en-US"/>
              </w:rPr>
              <w:t xml:space="preserve">           </w:t>
            </w:r>
            <w:r w:rsidR="008B669F" w:rsidRPr="00227AE3">
              <w:rPr>
                <w:rFonts w:asciiTheme="majorHAnsi" w:hAnsiTheme="majorHAnsi" w:cstheme="majorHAnsi"/>
                <w:i/>
                <w:iCs/>
                <w:lang w:val="en-US"/>
              </w:rPr>
              <w:t>Instrument reliability index for the evaluated sample</w:t>
            </w:r>
          </w:p>
        </w:tc>
      </w:tr>
      <w:tr w:rsidR="002359D8" w:rsidRPr="000F45AD" w14:paraId="782284DA" w14:textId="77777777">
        <w:tc>
          <w:tcPr>
            <w:tcW w:w="8488" w:type="dxa"/>
            <w:gridSpan w:val="2"/>
            <w:tcBorders>
              <w:top w:val="single" w:sz="4" w:space="0" w:color="000000"/>
              <w:left w:val="nil"/>
              <w:bottom w:val="single" w:sz="4" w:space="0" w:color="000000"/>
              <w:right w:val="nil"/>
            </w:tcBorders>
          </w:tcPr>
          <w:p w14:paraId="4A213CB3" w14:textId="6FE24098" w:rsidR="002359D8" w:rsidRPr="00227AE3" w:rsidRDefault="00E522A8" w:rsidP="008B669F">
            <w:pPr>
              <w:spacing w:line="276" w:lineRule="auto"/>
              <w:ind w:firstLine="0"/>
              <w:jc w:val="both"/>
              <w:rPr>
                <w:rFonts w:asciiTheme="majorHAnsi" w:hAnsiTheme="majorHAnsi" w:cstheme="majorHAnsi"/>
                <w:i/>
                <w:iCs/>
                <w:lang w:val="en-US"/>
              </w:rPr>
            </w:pPr>
            <w:r w:rsidRPr="00227AE3">
              <w:rPr>
                <w:rFonts w:asciiTheme="majorHAnsi" w:hAnsiTheme="majorHAnsi" w:cstheme="majorHAnsi"/>
                <w:bCs/>
                <w:lang w:val="en-US"/>
              </w:rPr>
              <w:t xml:space="preserve">               Cronbach</w:t>
            </w:r>
            <w:r w:rsidR="008B669F" w:rsidRPr="00227AE3">
              <w:rPr>
                <w:rFonts w:asciiTheme="majorHAnsi" w:hAnsiTheme="majorHAnsi" w:cstheme="majorHAnsi"/>
                <w:bCs/>
                <w:lang w:val="en-US"/>
              </w:rPr>
              <w:t>’s Alfa</w:t>
            </w:r>
            <w:r w:rsidRPr="00227AE3">
              <w:rPr>
                <w:rFonts w:asciiTheme="majorHAnsi" w:hAnsiTheme="majorHAnsi" w:cstheme="majorHAnsi"/>
                <w:bCs/>
                <w:lang w:val="en-US"/>
              </w:rPr>
              <w:t xml:space="preserve">                          </w:t>
            </w:r>
            <w:r w:rsidR="008B669F" w:rsidRPr="00227AE3">
              <w:rPr>
                <w:rFonts w:asciiTheme="majorHAnsi" w:hAnsiTheme="majorHAnsi" w:cstheme="majorHAnsi"/>
                <w:bCs/>
                <w:lang w:val="en-US"/>
              </w:rPr>
              <w:t xml:space="preserve">                              Number of element</w:t>
            </w:r>
            <w:r w:rsidRPr="00227AE3">
              <w:rPr>
                <w:rFonts w:asciiTheme="majorHAnsi" w:hAnsiTheme="majorHAnsi" w:cstheme="majorHAnsi"/>
                <w:bCs/>
                <w:lang w:val="en-US"/>
              </w:rPr>
              <w:t>s</w:t>
            </w:r>
          </w:p>
        </w:tc>
      </w:tr>
      <w:tr w:rsidR="002359D8" w:rsidRPr="000F45AD" w14:paraId="33F8E81F" w14:textId="77777777">
        <w:tc>
          <w:tcPr>
            <w:tcW w:w="4244" w:type="dxa"/>
            <w:tcBorders>
              <w:top w:val="single" w:sz="4" w:space="0" w:color="000000"/>
              <w:left w:val="nil"/>
              <w:bottom w:val="nil"/>
              <w:right w:val="nil"/>
            </w:tcBorders>
          </w:tcPr>
          <w:p w14:paraId="5F4F99A0" w14:textId="77777777" w:rsidR="002359D8" w:rsidRPr="00227AE3" w:rsidRDefault="002359D8">
            <w:pPr>
              <w:spacing w:line="276" w:lineRule="auto"/>
              <w:ind w:firstLine="0"/>
              <w:jc w:val="both"/>
              <w:rPr>
                <w:rFonts w:asciiTheme="majorHAnsi" w:hAnsiTheme="majorHAnsi" w:cstheme="majorHAnsi"/>
                <w:b/>
                <w:bCs/>
                <w:lang w:val="en-US"/>
              </w:rPr>
            </w:pPr>
          </w:p>
        </w:tc>
        <w:tc>
          <w:tcPr>
            <w:tcW w:w="4244" w:type="dxa"/>
            <w:tcBorders>
              <w:top w:val="single" w:sz="4" w:space="0" w:color="000000"/>
              <w:left w:val="nil"/>
              <w:bottom w:val="nil"/>
              <w:right w:val="nil"/>
            </w:tcBorders>
          </w:tcPr>
          <w:p w14:paraId="0BC587D7" w14:textId="77777777" w:rsidR="002359D8" w:rsidRPr="00227AE3" w:rsidRDefault="002359D8">
            <w:pPr>
              <w:spacing w:line="276" w:lineRule="auto"/>
              <w:ind w:firstLine="0"/>
              <w:jc w:val="both"/>
              <w:rPr>
                <w:rFonts w:asciiTheme="majorHAnsi" w:hAnsiTheme="majorHAnsi" w:cstheme="majorHAnsi"/>
                <w:b/>
                <w:bCs/>
                <w:lang w:val="en-US"/>
              </w:rPr>
            </w:pPr>
          </w:p>
        </w:tc>
      </w:tr>
      <w:tr w:rsidR="002359D8" w:rsidRPr="00227AE3" w14:paraId="16F4FD61" w14:textId="77777777">
        <w:tc>
          <w:tcPr>
            <w:tcW w:w="4244" w:type="dxa"/>
            <w:tcBorders>
              <w:top w:val="nil"/>
              <w:left w:val="nil"/>
              <w:bottom w:val="single" w:sz="4" w:space="0" w:color="000000"/>
              <w:right w:val="nil"/>
            </w:tcBorders>
          </w:tcPr>
          <w:p w14:paraId="6EEDBCC2" w14:textId="77777777" w:rsidR="002359D8" w:rsidRPr="00227AE3" w:rsidRDefault="00E522A8">
            <w:pPr>
              <w:spacing w:line="276" w:lineRule="auto"/>
              <w:ind w:firstLine="0"/>
              <w:jc w:val="center"/>
              <w:rPr>
                <w:rFonts w:asciiTheme="majorHAnsi" w:hAnsiTheme="majorHAnsi" w:cstheme="majorHAnsi"/>
                <w:lang w:val="en-US"/>
              </w:rPr>
            </w:pPr>
            <w:r w:rsidRPr="00227AE3">
              <w:rPr>
                <w:rFonts w:asciiTheme="majorHAnsi" w:hAnsiTheme="majorHAnsi" w:cstheme="majorHAnsi"/>
                <w:lang w:val="en-US"/>
              </w:rPr>
              <w:t>,941</w:t>
            </w:r>
          </w:p>
        </w:tc>
        <w:tc>
          <w:tcPr>
            <w:tcW w:w="4244" w:type="dxa"/>
            <w:tcBorders>
              <w:top w:val="nil"/>
              <w:left w:val="nil"/>
              <w:bottom w:val="single" w:sz="4" w:space="0" w:color="000000"/>
              <w:right w:val="nil"/>
            </w:tcBorders>
          </w:tcPr>
          <w:p w14:paraId="316F53F7" w14:textId="77777777" w:rsidR="002359D8" w:rsidRPr="00227AE3" w:rsidRDefault="00E522A8">
            <w:pPr>
              <w:spacing w:line="276" w:lineRule="auto"/>
              <w:ind w:firstLine="0"/>
              <w:jc w:val="center"/>
              <w:rPr>
                <w:rFonts w:asciiTheme="majorHAnsi" w:hAnsiTheme="majorHAnsi" w:cstheme="majorHAnsi"/>
                <w:lang w:val="en-US"/>
              </w:rPr>
            </w:pPr>
            <w:r w:rsidRPr="00227AE3">
              <w:rPr>
                <w:rFonts w:asciiTheme="majorHAnsi" w:hAnsiTheme="majorHAnsi" w:cstheme="majorHAnsi"/>
                <w:lang w:val="en-US"/>
              </w:rPr>
              <w:t xml:space="preserve">                              80</w:t>
            </w:r>
          </w:p>
        </w:tc>
      </w:tr>
    </w:tbl>
    <w:p w14:paraId="4FA93320" w14:textId="77777777" w:rsidR="002359D8" w:rsidRPr="00227AE3" w:rsidRDefault="002359D8">
      <w:pPr>
        <w:spacing w:line="240" w:lineRule="auto"/>
        <w:jc w:val="both"/>
        <w:rPr>
          <w:rFonts w:asciiTheme="majorHAnsi" w:hAnsiTheme="majorHAnsi" w:cstheme="majorHAnsi"/>
          <w:lang w:val="en-US"/>
        </w:rPr>
      </w:pPr>
    </w:p>
    <w:p w14:paraId="02230479" w14:textId="383FE9F9" w:rsidR="002359D8" w:rsidRPr="001138DF" w:rsidRDefault="008B669F">
      <w:pPr>
        <w:pStyle w:val="Ttulo1"/>
        <w:spacing w:line="240" w:lineRule="auto"/>
        <w:jc w:val="both"/>
        <w:rPr>
          <w:rFonts w:asciiTheme="majorHAnsi" w:hAnsiTheme="majorHAnsi" w:cstheme="majorHAnsi"/>
          <w:sz w:val="24"/>
          <w:szCs w:val="24"/>
          <w:lang w:val="en-US"/>
        </w:rPr>
      </w:pPr>
      <w:r w:rsidRPr="001138DF">
        <w:rPr>
          <w:rFonts w:asciiTheme="majorHAnsi" w:hAnsiTheme="majorHAnsi" w:cstheme="majorHAnsi"/>
          <w:sz w:val="24"/>
          <w:szCs w:val="24"/>
          <w:lang w:val="en-US"/>
        </w:rPr>
        <w:t>Conclusion</w:t>
      </w:r>
      <w:r w:rsidR="00E522A8" w:rsidRPr="001138DF">
        <w:rPr>
          <w:rFonts w:asciiTheme="majorHAnsi" w:hAnsiTheme="majorHAnsi" w:cstheme="majorHAnsi"/>
          <w:sz w:val="24"/>
          <w:szCs w:val="24"/>
          <w:lang w:val="en-US"/>
        </w:rPr>
        <w:t>s</w:t>
      </w:r>
    </w:p>
    <w:p w14:paraId="771F7FC1" w14:textId="372C7B54" w:rsidR="008B669F" w:rsidRPr="00227AE3" w:rsidRDefault="008B669F" w:rsidP="008B669F">
      <w:pPr>
        <w:spacing w:line="240" w:lineRule="auto"/>
        <w:jc w:val="both"/>
        <w:rPr>
          <w:rFonts w:asciiTheme="majorHAnsi" w:hAnsiTheme="majorHAnsi" w:cstheme="majorHAnsi"/>
          <w:lang w:val="en-US"/>
        </w:rPr>
      </w:pPr>
      <w:r w:rsidRPr="00227AE3">
        <w:rPr>
          <w:rFonts w:asciiTheme="majorHAnsi" w:hAnsiTheme="majorHAnsi" w:cstheme="majorHAnsi"/>
          <w:lang w:val="en-US"/>
        </w:rPr>
        <w:t xml:space="preserve">The problem </w:t>
      </w:r>
      <w:r w:rsidR="005F0CF8" w:rsidRPr="00227AE3">
        <w:rPr>
          <w:rFonts w:asciiTheme="majorHAnsi" w:hAnsiTheme="majorHAnsi" w:cstheme="majorHAnsi"/>
          <w:lang w:val="en-US"/>
        </w:rPr>
        <w:t>of college dropout</w:t>
      </w:r>
      <w:r w:rsidRPr="00227AE3">
        <w:rPr>
          <w:rFonts w:asciiTheme="majorHAnsi" w:hAnsiTheme="majorHAnsi" w:cstheme="majorHAnsi"/>
          <w:lang w:val="en-US"/>
        </w:rPr>
        <w:t xml:space="preserve"> is not due to a single factor; it is a phenomenon that can be explained through various variables, which may or may not be related. The present study used an instrument that aims to measure these causal factors of desertion, in order to approach the description of the characteristics presented by students of the Paraguayan social and educational reality.</w:t>
      </w:r>
    </w:p>
    <w:p w14:paraId="73C34BE4" w14:textId="408418C3" w:rsidR="008B669F" w:rsidRPr="00227AE3" w:rsidRDefault="008B669F" w:rsidP="008B669F">
      <w:pPr>
        <w:spacing w:line="240" w:lineRule="auto"/>
        <w:jc w:val="both"/>
        <w:rPr>
          <w:rFonts w:asciiTheme="majorHAnsi" w:hAnsiTheme="majorHAnsi" w:cstheme="majorHAnsi"/>
          <w:lang w:val="en-US"/>
        </w:rPr>
      </w:pPr>
      <w:r w:rsidRPr="00227AE3">
        <w:rPr>
          <w:rFonts w:asciiTheme="majorHAnsi" w:hAnsiTheme="majorHAnsi" w:cstheme="majorHAnsi"/>
          <w:lang w:val="en-US"/>
        </w:rPr>
        <w:t>Regarding the proposed objectives that required an analysis of the data collected, firstly, it was identified that the sample is mostly female, with an average of 22 years, attending private universities.</w:t>
      </w:r>
    </w:p>
    <w:p w14:paraId="5D9063A3" w14:textId="6CFDC495" w:rsidR="005F0CF8" w:rsidRPr="00227AE3" w:rsidRDefault="001138DF">
      <w:pPr>
        <w:spacing w:line="240" w:lineRule="auto"/>
        <w:jc w:val="both"/>
        <w:rPr>
          <w:rFonts w:asciiTheme="majorHAnsi" w:hAnsiTheme="majorHAnsi" w:cstheme="majorHAnsi"/>
          <w:lang w:val="en-US"/>
        </w:rPr>
      </w:pPr>
      <w:r w:rsidRPr="001138DF">
        <w:rPr>
          <w:rFonts w:asciiTheme="majorHAnsi" w:hAnsiTheme="majorHAnsi" w:cstheme="majorHAnsi"/>
          <w:lang w:val="en-US"/>
        </w:rPr>
        <w:t xml:space="preserve">The existence of significant differences in some factors allows us to infer that the group with the highest probability of dropping </w:t>
      </w:r>
      <w:r>
        <w:rPr>
          <w:rFonts w:asciiTheme="majorHAnsi" w:hAnsiTheme="majorHAnsi" w:cstheme="majorHAnsi"/>
          <w:lang w:val="en-US"/>
        </w:rPr>
        <w:t xml:space="preserve">out college </w:t>
      </w:r>
      <w:r w:rsidRPr="001138DF">
        <w:rPr>
          <w:rFonts w:asciiTheme="majorHAnsi" w:hAnsiTheme="majorHAnsi" w:cstheme="majorHAnsi"/>
          <w:lang w:val="en-US"/>
        </w:rPr>
        <w:t>corresponds to irregular students, as a consequence of the action of factors related to the academic year; to the educational and institutional environment; to the family and personal environment; to the quality of the course; and to the student's personal profile.</w:t>
      </w:r>
    </w:p>
    <w:p w14:paraId="25F69812" w14:textId="384722E1" w:rsidR="005F0CF8" w:rsidRPr="00227AE3" w:rsidRDefault="005F0CF8">
      <w:pPr>
        <w:spacing w:line="240" w:lineRule="auto"/>
        <w:jc w:val="both"/>
        <w:rPr>
          <w:rFonts w:asciiTheme="majorHAnsi" w:hAnsiTheme="majorHAnsi" w:cstheme="majorHAnsi"/>
          <w:lang w:val="en-US"/>
        </w:rPr>
      </w:pPr>
      <w:r w:rsidRPr="00227AE3">
        <w:rPr>
          <w:rFonts w:asciiTheme="majorHAnsi" w:hAnsiTheme="majorHAnsi" w:cstheme="majorHAnsi"/>
          <w:lang w:val="en-US"/>
        </w:rPr>
        <w:t>The creation of the instrument and its high reliability stand</w:t>
      </w:r>
      <w:r w:rsidR="003571D8" w:rsidRPr="00227AE3">
        <w:rPr>
          <w:rFonts w:asciiTheme="majorHAnsi" w:hAnsiTheme="majorHAnsi" w:cstheme="majorHAnsi"/>
          <w:lang w:val="en-US"/>
        </w:rPr>
        <w:t>s</w:t>
      </w:r>
      <w:r w:rsidRPr="00227AE3">
        <w:rPr>
          <w:rFonts w:asciiTheme="majorHAnsi" w:hAnsiTheme="majorHAnsi" w:cstheme="majorHAnsi"/>
          <w:lang w:val="en-US"/>
        </w:rPr>
        <w:t xml:space="preserve"> out, which supposes the greatest contribution in the present investigation, since it opens the possibilities to use it in other studies with similar samples. The Cronbach's alpha of the instrument indicated a high degree of adequacy to the sample. However, an expert review is recommended to rule out possible unnecessary items.</w:t>
      </w:r>
    </w:p>
    <w:p w14:paraId="3C83C555" w14:textId="3B21ACB6" w:rsidR="003571D8" w:rsidRPr="00227AE3" w:rsidRDefault="003571D8">
      <w:pPr>
        <w:spacing w:line="240" w:lineRule="auto"/>
        <w:jc w:val="both"/>
        <w:rPr>
          <w:rFonts w:asciiTheme="majorHAnsi" w:hAnsiTheme="majorHAnsi" w:cstheme="majorHAnsi"/>
          <w:lang w:val="en-US"/>
        </w:rPr>
      </w:pPr>
      <w:r w:rsidRPr="00227AE3">
        <w:rPr>
          <w:rFonts w:asciiTheme="majorHAnsi" w:hAnsiTheme="majorHAnsi" w:cstheme="majorHAnsi"/>
          <w:lang w:val="en-US"/>
        </w:rPr>
        <w:t>The item 33 needs to be rephrase (“The number of students in the course is / was: 1) very few, 2) few, 3) adequate, 4) Quite high, 5) Very high”) since the answers cannot be evaluated with the Likert format, which requires extreme values between something positive and negative, but in this case, both a low number of students and too high a number are negative aspects.</w:t>
      </w:r>
    </w:p>
    <w:p w14:paraId="55299E68" w14:textId="25CC277C" w:rsidR="003571D8" w:rsidRPr="00227AE3" w:rsidRDefault="003571D8">
      <w:pPr>
        <w:pStyle w:val="NormalWeb"/>
        <w:spacing w:beforeAutospacing="0" w:after="0" w:afterAutospacing="0"/>
        <w:ind w:firstLine="720"/>
        <w:jc w:val="both"/>
        <w:rPr>
          <w:rFonts w:asciiTheme="majorHAnsi" w:hAnsiTheme="majorHAnsi" w:cstheme="majorHAnsi"/>
          <w:lang w:val="en-US"/>
        </w:rPr>
      </w:pPr>
      <w:r w:rsidRPr="00227AE3">
        <w:rPr>
          <w:rFonts w:asciiTheme="majorHAnsi" w:hAnsiTheme="majorHAnsi" w:cstheme="majorHAnsi"/>
          <w:lang w:val="en-US"/>
        </w:rPr>
        <w:t>Although the results shown are exploratory, they set a precedent for future research, being able to identify factors related to college dropout. In the same way, there is value in the personal profile of the student that was managed to build, being able to identify certain characteristics as determinants of permanence or abandonment of studies.</w:t>
      </w:r>
    </w:p>
    <w:p w14:paraId="3E21D4F1" w14:textId="125E2BE8" w:rsidR="003571D8" w:rsidRPr="00227AE3" w:rsidRDefault="003571D8">
      <w:pPr>
        <w:spacing w:line="240" w:lineRule="auto"/>
        <w:ind w:firstLine="720"/>
        <w:jc w:val="both"/>
        <w:rPr>
          <w:rFonts w:asciiTheme="majorHAnsi" w:hAnsiTheme="majorHAnsi" w:cstheme="majorHAnsi"/>
          <w:color w:val="000000"/>
          <w:lang w:val="en-US"/>
        </w:rPr>
      </w:pPr>
      <w:r w:rsidRPr="00227AE3">
        <w:rPr>
          <w:rFonts w:asciiTheme="majorHAnsi" w:hAnsiTheme="majorHAnsi" w:cstheme="majorHAnsi"/>
          <w:color w:val="000000"/>
          <w:lang w:val="en-US"/>
        </w:rPr>
        <w:t xml:space="preserve">Knowing the personal, social and economic situation of the student can be very useful for the improvement of educational programs and the prevention of risk factors. The approach to the perception of the college dropout students as individuals with a specific social, cultural and family context, would help the various actors involved in the educational process to become aware of the situation that students are facing during the learning process. Approaching the causes that determine the abandonment of higher </w:t>
      </w:r>
      <w:r w:rsidRPr="00227AE3">
        <w:rPr>
          <w:rFonts w:asciiTheme="majorHAnsi" w:hAnsiTheme="majorHAnsi" w:cstheme="majorHAnsi"/>
          <w:color w:val="000000"/>
          <w:lang w:val="en-US"/>
        </w:rPr>
        <w:lastRenderedPageBreak/>
        <w:t>studies can be useful if elements that can be improved within the learning process are evidenced within the research, to ensure the student's permanence in the educational program, promoting the successful conclusion of higher education of the people who make up society.</w:t>
      </w:r>
    </w:p>
    <w:p w14:paraId="213BEC79" w14:textId="732F45BD" w:rsidR="003571D8" w:rsidRPr="00227AE3" w:rsidRDefault="003571D8" w:rsidP="003571D8">
      <w:pPr>
        <w:spacing w:line="240" w:lineRule="auto"/>
        <w:jc w:val="both"/>
        <w:rPr>
          <w:rFonts w:asciiTheme="majorHAnsi" w:hAnsiTheme="majorHAnsi" w:cstheme="majorHAnsi"/>
          <w:lang w:val="en-US"/>
        </w:rPr>
      </w:pPr>
      <w:r w:rsidRPr="00227AE3">
        <w:rPr>
          <w:rFonts w:asciiTheme="majorHAnsi" w:hAnsiTheme="majorHAnsi" w:cstheme="majorHAnsi"/>
          <w:lang w:val="en-US"/>
        </w:rPr>
        <w:t>When applying the instrument to public and private universities, it was possible to verify greater willingness to participate in public university students, indicating</w:t>
      </w:r>
      <w:r w:rsidR="000265D6" w:rsidRPr="00227AE3">
        <w:rPr>
          <w:rFonts w:asciiTheme="majorHAnsi" w:hAnsiTheme="majorHAnsi" w:cstheme="majorHAnsi"/>
          <w:lang w:val="en-US"/>
        </w:rPr>
        <w:t xml:space="preserve"> a </w:t>
      </w:r>
      <w:r w:rsidRPr="00227AE3">
        <w:rPr>
          <w:rFonts w:asciiTheme="majorHAnsi" w:hAnsiTheme="majorHAnsi" w:cstheme="majorHAnsi"/>
          <w:lang w:val="en-US"/>
        </w:rPr>
        <w:t>collaborative spirit in this sample group.</w:t>
      </w:r>
    </w:p>
    <w:p w14:paraId="7097D3B3" w14:textId="12EB9136" w:rsidR="003571D8" w:rsidRPr="00227AE3" w:rsidRDefault="003571D8" w:rsidP="003571D8">
      <w:pPr>
        <w:spacing w:line="240" w:lineRule="auto"/>
        <w:jc w:val="both"/>
        <w:rPr>
          <w:rFonts w:asciiTheme="majorHAnsi" w:hAnsiTheme="majorHAnsi" w:cstheme="majorHAnsi"/>
          <w:lang w:val="en-US"/>
        </w:rPr>
      </w:pPr>
      <w:r w:rsidRPr="00227AE3">
        <w:rPr>
          <w:rFonts w:asciiTheme="majorHAnsi" w:hAnsiTheme="majorHAnsi" w:cstheme="majorHAnsi"/>
          <w:lang w:val="en-US"/>
        </w:rPr>
        <w:t>It is suggested for future studies, that the sample be balanced between students of the morning shift and the night shift, since there are items that will be answered, probably, similarly according to the shift that the participant takes.</w:t>
      </w:r>
    </w:p>
    <w:p w14:paraId="512509DA" w14:textId="0B2FCFC7" w:rsidR="000265D6" w:rsidRPr="00227AE3" w:rsidRDefault="000265D6">
      <w:pPr>
        <w:pStyle w:val="NormalWeb"/>
        <w:spacing w:beforeAutospacing="0" w:after="0" w:afterAutospacing="0"/>
        <w:ind w:firstLine="720"/>
        <w:jc w:val="both"/>
        <w:rPr>
          <w:rFonts w:asciiTheme="majorHAnsi" w:hAnsiTheme="majorHAnsi" w:cstheme="majorHAnsi"/>
          <w:lang w:val="en-US"/>
        </w:rPr>
      </w:pPr>
      <w:r w:rsidRPr="00227AE3">
        <w:rPr>
          <w:rFonts w:asciiTheme="majorHAnsi" w:hAnsiTheme="majorHAnsi" w:cstheme="majorHAnsi"/>
          <w:lang w:val="en-US"/>
        </w:rPr>
        <w:t>The main limitation of this study lies in its descriptive and exploratory nature, as well as the lack of representativeness of the sample, since it only reduces to a small portion of the population with voluntary participation. As for possible suggestions to continue with this line of research, it is proposed to carry out research involving students from different careers, a greater number of participants, and the addition of some other factor related to desertion, such as procrastination, anxiety, etc.</w:t>
      </w:r>
    </w:p>
    <w:p w14:paraId="50F529EE" w14:textId="77777777" w:rsidR="002359D8" w:rsidRPr="00227AE3" w:rsidRDefault="002359D8">
      <w:pPr>
        <w:pStyle w:val="Ttulo1"/>
        <w:spacing w:line="240" w:lineRule="auto"/>
        <w:jc w:val="both"/>
        <w:rPr>
          <w:rFonts w:asciiTheme="majorHAnsi" w:hAnsiTheme="majorHAnsi" w:cstheme="majorHAnsi"/>
          <w:b w:val="0"/>
          <w:sz w:val="24"/>
          <w:szCs w:val="24"/>
          <w:lang w:val="en-US"/>
        </w:rPr>
      </w:pPr>
    </w:p>
    <w:p w14:paraId="68566B05" w14:textId="5E4B7B9C" w:rsidR="002359D8" w:rsidRPr="00227AE3" w:rsidRDefault="00CD7C71">
      <w:pPr>
        <w:pStyle w:val="Ttulo1"/>
        <w:spacing w:line="240" w:lineRule="auto"/>
        <w:jc w:val="both"/>
        <w:rPr>
          <w:rFonts w:asciiTheme="majorHAnsi" w:hAnsiTheme="majorHAnsi" w:cstheme="majorHAnsi"/>
          <w:color w:val="FF0000"/>
          <w:sz w:val="24"/>
          <w:szCs w:val="24"/>
        </w:rPr>
      </w:pPr>
      <w:r w:rsidRPr="00227AE3">
        <w:rPr>
          <w:rFonts w:asciiTheme="majorHAnsi" w:hAnsiTheme="majorHAnsi" w:cstheme="majorHAnsi"/>
          <w:sz w:val="24"/>
          <w:szCs w:val="24"/>
        </w:rPr>
        <w:t>Referencies</w:t>
      </w:r>
      <w:r w:rsidR="007B7D3E" w:rsidRPr="00227AE3">
        <w:rPr>
          <w:rFonts w:asciiTheme="majorHAnsi" w:hAnsiTheme="majorHAnsi" w:cstheme="majorHAnsi"/>
          <w:color w:val="FF0000"/>
          <w:sz w:val="24"/>
          <w:szCs w:val="24"/>
        </w:rPr>
        <w:t xml:space="preserve"> </w:t>
      </w:r>
    </w:p>
    <w:p w14:paraId="605CB3BC" w14:textId="77777777" w:rsidR="00CD7C71" w:rsidRDefault="00CD7C71" w:rsidP="00544796">
      <w:pPr>
        <w:spacing w:line="240" w:lineRule="auto"/>
        <w:jc w:val="both"/>
        <w:rPr>
          <w:rFonts w:asciiTheme="majorHAnsi" w:hAnsiTheme="majorHAnsi" w:cstheme="majorHAnsi"/>
        </w:rPr>
      </w:pPr>
    </w:p>
    <w:p w14:paraId="03902256" w14:textId="10D1EC23" w:rsidR="00544796" w:rsidRPr="00227AE3" w:rsidRDefault="00544796" w:rsidP="00544796">
      <w:pPr>
        <w:spacing w:line="240" w:lineRule="auto"/>
        <w:jc w:val="both"/>
        <w:rPr>
          <w:rFonts w:asciiTheme="majorHAnsi" w:hAnsiTheme="majorHAnsi" w:cstheme="majorHAnsi"/>
        </w:rPr>
      </w:pPr>
      <w:r w:rsidRPr="00227AE3">
        <w:rPr>
          <w:rFonts w:asciiTheme="majorHAnsi" w:hAnsiTheme="majorHAnsi" w:cstheme="majorHAnsi"/>
        </w:rPr>
        <w:t xml:space="preserve">Banco Central del Paraguay (BCP) (2014). </w:t>
      </w:r>
      <w:r w:rsidRPr="00227AE3">
        <w:rPr>
          <w:rFonts w:asciiTheme="majorHAnsi" w:hAnsiTheme="majorHAnsi" w:cstheme="majorHAnsi"/>
          <w:i/>
        </w:rPr>
        <w:t>Estimación del PIB 2014, primera revisión</w:t>
      </w:r>
      <w:r w:rsidRPr="00227AE3">
        <w:rPr>
          <w:rFonts w:asciiTheme="majorHAnsi" w:hAnsiTheme="majorHAnsi" w:cstheme="majorHAnsi"/>
        </w:rPr>
        <w:t>. https://www.bcp.gov.py/estimacion-del-pib-2014-primera-revisionn175</w:t>
      </w:r>
    </w:p>
    <w:p w14:paraId="56549DAB" w14:textId="7285198F" w:rsidR="002359D8" w:rsidRPr="00227AE3" w:rsidRDefault="00E522A8">
      <w:pPr>
        <w:spacing w:line="240" w:lineRule="auto"/>
        <w:jc w:val="both"/>
        <w:rPr>
          <w:rFonts w:asciiTheme="majorHAnsi" w:hAnsiTheme="majorHAnsi" w:cstheme="majorHAnsi"/>
        </w:rPr>
      </w:pPr>
      <w:proofErr w:type="spellStart"/>
      <w:r w:rsidRPr="00227AE3">
        <w:rPr>
          <w:rFonts w:asciiTheme="majorHAnsi" w:hAnsiTheme="majorHAnsi" w:cstheme="majorHAnsi"/>
        </w:rPr>
        <w:t>Bellei</w:t>
      </w:r>
      <w:proofErr w:type="spellEnd"/>
      <w:r w:rsidRPr="00227AE3">
        <w:rPr>
          <w:rFonts w:asciiTheme="majorHAnsi" w:hAnsiTheme="majorHAnsi" w:cstheme="majorHAnsi"/>
        </w:rPr>
        <w:t>, C.(</w:t>
      </w:r>
      <w:r w:rsidR="00CD7C71" w:rsidRPr="00227AE3">
        <w:rPr>
          <w:rFonts w:asciiTheme="majorHAnsi" w:hAnsiTheme="majorHAnsi" w:cstheme="majorHAnsi"/>
        </w:rPr>
        <w:t>coord.</w:t>
      </w:r>
      <w:r w:rsidRPr="00227AE3">
        <w:rPr>
          <w:rFonts w:asciiTheme="majorHAnsi" w:hAnsiTheme="majorHAnsi" w:cstheme="majorHAnsi"/>
        </w:rPr>
        <w:t xml:space="preserve">). (2013). </w:t>
      </w:r>
      <w:r w:rsidRPr="00227AE3">
        <w:rPr>
          <w:rFonts w:asciiTheme="majorHAnsi" w:hAnsiTheme="majorHAnsi" w:cstheme="majorHAnsi"/>
          <w:i/>
        </w:rPr>
        <w:t>Situación Educativa de América Latina y el Caribe: hacia la educación de calidad para todos al 2015</w:t>
      </w:r>
      <w:r w:rsidR="00227AE3" w:rsidRPr="00227AE3">
        <w:rPr>
          <w:rFonts w:asciiTheme="majorHAnsi" w:hAnsiTheme="majorHAnsi" w:cstheme="majorHAnsi"/>
          <w:shd w:val="clear" w:color="auto" w:fill="FFFFFF"/>
        </w:rPr>
        <w:t>.</w:t>
      </w:r>
      <w:r w:rsidRPr="00227AE3">
        <w:rPr>
          <w:rFonts w:asciiTheme="majorHAnsi" w:hAnsiTheme="majorHAnsi" w:cstheme="majorHAnsi"/>
        </w:rPr>
        <w:t xml:space="preserve"> Oficina Regional de Educación para América Latina y el Caribe. OREALC/UNESCO</w:t>
      </w:r>
      <w:r w:rsidR="00227AE3" w:rsidRPr="00227AE3">
        <w:rPr>
          <w:rFonts w:asciiTheme="majorHAnsi" w:hAnsiTheme="majorHAnsi" w:cstheme="majorHAnsi"/>
        </w:rPr>
        <w:t>.</w:t>
      </w:r>
      <w:r w:rsidRPr="00227AE3">
        <w:rPr>
          <w:rFonts w:asciiTheme="majorHAnsi" w:hAnsiTheme="majorHAnsi" w:cstheme="majorHAnsi"/>
        </w:rPr>
        <w:t xml:space="preserve"> </w:t>
      </w:r>
      <w:hyperlink r:id="rId5" w:history="1">
        <w:r w:rsidRPr="00227AE3">
          <w:rPr>
            <w:rStyle w:val="Hipervnculo"/>
            <w:rFonts w:asciiTheme="majorHAnsi" w:hAnsiTheme="majorHAnsi" w:cstheme="majorHAnsi"/>
          </w:rPr>
          <w:t>http://www.unesco.org/new/fileadmin/MULTIMEDIA/FIELD/</w:t>
        </w:r>
      </w:hyperlink>
    </w:p>
    <w:p w14:paraId="073196D2" w14:textId="77777777"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color w:val="0000FF"/>
          <w:u w:val="single"/>
        </w:rPr>
        <w:t>Santiago/</w:t>
      </w:r>
      <w:proofErr w:type="spellStart"/>
      <w:r w:rsidRPr="00227AE3">
        <w:rPr>
          <w:rFonts w:asciiTheme="majorHAnsi" w:hAnsiTheme="majorHAnsi" w:cstheme="majorHAnsi"/>
          <w:color w:val="0000FF"/>
          <w:u w:val="single"/>
        </w:rPr>
        <w:t>images</w:t>
      </w:r>
      <w:proofErr w:type="spellEnd"/>
      <w:r w:rsidRPr="00227AE3">
        <w:rPr>
          <w:rFonts w:asciiTheme="majorHAnsi" w:hAnsiTheme="majorHAnsi" w:cstheme="majorHAnsi"/>
          <w:color w:val="0000FF"/>
          <w:u w:val="single"/>
        </w:rPr>
        <w:t xml:space="preserve">/SITIED-espanol.pdf </w:t>
      </w:r>
      <w:r w:rsidRPr="00227AE3">
        <w:rPr>
          <w:rFonts w:asciiTheme="majorHAnsi" w:hAnsiTheme="majorHAnsi" w:cstheme="majorHAnsi"/>
          <w:color w:val="000000"/>
        </w:rPr>
        <w:t xml:space="preserve">(Consultado:  </w:t>
      </w:r>
      <w:r w:rsidRPr="00227AE3">
        <w:rPr>
          <w:rFonts w:asciiTheme="majorHAnsi" w:hAnsiTheme="majorHAnsi" w:cstheme="majorHAnsi"/>
        </w:rPr>
        <w:t>24 de julio de 2019).</w:t>
      </w:r>
    </w:p>
    <w:p w14:paraId="1473A6C5" w14:textId="2FB73B00"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Bermúdez-García, A</w:t>
      </w:r>
      <w:r w:rsidR="00227AE3" w:rsidRPr="00227AE3">
        <w:rPr>
          <w:rFonts w:asciiTheme="majorHAnsi" w:hAnsiTheme="majorHAnsi" w:cstheme="majorHAnsi"/>
        </w:rPr>
        <w:t>.</w:t>
      </w:r>
      <w:r w:rsidRPr="00227AE3">
        <w:rPr>
          <w:rFonts w:asciiTheme="majorHAnsi" w:hAnsiTheme="majorHAnsi" w:cstheme="majorHAnsi"/>
        </w:rPr>
        <w:t xml:space="preserve"> y </w:t>
      </w:r>
      <w:proofErr w:type="spellStart"/>
      <w:r w:rsidRPr="00227AE3">
        <w:rPr>
          <w:rFonts w:asciiTheme="majorHAnsi" w:hAnsiTheme="majorHAnsi" w:cstheme="majorHAnsi"/>
        </w:rPr>
        <w:t>Cassana</w:t>
      </w:r>
      <w:proofErr w:type="spellEnd"/>
      <w:r w:rsidRPr="00227AE3">
        <w:rPr>
          <w:rFonts w:asciiTheme="majorHAnsi" w:hAnsiTheme="majorHAnsi" w:cstheme="majorHAnsi"/>
        </w:rPr>
        <w:t>, A. (2016). Motivaciones y deserción estudiantil en estudiantes peruanos de medicina</w:t>
      </w:r>
      <w:r w:rsidR="00227AE3" w:rsidRPr="00227AE3">
        <w:rPr>
          <w:rFonts w:asciiTheme="majorHAnsi" w:hAnsiTheme="majorHAnsi" w:cstheme="majorHAnsi"/>
        </w:rPr>
        <w:t>.</w:t>
      </w:r>
      <w:r w:rsidRPr="00227AE3">
        <w:rPr>
          <w:rFonts w:asciiTheme="majorHAnsi" w:hAnsiTheme="majorHAnsi" w:cstheme="majorHAnsi"/>
          <w:i/>
        </w:rPr>
        <w:t xml:space="preserve"> Anales de la Facultad de Medicina</w:t>
      </w:r>
      <w:r w:rsidRPr="00227AE3">
        <w:rPr>
          <w:rFonts w:asciiTheme="majorHAnsi" w:hAnsiTheme="majorHAnsi" w:cstheme="majorHAnsi"/>
        </w:rPr>
        <w:t>,</w:t>
      </w:r>
      <w:r w:rsidRPr="00227AE3">
        <w:rPr>
          <w:rFonts w:asciiTheme="majorHAnsi" w:hAnsiTheme="majorHAnsi" w:cstheme="majorHAnsi"/>
          <w:i/>
        </w:rPr>
        <w:t xml:space="preserve"> </w:t>
      </w:r>
      <w:r w:rsidR="007E6235" w:rsidRPr="00227AE3">
        <w:rPr>
          <w:rFonts w:asciiTheme="majorHAnsi" w:hAnsiTheme="majorHAnsi" w:cstheme="majorHAnsi"/>
          <w:i/>
        </w:rPr>
        <w:t>77</w:t>
      </w:r>
      <w:r w:rsidR="007E6235" w:rsidRPr="00227AE3">
        <w:rPr>
          <w:rFonts w:asciiTheme="majorHAnsi" w:hAnsiTheme="majorHAnsi" w:cstheme="majorHAnsi"/>
        </w:rPr>
        <w:t xml:space="preserve"> (1)</w:t>
      </w:r>
      <w:r w:rsidR="00227AE3" w:rsidRPr="00227AE3">
        <w:rPr>
          <w:rFonts w:asciiTheme="majorHAnsi" w:hAnsiTheme="majorHAnsi" w:cstheme="majorHAnsi"/>
        </w:rPr>
        <w:t>, 173-174.</w:t>
      </w:r>
    </w:p>
    <w:p w14:paraId="33D19B0D" w14:textId="648F11FF" w:rsidR="002359D8" w:rsidRPr="00227AE3" w:rsidRDefault="00E522A8">
      <w:pPr>
        <w:spacing w:line="240" w:lineRule="auto"/>
        <w:jc w:val="both"/>
        <w:rPr>
          <w:rFonts w:asciiTheme="majorHAnsi" w:eastAsia="Arial" w:hAnsiTheme="majorHAnsi" w:cstheme="majorHAnsi"/>
          <w:i/>
          <w:kern w:val="1"/>
        </w:rPr>
      </w:pPr>
      <w:r w:rsidRPr="00227AE3">
        <w:rPr>
          <w:rFonts w:asciiTheme="majorHAnsi" w:eastAsia="Arial" w:hAnsiTheme="majorHAnsi" w:cstheme="majorHAnsi"/>
          <w:kern w:val="1"/>
        </w:rPr>
        <w:t xml:space="preserve">Carvajal, </w:t>
      </w:r>
      <w:r w:rsidR="00227AE3" w:rsidRPr="00227AE3">
        <w:rPr>
          <w:rFonts w:asciiTheme="majorHAnsi" w:eastAsia="Arial" w:hAnsiTheme="majorHAnsi" w:cstheme="majorHAnsi"/>
          <w:kern w:val="1"/>
        </w:rPr>
        <w:t>R.A.</w:t>
      </w:r>
      <w:r w:rsidRPr="00227AE3">
        <w:rPr>
          <w:rFonts w:asciiTheme="majorHAnsi" w:eastAsia="Arial" w:hAnsiTheme="majorHAnsi" w:cstheme="majorHAnsi"/>
          <w:kern w:val="1"/>
        </w:rPr>
        <w:t xml:space="preserve"> y Cervantes, </w:t>
      </w:r>
      <w:r w:rsidR="00227AE3" w:rsidRPr="00227AE3">
        <w:rPr>
          <w:rFonts w:asciiTheme="majorHAnsi" w:eastAsia="Arial" w:hAnsiTheme="majorHAnsi" w:cstheme="majorHAnsi"/>
          <w:kern w:val="1"/>
        </w:rPr>
        <w:t>C.T.</w:t>
      </w:r>
      <w:r w:rsidRPr="00227AE3">
        <w:rPr>
          <w:rFonts w:asciiTheme="majorHAnsi" w:eastAsia="Arial" w:hAnsiTheme="majorHAnsi" w:cstheme="majorHAnsi"/>
          <w:kern w:val="1"/>
        </w:rPr>
        <w:t xml:space="preserve"> (2018). Aproximaciones a la deserción universitaria en Chile</w:t>
      </w:r>
      <w:r w:rsidR="00227AE3" w:rsidRPr="00227AE3">
        <w:rPr>
          <w:rFonts w:asciiTheme="majorHAnsi" w:hAnsiTheme="majorHAnsi" w:cstheme="majorHAnsi"/>
          <w:shd w:val="clear" w:color="auto" w:fill="FFFFFF"/>
        </w:rPr>
        <w:t xml:space="preserve">. </w:t>
      </w:r>
      <w:proofErr w:type="spellStart"/>
      <w:r w:rsidRPr="00227AE3">
        <w:rPr>
          <w:rFonts w:asciiTheme="majorHAnsi" w:eastAsia="Arial" w:hAnsiTheme="majorHAnsi" w:cstheme="majorHAnsi"/>
          <w:i/>
          <w:kern w:val="1"/>
        </w:rPr>
        <w:t>Educação</w:t>
      </w:r>
      <w:proofErr w:type="spellEnd"/>
      <w:r w:rsidRPr="00227AE3">
        <w:rPr>
          <w:rFonts w:asciiTheme="majorHAnsi" w:eastAsia="Arial" w:hAnsiTheme="majorHAnsi" w:cstheme="majorHAnsi"/>
          <w:i/>
          <w:kern w:val="1"/>
        </w:rPr>
        <w:t xml:space="preserve"> e Pesquisa, 44</w:t>
      </w:r>
      <w:r w:rsidRPr="00227AE3">
        <w:rPr>
          <w:rFonts w:asciiTheme="majorHAnsi" w:eastAsia="Arial" w:hAnsiTheme="majorHAnsi" w:cstheme="majorHAnsi"/>
          <w:kern w:val="1"/>
        </w:rPr>
        <w:t xml:space="preserve">, 1-20. </w:t>
      </w:r>
      <w:r w:rsidRPr="00227AE3">
        <w:rPr>
          <w:rFonts w:asciiTheme="majorHAnsi" w:eastAsia="Arial" w:hAnsiTheme="majorHAnsi" w:cstheme="majorHAnsi"/>
          <w:i/>
          <w:kern w:val="1"/>
        </w:rPr>
        <w:t xml:space="preserve"> </w:t>
      </w:r>
    </w:p>
    <w:p w14:paraId="0B360024" w14:textId="2F4F8B25"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CINDA. (2006). </w:t>
      </w:r>
      <w:r w:rsidRPr="00227AE3">
        <w:rPr>
          <w:rFonts w:asciiTheme="majorHAnsi" w:hAnsiTheme="majorHAnsi" w:cstheme="majorHAnsi"/>
          <w:i/>
        </w:rPr>
        <w:t>Repitencia y deserción universitaria en América Latina. Instituto Internacional para la Educación Superior en América Latina y el Caribe</w:t>
      </w:r>
      <w:r w:rsidR="00227AE3" w:rsidRPr="00227AE3">
        <w:rPr>
          <w:rFonts w:asciiTheme="majorHAnsi" w:hAnsiTheme="majorHAnsi" w:cstheme="majorHAnsi"/>
        </w:rPr>
        <w:t>.</w:t>
      </w:r>
      <w:r w:rsidRPr="00227AE3">
        <w:rPr>
          <w:rFonts w:asciiTheme="majorHAnsi" w:hAnsiTheme="majorHAnsi" w:cstheme="majorHAnsi"/>
        </w:rPr>
        <w:t xml:space="preserve"> IESALC y</w:t>
      </w:r>
      <w:r w:rsidR="00227AE3" w:rsidRPr="00227AE3">
        <w:rPr>
          <w:rFonts w:asciiTheme="majorHAnsi" w:hAnsiTheme="majorHAnsi" w:cstheme="majorHAnsi"/>
        </w:rPr>
        <w:t xml:space="preserve"> Universidad de Talca.</w:t>
      </w:r>
      <w:r w:rsidRPr="00227AE3">
        <w:rPr>
          <w:rFonts w:asciiTheme="majorHAnsi" w:hAnsiTheme="majorHAnsi" w:cstheme="majorHAnsi"/>
        </w:rPr>
        <w:t xml:space="preserve"> </w:t>
      </w:r>
      <w:proofErr w:type="spellStart"/>
      <w:r w:rsidRPr="00227AE3">
        <w:rPr>
          <w:rFonts w:asciiTheme="majorHAnsi" w:hAnsiTheme="majorHAnsi" w:cstheme="majorHAnsi"/>
        </w:rPr>
        <w:t>Alfabeta</w:t>
      </w:r>
      <w:proofErr w:type="spellEnd"/>
      <w:r w:rsidRPr="00227AE3">
        <w:rPr>
          <w:rFonts w:asciiTheme="majorHAnsi" w:hAnsiTheme="majorHAnsi" w:cstheme="majorHAnsi"/>
        </w:rPr>
        <w:t>.</w:t>
      </w:r>
    </w:p>
    <w:p w14:paraId="31B02452" w14:textId="095ECBFE"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Coppari, N</w:t>
      </w:r>
      <w:r w:rsidR="00227AE3" w:rsidRPr="00227AE3">
        <w:rPr>
          <w:rFonts w:asciiTheme="majorHAnsi" w:hAnsiTheme="majorHAnsi" w:cstheme="majorHAnsi"/>
        </w:rPr>
        <w:t xml:space="preserve">., Bagnoli, L., </w:t>
      </w:r>
      <w:r w:rsidRPr="00227AE3">
        <w:rPr>
          <w:rFonts w:asciiTheme="majorHAnsi" w:hAnsiTheme="majorHAnsi" w:cstheme="majorHAnsi"/>
        </w:rPr>
        <w:t>Maidana, P., Báez, M</w:t>
      </w:r>
      <w:r w:rsidR="00227AE3" w:rsidRPr="00227AE3">
        <w:rPr>
          <w:rFonts w:asciiTheme="majorHAnsi" w:hAnsiTheme="majorHAnsi" w:cstheme="majorHAnsi"/>
        </w:rPr>
        <w:t>.</w:t>
      </w:r>
      <w:r w:rsidRPr="00227AE3">
        <w:rPr>
          <w:rFonts w:asciiTheme="majorHAnsi" w:hAnsiTheme="majorHAnsi" w:cstheme="majorHAnsi"/>
        </w:rPr>
        <w:t xml:space="preserve"> J</w:t>
      </w:r>
      <w:r w:rsidR="00227AE3" w:rsidRPr="00227AE3">
        <w:rPr>
          <w:rFonts w:asciiTheme="majorHAnsi" w:hAnsiTheme="majorHAnsi" w:cstheme="majorHAnsi"/>
        </w:rPr>
        <w:t>.,</w:t>
      </w:r>
      <w:r w:rsidRPr="00227AE3">
        <w:rPr>
          <w:rFonts w:asciiTheme="majorHAnsi" w:hAnsiTheme="majorHAnsi" w:cstheme="majorHAnsi"/>
        </w:rPr>
        <w:t xml:space="preserve"> Montiel, N</w:t>
      </w:r>
      <w:r w:rsidR="00227AE3" w:rsidRPr="00227AE3">
        <w:rPr>
          <w:rFonts w:asciiTheme="majorHAnsi" w:hAnsiTheme="majorHAnsi" w:cstheme="majorHAnsi"/>
        </w:rPr>
        <w:t>.</w:t>
      </w:r>
      <w:r w:rsidRPr="00227AE3">
        <w:rPr>
          <w:rFonts w:asciiTheme="majorHAnsi" w:hAnsiTheme="majorHAnsi" w:cstheme="majorHAnsi"/>
        </w:rPr>
        <w:t xml:space="preserve"> Núñez, D</w:t>
      </w:r>
      <w:r w:rsidR="00227AE3" w:rsidRPr="00227AE3">
        <w:rPr>
          <w:rFonts w:asciiTheme="majorHAnsi" w:hAnsiTheme="majorHAnsi" w:cstheme="majorHAnsi"/>
        </w:rPr>
        <w:t>.,</w:t>
      </w:r>
      <w:r w:rsidRPr="00227AE3">
        <w:rPr>
          <w:rFonts w:asciiTheme="majorHAnsi" w:hAnsiTheme="majorHAnsi" w:cstheme="majorHAnsi"/>
        </w:rPr>
        <w:t xml:space="preserve"> </w:t>
      </w:r>
      <w:proofErr w:type="spellStart"/>
      <w:r w:rsidRPr="00227AE3">
        <w:rPr>
          <w:rFonts w:asciiTheme="majorHAnsi" w:hAnsiTheme="majorHAnsi" w:cstheme="majorHAnsi"/>
        </w:rPr>
        <w:t>Ortíz</w:t>
      </w:r>
      <w:proofErr w:type="spellEnd"/>
      <w:r w:rsidRPr="00227AE3">
        <w:rPr>
          <w:rFonts w:asciiTheme="majorHAnsi" w:hAnsiTheme="majorHAnsi" w:cstheme="majorHAnsi"/>
        </w:rPr>
        <w:t>, A</w:t>
      </w:r>
      <w:r w:rsidR="00227AE3" w:rsidRPr="00227AE3">
        <w:rPr>
          <w:rFonts w:asciiTheme="majorHAnsi" w:hAnsiTheme="majorHAnsi" w:cstheme="majorHAnsi"/>
        </w:rPr>
        <w:t>.</w:t>
      </w:r>
      <w:r w:rsidRPr="00227AE3">
        <w:rPr>
          <w:rFonts w:asciiTheme="majorHAnsi" w:hAnsiTheme="majorHAnsi" w:cstheme="majorHAnsi"/>
        </w:rPr>
        <w:t xml:space="preserve"> y Villar, M</w:t>
      </w:r>
      <w:r w:rsidR="00227AE3" w:rsidRPr="00227AE3">
        <w:rPr>
          <w:rFonts w:asciiTheme="majorHAnsi" w:hAnsiTheme="majorHAnsi" w:cstheme="majorHAnsi"/>
        </w:rPr>
        <w:t xml:space="preserve">. (2019) </w:t>
      </w:r>
      <w:r w:rsidRPr="00227AE3">
        <w:rPr>
          <w:rFonts w:asciiTheme="majorHAnsi" w:hAnsiTheme="majorHAnsi" w:cstheme="majorHAnsi"/>
        </w:rPr>
        <w:t>¿Deserción Universitaria o Abandono Forzado? Análisis Teórico y Pilotaje de Instrumento de Evaluación en Estudiantes Paraguayos</w:t>
      </w:r>
      <w:r w:rsidR="00227AE3" w:rsidRPr="00227AE3">
        <w:rPr>
          <w:rFonts w:asciiTheme="majorHAnsi" w:hAnsiTheme="majorHAnsi" w:cstheme="majorHAnsi"/>
        </w:rPr>
        <w:t xml:space="preserve">. </w:t>
      </w:r>
      <w:r w:rsidR="00227AE3" w:rsidRPr="00227AE3">
        <w:rPr>
          <w:rFonts w:asciiTheme="majorHAnsi" w:hAnsiTheme="majorHAnsi" w:cstheme="majorHAnsi"/>
          <w:i/>
        </w:rPr>
        <w:t xml:space="preserve">Eureka, 16 </w:t>
      </w:r>
      <w:r w:rsidR="00227AE3" w:rsidRPr="00227AE3">
        <w:rPr>
          <w:rFonts w:asciiTheme="majorHAnsi" w:hAnsiTheme="majorHAnsi" w:cstheme="majorHAnsi"/>
        </w:rPr>
        <w:t>(1),</w:t>
      </w:r>
      <w:r w:rsidRPr="00227AE3">
        <w:rPr>
          <w:rFonts w:asciiTheme="majorHAnsi" w:hAnsiTheme="majorHAnsi" w:cstheme="majorHAnsi"/>
        </w:rPr>
        <w:t xml:space="preserve"> 73-99.</w:t>
      </w:r>
      <w:r w:rsidR="007B7D3E" w:rsidRPr="00227AE3">
        <w:rPr>
          <w:rFonts w:asciiTheme="majorHAnsi" w:hAnsiTheme="majorHAnsi" w:cstheme="majorHAnsi"/>
          <w:color w:val="FF0000"/>
        </w:rPr>
        <w:t xml:space="preserve"> </w:t>
      </w:r>
    </w:p>
    <w:p w14:paraId="4D6E1CF4" w14:textId="77777777"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Canales, Andrea y De los Ríos, </w:t>
      </w:r>
      <w:proofErr w:type="spellStart"/>
      <w:r w:rsidRPr="00227AE3">
        <w:rPr>
          <w:rFonts w:asciiTheme="majorHAnsi" w:hAnsiTheme="majorHAnsi" w:cstheme="majorHAnsi"/>
        </w:rPr>
        <w:t>Danae</w:t>
      </w:r>
      <w:proofErr w:type="spellEnd"/>
      <w:r w:rsidRPr="00227AE3">
        <w:rPr>
          <w:rFonts w:asciiTheme="majorHAnsi" w:hAnsiTheme="majorHAnsi" w:cstheme="majorHAnsi"/>
        </w:rPr>
        <w:t xml:space="preserve">. (2007). </w:t>
      </w:r>
      <w:r w:rsidRPr="00227AE3">
        <w:rPr>
          <w:rFonts w:asciiTheme="majorHAnsi" w:hAnsiTheme="majorHAnsi" w:cstheme="majorHAnsi"/>
          <w:shd w:val="clear" w:color="auto" w:fill="FFFFFF"/>
        </w:rPr>
        <w:t>"</w:t>
      </w:r>
      <w:r w:rsidRPr="00227AE3">
        <w:rPr>
          <w:rFonts w:asciiTheme="majorHAnsi" w:hAnsiTheme="majorHAnsi" w:cstheme="majorHAnsi"/>
        </w:rPr>
        <w:t>Factores Explicativos de la Deserción Universitaria</w:t>
      </w:r>
      <w:r w:rsidRPr="00227AE3">
        <w:rPr>
          <w:rFonts w:asciiTheme="majorHAnsi" w:hAnsiTheme="majorHAnsi" w:cstheme="majorHAnsi"/>
          <w:shd w:val="clear" w:color="auto" w:fill="FFFFFF"/>
        </w:rPr>
        <w:t>"</w:t>
      </w:r>
      <w:r w:rsidRPr="00227AE3">
        <w:rPr>
          <w:rFonts w:asciiTheme="majorHAnsi" w:hAnsiTheme="majorHAnsi" w:cstheme="majorHAnsi"/>
        </w:rPr>
        <w:t xml:space="preserve">, </w:t>
      </w:r>
      <w:proofErr w:type="spellStart"/>
      <w:r w:rsidRPr="00227AE3">
        <w:rPr>
          <w:rFonts w:asciiTheme="majorHAnsi" w:hAnsiTheme="majorHAnsi" w:cstheme="majorHAnsi"/>
        </w:rPr>
        <w:t>Research</w:t>
      </w:r>
      <w:proofErr w:type="spellEnd"/>
      <w:r w:rsidRPr="00227AE3">
        <w:rPr>
          <w:rFonts w:asciiTheme="majorHAnsi" w:hAnsiTheme="majorHAnsi" w:cstheme="majorHAnsi"/>
        </w:rPr>
        <w:t xml:space="preserve"> </w:t>
      </w:r>
      <w:proofErr w:type="spellStart"/>
      <w:r w:rsidRPr="00227AE3">
        <w:rPr>
          <w:rFonts w:asciiTheme="majorHAnsi" w:hAnsiTheme="majorHAnsi" w:cstheme="majorHAnsi"/>
        </w:rPr>
        <w:t>Gate</w:t>
      </w:r>
      <w:proofErr w:type="spellEnd"/>
      <w:r w:rsidRPr="00227AE3">
        <w:rPr>
          <w:rFonts w:asciiTheme="majorHAnsi" w:hAnsiTheme="majorHAnsi" w:cstheme="majorHAnsi"/>
        </w:rPr>
        <w:t>, vol. 26, p. 173–201. Recuperado de https://www.researchgate.net/publication/26522274_Factores_explicativos_de_la_desercion_universitaria</w:t>
      </w:r>
    </w:p>
    <w:p w14:paraId="09D4A025" w14:textId="28A5589E" w:rsidR="000265D6" w:rsidRPr="00227AE3" w:rsidRDefault="00E522A8">
      <w:pPr>
        <w:spacing w:line="240" w:lineRule="auto"/>
        <w:jc w:val="both"/>
        <w:rPr>
          <w:rFonts w:asciiTheme="majorHAnsi" w:hAnsiTheme="majorHAnsi" w:cstheme="majorHAnsi"/>
          <w:color w:val="FF0000"/>
        </w:rPr>
      </w:pPr>
      <w:proofErr w:type="spellStart"/>
      <w:r w:rsidRPr="00227AE3">
        <w:rPr>
          <w:rFonts w:asciiTheme="majorHAnsi" w:hAnsiTheme="majorHAnsi" w:cstheme="majorHAnsi"/>
        </w:rPr>
        <w:t>Díaz-Peralta</w:t>
      </w:r>
      <w:proofErr w:type="spellEnd"/>
      <w:r w:rsidRPr="00227AE3">
        <w:rPr>
          <w:rFonts w:asciiTheme="majorHAnsi" w:hAnsiTheme="majorHAnsi" w:cstheme="majorHAnsi"/>
        </w:rPr>
        <w:t>, Christian. (2008). Modelo conceptual para la deserción estudiantil universitaria chilena</w:t>
      </w:r>
      <w:r w:rsidR="000265D6" w:rsidRPr="00227AE3">
        <w:rPr>
          <w:rFonts w:asciiTheme="majorHAnsi" w:hAnsiTheme="majorHAnsi" w:cstheme="majorHAnsi"/>
        </w:rPr>
        <w:t xml:space="preserve">. </w:t>
      </w:r>
      <w:r w:rsidRPr="00227AE3">
        <w:rPr>
          <w:rFonts w:asciiTheme="majorHAnsi" w:hAnsiTheme="majorHAnsi" w:cstheme="majorHAnsi"/>
          <w:i/>
        </w:rPr>
        <w:t>Estudios Pedagógicos,</w:t>
      </w:r>
      <w:r w:rsidR="000265D6" w:rsidRPr="00227AE3">
        <w:rPr>
          <w:rFonts w:asciiTheme="majorHAnsi" w:hAnsiTheme="majorHAnsi" w:cstheme="majorHAnsi"/>
          <w:i/>
        </w:rPr>
        <w:t xml:space="preserve"> </w:t>
      </w:r>
      <w:r w:rsidRPr="00227AE3">
        <w:rPr>
          <w:rFonts w:asciiTheme="majorHAnsi" w:hAnsiTheme="majorHAnsi" w:cstheme="majorHAnsi"/>
          <w:i/>
        </w:rPr>
        <w:t>34</w:t>
      </w:r>
      <w:r w:rsidR="000265D6" w:rsidRPr="00227AE3">
        <w:rPr>
          <w:rFonts w:asciiTheme="majorHAnsi" w:hAnsiTheme="majorHAnsi" w:cstheme="majorHAnsi"/>
        </w:rPr>
        <w:t xml:space="preserve"> (2),</w:t>
      </w:r>
      <w:r w:rsidRPr="00227AE3">
        <w:rPr>
          <w:rFonts w:asciiTheme="majorHAnsi" w:hAnsiTheme="majorHAnsi" w:cstheme="majorHAnsi"/>
        </w:rPr>
        <w:t xml:space="preserve"> 65-86.</w:t>
      </w:r>
      <w:r w:rsidR="007B7D3E" w:rsidRPr="00227AE3">
        <w:rPr>
          <w:rFonts w:asciiTheme="majorHAnsi" w:hAnsiTheme="majorHAnsi" w:cstheme="majorHAnsi"/>
          <w:color w:val="FF0000"/>
        </w:rPr>
        <w:t xml:space="preserve"> </w:t>
      </w:r>
    </w:p>
    <w:p w14:paraId="4CA3D635" w14:textId="10FA82AE"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Dirección General de Estadística, Encuesta y </w:t>
      </w:r>
      <w:r w:rsidR="00CD7C71">
        <w:rPr>
          <w:rFonts w:asciiTheme="majorHAnsi" w:hAnsiTheme="majorHAnsi" w:cstheme="majorHAnsi"/>
        </w:rPr>
        <w:t>C</w:t>
      </w:r>
      <w:r w:rsidRPr="00227AE3">
        <w:rPr>
          <w:rFonts w:asciiTheme="majorHAnsi" w:hAnsiTheme="majorHAnsi" w:cstheme="majorHAnsi"/>
        </w:rPr>
        <w:t>ensos. (2018). Anuario Estadístico del Paraguay 2016</w:t>
      </w:r>
      <w:r w:rsidRPr="00227AE3">
        <w:rPr>
          <w:rFonts w:asciiTheme="majorHAnsi" w:hAnsiTheme="majorHAnsi" w:cstheme="majorHAnsi"/>
          <w:shd w:val="clear" w:color="auto" w:fill="FFFFFF"/>
        </w:rPr>
        <w:t>"</w:t>
      </w:r>
      <w:r w:rsidRPr="00227AE3">
        <w:rPr>
          <w:rFonts w:asciiTheme="majorHAnsi" w:hAnsiTheme="majorHAnsi" w:cstheme="majorHAnsi"/>
        </w:rPr>
        <w:t xml:space="preserve">, </w:t>
      </w:r>
      <w:r w:rsidRPr="00227AE3">
        <w:rPr>
          <w:rFonts w:asciiTheme="majorHAnsi" w:hAnsiTheme="majorHAnsi" w:cstheme="majorHAnsi"/>
          <w:i/>
        </w:rPr>
        <w:t xml:space="preserve"> </w:t>
      </w:r>
      <w:r w:rsidRPr="00227AE3">
        <w:rPr>
          <w:rFonts w:asciiTheme="majorHAnsi" w:hAnsiTheme="majorHAnsi" w:cstheme="majorHAnsi"/>
        </w:rPr>
        <w:t xml:space="preserve">Disponible en: </w:t>
      </w:r>
      <w:hyperlink r:id="rId6" w:history="1">
        <w:r w:rsidRPr="00227AE3">
          <w:rPr>
            <w:rStyle w:val="Hipervnculo"/>
            <w:rFonts w:asciiTheme="majorHAnsi" w:hAnsiTheme="majorHAnsi" w:cstheme="majorHAnsi"/>
          </w:rPr>
          <w:t>https://www.dgeec.gov.py/Publicaciones/Biblioteca/anuario2016/Anuario%20Estadistico%20del%20Paraguay%202016.pdf</w:t>
        </w:r>
      </w:hyperlink>
      <w:r w:rsidR="000265D6" w:rsidRPr="00227AE3">
        <w:rPr>
          <w:rFonts w:asciiTheme="majorHAnsi" w:hAnsiTheme="majorHAnsi" w:cstheme="majorHAnsi"/>
        </w:rPr>
        <w:t xml:space="preserve"> </w:t>
      </w:r>
    </w:p>
    <w:p w14:paraId="445D918F" w14:textId="2C58F047" w:rsidR="002359D8" w:rsidRPr="00227AE3" w:rsidRDefault="00CD7C71">
      <w:pPr>
        <w:spacing w:line="240" w:lineRule="auto"/>
        <w:jc w:val="both"/>
        <w:rPr>
          <w:rStyle w:val="Hipervnculo"/>
          <w:rFonts w:asciiTheme="majorHAnsi" w:hAnsiTheme="majorHAnsi" w:cstheme="majorHAnsi"/>
        </w:rPr>
      </w:pPr>
      <w:r>
        <w:rPr>
          <w:rFonts w:asciiTheme="majorHAnsi" w:hAnsiTheme="majorHAnsi" w:cstheme="majorHAnsi"/>
        </w:rPr>
        <w:t>Durán Encalada, J. y Díaz Hernández, G</w:t>
      </w:r>
      <w:r w:rsidR="00E522A8" w:rsidRPr="00227AE3">
        <w:rPr>
          <w:rFonts w:asciiTheme="majorHAnsi" w:hAnsiTheme="majorHAnsi" w:cstheme="majorHAnsi"/>
        </w:rPr>
        <w:t>. (1990). Análisis de la deserción estudiantil en la Universidad Autónoma Metropolitana</w:t>
      </w:r>
      <w:r w:rsidR="000265D6" w:rsidRPr="00227AE3">
        <w:rPr>
          <w:rFonts w:asciiTheme="majorHAnsi" w:hAnsiTheme="majorHAnsi" w:cstheme="majorHAnsi"/>
        </w:rPr>
        <w:t>.</w:t>
      </w:r>
      <w:r w:rsidR="00E522A8" w:rsidRPr="00227AE3">
        <w:rPr>
          <w:rFonts w:asciiTheme="majorHAnsi" w:hAnsiTheme="majorHAnsi" w:cstheme="majorHAnsi"/>
        </w:rPr>
        <w:t xml:space="preserve"> </w:t>
      </w:r>
      <w:r w:rsidR="00E522A8" w:rsidRPr="00227AE3">
        <w:rPr>
          <w:rFonts w:asciiTheme="majorHAnsi" w:hAnsiTheme="majorHAnsi" w:cstheme="majorHAnsi"/>
          <w:i/>
        </w:rPr>
        <w:t xml:space="preserve">Revista de la Educación Superior, </w:t>
      </w:r>
      <w:r w:rsidR="000265D6" w:rsidRPr="00227AE3">
        <w:rPr>
          <w:rFonts w:asciiTheme="majorHAnsi" w:hAnsiTheme="majorHAnsi" w:cstheme="majorHAnsi"/>
          <w:i/>
        </w:rPr>
        <w:t>1</w:t>
      </w:r>
      <w:r w:rsidR="00E522A8" w:rsidRPr="00227AE3">
        <w:rPr>
          <w:rFonts w:asciiTheme="majorHAnsi" w:hAnsiTheme="majorHAnsi" w:cstheme="majorHAnsi"/>
          <w:i/>
        </w:rPr>
        <w:t>9</w:t>
      </w:r>
      <w:r w:rsidR="000265D6" w:rsidRPr="00227AE3">
        <w:rPr>
          <w:rFonts w:asciiTheme="majorHAnsi" w:hAnsiTheme="majorHAnsi" w:cstheme="majorHAnsi"/>
        </w:rPr>
        <w:t xml:space="preserve"> (74), 1-18 </w:t>
      </w:r>
      <w:hyperlink r:id="rId7" w:history="1">
        <w:r w:rsidR="00E522A8" w:rsidRPr="00227AE3">
          <w:rPr>
            <w:rStyle w:val="Hipervnculo"/>
            <w:rFonts w:asciiTheme="majorHAnsi" w:hAnsiTheme="majorHAnsi" w:cstheme="majorHAnsi"/>
          </w:rPr>
          <w:t>http://publicaciones.anuies.mx/pdfs/revista/Revista74_S1A3ES.pdf</w:t>
        </w:r>
      </w:hyperlink>
    </w:p>
    <w:p w14:paraId="54A600C7" w14:textId="5B4F8F83" w:rsidR="002359D8" w:rsidRPr="00227AE3" w:rsidRDefault="00E522A8">
      <w:pPr>
        <w:spacing w:line="240" w:lineRule="auto"/>
        <w:jc w:val="both"/>
        <w:rPr>
          <w:rFonts w:asciiTheme="majorHAnsi" w:hAnsiTheme="majorHAnsi" w:cstheme="majorHAnsi"/>
        </w:rPr>
      </w:pPr>
      <w:proofErr w:type="spellStart"/>
      <w:r w:rsidRPr="00227AE3">
        <w:rPr>
          <w:rStyle w:val="Textoennegrita"/>
          <w:rFonts w:asciiTheme="majorHAnsi" w:hAnsiTheme="majorHAnsi" w:cstheme="majorHAnsi"/>
          <w:b w:val="0"/>
          <w:color w:val="000000"/>
          <w:shd w:val="clear" w:color="auto" w:fill="FFFFFF"/>
        </w:rPr>
        <w:lastRenderedPageBreak/>
        <w:t>Eckert</w:t>
      </w:r>
      <w:proofErr w:type="spellEnd"/>
      <w:r w:rsidRPr="00227AE3">
        <w:rPr>
          <w:rStyle w:val="Textoennegrita"/>
          <w:rFonts w:asciiTheme="majorHAnsi" w:hAnsiTheme="majorHAnsi" w:cstheme="majorHAnsi"/>
          <w:b w:val="0"/>
          <w:color w:val="000000"/>
          <w:shd w:val="clear" w:color="auto" w:fill="FFFFFF"/>
        </w:rPr>
        <w:t>, K</w:t>
      </w:r>
      <w:r w:rsidR="00CD7C71">
        <w:rPr>
          <w:rStyle w:val="Textoennegrita"/>
          <w:rFonts w:asciiTheme="majorHAnsi" w:hAnsiTheme="majorHAnsi" w:cstheme="majorHAnsi"/>
          <w:b w:val="0"/>
          <w:color w:val="000000"/>
          <w:shd w:val="clear" w:color="auto" w:fill="FFFFFF"/>
        </w:rPr>
        <w:t xml:space="preserve">. y </w:t>
      </w:r>
      <w:proofErr w:type="spellStart"/>
      <w:r w:rsidR="00CD7C71">
        <w:rPr>
          <w:rStyle w:val="Textoennegrita"/>
          <w:rFonts w:asciiTheme="majorHAnsi" w:hAnsiTheme="majorHAnsi" w:cstheme="majorHAnsi"/>
          <w:b w:val="0"/>
          <w:color w:val="000000"/>
          <w:shd w:val="clear" w:color="auto" w:fill="FFFFFF"/>
        </w:rPr>
        <w:t>Suénaga</w:t>
      </w:r>
      <w:proofErr w:type="spellEnd"/>
      <w:r w:rsidR="00CD7C71">
        <w:rPr>
          <w:rStyle w:val="Textoennegrita"/>
          <w:rFonts w:asciiTheme="majorHAnsi" w:hAnsiTheme="majorHAnsi" w:cstheme="majorHAnsi"/>
          <w:b w:val="0"/>
          <w:color w:val="000000"/>
          <w:shd w:val="clear" w:color="auto" w:fill="FFFFFF"/>
        </w:rPr>
        <w:t>, R</w:t>
      </w:r>
      <w:r w:rsidRPr="00227AE3">
        <w:rPr>
          <w:rStyle w:val="Textoennegrita"/>
          <w:rFonts w:asciiTheme="majorHAnsi" w:hAnsiTheme="majorHAnsi" w:cstheme="majorHAnsi"/>
          <w:b w:val="0"/>
          <w:color w:val="000000"/>
          <w:shd w:val="clear" w:color="auto" w:fill="FFFFFF"/>
        </w:rPr>
        <w:t>. (2015)</w:t>
      </w:r>
      <w:r w:rsidRPr="00227AE3">
        <w:rPr>
          <w:rStyle w:val="TextodegloboCar"/>
          <w:rFonts w:asciiTheme="majorHAnsi" w:hAnsiTheme="majorHAnsi" w:cstheme="majorHAnsi"/>
          <w:b/>
          <w:bCs/>
          <w:color w:val="000000"/>
          <w:sz w:val="24"/>
          <w:szCs w:val="24"/>
        </w:rPr>
        <w:t xml:space="preserve">. </w:t>
      </w:r>
      <w:r w:rsidRPr="00227AE3">
        <w:rPr>
          <w:rStyle w:val="titulo"/>
          <w:rFonts w:asciiTheme="majorHAnsi" w:hAnsiTheme="majorHAnsi" w:cstheme="majorHAnsi"/>
          <w:bCs/>
          <w:color w:val="000000"/>
        </w:rPr>
        <w:t>Análisis de Deserción-Permanencia de Estudiantes Universitarios Utilizando Técnica de C</w:t>
      </w:r>
      <w:r w:rsidR="000265D6" w:rsidRPr="00227AE3">
        <w:rPr>
          <w:rStyle w:val="titulo"/>
          <w:rFonts w:asciiTheme="majorHAnsi" w:hAnsiTheme="majorHAnsi" w:cstheme="majorHAnsi"/>
          <w:bCs/>
          <w:color w:val="000000"/>
        </w:rPr>
        <w:t>lasificación en Minería de Datos.</w:t>
      </w:r>
      <w:r w:rsidRPr="00227AE3">
        <w:rPr>
          <w:rFonts w:asciiTheme="majorHAnsi" w:hAnsiTheme="majorHAnsi" w:cstheme="majorHAnsi"/>
          <w:i/>
        </w:rPr>
        <w:t xml:space="preserve"> Formación Universitaria, 8</w:t>
      </w:r>
      <w:r w:rsidR="000265D6" w:rsidRPr="00227AE3">
        <w:rPr>
          <w:rFonts w:asciiTheme="majorHAnsi" w:hAnsiTheme="majorHAnsi" w:cstheme="majorHAnsi"/>
        </w:rPr>
        <w:t xml:space="preserve"> (5),</w:t>
      </w:r>
      <w:r w:rsidRPr="00227AE3">
        <w:rPr>
          <w:rFonts w:asciiTheme="majorHAnsi" w:hAnsiTheme="majorHAnsi" w:cstheme="majorHAnsi"/>
        </w:rPr>
        <w:t xml:space="preserve"> 3-12.</w:t>
      </w:r>
      <w:r w:rsidR="000265D6" w:rsidRPr="00227AE3">
        <w:rPr>
          <w:rFonts w:asciiTheme="majorHAnsi" w:hAnsiTheme="majorHAnsi" w:cstheme="majorHAnsi"/>
          <w:color w:val="FF0000"/>
        </w:rPr>
        <w:t xml:space="preserve"> </w:t>
      </w:r>
    </w:p>
    <w:p w14:paraId="7F78A65C" w14:textId="7566BA51"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color w:val="333333"/>
          <w:shd w:val="clear" w:color="auto" w:fill="FFFFFF"/>
        </w:rPr>
        <w:t xml:space="preserve">Girón Cruz, </w:t>
      </w:r>
      <w:r w:rsidR="000265D6" w:rsidRPr="00227AE3">
        <w:rPr>
          <w:rFonts w:asciiTheme="majorHAnsi" w:hAnsiTheme="majorHAnsi" w:cstheme="majorHAnsi"/>
          <w:color w:val="333333"/>
          <w:shd w:val="clear" w:color="auto" w:fill="FFFFFF"/>
        </w:rPr>
        <w:t>L.E.</w:t>
      </w:r>
      <w:r w:rsidRPr="00227AE3">
        <w:rPr>
          <w:rFonts w:asciiTheme="majorHAnsi" w:hAnsiTheme="majorHAnsi" w:cstheme="majorHAnsi"/>
          <w:color w:val="333333"/>
          <w:shd w:val="clear" w:color="auto" w:fill="FFFFFF"/>
        </w:rPr>
        <w:t xml:space="preserve"> y González Gómez, </w:t>
      </w:r>
      <w:r w:rsidR="000265D6" w:rsidRPr="00227AE3">
        <w:rPr>
          <w:rFonts w:asciiTheme="majorHAnsi" w:hAnsiTheme="majorHAnsi" w:cstheme="majorHAnsi"/>
          <w:color w:val="333333"/>
          <w:shd w:val="clear" w:color="auto" w:fill="FFFFFF"/>
        </w:rPr>
        <w:t>D.E.</w:t>
      </w:r>
      <w:r w:rsidRPr="00227AE3">
        <w:rPr>
          <w:rFonts w:asciiTheme="majorHAnsi" w:hAnsiTheme="majorHAnsi" w:cstheme="majorHAnsi"/>
          <w:color w:val="333333"/>
          <w:shd w:val="clear" w:color="auto" w:fill="FFFFFF"/>
        </w:rPr>
        <w:t xml:space="preserve"> (2005). </w:t>
      </w:r>
      <w:hyperlink r:id="rId8" w:history="1">
        <w:r w:rsidRPr="00227AE3">
          <w:rPr>
            <w:rStyle w:val="Hipervnculo"/>
            <w:rFonts w:asciiTheme="majorHAnsi" w:hAnsiTheme="majorHAnsi" w:cstheme="majorHAnsi"/>
            <w:bCs/>
            <w:color w:val="auto"/>
            <w:u w:val="none"/>
          </w:rPr>
          <w:t>Determinantes del rendimiento académico y la deserción estudiantil, en el programa de Economía de la</w:t>
        </w:r>
        <w:r w:rsidRPr="00227AE3">
          <w:rPr>
            <w:rStyle w:val="Hipervnculo"/>
            <w:rFonts w:asciiTheme="majorHAnsi" w:hAnsiTheme="majorHAnsi" w:cstheme="majorHAnsi"/>
            <w:color w:val="auto"/>
            <w:u w:val="none"/>
          </w:rPr>
          <w:t xml:space="preserve"> Pontificia Universidad Javeriana de Cali</w:t>
        </w:r>
      </w:hyperlink>
      <w:r w:rsidR="000265D6" w:rsidRPr="00227AE3">
        <w:rPr>
          <w:rFonts w:asciiTheme="majorHAnsi" w:hAnsiTheme="majorHAnsi" w:cstheme="majorHAnsi"/>
          <w:shd w:val="clear" w:color="auto" w:fill="FFFFFF"/>
        </w:rPr>
        <w:t>.</w:t>
      </w:r>
      <w:r w:rsidR="000265D6" w:rsidRPr="00227AE3">
        <w:rPr>
          <w:rFonts w:asciiTheme="majorHAnsi" w:eastAsia="Arial" w:hAnsiTheme="majorHAnsi" w:cstheme="majorHAnsi"/>
          <w:shd w:val="clear" w:color="auto" w:fill="FFFFFF"/>
        </w:rPr>
        <w:t xml:space="preserve"> </w:t>
      </w:r>
      <w:hyperlink r:id="rId9" w:history="1">
        <w:r w:rsidRPr="00227AE3">
          <w:rPr>
            <w:rStyle w:val="Hipervnculo"/>
            <w:rFonts w:asciiTheme="majorHAnsi" w:eastAsia="Arial" w:hAnsiTheme="majorHAnsi" w:cstheme="majorHAnsi"/>
            <w:i/>
            <w:color w:val="auto"/>
            <w:u w:val="none"/>
          </w:rPr>
          <w:t>Economía, Gestión y Desarrollo</w:t>
        </w:r>
      </w:hyperlink>
      <w:r w:rsidRPr="00227AE3">
        <w:rPr>
          <w:rFonts w:asciiTheme="majorHAnsi" w:eastAsia="Arial" w:hAnsiTheme="majorHAnsi" w:cstheme="majorHAnsi"/>
          <w:i/>
          <w:shd w:val="clear" w:color="auto" w:fill="FFFFFF"/>
        </w:rPr>
        <w:t xml:space="preserve">  </w:t>
      </w:r>
      <w:r w:rsidR="000265D6" w:rsidRPr="00227AE3">
        <w:rPr>
          <w:rFonts w:asciiTheme="majorHAnsi" w:eastAsia="Arial" w:hAnsiTheme="majorHAnsi" w:cstheme="majorHAnsi"/>
          <w:shd w:val="clear" w:color="auto" w:fill="FFFFFF"/>
        </w:rPr>
        <w:t>(3)</w:t>
      </w:r>
      <w:r w:rsidRPr="00227AE3">
        <w:rPr>
          <w:rFonts w:asciiTheme="majorHAnsi" w:eastAsia="Arial" w:hAnsiTheme="majorHAnsi" w:cstheme="majorHAnsi"/>
          <w:shd w:val="clear" w:color="auto" w:fill="FFFFFF"/>
        </w:rPr>
        <w:t xml:space="preserve"> </w:t>
      </w:r>
      <w:r w:rsidR="000265D6" w:rsidRPr="00227AE3">
        <w:rPr>
          <w:rFonts w:asciiTheme="majorHAnsi" w:eastAsia="Arial" w:hAnsiTheme="majorHAnsi" w:cstheme="majorHAnsi"/>
          <w:shd w:val="clear" w:color="auto" w:fill="FFFFFF"/>
        </w:rPr>
        <w:t>, 173 – 201.</w:t>
      </w:r>
      <w:r w:rsidRPr="00227AE3">
        <w:rPr>
          <w:rFonts w:asciiTheme="majorHAnsi" w:hAnsiTheme="majorHAnsi" w:cstheme="majorHAnsi"/>
        </w:rPr>
        <w:t xml:space="preserve"> </w:t>
      </w:r>
      <w:r w:rsidR="000265D6" w:rsidRPr="00227AE3">
        <w:rPr>
          <w:rFonts w:asciiTheme="majorHAnsi" w:hAnsiTheme="majorHAnsi" w:cstheme="majorHAnsi"/>
        </w:rPr>
        <w:t>http://revistaeconomia.puj.edu.co/html/articulos/Numero_3/9.pdf</w:t>
      </w:r>
    </w:p>
    <w:p w14:paraId="52930FFB" w14:textId="0369F919"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González, </w:t>
      </w:r>
      <w:r w:rsidR="000265D6" w:rsidRPr="00227AE3">
        <w:rPr>
          <w:rFonts w:asciiTheme="majorHAnsi" w:hAnsiTheme="majorHAnsi" w:cstheme="majorHAnsi"/>
        </w:rPr>
        <w:t>L.E.</w:t>
      </w:r>
      <w:r w:rsidR="00CD7C71">
        <w:rPr>
          <w:rFonts w:asciiTheme="majorHAnsi" w:hAnsiTheme="majorHAnsi" w:cstheme="majorHAnsi"/>
        </w:rPr>
        <w:t xml:space="preserve">, </w:t>
      </w:r>
      <w:r w:rsidRPr="00227AE3">
        <w:rPr>
          <w:rFonts w:asciiTheme="majorHAnsi" w:hAnsiTheme="majorHAnsi" w:cstheme="majorHAnsi"/>
        </w:rPr>
        <w:t xml:space="preserve">Uribe Jorquera, </w:t>
      </w:r>
      <w:proofErr w:type="spellStart"/>
      <w:r w:rsidRPr="00227AE3">
        <w:rPr>
          <w:rFonts w:asciiTheme="majorHAnsi" w:hAnsiTheme="majorHAnsi" w:cstheme="majorHAnsi"/>
        </w:rPr>
        <w:t>D</w:t>
      </w:r>
      <w:r w:rsidR="000265D6" w:rsidRPr="00227AE3">
        <w:rPr>
          <w:rFonts w:asciiTheme="majorHAnsi" w:hAnsiTheme="majorHAnsi" w:cstheme="majorHAnsi"/>
        </w:rPr>
        <w:t>.</w:t>
      </w:r>
      <w:r w:rsidRPr="00227AE3">
        <w:rPr>
          <w:rFonts w:asciiTheme="majorHAnsi" w:hAnsiTheme="majorHAnsi" w:cstheme="majorHAnsi"/>
        </w:rPr>
        <w:t>l</w:t>
      </w:r>
      <w:proofErr w:type="spellEnd"/>
      <w:r w:rsidRPr="00227AE3">
        <w:rPr>
          <w:rFonts w:asciiTheme="majorHAnsi" w:hAnsiTheme="majorHAnsi" w:cstheme="majorHAnsi"/>
        </w:rPr>
        <w:t xml:space="preserve"> y González Vidal, </w:t>
      </w:r>
      <w:r w:rsidR="000265D6" w:rsidRPr="00227AE3">
        <w:rPr>
          <w:rFonts w:asciiTheme="majorHAnsi" w:hAnsiTheme="majorHAnsi" w:cstheme="majorHAnsi"/>
        </w:rPr>
        <w:t>S.</w:t>
      </w:r>
      <w:r w:rsidRPr="00227AE3">
        <w:rPr>
          <w:rFonts w:asciiTheme="majorHAnsi" w:hAnsiTheme="majorHAnsi" w:cstheme="majorHAnsi"/>
        </w:rPr>
        <w:t xml:space="preserve"> (2005). Estudio sobre la repitencia y deserción en la educación superior chilena</w:t>
      </w:r>
      <w:r w:rsidR="002055B9" w:rsidRPr="00227AE3">
        <w:rPr>
          <w:rFonts w:asciiTheme="majorHAnsi" w:hAnsiTheme="majorHAnsi" w:cstheme="majorHAnsi"/>
        </w:rPr>
        <w:t>.</w:t>
      </w:r>
      <w:r w:rsidRPr="00227AE3">
        <w:rPr>
          <w:rFonts w:asciiTheme="majorHAnsi" w:hAnsiTheme="majorHAnsi" w:cstheme="majorHAnsi"/>
        </w:rPr>
        <w:t xml:space="preserve"> IESALC y UNESCO: Santiago.</w:t>
      </w:r>
    </w:p>
    <w:p w14:paraId="6ED8F40F" w14:textId="5854A9C8" w:rsidR="002359D8" w:rsidRPr="00227AE3" w:rsidRDefault="002055B9">
      <w:pPr>
        <w:spacing w:line="240" w:lineRule="auto"/>
        <w:jc w:val="both"/>
        <w:rPr>
          <w:rStyle w:val="EnlacedeInternet"/>
          <w:rFonts w:asciiTheme="majorHAnsi" w:hAnsiTheme="majorHAnsi" w:cstheme="majorHAnsi"/>
        </w:rPr>
      </w:pPr>
      <w:proofErr w:type="spellStart"/>
      <w:r w:rsidRPr="00227AE3">
        <w:rPr>
          <w:rFonts w:asciiTheme="majorHAnsi" w:hAnsiTheme="majorHAnsi" w:cstheme="majorHAnsi"/>
        </w:rPr>
        <w:t>Himmel</w:t>
      </w:r>
      <w:proofErr w:type="spellEnd"/>
      <w:r w:rsidRPr="00227AE3">
        <w:rPr>
          <w:rFonts w:asciiTheme="majorHAnsi" w:hAnsiTheme="majorHAnsi" w:cstheme="majorHAnsi"/>
        </w:rPr>
        <w:t>, E.</w:t>
      </w:r>
      <w:r w:rsidR="00E522A8" w:rsidRPr="00227AE3">
        <w:rPr>
          <w:rFonts w:asciiTheme="majorHAnsi" w:hAnsiTheme="majorHAnsi" w:cstheme="majorHAnsi"/>
        </w:rPr>
        <w:t xml:space="preserve"> (2018). Modelo de análisis de la deserción estudiantil en la educación superior</w:t>
      </w:r>
      <w:r w:rsidRPr="00227AE3">
        <w:rPr>
          <w:rFonts w:asciiTheme="majorHAnsi" w:hAnsiTheme="majorHAnsi" w:cstheme="majorHAnsi"/>
          <w:i/>
          <w:iCs/>
        </w:rPr>
        <w:t>.</w:t>
      </w:r>
      <w:r w:rsidR="00E522A8" w:rsidRPr="00227AE3">
        <w:rPr>
          <w:rFonts w:asciiTheme="majorHAnsi" w:hAnsiTheme="majorHAnsi" w:cstheme="majorHAnsi"/>
          <w:i/>
          <w:iCs/>
        </w:rPr>
        <w:t xml:space="preserve"> </w:t>
      </w:r>
      <w:r w:rsidR="00E522A8" w:rsidRPr="00227AE3">
        <w:rPr>
          <w:rFonts w:asciiTheme="majorHAnsi" w:hAnsiTheme="majorHAnsi" w:cstheme="majorHAnsi"/>
          <w:i/>
        </w:rPr>
        <w:t>Calidad en la Educación,17</w:t>
      </w:r>
      <w:r w:rsidRPr="00227AE3">
        <w:rPr>
          <w:rFonts w:asciiTheme="majorHAnsi" w:hAnsiTheme="majorHAnsi" w:cstheme="majorHAnsi"/>
        </w:rPr>
        <w:t>, 91-108.</w:t>
      </w:r>
      <w:r w:rsidR="00E522A8" w:rsidRPr="00227AE3">
        <w:rPr>
          <w:rFonts w:asciiTheme="majorHAnsi" w:hAnsiTheme="majorHAnsi" w:cstheme="majorHAnsi"/>
        </w:rPr>
        <w:t xml:space="preserve"> </w:t>
      </w:r>
      <w:hyperlink r:id="rId10" w:history="1">
        <w:r w:rsidR="00E522A8" w:rsidRPr="00227AE3">
          <w:rPr>
            <w:rStyle w:val="Hipervnculo"/>
            <w:rFonts w:asciiTheme="majorHAnsi" w:hAnsiTheme="majorHAnsi" w:cstheme="majorHAnsi"/>
          </w:rPr>
          <w:t>https://www.researchgate.net/publication/268337620_Modelo_de_analisis_de_la_desercion_estudiantil_en_la_educacion_superior</w:t>
        </w:r>
      </w:hyperlink>
      <w:r w:rsidR="00E522A8" w:rsidRPr="00227AE3">
        <w:rPr>
          <w:rStyle w:val="EnlacedeInternet"/>
          <w:rFonts w:asciiTheme="majorHAnsi" w:hAnsiTheme="majorHAnsi" w:cstheme="majorHAnsi"/>
          <w:color w:val="000000"/>
          <w:u w:val="none"/>
        </w:rPr>
        <w:t xml:space="preserve"> </w:t>
      </w:r>
    </w:p>
    <w:p w14:paraId="5C2278E3" w14:textId="3D761B9A" w:rsidR="002359D8" w:rsidRPr="001138DF" w:rsidRDefault="00E522A8">
      <w:pPr>
        <w:spacing w:line="240" w:lineRule="auto"/>
        <w:jc w:val="both"/>
        <w:rPr>
          <w:rStyle w:val="Hipervnculo"/>
          <w:rFonts w:asciiTheme="majorHAnsi" w:eastAsia="Arial" w:hAnsiTheme="majorHAnsi" w:cstheme="majorHAnsi"/>
          <w:kern w:val="1"/>
          <w:lang w:val="en-US"/>
        </w:rPr>
      </w:pPr>
      <w:r w:rsidRPr="00227AE3">
        <w:rPr>
          <w:rFonts w:asciiTheme="majorHAnsi" w:hAnsiTheme="majorHAnsi" w:cstheme="majorHAnsi"/>
        </w:rPr>
        <w:t xml:space="preserve">Herrero, </w:t>
      </w:r>
      <w:r w:rsidR="002055B9" w:rsidRPr="00227AE3">
        <w:rPr>
          <w:rFonts w:asciiTheme="majorHAnsi" w:hAnsiTheme="majorHAnsi" w:cstheme="majorHAnsi"/>
        </w:rPr>
        <w:t>V.</w:t>
      </w:r>
      <w:r w:rsidRPr="00227AE3">
        <w:rPr>
          <w:rFonts w:asciiTheme="majorHAnsi" w:hAnsiTheme="majorHAnsi" w:cstheme="majorHAnsi"/>
        </w:rPr>
        <w:t xml:space="preserve"> Merlino, A</w:t>
      </w:r>
      <w:r w:rsidR="002055B9" w:rsidRPr="00227AE3">
        <w:rPr>
          <w:rFonts w:asciiTheme="majorHAnsi" w:hAnsiTheme="majorHAnsi" w:cstheme="majorHAnsi"/>
        </w:rPr>
        <w:t>.,</w:t>
      </w:r>
      <w:r w:rsidRPr="00227AE3">
        <w:rPr>
          <w:rFonts w:asciiTheme="majorHAnsi" w:hAnsiTheme="majorHAnsi" w:cstheme="majorHAnsi"/>
        </w:rPr>
        <w:t xml:space="preserve"> </w:t>
      </w:r>
      <w:proofErr w:type="spellStart"/>
      <w:r w:rsidRPr="00227AE3">
        <w:rPr>
          <w:rFonts w:asciiTheme="majorHAnsi" w:hAnsiTheme="majorHAnsi" w:cstheme="majorHAnsi"/>
        </w:rPr>
        <w:t>Ayllón</w:t>
      </w:r>
      <w:proofErr w:type="spellEnd"/>
      <w:r w:rsidRPr="00227AE3">
        <w:rPr>
          <w:rFonts w:asciiTheme="majorHAnsi" w:hAnsiTheme="majorHAnsi" w:cstheme="majorHAnsi"/>
        </w:rPr>
        <w:t>, S</w:t>
      </w:r>
      <w:r w:rsidR="002055B9" w:rsidRPr="00227AE3">
        <w:rPr>
          <w:rFonts w:asciiTheme="majorHAnsi" w:hAnsiTheme="majorHAnsi" w:cstheme="majorHAnsi"/>
        </w:rPr>
        <w:t>.</w:t>
      </w:r>
      <w:r w:rsidRPr="00227AE3">
        <w:rPr>
          <w:rFonts w:asciiTheme="majorHAnsi" w:hAnsiTheme="majorHAnsi" w:cstheme="majorHAnsi"/>
        </w:rPr>
        <w:t xml:space="preserve"> y </w:t>
      </w:r>
      <w:proofErr w:type="spellStart"/>
      <w:r w:rsidRPr="00227AE3">
        <w:rPr>
          <w:rFonts w:asciiTheme="majorHAnsi" w:hAnsiTheme="majorHAnsi" w:cstheme="majorHAnsi"/>
        </w:rPr>
        <w:t>Escanés</w:t>
      </w:r>
      <w:proofErr w:type="spellEnd"/>
      <w:r w:rsidRPr="00227AE3">
        <w:rPr>
          <w:rFonts w:asciiTheme="majorHAnsi" w:hAnsiTheme="majorHAnsi" w:cstheme="majorHAnsi"/>
        </w:rPr>
        <w:t>, G</w:t>
      </w:r>
      <w:r w:rsidR="002055B9" w:rsidRPr="00227AE3">
        <w:rPr>
          <w:rFonts w:asciiTheme="majorHAnsi" w:hAnsiTheme="majorHAnsi" w:cstheme="majorHAnsi"/>
        </w:rPr>
        <w:t xml:space="preserve">. </w:t>
      </w:r>
      <w:r w:rsidRPr="00227AE3">
        <w:rPr>
          <w:rFonts w:asciiTheme="majorHAnsi" w:hAnsiTheme="majorHAnsi" w:cstheme="majorHAnsi"/>
        </w:rPr>
        <w:t xml:space="preserve">(2013). </w:t>
      </w:r>
      <w:r w:rsidRPr="00227AE3">
        <w:rPr>
          <w:rFonts w:asciiTheme="majorHAnsi" w:eastAsia="Arial" w:hAnsiTheme="majorHAnsi" w:cstheme="majorHAnsi"/>
          <w:kern w:val="1"/>
        </w:rPr>
        <w:t xml:space="preserve"> </w:t>
      </w:r>
      <w:r w:rsidRPr="00227AE3">
        <w:rPr>
          <w:rFonts w:asciiTheme="majorHAnsi" w:hAnsiTheme="majorHAnsi" w:cstheme="majorHAnsi"/>
        </w:rPr>
        <w:t xml:space="preserve">Aplicación de un modelo de duración en programas de prevención de deserción universitaria, </w:t>
      </w:r>
      <w:r w:rsidRPr="00227AE3">
        <w:rPr>
          <w:rFonts w:asciiTheme="majorHAnsi" w:hAnsiTheme="majorHAnsi" w:cstheme="majorHAnsi"/>
          <w:i/>
        </w:rPr>
        <w:t>Revista electrónica de Investigación Educativa</w:t>
      </w:r>
      <w:r w:rsidRPr="00227AE3">
        <w:rPr>
          <w:rFonts w:asciiTheme="majorHAnsi" w:hAnsiTheme="majorHAnsi" w:cstheme="majorHAnsi"/>
          <w:i/>
          <w:iCs/>
        </w:rPr>
        <w:t xml:space="preserve">, </w:t>
      </w:r>
      <w:r w:rsidRPr="00227AE3">
        <w:rPr>
          <w:rFonts w:asciiTheme="majorHAnsi" w:hAnsiTheme="majorHAnsi" w:cstheme="majorHAnsi"/>
          <w:i/>
        </w:rPr>
        <w:t>15</w:t>
      </w:r>
      <w:r w:rsidR="002055B9" w:rsidRPr="00227AE3">
        <w:rPr>
          <w:rFonts w:asciiTheme="majorHAnsi" w:hAnsiTheme="majorHAnsi" w:cstheme="majorHAnsi"/>
          <w:i/>
        </w:rPr>
        <w:t xml:space="preserve"> </w:t>
      </w:r>
      <w:r w:rsidR="002055B9" w:rsidRPr="00227AE3">
        <w:rPr>
          <w:rFonts w:asciiTheme="majorHAnsi" w:hAnsiTheme="majorHAnsi" w:cstheme="majorHAnsi"/>
        </w:rPr>
        <w:t xml:space="preserve">(3), </w:t>
      </w:r>
      <w:r w:rsidRPr="00227AE3">
        <w:rPr>
          <w:rFonts w:asciiTheme="majorHAnsi" w:hAnsiTheme="majorHAnsi" w:cstheme="majorHAnsi"/>
        </w:rPr>
        <w:t xml:space="preserve">38-52. </w:t>
      </w:r>
      <w:hyperlink r:id="rId11" w:history="1">
        <w:r w:rsidRPr="001138DF">
          <w:rPr>
            <w:rStyle w:val="Hipervnculo"/>
            <w:rFonts w:asciiTheme="majorHAnsi" w:eastAsia="Arial" w:hAnsiTheme="majorHAnsi" w:cstheme="majorHAnsi"/>
            <w:kern w:val="1"/>
            <w:lang w:val="en-US"/>
          </w:rPr>
          <w:t>http://redie.uabc.mx/vol15no3/contenido-herreroetal.html</w:t>
        </w:r>
      </w:hyperlink>
      <w:r w:rsidRPr="001138DF">
        <w:rPr>
          <w:rStyle w:val="Hipervnculo"/>
          <w:rFonts w:asciiTheme="majorHAnsi" w:eastAsia="Arial" w:hAnsiTheme="majorHAnsi" w:cstheme="majorHAnsi"/>
          <w:color w:val="000000"/>
          <w:kern w:val="1"/>
          <w:u w:val="none"/>
          <w:lang w:val="en-US"/>
        </w:rPr>
        <w:t xml:space="preserve"> </w:t>
      </w:r>
    </w:p>
    <w:p w14:paraId="31848331" w14:textId="069E10DE" w:rsidR="002359D8" w:rsidRPr="001138DF" w:rsidRDefault="00E522A8">
      <w:pPr>
        <w:spacing w:line="240" w:lineRule="auto"/>
        <w:jc w:val="both"/>
        <w:rPr>
          <w:rFonts w:asciiTheme="majorHAnsi" w:eastAsia="Arial" w:hAnsiTheme="majorHAnsi" w:cstheme="majorHAnsi"/>
          <w:kern w:val="1"/>
        </w:rPr>
      </w:pPr>
      <w:r w:rsidRPr="00227AE3">
        <w:rPr>
          <w:rFonts w:asciiTheme="majorHAnsi" w:eastAsia="Arial" w:hAnsiTheme="majorHAnsi" w:cstheme="majorHAnsi"/>
          <w:kern w:val="1"/>
          <w:lang w:val="en-US"/>
        </w:rPr>
        <w:t>Horn, L</w:t>
      </w:r>
      <w:r w:rsidR="002055B9" w:rsidRPr="00227AE3">
        <w:rPr>
          <w:rFonts w:asciiTheme="majorHAnsi" w:eastAsia="Arial" w:hAnsiTheme="majorHAnsi" w:cstheme="majorHAnsi"/>
          <w:kern w:val="1"/>
          <w:lang w:val="en-US"/>
        </w:rPr>
        <w:t xml:space="preserve">. (1996). </w:t>
      </w:r>
      <w:r w:rsidRPr="00227AE3">
        <w:rPr>
          <w:rFonts w:asciiTheme="majorHAnsi" w:eastAsia="Arial" w:hAnsiTheme="majorHAnsi" w:cstheme="majorHAnsi"/>
          <w:i/>
          <w:kern w:val="1"/>
          <w:lang w:val="en-US"/>
        </w:rPr>
        <w:t>Nontraditional undergraduates: Trends in enrollment from 1986 to 1992 and persistence and attainment among 1989-90 Be</w:t>
      </w:r>
      <w:r w:rsidR="002055B9" w:rsidRPr="00227AE3">
        <w:rPr>
          <w:rFonts w:asciiTheme="majorHAnsi" w:eastAsia="Arial" w:hAnsiTheme="majorHAnsi" w:cstheme="majorHAnsi"/>
          <w:i/>
          <w:kern w:val="1"/>
          <w:lang w:val="en-US"/>
        </w:rPr>
        <w:t>ginning Postsecondary Students</w:t>
      </w:r>
      <w:r w:rsidR="002055B9" w:rsidRPr="00227AE3">
        <w:rPr>
          <w:rFonts w:asciiTheme="majorHAnsi" w:eastAsia="Arial" w:hAnsiTheme="majorHAnsi" w:cstheme="majorHAnsi"/>
          <w:kern w:val="1"/>
          <w:lang w:val="en-US"/>
        </w:rPr>
        <w:t xml:space="preserve">. </w:t>
      </w:r>
      <w:r w:rsidRPr="00227AE3">
        <w:rPr>
          <w:rFonts w:asciiTheme="majorHAnsi" w:eastAsia="Arial" w:hAnsiTheme="majorHAnsi" w:cstheme="majorHAnsi"/>
          <w:kern w:val="1"/>
          <w:lang w:val="en-US"/>
        </w:rPr>
        <w:t xml:space="preserve">U.S. Department of Education. National Center for Education Statistics. </w:t>
      </w:r>
      <w:r w:rsidRPr="001138DF">
        <w:rPr>
          <w:rFonts w:asciiTheme="majorHAnsi" w:eastAsia="Arial" w:hAnsiTheme="majorHAnsi" w:cstheme="majorHAnsi"/>
          <w:kern w:val="1"/>
        </w:rPr>
        <w:t xml:space="preserve">Disponible en: </w:t>
      </w:r>
      <w:hyperlink r:id="rId12" w:history="1">
        <w:r w:rsidRPr="001138DF">
          <w:rPr>
            <w:rStyle w:val="Hipervnculo"/>
            <w:rFonts w:asciiTheme="majorHAnsi" w:eastAsia="Arial" w:hAnsiTheme="majorHAnsi" w:cstheme="majorHAnsi"/>
            <w:kern w:val="1"/>
          </w:rPr>
          <w:t>https://nces.ed.gov/pubs/web/97578.asp</w:t>
        </w:r>
      </w:hyperlink>
      <w:r w:rsidR="002055B9" w:rsidRPr="001138DF">
        <w:rPr>
          <w:rFonts w:asciiTheme="majorHAnsi" w:eastAsia="Arial" w:hAnsiTheme="majorHAnsi" w:cstheme="majorHAnsi"/>
          <w:kern w:val="1"/>
        </w:rPr>
        <w:t xml:space="preserve"> </w:t>
      </w:r>
    </w:p>
    <w:p w14:paraId="43A9C9C4" w14:textId="3D46EB87"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Martínez Hernández, M. (1984)</w:t>
      </w:r>
      <w:r w:rsidR="002055B9" w:rsidRPr="00227AE3">
        <w:rPr>
          <w:rFonts w:asciiTheme="majorHAnsi" w:hAnsiTheme="majorHAnsi" w:cstheme="majorHAnsi"/>
        </w:rPr>
        <w:t xml:space="preserve">. </w:t>
      </w:r>
      <w:r w:rsidRPr="00227AE3">
        <w:rPr>
          <w:rFonts w:asciiTheme="majorHAnsi" w:hAnsiTheme="majorHAnsi" w:cstheme="majorHAnsi"/>
          <w:i/>
        </w:rPr>
        <w:t>Psicología experimental. Conceptos básicos, metodología y diseños</w:t>
      </w:r>
      <w:r w:rsidR="002055B9" w:rsidRPr="00227AE3">
        <w:rPr>
          <w:rFonts w:asciiTheme="majorHAnsi" w:hAnsiTheme="majorHAnsi" w:cstheme="majorHAnsi"/>
        </w:rPr>
        <w:t>.</w:t>
      </w:r>
      <w:r w:rsidRPr="00227AE3">
        <w:rPr>
          <w:rFonts w:asciiTheme="majorHAnsi" w:hAnsiTheme="majorHAnsi" w:cstheme="majorHAnsi"/>
        </w:rPr>
        <w:t xml:space="preserve"> Editorial Universidad Complutense.</w:t>
      </w:r>
    </w:p>
    <w:p w14:paraId="63AE2B4F" w14:textId="35792872"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Ministerio de Educación Nacional</w:t>
      </w:r>
      <w:r w:rsidR="002055B9" w:rsidRPr="00227AE3">
        <w:rPr>
          <w:rFonts w:asciiTheme="majorHAnsi" w:hAnsiTheme="majorHAnsi" w:cstheme="majorHAnsi"/>
        </w:rPr>
        <w:t xml:space="preserve"> de Colombia</w:t>
      </w:r>
      <w:r w:rsidRPr="00227AE3">
        <w:rPr>
          <w:rFonts w:asciiTheme="majorHAnsi" w:hAnsiTheme="majorHAnsi" w:cstheme="majorHAnsi"/>
        </w:rPr>
        <w:t xml:space="preserve"> (2008). Deserción estudiantil en la educación superior colombiana. Elementos para su diagnóstico y tratamiento</w:t>
      </w:r>
      <w:r w:rsidR="002055B9" w:rsidRPr="00227AE3">
        <w:rPr>
          <w:rFonts w:asciiTheme="majorHAnsi" w:hAnsiTheme="majorHAnsi" w:cstheme="majorHAnsi"/>
        </w:rPr>
        <w:t>.</w:t>
      </w:r>
      <w:r w:rsidRPr="00227AE3">
        <w:rPr>
          <w:rFonts w:asciiTheme="majorHAnsi" w:hAnsiTheme="majorHAnsi" w:cstheme="majorHAnsi"/>
        </w:rPr>
        <w:t>MEN.</w:t>
      </w:r>
      <w:hyperlink r:id="rId13" w:history="1">
        <w:r w:rsidRPr="00227AE3">
          <w:rPr>
            <w:rStyle w:val="Hipervnculo"/>
            <w:rFonts w:asciiTheme="majorHAnsi" w:hAnsiTheme="majorHAnsi" w:cstheme="majorHAnsi"/>
          </w:rPr>
          <w:t>https://www.mineducacion.gov.co/sistemasdeinformacion/1735/articles-254702_diagnostico_desercion.pdf</w:t>
        </w:r>
      </w:hyperlink>
      <w:r w:rsidR="002055B9" w:rsidRPr="00227AE3">
        <w:rPr>
          <w:rFonts w:asciiTheme="majorHAnsi" w:hAnsiTheme="majorHAnsi" w:cstheme="majorHAnsi"/>
        </w:rPr>
        <w:t xml:space="preserve"> </w:t>
      </w:r>
    </w:p>
    <w:p w14:paraId="2BC05E00" w14:textId="1C28BF16"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lang w:val="en-US"/>
        </w:rPr>
        <w:t xml:space="preserve">Moreno, </w:t>
      </w:r>
      <w:r w:rsidR="002055B9" w:rsidRPr="00227AE3">
        <w:rPr>
          <w:rFonts w:asciiTheme="majorHAnsi" w:hAnsiTheme="majorHAnsi" w:cstheme="majorHAnsi"/>
          <w:lang w:val="en-US"/>
        </w:rPr>
        <w:t>J.E</w:t>
      </w:r>
      <w:r w:rsidRPr="00227AE3">
        <w:rPr>
          <w:rFonts w:asciiTheme="majorHAnsi" w:hAnsiTheme="majorHAnsi" w:cstheme="majorHAnsi"/>
          <w:lang w:val="en-US"/>
        </w:rPr>
        <w:t xml:space="preserve">. y </w:t>
      </w:r>
      <w:proofErr w:type="spellStart"/>
      <w:r w:rsidRPr="00227AE3">
        <w:rPr>
          <w:rFonts w:asciiTheme="majorHAnsi" w:hAnsiTheme="majorHAnsi" w:cstheme="majorHAnsi"/>
          <w:lang w:val="en-US"/>
        </w:rPr>
        <w:t>Chiecher</w:t>
      </w:r>
      <w:proofErr w:type="spellEnd"/>
      <w:r w:rsidRPr="00227AE3">
        <w:rPr>
          <w:rFonts w:asciiTheme="majorHAnsi" w:hAnsiTheme="majorHAnsi" w:cstheme="majorHAnsi"/>
          <w:lang w:val="en-US"/>
        </w:rPr>
        <w:t>, A</w:t>
      </w:r>
      <w:r w:rsidR="002055B9" w:rsidRPr="00227AE3">
        <w:rPr>
          <w:rFonts w:asciiTheme="majorHAnsi" w:hAnsiTheme="majorHAnsi" w:cstheme="majorHAnsi"/>
          <w:lang w:val="en-US"/>
        </w:rPr>
        <w:t>.C</w:t>
      </w:r>
      <w:r w:rsidRPr="00227AE3">
        <w:rPr>
          <w:rFonts w:asciiTheme="majorHAnsi" w:hAnsiTheme="majorHAnsi" w:cstheme="majorHAnsi"/>
          <w:lang w:val="en-US"/>
        </w:rPr>
        <w:t xml:space="preserve">. (2019). </w:t>
      </w:r>
      <w:r w:rsidRPr="00227AE3">
        <w:rPr>
          <w:rFonts w:asciiTheme="majorHAnsi" w:hAnsiTheme="majorHAnsi" w:cstheme="majorHAnsi"/>
        </w:rPr>
        <w:t xml:space="preserve">Abandono en carreras de ingeniería. Un estudio de los aspectos académicos, socio-demográficos, laborales y vitales, </w:t>
      </w:r>
      <w:r w:rsidRPr="00227AE3">
        <w:rPr>
          <w:rFonts w:asciiTheme="majorHAnsi" w:hAnsiTheme="majorHAnsi" w:cstheme="majorHAnsi"/>
          <w:i/>
        </w:rPr>
        <w:t>Cuaderno de Investigación Educativa,</w:t>
      </w:r>
      <w:r w:rsidR="002055B9" w:rsidRPr="00227AE3">
        <w:rPr>
          <w:rFonts w:asciiTheme="majorHAnsi" w:hAnsiTheme="majorHAnsi" w:cstheme="majorHAnsi"/>
          <w:i/>
        </w:rPr>
        <w:t>10</w:t>
      </w:r>
      <w:r w:rsidR="002055B9" w:rsidRPr="00227AE3">
        <w:rPr>
          <w:rFonts w:asciiTheme="majorHAnsi" w:hAnsiTheme="majorHAnsi" w:cstheme="majorHAnsi"/>
        </w:rPr>
        <w:t xml:space="preserve"> (2), </w:t>
      </w:r>
      <w:r w:rsidRPr="00227AE3">
        <w:rPr>
          <w:rFonts w:asciiTheme="majorHAnsi" w:hAnsiTheme="majorHAnsi" w:cstheme="majorHAnsi"/>
        </w:rPr>
        <w:t>73-90.</w:t>
      </w:r>
      <w:r w:rsidR="007B7D3E" w:rsidRPr="00227AE3">
        <w:rPr>
          <w:rFonts w:asciiTheme="majorHAnsi" w:hAnsiTheme="majorHAnsi" w:cstheme="majorHAnsi"/>
          <w:color w:val="FF0000"/>
        </w:rPr>
        <w:t xml:space="preserve"> </w:t>
      </w:r>
    </w:p>
    <w:p w14:paraId="69D99450" w14:textId="50D55644" w:rsidR="002055B9" w:rsidRPr="00227AE3" w:rsidRDefault="002055B9">
      <w:pPr>
        <w:spacing w:line="240" w:lineRule="auto"/>
        <w:jc w:val="both"/>
        <w:rPr>
          <w:rFonts w:asciiTheme="majorHAnsi" w:hAnsiTheme="majorHAnsi" w:cstheme="majorHAnsi"/>
        </w:rPr>
      </w:pPr>
      <w:r w:rsidRPr="00227AE3">
        <w:rPr>
          <w:rFonts w:asciiTheme="majorHAnsi" w:hAnsiTheme="majorHAnsi" w:cstheme="majorHAnsi"/>
        </w:rPr>
        <w:t>Moya, H.</w:t>
      </w:r>
      <w:r w:rsidR="00E522A8" w:rsidRPr="00227AE3">
        <w:rPr>
          <w:rFonts w:asciiTheme="majorHAnsi" w:hAnsiTheme="majorHAnsi" w:cstheme="majorHAnsi"/>
        </w:rPr>
        <w:t>; Fernández, P</w:t>
      </w:r>
      <w:r w:rsidRPr="00227AE3">
        <w:rPr>
          <w:rFonts w:asciiTheme="majorHAnsi" w:hAnsiTheme="majorHAnsi" w:cstheme="majorHAnsi"/>
        </w:rPr>
        <w:t>.</w:t>
      </w:r>
      <w:r w:rsidR="00E522A8" w:rsidRPr="00227AE3">
        <w:rPr>
          <w:rFonts w:asciiTheme="majorHAnsi" w:hAnsiTheme="majorHAnsi" w:cstheme="majorHAnsi"/>
        </w:rPr>
        <w:t xml:space="preserve"> y </w:t>
      </w:r>
      <w:proofErr w:type="spellStart"/>
      <w:r w:rsidR="00E522A8" w:rsidRPr="00227AE3">
        <w:rPr>
          <w:rFonts w:asciiTheme="majorHAnsi" w:hAnsiTheme="majorHAnsi" w:cstheme="majorHAnsi"/>
        </w:rPr>
        <w:t>Oyarzún</w:t>
      </w:r>
      <w:proofErr w:type="spellEnd"/>
      <w:r w:rsidR="00E522A8" w:rsidRPr="00227AE3">
        <w:rPr>
          <w:rFonts w:asciiTheme="majorHAnsi" w:hAnsiTheme="majorHAnsi" w:cstheme="majorHAnsi"/>
        </w:rPr>
        <w:t>, F. (2018). Análisis de la deserción en el departamento de formación técnica de la Universidad Arturo Prat</w:t>
      </w:r>
      <w:r w:rsidRPr="00227AE3">
        <w:rPr>
          <w:rFonts w:asciiTheme="majorHAnsi" w:hAnsiTheme="majorHAnsi" w:cstheme="majorHAnsi"/>
        </w:rPr>
        <w:t>.</w:t>
      </w:r>
      <w:r w:rsidR="00E522A8" w:rsidRPr="00227AE3">
        <w:rPr>
          <w:rFonts w:asciiTheme="majorHAnsi" w:hAnsiTheme="majorHAnsi" w:cstheme="majorHAnsi"/>
        </w:rPr>
        <w:t xml:space="preserve"> </w:t>
      </w:r>
      <w:r w:rsidRPr="00227AE3">
        <w:rPr>
          <w:rFonts w:asciiTheme="majorHAnsi" w:hAnsiTheme="majorHAnsi" w:cstheme="majorHAnsi"/>
          <w:i/>
        </w:rPr>
        <w:t>Revista CIS,</w:t>
      </w:r>
      <w:r w:rsidR="00E522A8" w:rsidRPr="00227AE3">
        <w:rPr>
          <w:rFonts w:asciiTheme="majorHAnsi" w:hAnsiTheme="majorHAnsi" w:cstheme="majorHAnsi"/>
          <w:i/>
        </w:rPr>
        <w:t xml:space="preserve"> 30,</w:t>
      </w:r>
      <w:r w:rsidR="00E522A8" w:rsidRPr="00227AE3">
        <w:rPr>
          <w:rFonts w:asciiTheme="majorHAnsi" w:hAnsiTheme="majorHAnsi" w:cstheme="majorHAnsi"/>
        </w:rPr>
        <w:t xml:space="preserve"> </w:t>
      </w:r>
      <w:r w:rsidRPr="00227AE3">
        <w:rPr>
          <w:rFonts w:asciiTheme="majorHAnsi" w:hAnsiTheme="majorHAnsi" w:cstheme="majorHAnsi"/>
        </w:rPr>
        <w:t xml:space="preserve">(25), </w:t>
      </w:r>
      <w:r w:rsidR="00E522A8" w:rsidRPr="00227AE3">
        <w:rPr>
          <w:rFonts w:asciiTheme="majorHAnsi" w:hAnsiTheme="majorHAnsi" w:cstheme="majorHAnsi"/>
        </w:rPr>
        <w:t>22-33.</w:t>
      </w:r>
    </w:p>
    <w:p w14:paraId="5797B71F" w14:textId="0793615B"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Ramírez, </w:t>
      </w:r>
      <w:r w:rsidR="002055B9" w:rsidRPr="00227AE3">
        <w:rPr>
          <w:rFonts w:asciiTheme="majorHAnsi" w:hAnsiTheme="majorHAnsi" w:cstheme="majorHAnsi"/>
        </w:rPr>
        <w:t>P.</w:t>
      </w:r>
      <w:r w:rsidRPr="00227AE3">
        <w:rPr>
          <w:rFonts w:asciiTheme="majorHAnsi" w:hAnsiTheme="majorHAnsi" w:cstheme="majorHAnsi"/>
        </w:rPr>
        <w:t xml:space="preserve"> y </w:t>
      </w:r>
      <w:proofErr w:type="spellStart"/>
      <w:r w:rsidRPr="00227AE3">
        <w:rPr>
          <w:rFonts w:asciiTheme="majorHAnsi" w:hAnsiTheme="majorHAnsi" w:cstheme="majorHAnsi"/>
        </w:rPr>
        <w:t>Grandón</w:t>
      </w:r>
      <w:proofErr w:type="spellEnd"/>
      <w:r w:rsidRPr="00227AE3">
        <w:rPr>
          <w:rFonts w:asciiTheme="majorHAnsi" w:hAnsiTheme="majorHAnsi" w:cstheme="majorHAnsi"/>
        </w:rPr>
        <w:t xml:space="preserve"> </w:t>
      </w:r>
      <w:r w:rsidR="002055B9" w:rsidRPr="00227AE3">
        <w:rPr>
          <w:rFonts w:asciiTheme="majorHAnsi" w:hAnsiTheme="majorHAnsi" w:cstheme="majorHAnsi"/>
        </w:rPr>
        <w:t>E.</w:t>
      </w:r>
      <w:r w:rsidRPr="00227AE3">
        <w:rPr>
          <w:rFonts w:asciiTheme="majorHAnsi" w:hAnsiTheme="majorHAnsi" w:cstheme="majorHAnsi"/>
        </w:rPr>
        <w:t xml:space="preserve"> (2018). Predicción de la Deserción Académica en una Universidad Pública Chilena a través de la Clasificación basada en Árboles de Decisión con Parámetros Optimizados</w:t>
      </w:r>
      <w:r w:rsidR="002055B9" w:rsidRPr="00227AE3">
        <w:rPr>
          <w:rFonts w:asciiTheme="majorHAnsi" w:eastAsia="Arial" w:hAnsiTheme="majorHAnsi" w:cstheme="majorHAnsi"/>
          <w:i/>
          <w:kern w:val="1"/>
        </w:rPr>
        <w:t>.</w:t>
      </w:r>
      <w:r w:rsidRPr="00227AE3">
        <w:rPr>
          <w:rFonts w:asciiTheme="majorHAnsi" w:hAnsiTheme="majorHAnsi" w:cstheme="majorHAnsi"/>
          <w:i/>
        </w:rPr>
        <w:t xml:space="preserve"> Formación Universitaria,</w:t>
      </w:r>
      <w:r w:rsidR="002055B9" w:rsidRPr="00227AE3">
        <w:rPr>
          <w:rFonts w:asciiTheme="majorHAnsi" w:hAnsiTheme="majorHAnsi" w:cstheme="majorHAnsi"/>
          <w:i/>
        </w:rPr>
        <w:t>11</w:t>
      </w:r>
      <w:r w:rsidR="002055B9" w:rsidRPr="00227AE3">
        <w:rPr>
          <w:rFonts w:asciiTheme="majorHAnsi" w:hAnsiTheme="majorHAnsi" w:cstheme="majorHAnsi"/>
        </w:rPr>
        <w:t xml:space="preserve">(3), </w:t>
      </w:r>
      <w:r w:rsidRPr="00227AE3">
        <w:rPr>
          <w:rFonts w:asciiTheme="majorHAnsi" w:hAnsiTheme="majorHAnsi" w:cstheme="majorHAnsi"/>
        </w:rPr>
        <w:t>3-10.</w:t>
      </w:r>
      <w:r w:rsidR="007B7D3E" w:rsidRPr="00227AE3">
        <w:rPr>
          <w:rFonts w:asciiTheme="majorHAnsi" w:hAnsiTheme="majorHAnsi" w:cstheme="majorHAnsi"/>
          <w:color w:val="FF0000"/>
        </w:rPr>
        <w:t xml:space="preserve"> </w:t>
      </w:r>
    </w:p>
    <w:p w14:paraId="7259106D" w14:textId="6481F65B" w:rsidR="002359D8" w:rsidRPr="00227AE3" w:rsidRDefault="002055B9" w:rsidP="002055B9">
      <w:pPr>
        <w:spacing w:line="240" w:lineRule="auto"/>
        <w:jc w:val="both"/>
        <w:rPr>
          <w:rStyle w:val="Hipervnculo"/>
          <w:rFonts w:asciiTheme="majorHAnsi" w:eastAsia="Arial" w:hAnsiTheme="majorHAnsi" w:cstheme="majorHAnsi"/>
          <w:color w:val="auto"/>
          <w:kern w:val="1"/>
          <w:u w:val="none"/>
        </w:rPr>
      </w:pPr>
      <w:r w:rsidRPr="00227AE3">
        <w:rPr>
          <w:rFonts w:asciiTheme="majorHAnsi" w:eastAsia="Arial" w:hAnsiTheme="majorHAnsi" w:cstheme="majorHAnsi"/>
          <w:kern w:val="1"/>
        </w:rPr>
        <w:t>Reyes-Ruíz, L.,</w:t>
      </w:r>
      <w:r w:rsidR="00E522A8" w:rsidRPr="00227AE3">
        <w:rPr>
          <w:rFonts w:asciiTheme="majorHAnsi" w:eastAsia="Arial" w:hAnsiTheme="majorHAnsi" w:cstheme="majorHAnsi"/>
          <w:kern w:val="1"/>
        </w:rPr>
        <w:t xml:space="preserve"> Castañeda Carranza, E</w:t>
      </w:r>
      <w:r w:rsidRPr="00227AE3">
        <w:rPr>
          <w:rFonts w:asciiTheme="majorHAnsi" w:eastAsia="Arial" w:hAnsiTheme="majorHAnsi" w:cstheme="majorHAnsi"/>
          <w:kern w:val="1"/>
        </w:rPr>
        <w:t>.</w:t>
      </w:r>
      <w:r w:rsidR="00E522A8" w:rsidRPr="00227AE3">
        <w:rPr>
          <w:rFonts w:asciiTheme="majorHAnsi" w:eastAsia="Arial" w:hAnsiTheme="majorHAnsi" w:cstheme="majorHAnsi"/>
          <w:kern w:val="1"/>
        </w:rPr>
        <w:t xml:space="preserve"> y Pabón Castro, D</w:t>
      </w:r>
      <w:r w:rsidRPr="00227AE3">
        <w:rPr>
          <w:rFonts w:asciiTheme="majorHAnsi" w:eastAsia="Arial" w:hAnsiTheme="majorHAnsi" w:cstheme="majorHAnsi"/>
          <w:kern w:val="1"/>
        </w:rPr>
        <w:t xml:space="preserve">. </w:t>
      </w:r>
      <w:r w:rsidR="00E522A8" w:rsidRPr="00227AE3">
        <w:rPr>
          <w:rFonts w:asciiTheme="majorHAnsi" w:eastAsia="Arial" w:hAnsiTheme="majorHAnsi" w:cstheme="majorHAnsi"/>
          <w:kern w:val="1"/>
        </w:rPr>
        <w:t>(2012). Causas psicosociales de la deserción universitaria</w:t>
      </w:r>
      <w:r w:rsidRPr="00227AE3">
        <w:rPr>
          <w:rFonts w:asciiTheme="majorHAnsi" w:eastAsia="Arial" w:hAnsiTheme="majorHAnsi" w:cstheme="majorHAnsi"/>
          <w:kern w:val="1"/>
        </w:rPr>
        <w:t>.</w:t>
      </w:r>
      <w:r w:rsidR="00E522A8" w:rsidRPr="00227AE3">
        <w:rPr>
          <w:rFonts w:asciiTheme="majorHAnsi" w:eastAsia="Arial" w:hAnsiTheme="majorHAnsi" w:cstheme="majorHAnsi"/>
          <w:kern w:val="1"/>
        </w:rPr>
        <w:t xml:space="preserve"> </w:t>
      </w:r>
      <w:r w:rsidR="00E522A8" w:rsidRPr="00227AE3">
        <w:rPr>
          <w:rFonts w:asciiTheme="majorHAnsi" w:eastAsia="Arial" w:hAnsiTheme="majorHAnsi" w:cstheme="majorHAnsi"/>
          <w:i/>
          <w:kern w:val="1"/>
        </w:rPr>
        <w:t>Revista Logos, Ciencia &amp; Tecnología, 4</w:t>
      </w:r>
      <w:r w:rsidR="00E522A8" w:rsidRPr="00227AE3">
        <w:rPr>
          <w:rFonts w:asciiTheme="majorHAnsi" w:eastAsia="Arial" w:hAnsiTheme="majorHAnsi" w:cstheme="majorHAnsi"/>
          <w:kern w:val="1"/>
        </w:rPr>
        <w:t>,</w:t>
      </w:r>
      <w:r w:rsidRPr="00227AE3">
        <w:rPr>
          <w:rFonts w:asciiTheme="majorHAnsi" w:eastAsia="Arial" w:hAnsiTheme="majorHAnsi" w:cstheme="majorHAnsi"/>
          <w:kern w:val="1"/>
        </w:rPr>
        <w:t xml:space="preserve"> (1), 1</w:t>
      </w:r>
      <w:r w:rsidR="00E522A8" w:rsidRPr="00227AE3">
        <w:rPr>
          <w:rFonts w:asciiTheme="majorHAnsi" w:eastAsia="Arial" w:hAnsiTheme="majorHAnsi" w:cstheme="majorHAnsi"/>
          <w:kern w:val="1"/>
        </w:rPr>
        <w:t>64-168.</w:t>
      </w:r>
      <w:r w:rsidRPr="00227AE3">
        <w:rPr>
          <w:rFonts w:asciiTheme="majorHAnsi" w:eastAsia="Arial" w:hAnsiTheme="majorHAnsi" w:cstheme="majorHAnsi"/>
          <w:kern w:val="1"/>
        </w:rPr>
        <w:t xml:space="preserve"> </w:t>
      </w:r>
      <w:hyperlink r:id="rId14" w:history="1">
        <w:r w:rsidR="00E522A8" w:rsidRPr="00227AE3">
          <w:rPr>
            <w:rStyle w:val="Hipervnculo"/>
            <w:rFonts w:asciiTheme="majorHAnsi" w:eastAsia="Arial" w:hAnsiTheme="majorHAnsi" w:cstheme="majorHAnsi"/>
          </w:rPr>
          <w:t>https://www.researchgate.net/publication/281641379_Causas_psicosociales_de_la_desercion_universitaria</w:t>
        </w:r>
      </w:hyperlink>
    </w:p>
    <w:p w14:paraId="686D6620" w14:textId="77777777" w:rsidR="002055B9" w:rsidRPr="00227AE3" w:rsidRDefault="002055B9" w:rsidP="002055B9">
      <w:pPr>
        <w:spacing w:line="240" w:lineRule="auto"/>
        <w:jc w:val="both"/>
        <w:rPr>
          <w:rStyle w:val="Hipervnculo"/>
          <w:rFonts w:asciiTheme="majorHAnsi" w:eastAsia="Arial" w:hAnsiTheme="majorHAnsi" w:cstheme="majorHAnsi"/>
          <w:color w:val="auto"/>
          <w:kern w:val="1"/>
          <w:u w:val="none"/>
        </w:rPr>
      </w:pPr>
    </w:p>
    <w:p w14:paraId="5DD82294" w14:textId="14571C18" w:rsidR="002359D8" w:rsidRPr="00227AE3" w:rsidRDefault="00E522A8">
      <w:pPr>
        <w:spacing w:line="240" w:lineRule="auto"/>
        <w:jc w:val="both"/>
        <w:rPr>
          <w:rFonts w:asciiTheme="majorHAnsi" w:hAnsiTheme="majorHAnsi" w:cstheme="majorHAnsi"/>
        </w:rPr>
      </w:pPr>
      <w:r w:rsidRPr="00227AE3">
        <w:rPr>
          <w:rFonts w:asciiTheme="majorHAnsi" w:hAnsiTheme="majorHAnsi" w:cstheme="majorHAnsi"/>
        </w:rPr>
        <w:t xml:space="preserve">Robledo Yugueros, R. (2016). </w:t>
      </w:r>
      <w:r w:rsidRPr="00227AE3">
        <w:rPr>
          <w:rFonts w:asciiTheme="majorHAnsi" w:hAnsiTheme="majorHAnsi" w:cstheme="majorHAnsi"/>
          <w:i/>
        </w:rPr>
        <w:t>Educación Superior en Iberoamérica. Informe 2016: Informe Nacional Paraguay</w:t>
      </w:r>
      <w:r w:rsidRPr="00227AE3">
        <w:rPr>
          <w:rFonts w:asciiTheme="majorHAnsi" w:hAnsiTheme="majorHAnsi" w:cstheme="majorHAnsi"/>
        </w:rPr>
        <w:t xml:space="preserve">. </w:t>
      </w:r>
      <w:proofErr w:type="spellStart"/>
      <w:r w:rsidRPr="00227AE3">
        <w:rPr>
          <w:rFonts w:asciiTheme="majorHAnsi" w:hAnsiTheme="majorHAnsi" w:cstheme="majorHAnsi"/>
        </w:rPr>
        <w:t>Universia</w:t>
      </w:r>
      <w:proofErr w:type="spellEnd"/>
      <w:r w:rsidRPr="00227AE3">
        <w:rPr>
          <w:rFonts w:asciiTheme="majorHAnsi" w:hAnsiTheme="majorHAnsi" w:cstheme="majorHAnsi"/>
        </w:rPr>
        <w:t xml:space="preserve"> - </w:t>
      </w:r>
      <w:proofErr w:type="spellStart"/>
      <w:r w:rsidRPr="00227AE3">
        <w:rPr>
          <w:rFonts w:asciiTheme="majorHAnsi" w:hAnsiTheme="majorHAnsi" w:cstheme="majorHAnsi"/>
        </w:rPr>
        <w:t>Cinda</w:t>
      </w:r>
      <w:proofErr w:type="spellEnd"/>
      <w:r w:rsidRPr="00227AE3">
        <w:rPr>
          <w:rFonts w:asciiTheme="majorHAnsi" w:hAnsiTheme="majorHAnsi" w:cstheme="majorHAnsi"/>
          <w:i/>
        </w:rPr>
        <w:t>.</w:t>
      </w:r>
      <w:r w:rsidRPr="00227AE3">
        <w:rPr>
          <w:rFonts w:asciiTheme="majorHAnsi" w:hAnsiTheme="majorHAnsi" w:cstheme="majorHAnsi"/>
        </w:rPr>
        <w:t xml:space="preserve"> </w:t>
      </w:r>
      <w:hyperlink r:id="rId15" w:history="1">
        <w:r w:rsidRPr="00227AE3">
          <w:rPr>
            <w:rStyle w:val="Hipervnculo"/>
            <w:rFonts w:asciiTheme="majorHAnsi" w:hAnsiTheme="majorHAnsi" w:cstheme="majorHAnsi"/>
          </w:rPr>
          <w:t>https://cinda.cl/wp-content/uploads/2019/01/educacion-superior-en-iberoamerica-informe-2016-informe-nacional-paraguay.pdf</w:t>
        </w:r>
      </w:hyperlink>
      <w:r w:rsidRPr="00227AE3">
        <w:rPr>
          <w:rFonts w:asciiTheme="majorHAnsi" w:hAnsiTheme="majorHAnsi" w:cstheme="majorHAnsi"/>
        </w:rPr>
        <w:t xml:space="preserve"> </w:t>
      </w:r>
    </w:p>
    <w:p w14:paraId="47B360B5" w14:textId="25CDF1B3" w:rsidR="002359D8" w:rsidRPr="00227AE3" w:rsidRDefault="00E522A8">
      <w:pPr>
        <w:spacing w:line="240" w:lineRule="auto"/>
        <w:jc w:val="both"/>
        <w:rPr>
          <w:rFonts w:asciiTheme="majorHAnsi" w:hAnsiTheme="majorHAnsi" w:cstheme="majorHAnsi"/>
        </w:rPr>
      </w:pPr>
      <w:proofErr w:type="spellStart"/>
      <w:r w:rsidRPr="00227AE3">
        <w:rPr>
          <w:rFonts w:asciiTheme="majorHAnsi" w:hAnsiTheme="majorHAnsi" w:cstheme="majorHAnsi"/>
        </w:rPr>
        <w:t>Seminara</w:t>
      </w:r>
      <w:proofErr w:type="spellEnd"/>
      <w:r w:rsidRPr="00227AE3">
        <w:rPr>
          <w:rFonts w:asciiTheme="majorHAnsi" w:hAnsiTheme="majorHAnsi" w:cstheme="majorHAnsi"/>
        </w:rPr>
        <w:t xml:space="preserve">, </w:t>
      </w:r>
      <w:r w:rsidR="002055B9" w:rsidRPr="00227AE3">
        <w:rPr>
          <w:rFonts w:asciiTheme="majorHAnsi" w:hAnsiTheme="majorHAnsi" w:cstheme="majorHAnsi"/>
        </w:rPr>
        <w:t>M.P.</w:t>
      </w:r>
      <w:r w:rsidRPr="00227AE3">
        <w:rPr>
          <w:rFonts w:asciiTheme="majorHAnsi" w:hAnsiTheme="majorHAnsi" w:cstheme="majorHAnsi"/>
        </w:rPr>
        <w:t xml:space="preserve"> y Aparicio, </w:t>
      </w:r>
      <w:r w:rsidR="002055B9" w:rsidRPr="00227AE3">
        <w:rPr>
          <w:rFonts w:asciiTheme="majorHAnsi" w:hAnsiTheme="majorHAnsi" w:cstheme="majorHAnsi"/>
        </w:rPr>
        <w:t xml:space="preserve">M.T. </w:t>
      </w:r>
      <w:r w:rsidRPr="00227AE3">
        <w:rPr>
          <w:rFonts w:asciiTheme="majorHAnsi" w:hAnsiTheme="majorHAnsi" w:cstheme="majorHAnsi"/>
        </w:rPr>
        <w:t xml:space="preserve">(2018). La deserción universitaria ¿un concepto equívoco? Revisión de estudios latinoamericanos sobre conceptos alternativos. </w:t>
      </w:r>
      <w:r w:rsidRPr="00227AE3">
        <w:rPr>
          <w:rFonts w:asciiTheme="majorHAnsi" w:hAnsiTheme="majorHAnsi" w:cstheme="majorHAnsi"/>
          <w:i/>
        </w:rPr>
        <w:t>Revista de Orientación Educacional</w:t>
      </w:r>
      <w:r w:rsidRPr="00227AE3">
        <w:rPr>
          <w:rFonts w:asciiTheme="majorHAnsi" w:hAnsiTheme="majorHAnsi" w:cstheme="majorHAnsi"/>
        </w:rPr>
        <w:t>,</w:t>
      </w:r>
      <w:r w:rsidR="002055B9" w:rsidRPr="00227AE3">
        <w:rPr>
          <w:rFonts w:asciiTheme="majorHAnsi" w:hAnsiTheme="majorHAnsi" w:cstheme="majorHAnsi"/>
          <w:i/>
        </w:rPr>
        <w:t xml:space="preserve"> 32</w:t>
      </w:r>
      <w:r w:rsidRPr="00227AE3">
        <w:rPr>
          <w:rFonts w:asciiTheme="majorHAnsi" w:hAnsiTheme="majorHAnsi" w:cstheme="majorHAnsi"/>
          <w:i/>
        </w:rPr>
        <w:t xml:space="preserve"> </w:t>
      </w:r>
      <w:r w:rsidR="002055B9" w:rsidRPr="00227AE3">
        <w:rPr>
          <w:rFonts w:asciiTheme="majorHAnsi" w:hAnsiTheme="majorHAnsi" w:cstheme="majorHAnsi"/>
        </w:rPr>
        <w:t>(</w:t>
      </w:r>
      <w:r w:rsidRPr="00227AE3">
        <w:rPr>
          <w:rFonts w:asciiTheme="majorHAnsi" w:hAnsiTheme="majorHAnsi" w:cstheme="majorHAnsi"/>
        </w:rPr>
        <w:t>61</w:t>
      </w:r>
      <w:r w:rsidR="00227AE3" w:rsidRPr="00227AE3">
        <w:rPr>
          <w:rFonts w:asciiTheme="majorHAnsi" w:hAnsiTheme="majorHAnsi" w:cstheme="majorHAnsi"/>
        </w:rPr>
        <w:t>),</w:t>
      </w:r>
      <w:r w:rsidRPr="00227AE3">
        <w:rPr>
          <w:rFonts w:asciiTheme="majorHAnsi" w:hAnsiTheme="majorHAnsi" w:cstheme="majorHAnsi"/>
        </w:rPr>
        <w:t xml:space="preserve"> 44-72.</w:t>
      </w:r>
    </w:p>
    <w:p w14:paraId="4791CA88" w14:textId="6FECBE36" w:rsidR="002359D8" w:rsidRPr="00227AE3" w:rsidRDefault="00E522A8">
      <w:pPr>
        <w:spacing w:line="240" w:lineRule="auto"/>
        <w:jc w:val="both"/>
        <w:rPr>
          <w:rFonts w:asciiTheme="majorHAnsi" w:hAnsiTheme="majorHAnsi" w:cstheme="majorHAnsi"/>
        </w:rPr>
      </w:pPr>
      <w:proofErr w:type="spellStart"/>
      <w:r w:rsidRPr="00227AE3">
        <w:rPr>
          <w:rFonts w:asciiTheme="majorHAnsi" w:hAnsiTheme="majorHAnsi" w:cstheme="majorHAnsi"/>
        </w:rPr>
        <w:lastRenderedPageBreak/>
        <w:t>Smulders</w:t>
      </w:r>
      <w:proofErr w:type="spellEnd"/>
      <w:r w:rsidRPr="00227AE3">
        <w:rPr>
          <w:rFonts w:asciiTheme="majorHAnsi" w:hAnsiTheme="majorHAnsi" w:cstheme="majorHAnsi"/>
        </w:rPr>
        <w:t xml:space="preserve"> Chaparro, </w:t>
      </w:r>
      <w:r w:rsidR="00227AE3" w:rsidRPr="00227AE3">
        <w:rPr>
          <w:rFonts w:asciiTheme="majorHAnsi" w:hAnsiTheme="majorHAnsi" w:cstheme="majorHAnsi"/>
        </w:rPr>
        <w:t>M.E.</w:t>
      </w:r>
      <w:r w:rsidRPr="00227AE3">
        <w:rPr>
          <w:rFonts w:asciiTheme="majorHAnsi" w:hAnsiTheme="majorHAnsi" w:cstheme="majorHAnsi"/>
        </w:rPr>
        <w:t xml:space="preserve"> (2018). Factores que influyen en la deserción de los Estudiantes Universitarios</w:t>
      </w:r>
      <w:r w:rsidRPr="00227AE3">
        <w:rPr>
          <w:rFonts w:asciiTheme="majorHAnsi" w:eastAsia="Arial" w:hAnsiTheme="majorHAnsi" w:cstheme="majorHAnsi"/>
          <w:kern w:val="1"/>
        </w:rPr>
        <w:t>”</w:t>
      </w:r>
      <w:r w:rsidRPr="00227AE3">
        <w:rPr>
          <w:rFonts w:asciiTheme="majorHAnsi" w:hAnsiTheme="majorHAnsi" w:cstheme="majorHAnsi"/>
        </w:rPr>
        <w:t xml:space="preserve">. </w:t>
      </w:r>
      <w:r w:rsidRPr="00227AE3">
        <w:rPr>
          <w:rFonts w:asciiTheme="majorHAnsi" w:hAnsiTheme="majorHAnsi" w:cstheme="majorHAnsi"/>
          <w:i/>
        </w:rPr>
        <w:t>Academia</w:t>
      </w:r>
      <w:r w:rsidR="00227AE3" w:rsidRPr="00227AE3">
        <w:rPr>
          <w:rFonts w:asciiTheme="majorHAnsi" w:hAnsiTheme="majorHAnsi" w:cstheme="majorHAnsi"/>
          <w:i/>
        </w:rPr>
        <w:t>:</w:t>
      </w:r>
      <w:r w:rsidRPr="00227AE3">
        <w:rPr>
          <w:rFonts w:asciiTheme="majorHAnsi" w:hAnsiTheme="majorHAnsi" w:cstheme="majorHAnsi"/>
          <w:i/>
        </w:rPr>
        <w:t xml:space="preserve"> Revista de Investigación en </w:t>
      </w:r>
      <w:r w:rsidR="00227AE3" w:rsidRPr="00227AE3">
        <w:rPr>
          <w:rFonts w:asciiTheme="majorHAnsi" w:hAnsiTheme="majorHAnsi" w:cstheme="majorHAnsi"/>
          <w:i/>
        </w:rPr>
        <w:t xml:space="preserve">Ciencias Sociales y Humanidades, 5 </w:t>
      </w:r>
      <w:r w:rsidR="00227AE3" w:rsidRPr="00227AE3">
        <w:rPr>
          <w:rFonts w:asciiTheme="majorHAnsi" w:hAnsiTheme="majorHAnsi" w:cstheme="majorHAnsi"/>
        </w:rPr>
        <w:t xml:space="preserve">(2) </w:t>
      </w:r>
      <w:r w:rsidRPr="00227AE3">
        <w:rPr>
          <w:rFonts w:asciiTheme="majorHAnsi" w:hAnsiTheme="majorHAnsi" w:cstheme="majorHAnsi"/>
        </w:rPr>
        <w:t>127–132. https://doi.org/10.30545/academo.2018.jul-dic.5</w:t>
      </w:r>
    </w:p>
    <w:p w14:paraId="3F13A7E3" w14:textId="3EC2BFBE" w:rsidR="002359D8" w:rsidRPr="00227AE3" w:rsidRDefault="00227AE3">
      <w:pPr>
        <w:spacing w:line="240" w:lineRule="auto"/>
        <w:jc w:val="both"/>
        <w:rPr>
          <w:rFonts w:asciiTheme="majorHAnsi" w:hAnsiTheme="majorHAnsi" w:cstheme="majorHAnsi"/>
        </w:rPr>
      </w:pPr>
      <w:r w:rsidRPr="00227AE3">
        <w:rPr>
          <w:rFonts w:asciiTheme="majorHAnsi" w:hAnsiTheme="majorHAnsi" w:cstheme="majorHAnsi"/>
        </w:rPr>
        <w:t>Tinto, V</w:t>
      </w:r>
      <w:r w:rsidR="00E522A8" w:rsidRPr="00227AE3">
        <w:rPr>
          <w:rFonts w:asciiTheme="majorHAnsi" w:hAnsiTheme="majorHAnsi" w:cstheme="majorHAnsi"/>
        </w:rPr>
        <w:t>. (1989). Definir la Deserción: Una Cuestión de Perspectiva</w:t>
      </w:r>
      <w:r w:rsidRPr="00227AE3">
        <w:rPr>
          <w:rFonts w:asciiTheme="majorHAnsi" w:hAnsiTheme="majorHAnsi" w:cstheme="majorHAnsi"/>
        </w:rPr>
        <w:t>.</w:t>
      </w:r>
      <w:r w:rsidR="00E522A8" w:rsidRPr="00227AE3">
        <w:rPr>
          <w:rFonts w:asciiTheme="majorHAnsi" w:hAnsiTheme="majorHAnsi" w:cstheme="majorHAnsi"/>
        </w:rPr>
        <w:t xml:space="preserve"> </w:t>
      </w:r>
      <w:r w:rsidR="00E522A8" w:rsidRPr="00227AE3">
        <w:rPr>
          <w:rFonts w:asciiTheme="majorHAnsi" w:hAnsiTheme="majorHAnsi" w:cstheme="majorHAnsi"/>
          <w:i/>
        </w:rPr>
        <w:t>Revista de Educación Superior</w:t>
      </w:r>
      <w:r w:rsidRPr="00227AE3">
        <w:rPr>
          <w:rFonts w:asciiTheme="majorHAnsi" w:hAnsiTheme="majorHAnsi" w:cstheme="majorHAnsi"/>
          <w:i/>
        </w:rPr>
        <w:t xml:space="preserve">, 3 </w:t>
      </w:r>
      <w:r w:rsidRPr="00227AE3">
        <w:rPr>
          <w:rFonts w:asciiTheme="majorHAnsi" w:hAnsiTheme="majorHAnsi" w:cstheme="majorHAnsi"/>
        </w:rPr>
        <w:t xml:space="preserve">(18), </w:t>
      </w:r>
      <w:r w:rsidR="00E522A8" w:rsidRPr="00227AE3">
        <w:rPr>
          <w:rFonts w:asciiTheme="majorHAnsi" w:hAnsiTheme="majorHAnsi" w:cstheme="majorHAnsi"/>
        </w:rPr>
        <w:t>33-51.</w:t>
      </w:r>
    </w:p>
    <w:p w14:paraId="701C7931" w14:textId="2A16D328" w:rsidR="002359D8" w:rsidRPr="001138DF" w:rsidRDefault="00E522A8">
      <w:pPr>
        <w:spacing w:line="240" w:lineRule="auto"/>
        <w:jc w:val="both"/>
        <w:rPr>
          <w:rStyle w:val="Hipervnculo"/>
          <w:rFonts w:asciiTheme="majorHAnsi" w:hAnsiTheme="majorHAnsi" w:cstheme="majorHAnsi"/>
          <w:color w:val="000000"/>
          <w:u w:val="none"/>
          <w:lang w:val="en-US"/>
        </w:rPr>
      </w:pPr>
      <w:r w:rsidRPr="00227AE3">
        <w:rPr>
          <w:rFonts w:asciiTheme="majorHAnsi" w:hAnsiTheme="majorHAnsi" w:cstheme="majorHAnsi"/>
        </w:rPr>
        <w:t xml:space="preserve">UNESCO (2015). </w:t>
      </w:r>
      <w:r w:rsidRPr="00227AE3">
        <w:rPr>
          <w:rFonts w:asciiTheme="majorHAnsi" w:hAnsiTheme="majorHAnsi" w:cstheme="majorHAnsi"/>
          <w:i/>
        </w:rPr>
        <w:t>Repensar la educación. ¿Hacia un bien común mundial?</w:t>
      </w:r>
      <w:r w:rsidRPr="00227AE3">
        <w:rPr>
          <w:rFonts w:asciiTheme="majorHAnsi" w:eastAsia="Arial" w:hAnsiTheme="majorHAnsi" w:cstheme="majorHAnsi"/>
          <w:kern w:val="1"/>
        </w:rPr>
        <w:t xml:space="preserve"> </w:t>
      </w:r>
      <w:r w:rsidRPr="001138DF">
        <w:rPr>
          <w:rFonts w:asciiTheme="majorHAnsi" w:hAnsiTheme="majorHAnsi" w:cstheme="majorHAnsi"/>
          <w:lang w:val="en-US"/>
        </w:rPr>
        <w:t xml:space="preserve">UNESCO. </w:t>
      </w:r>
      <w:hyperlink r:id="rId16" w:history="1">
        <w:r w:rsidRPr="001138DF">
          <w:rPr>
            <w:rStyle w:val="Hipervnculo"/>
            <w:rFonts w:asciiTheme="majorHAnsi" w:hAnsiTheme="majorHAnsi" w:cstheme="majorHAnsi"/>
            <w:lang w:val="en-US"/>
          </w:rPr>
          <w:t>https://unesdoc.unesco.org/ark:/48223/pf0000232697</w:t>
        </w:r>
      </w:hyperlink>
      <w:r w:rsidRPr="001138DF">
        <w:rPr>
          <w:rFonts w:asciiTheme="majorHAnsi" w:hAnsiTheme="majorHAnsi" w:cstheme="majorHAnsi"/>
          <w:lang w:val="en-US"/>
        </w:rPr>
        <w:t xml:space="preserve"> </w:t>
      </w:r>
    </w:p>
    <w:p w14:paraId="0F6242D1" w14:textId="13182D32" w:rsidR="002359D8" w:rsidRPr="00227AE3" w:rsidRDefault="00E522A8">
      <w:pPr>
        <w:spacing w:line="240" w:lineRule="auto"/>
        <w:jc w:val="both"/>
        <w:rPr>
          <w:rStyle w:val="Hipervnculo"/>
          <w:rFonts w:asciiTheme="majorHAnsi" w:hAnsiTheme="majorHAnsi" w:cstheme="majorHAnsi"/>
        </w:rPr>
      </w:pPr>
      <w:r w:rsidRPr="00227AE3">
        <w:rPr>
          <w:rFonts w:asciiTheme="majorHAnsi" w:hAnsiTheme="majorHAnsi" w:cstheme="majorHAnsi"/>
          <w:lang w:val="en-US"/>
        </w:rPr>
        <w:t xml:space="preserve">UNESCO (2013) </w:t>
      </w:r>
      <w:r w:rsidRPr="00227AE3">
        <w:rPr>
          <w:rFonts w:asciiTheme="majorHAnsi" w:hAnsiTheme="majorHAnsi" w:cstheme="majorHAnsi"/>
          <w:i/>
          <w:lang w:val="en-US"/>
        </w:rPr>
        <w:t>Education for the 21st Century</w:t>
      </w:r>
      <w:r w:rsidRPr="00227AE3">
        <w:rPr>
          <w:rFonts w:asciiTheme="majorHAnsi" w:hAnsiTheme="majorHAnsi" w:cstheme="majorHAnsi"/>
          <w:lang w:val="en-US"/>
        </w:rPr>
        <w:t xml:space="preserve">. </w:t>
      </w:r>
      <w:hyperlink r:id="rId17" w:history="1">
        <w:r w:rsidRPr="00227AE3">
          <w:rPr>
            <w:rStyle w:val="Hipervnculo"/>
            <w:rFonts w:asciiTheme="majorHAnsi" w:hAnsiTheme="majorHAnsi" w:cstheme="majorHAnsi"/>
          </w:rPr>
          <w:t>https://unesdoc.unesco.org/ark:/48223/pf0000227146</w:t>
        </w:r>
      </w:hyperlink>
      <w:r w:rsidR="00227AE3" w:rsidRPr="00227AE3">
        <w:rPr>
          <w:rStyle w:val="Hipervnculo"/>
          <w:rFonts w:asciiTheme="majorHAnsi" w:hAnsiTheme="majorHAnsi" w:cstheme="majorHAnsi"/>
          <w:color w:val="000000"/>
          <w:u w:val="none"/>
        </w:rPr>
        <w:t xml:space="preserve"> </w:t>
      </w:r>
    </w:p>
    <w:p w14:paraId="47AA02B3" w14:textId="7702BB31" w:rsidR="002359D8" w:rsidRPr="00227AE3" w:rsidRDefault="00E522A8">
      <w:pPr>
        <w:spacing w:line="240" w:lineRule="auto"/>
        <w:jc w:val="both"/>
        <w:rPr>
          <w:rStyle w:val="Hipervnculo"/>
          <w:rFonts w:asciiTheme="majorHAnsi" w:eastAsia="SimSun" w:hAnsiTheme="majorHAnsi" w:cstheme="majorHAnsi"/>
          <w:color w:val="000000"/>
          <w:kern w:val="1"/>
          <w:u w:val="none"/>
        </w:rPr>
      </w:pPr>
      <w:r w:rsidRPr="00227AE3">
        <w:rPr>
          <w:rFonts w:asciiTheme="majorHAnsi" w:hAnsiTheme="majorHAnsi" w:cstheme="majorHAnsi"/>
        </w:rPr>
        <w:t>Vázquez, S</w:t>
      </w:r>
      <w:r w:rsidR="00227AE3" w:rsidRPr="00227AE3">
        <w:rPr>
          <w:rFonts w:asciiTheme="majorHAnsi" w:hAnsiTheme="majorHAnsi" w:cstheme="majorHAnsi"/>
        </w:rPr>
        <w:t>.,</w:t>
      </w:r>
      <w:r w:rsidRPr="00227AE3">
        <w:rPr>
          <w:rFonts w:asciiTheme="majorHAnsi" w:hAnsiTheme="majorHAnsi" w:cstheme="majorHAnsi"/>
        </w:rPr>
        <w:t xml:space="preserve"> Noriega, M</w:t>
      </w:r>
      <w:r w:rsidR="00227AE3" w:rsidRPr="00227AE3">
        <w:rPr>
          <w:rFonts w:asciiTheme="majorHAnsi" w:hAnsiTheme="majorHAnsi" w:cstheme="majorHAnsi"/>
        </w:rPr>
        <w:t>.</w:t>
      </w:r>
      <w:r w:rsidRPr="00227AE3">
        <w:rPr>
          <w:rFonts w:asciiTheme="majorHAnsi" w:hAnsiTheme="majorHAnsi" w:cstheme="majorHAnsi"/>
        </w:rPr>
        <w:t xml:space="preserve"> y García, S</w:t>
      </w:r>
      <w:r w:rsidR="00227AE3" w:rsidRPr="00227AE3">
        <w:rPr>
          <w:rFonts w:asciiTheme="majorHAnsi" w:hAnsiTheme="majorHAnsi" w:cstheme="majorHAnsi"/>
        </w:rPr>
        <w:t>.</w:t>
      </w:r>
      <w:r w:rsidRPr="00227AE3">
        <w:rPr>
          <w:rFonts w:asciiTheme="majorHAnsi" w:hAnsiTheme="majorHAnsi" w:cstheme="majorHAnsi"/>
        </w:rPr>
        <w:t xml:space="preserve"> (2013). Relaciones entre rendimiento académico, competencia espacial, estilos de aprendizaje y deserción. </w:t>
      </w:r>
      <w:r w:rsidRPr="00227AE3">
        <w:rPr>
          <w:rFonts w:asciiTheme="majorHAnsi" w:hAnsiTheme="majorHAnsi" w:cstheme="majorHAnsi"/>
          <w:i/>
        </w:rPr>
        <w:t xml:space="preserve">Revista electrónica de Investigación Educativa, </w:t>
      </w:r>
      <w:r w:rsidR="00227AE3" w:rsidRPr="00227AE3">
        <w:rPr>
          <w:rFonts w:asciiTheme="majorHAnsi" w:hAnsiTheme="majorHAnsi" w:cstheme="majorHAnsi"/>
          <w:i/>
        </w:rPr>
        <w:t>1</w:t>
      </w:r>
      <w:r w:rsidRPr="00227AE3">
        <w:rPr>
          <w:rFonts w:asciiTheme="majorHAnsi" w:hAnsiTheme="majorHAnsi" w:cstheme="majorHAnsi"/>
          <w:i/>
        </w:rPr>
        <w:t>5</w:t>
      </w:r>
      <w:r w:rsidR="00227AE3" w:rsidRPr="00227AE3">
        <w:rPr>
          <w:rFonts w:asciiTheme="majorHAnsi" w:hAnsiTheme="majorHAnsi" w:cstheme="majorHAnsi"/>
        </w:rPr>
        <w:t xml:space="preserve"> (1)</w:t>
      </w:r>
      <w:r w:rsidRPr="00227AE3">
        <w:rPr>
          <w:rFonts w:asciiTheme="majorHAnsi" w:hAnsiTheme="majorHAnsi" w:cstheme="majorHAnsi"/>
        </w:rPr>
        <w:t>,</w:t>
      </w:r>
      <w:r w:rsidR="00227AE3" w:rsidRPr="00227AE3">
        <w:rPr>
          <w:rFonts w:asciiTheme="majorHAnsi" w:hAnsiTheme="majorHAnsi" w:cstheme="majorHAnsi"/>
        </w:rPr>
        <w:t xml:space="preserve"> </w:t>
      </w:r>
      <w:r w:rsidRPr="00227AE3">
        <w:rPr>
          <w:rFonts w:asciiTheme="majorHAnsi" w:hAnsiTheme="majorHAnsi" w:cstheme="majorHAnsi"/>
        </w:rPr>
        <w:t xml:space="preserve">29-44. </w:t>
      </w:r>
      <w:hyperlink r:id="rId18" w:history="1">
        <w:r w:rsidRPr="00227AE3">
          <w:rPr>
            <w:rStyle w:val="Hipervnculo"/>
            <w:rFonts w:asciiTheme="majorHAnsi" w:eastAsia="SimSun" w:hAnsiTheme="majorHAnsi" w:cstheme="majorHAnsi"/>
            <w:kern w:val="1"/>
          </w:rPr>
          <w:t>http://redie.uabc.mx/vol15no1/contenido-vazqueznoriega.html</w:t>
        </w:r>
      </w:hyperlink>
      <w:r w:rsidRPr="00227AE3">
        <w:rPr>
          <w:rStyle w:val="Hipervnculo"/>
          <w:rFonts w:asciiTheme="majorHAnsi" w:eastAsia="SimSun" w:hAnsiTheme="majorHAnsi" w:cstheme="majorHAnsi"/>
          <w:kern w:val="1"/>
        </w:rPr>
        <w:t xml:space="preserve"> </w:t>
      </w:r>
    </w:p>
    <w:p w14:paraId="60365E66" w14:textId="38DFE2C4" w:rsidR="002359D8" w:rsidRPr="00227AE3" w:rsidRDefault="00E522A8">
      <w:pPr>
        <w:spacing w:line="240" w:lineRule="auto"/>
        <w:jc w:val="both"/>
        <w:rPr>
          <w:rFonts w:asciiTheme="majorHAnsi" w:eastAsia="SimSun" w:hAnsiTheme="majorHAnsi" w:cstheme="majorHAnsi"/>
          <w:kern w:val="1"/>
        </w:rPr>
      </w:pPr>
      <w:r w:rsidRPr="00227AE3">
        <w:rPr>
          <w:rFonts w:asciiTheme="majorHAnsi" w:eastAsia="SimSun" w:hAnsiTheme="majorHAnsi" w:cstheme="majorHAnsi"/>
          <w:kern w:val="1"/>
        </w:rPr>
        <w:t>Zarate Rueda, R</w:t>
      </w:r>
      <w:r w:rsidR="00227AE3" w:rsidRPr="00227AE3">
        <w:rPr>
          <w:rFonts w:asciiTheme="majorHAnsi" w:eastAsia="SimSun" w:hAnsiTheme="majorHAnsi" w:cstheme="majorHAnsi"/>
          <w:kern w:val="1"/>
        </w:rPr>
        <w:t>. y Mantilla Pinilla, E</w:t>
      </w:r>
      <w:r w:rsidRPr="00227AE3">
        <w:rPr>
          <w:rFonts w:asciiTheme="majorHAnsi" w:eastAsia="SimSun" w:hAnsiTheme="majorHAnsi" w:cstheme="majorHAnsi"/>
          <w:kern w:val="1"/>
        </w:rPr>
        <w:t>. (2014)</w:t>
      </w:r>
      <w:r w:rsidR="00227AE3" w:rsidRPr="00227AE3">
        <w:rPr>
          <w:rFonts w:asciiTheme="majorHAnsi" w:eastAsia="SimSun" w:hAnsiTheme="majorHAnsi" w:cstheme="majorHAnsi"/>
          <w:kern w:val="1"/>
        </w:rPr>
        <w:t xml:space="preserve">. </w:t>
      </w:r>
      <w:r w:rsidRPr="00227AE3">
        <w:rPr>
          <w:rFonts w:asciiTheme="majorHAnsi" w:eastAsia="SimSun" w:hAnsiTheme="majorHAnsi" w:cstheme="majorHAnsi"/>
          <w:kern w:val="1"/>
        </w:rPr>
        <w:t>La deserción estudiantil UIS, una mirada desde la responsabilidad social unive</w:t>
      </w:r>
      <w:r w:rsidR="00227AE3" w:rsidRPr="00227AE3">
        <w:rPr>
          <w:rFonts w:asciiTheme="majorHAnsi" w:eastAsia="Arial" w:hAnsiTheme="majorHAnsi" w:cstheme="majorHAnsi"/>
          <w:kern w:val="1"/>
        </w:rPr>
        <w:t>rsitaria.</w:t>
      </w:r>
      <w:r w:rsidRPr="00227AE3">
        <w:rPr>
          <w:rFonts w:asciiTheme="majorHAnsi" w:eastAsia="Arial" w:hAnsiTheme="majorHAnsi" w:cstheme="majorHAnsi"/>
          <w:kern w:val="1"/>
        </w:rPr>
        <w:t xml:space="preserve"> </w:t>
      </w:r>
      <w:r w:rsidRPr="00227AE3">
        <w:rPr>
          <w:rFonts w:asciiTheme="majorHAnsi" w:eastAsia="Arial" w:hAnsiTheme="majorHAnsi" w:cstheme="majorHAnsi"/>
          <w:i/>
          <w:kern w:val="1"/>
        </w:rPr>
        <w:t xml:space="preserve">Zona </w:t>
      </w:r>
      <w:r w:rsidRPr="00227AE3">
        <w:rPr>
          <w:rFonts w:asciiTheme="majorHAnsi" w:eastAsia="SimSun" w:hAnsiTheme="majorHAnsi" w:cstheme="majorHAnsi"/>
          <w:i/>
          <w:kern w:val="1"/>
        </w:rPr>
        <w:t>Próxima,</w:t>
      </w:r>
      <w:r w:rsidR="00227AE3" w:rsidRPr="00227AE3">
        <w:rPr>
          <w:rFonts w:asciiTheme="majorHAnsi" w:eastAsia="SimSun" w:hAnsiTheme="majorHAnsi" w:cstheme="majorHAnsi"/>
          <w:i/>
          <w:kern w:val="1"/>
        </w:rPr>
        <w:t xml:space="preserve"> 21</w:t>
      </w:r>
      <w:r w:rsidR="00227AE3" w:rsidRPr="00227AE3">
        <w:rPr>
          <w:rFonts w:asciiTheme="majorHAnsi" w:eastAsia="SimSun" w:hAnsiTheme="majorHAnsi" w:cstheme="majorHAnsi"/>
          <w:kern w:val="1"/>
        </w:rPr>
        <w:t xml:space="preserve"> (21), </w:t>
      </w:r>
      <w:r w:rsidRPr="00227AE3">
        <w:rPr>
          <w:rFonts w:asciiTheme="majorHAnsi" w:eastAsia="SimSun" w:hAnsiTheme="majorHAnsi" w:cstheme="majorHAnsi"/>
          <w:kern w:val="1"/>
        </w:rPr>
        <w:t>121-134.</w:t>
      </w:r>
    </w:p>
    <w:p w14:paraId="20D052F0" w14:textId="77777777" w:rsidR="002359D8" w:rsidRPr="00227AE3" w:rsidRDefault="002359D8">
      <w:pPr>
        <w:spacing w:line="240" w:lineRule="auto"/>
        <w:jc w:val="both"/>
        <w:rPr>
          <w:rFonts w:asciiTheme="majorHAnsi" w:eastAsia="SimSun" w:hAnsiTheme="majorHAnsi" w:cstheme="majorHAnsi"/>
          <w:kern w:val="1"/>
          <w:sz w:val="20"/>
          <w:szCs w:val="20"/>
        </w:rPr>
      </w:pPr>
    </w:p>
    <w:p w14:paraId="730A7988" w14:textId="77777777" w:rsidR="002359D8" w:rsidRPr="00227AE3" w:rsidRDefault="002359D8">
      <w:pPr>
        <w:spacing w:line="240" w:lineRule="auto"/>
        <w:jc w:val="both"/>
        <w:rPr>
          <w:rFonts w:asciiTheme="majorHAnsi" w:hAnsiTheme="majorHAnsi" w:cstheme="majorHAnsi"/>
        </w:rPr>
      </w:pPr>
    </w:p>
    <w:p w14:paraId="73E54705" w14:textId="000B52E6" w:rsidR="002359D8" w:rsidRPr="00227AE3" w:rsidRDefault="002359D8">
      <w:pPr>
        <w:spacing w:line="240" w:lineRule="auto"/>
        <w:ind w:firstLine="0"/>
        <w:jc w:val="both"/>
        <w:rPr>
          <w:rFonts w:asciiTheme="majorHAnsi" w:hAnsiTheme="majorHAnsi" w:cstheme="majorHAnsi"/>
          <w:i/>
          <w:sz w:val="18"/>
          <w:szCs w:val="18"/>
        </w:rPr>
      </w:pPr>
    </w:p>
    <w:p w14:paraId="3DE28B52" w14:textId="77777777" w:rsidR="002359D8" w:rsidRPr="00227AE3" w:rsidRDefault="002359D8">
      <w:pPr>
        <w:spacing w:line="240" w:lineRule="auto"/>
        <w:ind w:firstLine="0"/>
        <w:jc w:val="both"/>
        <w:rPr>
          <w:rFonts w:asciiTheme="majorHAnsi" w:hAnsiTheme="majorHAnsi" w:cstheme="majorHAnsi"/>
          <w:i/>
          <w:sz w:val="18"/>
          <w:szCs w:val="18"/>
        </w:rPr>
      </w:pPr>
    </w:p>
    <w:p w14:paraId="4D3F93D0" w14:textId="77777777" w:rsidR="002359D8" w:rsidRPr="00227AE3" w:rsidRDefault="002359D8">
      <w:pPr>
        <w:spacing w:line="240" w:lineRule="auto"/>
        <w:ind w:firstLine="0"/>
        <w:jc w:val="both"/>
        <w:rPr>
          <w:rFonts w:asciiTheme="majorHAnsi" w:hAnsiTheme="majorHAnsi" w:cstheme="majorHAnsi"/>
          <w:i/>
          <w:sz w:val="18"/>
          <w:szCs w:val="18"/>
        </w:rPr>
      </w:pPr>
    </w:p>
    <w:sectPr w:rsidR="002359D8" w:rsidRPr="00227AE3">
      <w:endnotePr>
        <w:numFmt w:val="decimal"/>
      </w:endnotePr>
      <w:pgSz w:w="11900" w:h="16840"/>
      <w:pgMar w:top="1417" w:right="1701" w:bottom="1417"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4D64"/>
    <w:multiLevelType w:val="hybridMultilevel"/>
    <w:tmpl w:val="997009DE"/>
    <w:lvl w:ilvl="0" w:tplc="DD0CAC28">
      <w:numFmt w:val="none"/>
      <w:lvlText w:val=""/>
      <w:lvlJc w:val="left"/>
      <w:pPr>
        <w:tabs>
          <w:tab w:val="num" w:pos="360"/>
        </w:tabs>
        <w:ind w:left="360" w:hanging="360"/>
      </w:pPr>
    </w:lvl>
    <w:lvl w:ilvl="1" w:tplc="29DA126A">
      <w:numFmt w:val="none"/>
      <w:lvlText w:val=""/>
      <w:lvlJc w:val="left"/>
      <w:pPr>
        <w:tabs>
          <w:tab w:val="num" w:pos="360"/>
        </w:tabs>
        <w:ind w:left="360" w:hanging="360"/>
      </w:pPr>
    </w:lvl>
    <w:lvl w:ilvl="2" w:tplc="D130A670">
      <w:numFmt w:val="none"/>
      <w:lvlText w:val=""/>
      <w:lvlJc w:val="left"/>
      <w:pPr>
        <w:tabs>
          <w:tab w:val="num" w:pos="360"/>
        </w:tabs>
        <w:ind w:left="360" w:hanging="360"/>
      </w:pPr>
    </w:lvl>
    <w:lvl w:ilvl="3" w:tplc="B7247508">
      <w:numFmt w:val="none"/>
      <w:lvlText w:val=""/>
      <w:lvlJc w:val="left"/>
      <w:pPr>
        <w:tabs>
          <w:tab w:val="num" w:pos="360"/>
        </w:tabs>
        <w:ind w:left="360" w:hanging="360"/>
      </w:pPr>
    </w:lvl>
    <w:lvl w:ilvl="4" w:tplc="4A46BCE4">
      <w:numFmt w:val="none"/>
      <w:lvlText w:val=""/>
      <w:lvlJc w:val="left"/>
      <w:pPr>
        <w:tabs>
          <w:tab w:val="num" w:pos="360"/>
        </w:tabs>
        <w:ind w:left="360" w:hanging="360"/>
      </w:pPr>
    </w:lvl>
    <w:lvl w:ilvl="5" w:tplc="2102AAF4">
      <w:numFmt w:val="none"/>
      <w:lvlText w:val=""/>
      <w:lvlJc w:val="left"/>
      <w:pPr>
        <w:tabs>
          <w:tab w:val="num" w:pos="360"/>
        </w:tabs>
        <w:ind w:left="360" w:hanging="360"/>
      </w:pPr>
    </w:lvl>
    <w:lvl w:ilvl="6" w:tplc="D99E1298">
      <w:numFmt w:val="none"/>
      <w:lvlText w:val=""/>
      <w:lvlJc w:val="left"/>
      <w:pPr>
        <w:tabs>
          <w:tab w:val="num" w:pos="360"/>
        </w:tabs>
        <w:ind w:left="360" w:hanging="360"/>
      </w:pPr>
    </w:lvl>
    <w:lvl w:ilvl="7" w:tplc="8DA8E28A">
      <w:numFmt w:val="none"/>
      <w:lvlText w:val=""/>
      <w:lvlJc w:val="left"/>
      <w:pPr>
        <w:tabs>
          <w:tab w:val="num" w:pos="360"/>
        </w:tabs>
        <w:ind w:left="360" w:hanging="360"/>
      </w:pPr>
    </w:lvl>
    <w:lvl w:ilvl="8" w:tplc="843C78BA">
      <w:numFmt w:val="none"/>
      <w:lvlText w:val=""/>
      <w:lvlJc w:val="left"/>
      <w:pPr>
        <w:tabs>
          <w:tab w:val="num" w:pos="360"/>
        </w:tabs>
        <w:ind w:left="360" w:hanging="360"/>
      </w:pPr>
    </w:lvl>
  </w:abstractNum>
  <w:abstractNum w:abstractNumId="1" w15:restartNumberingAfterBreak="0">
    <w:nsid w:val="747D429E"/>
    <w:multiLevelType w:val="hybridMultilevel"/>
    <w:tmpl w:val="BB705192"/>
    <w:name w:val="Lista numerada 1"/>
    <w:lvl w:ilvl="0" w:tplc="DFCC5284">
      <w:start w:val="1"/>
      <w:numFmt w:val="decimal"/>
      <w:lvlText w:val="%1)"/>
      <w:lvlJc w:val="left"/>
      <w:pPr>
        <w:ind w:left="360" w:firstLine="0"/>
      </w:pPr>
    </w:lvl>
    <w:lvl w:ilvl="1" w:tplc="1052910A">
      <w:start w:val="1"/>
      <w:numFmt w:val="lowerLetter"/>
      <w:lvlText w:val="%2."/>
      <w:lvlJc w:val="left"/>
      <w:pPr>
        <w:ind w:left="1080" w:firstLine="0"/>
      </w:pPr>
    </w:lvl>
    <w:lvl w:ilvl="2" w:tplc="BE101D4E">
      <w:start w:val="1"/>
      <w:numFmt w:val="lowerRoman"/>
      <w:lvlText w:val="%3."/>
      <w:lvlJc w:val="left"/>
      <w:pPr>
        <w:ind w:left="1980" w:firstLine="0"/>
      </w:pPr>
    </w:lvl>
    <w:lvl w:ilvl="3" w:tplc="7EEC94DC">
      <w:start w:val="1"/>
      <w:numFmt w:val="decimal"/>
      <w:lvlText w:val="%4."/>
      <w:lvlJc w:val="left"/>
      <w:pPr>
        <w:ind w:left="2520" w:firstLine="0"/>
      </w:pPr>
    </w:lvl>
    <w:lvl w:ilvl="4" w:tplc="5A8895A0">
      <w:start w:val="1"/>
      <w:numFmt w:val="lowerLetter"/>
      <w:lvlText w:val="%5."/>
      <w:lvlJc w:val="left"/>
      <w:pPr>
        <w:ind w:left="3240" w:firstLine="0"/>
      </w:pPr>
    </w:lvl>
    <w:lvl w:ilvl="5" w:tplc="9ECC70FC">
      <w:start w:val="1"/>
      <w:numFmt w:val="lowerRoman"/>
      <w:lvlText w:val="%6."/>
      <w:lvlJc w:val="left"/>
      <w:pPr>
        <w:ind w:left="4140" w:firstLine="0"/>
      </w:pPr>
    </w:lvl>
    <w:lvl w:ilvl="6" w:tplc="05F4C430">
      <w:start w:val="1"/>
      <w:numFmt w:val="decimal"/>
      <w:lvlText w:val="%7."/>
      <w:lvlJc w:val="left"/>
      <w:pPr>
        <w:ind w:left="4680" w:firstLine="0"/>
      </w:pPr>
    </w:lvl>
    <w:lvl w:ilvl="7" w:tplc="F9C464E4">
      <w:start w:val="1"/>
      <w:numFmt w:val="lowerLetter"/>
      <w:lvlText w:val="%8."/>
      <w:lvlJc w:val="left"/>
      <w:pPr>
        <w:ind w:left="5400" w:firstLine="0"/>
      </w:pPr>
    </w:lvl>
    <w:lvl w:ilvl="8" w:tplc="D654E65E">
      <w:start w:val="1"/>
      <w:numFmt w:val="lowerRoman"/>
      <w:lvlText w:val="%9."/>
      <w:lvlJc w:val="left"/>
      <w:pPr>
        <w:ind w:left="63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D8"/>
    <w:rsid w:val="000265D6"/>
    <w:rsid w:val="0009354E"/>
    <w:rsid w:val="000A7A9E"/>
    <w:rsid w:val="000C1039"/>
    <w:rsid w:val="000F45AD"/>
    <w:rsid w:val="001138DF"/>
    <w:rsid w:val="0011597E"/>
    <w:rsid w:val="00144197"/>
    <w:rsid w:val="001E2A3D"/>
    <w:rsid w:val="0020397E"/>
    <w:rsid w:val="002055B9"/>
    <w:rsid w:val="0022123A"/>
    <w:rsid w:val="00227AE3"/>
    <w:rsid w:val="002359D8"/>
    <w:rsid w:val="00273796"/>
    <w:rsid w:val="002A1549"/>
    <w:rsid w:val="002A1F9A"/>
    <w:rsid w:val="003069F1"/>
    <w:rsid w:val="003244DD"/>
    <w:rsid w:val="003571D8"/>
    <w:rsid w:val="003612F6"/>
    <w:rsid w:val="003B7C24"/>
    <w:rsid w:val="004F3EED"/>
    <w:rsid w:val="00514D09"/>
    <w:rsid w:val="00544796"/>
    <w:rsid w:val="0054673E"/>
    <w:rsid w:val="005B420B"/>
    <w:rsid w:val="005F0CF8"/>
    <w:rsid w:val="00605D6F"/>
    <w:rsid w:val="00620E93"/>
    <w:rsid w:val="006527ED"/>
    <w:rsid w:val="007B7D3E"/>
    <w:rsid w:val="007E6235"/>
    <w:rsid w:val="00805C12"/>
    <w:rsid w:val="00843FDE"/>
    <w:rsid w:val="00844C44"/>
    <w:rsid w:val="008B669F"/>
    <w:rsid w:val="0098702B"/>
    <w:rsid w:val="00A50015"/>
    <w:rsid w:val="00BE0EC1"/>
    <w:rsid w:val="00C66E4A"/>
    <w:rsid w:val="00C71583"/>
    <w:rsid w:val="00CD7C71"/>
    <w:rsid w:val="00E223F3"/>
    <w:rsid w:val="00E522A8"/>
    <w:rsid w:val="00E8253C"/>
    <w:rsid w:val="00E9069B"/>
    <w:rsid w:val="00EB3337"/>
    <w:rsid w:val="00F05A0C"/>
    <w:rsid w:val="00F40273"/>
    <w:rsid w:val="00F70744"/>
    <w:rsid w:val="00F70C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4A34"/>
  <w15:docId w15:val="{091A9D04-1B17-4694-B881-5174C4E5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s-PY" w:eastAsia="zh-CN" w:bidi="ar-SA"/>
      </w:rPr>
    </w:rPrDefault>
    <w:pPrDefault>
      <w:pPr>
        <w:spacing w:line="360" w:lineRule="auto"/>
        <w:ind w:firstLine="397"/>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rPr>
  </w:style>
  <w:style w:type="paragraph" w:styleId="Ttulo1">
    <w:name w:val="heading 1"/>
    <w:basedOn w:val="Normal"/>
    <w:next w:val="Normal"/>
    <w:qFormat/>
    <w:pPr>
      <w:keepNext/>
      <w:keepLines/>
      <w:ind w:firstLine="0"/>
      <w:jc w:val="center"/>
      <w:outlineLvl w:val="0"/>
    </w:pPr>
    <w:rPr>
      <w:rFonts w:eastAsia="Calibri Light"/>
      <w:b/>
      <w:color w:val="000000"/>
      <w:sz w:val="28"/>
      <w:szCs w:val="32"/>
    </w:rPr>
  </w:style>
  <w:style w:type="paragraph" w:styleId="Ttulo2">
    <w:name w:val="heading 2"/>
    <w:basedOn w:val="Normal"/>
    <w:next w:val="Normal"/>
    <w:qFormat/>
    <w:pPr>
      <w:keepNext/>
      <w:keepLines/>
      <w:ind w:firstLine="0"/>
      <w:outlineLvl w:val="1"/>
    </w:pPr>
    <w:rPr>
      <w:rFonts w:eastAsia="Calibri Light"/>
      <w:b/>
      <w:color w:val="00000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qFormat/>
    <w:rPr>
      <w:sz w:val="18"/>
      <w:szCs w:val="18"/>
    </w:rPr>
  </w:style>
  <w:style w:type="paragraph" w:customStyle="1" w:styleId="Revisin1">
    <w:name w:val="Revisión1"/>
    <w:qFormat/>
    <w:pPr>
      <w:spacing w:line="240" w:lineRule="auto"/>
      <w:ind w:firstLine="0"/>
    </w:pPr>
  </w:style>
  <w:style w:type="paragraph" w:customStyle="1" w:styleId="Textocomentario1">
    <w:name w:val="Texto comentario1"/>
    <w:basedOn w:val="Normal"/>
    <w:qFormat/>
    <w:pPr>
      <w:spacing w:line="240" w:lineRule="auto"/>
    </w:pPr>
    <w:rPr>
      <w:sz w:val="20"/>
      <w:szCs w:val="20"/>
    </w:rPr>
  </w:style>
  <w:style w:type="paragraph" w:customStyle="1" w:styleId="Asuntodelcomentario1">
    <w:name w:val="Asunto del comentario1"/>
    <w:basedOn w:val="Textocomentario1"/>
    <w:next w:val="Textocomentario1"/>
    <w:qFormat/>
    <w:rPr>
      <w:b/>
      <w:bCs/>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val="es-MX"/>
    </w:rPr>
  </w:style>
  <w:style w:type="paragraph" w:styleId="NormalWeb">
    <w:name w:val="Normal (Web)"/>
    <w:basedOn w:val="Normal"/>
    <w:qFormat/>
    <w:pPr>
      <w:spacing w:beforeAutospacing="1" w:after="200" w:afterAutospacing="1" w:line="240" w:lineRule="auto"/>
      <w:ind w:firstLine="0"/>
    </w:pPr>
    <w:rPr>
      <w:rFonts w:eastAsia="Times New Roman"/>
    </w:rPr>
  </w:style>
  <w:style w:type="character" w:customStyle="1" w:styleId="TextodegloboCar">
    <w:name w:val="Texto de globo Car"/>
    <w:basedOn w:val="Fuentedeprrafopredeter"/>
    <w:rPr>
      <w:rFonts w:ascii="Times New Roman" w:hAnsi="Times New Roman" w:cs="Times New Roman"/>
      <w:sz w:val="18"/>
      <w:szCs w:val="18"/>
    </w:rPr>
  </w:style>
  <w:style w:type="character" w:customStyle="1" w:styleId="Ttulo1Car">
    <w:name w:val="Título 1 Car"/>
    <w:basedOn w:val="Fuentedeprrafopredeter"/>
    <w:rPr>
      <w:rFonts w:ascii="Times New Roman" w:eastAsia="Calibri Light" w:hAnsi="Times New Roman"/>
      <w:b/>
      <w:color w:val="000000"/>
      <w:sz w:val="28"/>
      <w:szCs w:val="32"/>
    </w:rPr>
  </w:style>
  <w:style w:type="character" w:customStyle="1" w:styleId="Ttulo2Car">
    <w:name w:val="Título 2 Car"/>
    <w:basedOn w:val="Fuentedeprrafopredeter"/>
    <w:rPr>
      <w:rFonts w:ascii="Times New Roman" w:eastAsia="Calibri Light" w:hAnsi="Times New Roman"/>
      <w:b/>
      <w:color w:val="000000"/>
      <w:szCs w:val="26"/>
    </w:rPr>
  </w:style>
  <w:style w:type="character" w:customStyle="1" w:styleId="Refdecomentario1">
    <w:name w:val="Ref. de comentario1"/>
    <w:basedOn w:val="Fuentedeprrafopredeter"/>
    <w:rPr>
      <w:sz w:val="16"/>
      <w:szCs w:val="16"/>
    </w:rPr>
  </w:style>
  <w:style w:type="character" w:customStyle="1" w:styleId="TextocomentarioCar">
    <w:name w:val="Texto comentario Car"/>
    <w:basedOn w:val="Fuentedeprrafopredeter"/>
    <w:rPr>
      <w:rFonts w:ascii="Times New Roman" w:hAnsi="Times New Roman"/>
      <w:sz w:val="20"/>
      <w:szCs w:val="20"/>
    </w:rPr>
  </w:style>
  <w:style w:type="character" w:customStyle="1" w:styleId="AsuntodelcomentarioCar">
    <w:name w:val="Asunto del comentario Car"/>
    <w:basedOn w:val="TextocomentarioCar"/>
    <w:rPr>
      <w:rFonts w:ascii="Times New Roman" w:hAnsi="Times New Roman"/>
      <w:b/>
      <w:bCs/>
      <w:sz w:val="20"/>
      <w:szCs w:val="20"/>
    </w:rPr>
  </w:style>
  <w:style w:type="character" w:styleId="Hipervnculo">
    <w:name w:val="Hyperlink"/>
    <w:basedOn w:val="Fuentedeprrafopredeter"/>
    <w:rPr>
      <w:color w:val="0000FF"/>
      <w:u w:val="single"/>
    </w:rPr>
  </w:style>
  <w:style w:type="character" w:customStyle="1" w:styleId="HTMLconformatoprevioCar">
    <w:name w:val="HTML con formato previo Car"/>
    <w:basedOn w:val="Fuentedeprrafopredeter"/>
    <w:rPr>
      <w:rFonts w:ascii="Courier New" w:eastAsia="Times New Roman" w:hAnsi="Courier New" w:cs="Courier New"/>
      <w:sz w:val="20"/>
      <w:szCs w:val="20"/>
      <w:lang w:val="es-MX"/>
    </w:rPr>
  </w:style>
  <w:style w:type="character" w:styleId="nfasis">
    <w:name w:val="Emphasis"/>
    <w:basedOn w:val="Fuentedeprrafopredeter"/>
    <w:rPr>
      <w:i/>
      <w:iCs/>
    </w:rPr>
  </w:style>
  <w:style w:type="character" w:customStyle="1" w:styleId="EnlacedeInternet">
    <w:name w:val="Enlace de Internet"/>
    <w:basedOn w:val="Fuentedeprrafopredeter"/>
    <w:rPr>
      <w:color w:val="0563C1"/>
      <w:u w:val="single"/>
    </w:rPr>
  </w:style>
  <w:style w:type="character" w:styleId="Hipervnculovisitado">
    <w:name w:val="FollowedHyperlink"/>
    <w:basedOn w:val="Fuentedeprrafopredeter"/>
    <w:rPr>
      <w:color w:val="954F72"/>
      <w:u w:val="single"/>
    </w:rPr>
  </w:style>
  <w:style w:type="character" w:styleId="Textoennegrita">
    <w:name w:val="Strong"/>
    <w:basedOn w:val="Fuentedeprrafopredeter"/>
    <w:rPr>
      <w:b/>
      <w:bCs/>
    </w:rPr>
  </w:style>
  <w:style w:type="character" w:customStyle="1" w:styleId="titulo">
    <w:name w:val="titulo"/>
    <w:basedOn w:val="Fuentedeprrafopredeter"/>
  </w:style>
  <w:style w:type="table" w:styleId="Tablaconcuadrcula">
    <w:name w:val="Table Grid"/>
    <w:basedOn w:val="Tablanormal"/>
    <w:uiPriority w:val="59"/>
    <w:rPr>
      <w:rFonts w:ascii="Times New Roman" w:eastAsia="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rsid w:val="002A1549"/>
    <w:rPr>
      <w:sz w:val="16"/>
      <w:szCs w:val="16"/>
    </w:rPr>
  </w:style>
  <w:style w:type="paragraph" w:styleId="Textocomentario">
    <w:name w:val="annotation text"/>
    <w:basedOn w:val="Normal"/>
    <w:link w:val="TextocomentarioCar1"/>
    <w:uiPriority w:val="99"/>
    <w:rsid w:val="002A1549"/>
    <w:pPr>
      <w:spacing w:line="240" w:lineRule="auto"/>
    </w:pPr>
    <w:rPr>
      <w:sz w:val="20"/>
      <w:szCs w:val="20"/>
    </w:rPr>
  </w:style>
  <w:style w:type="character" w:customStyle="1" w:styleId="TextocomentarioCar1">
    <w:name w:val="Texto comentario Car1"/>
    <w:basedOn w:val="Fuentedeprrafopredeter"/>
    <w:link w:val="Textocomentario"/>
    <w:uiPriority w:val="99"/>
    <w:rsid w:val="002A1549"/>
    <w:rPr>
      <w:rFonts w:ascii="Times New Roman" w:hAnsi="Times New Roman"/>
      <w:sz w:val="20"/>
      <w:szCs w:val="20"/>
    </w:rPr>
  </w:style>
  <w:style w:type="paragraph" w:styleId="Asuntodelcomentario">
    <w:name w:val="annotation subject"/>
    <w:basedOn w:val="Textocomentario"/>
    <w:next w:val="Textocomentario"/>
    <w:link w:val="AsuntodelcomentarioCar1"/>
    <w:uiPriority w:val="99"/>
    <w:semiHidden/>
    <w:unhideWhenUsed/>
    <w:rsid w:val="002A1549"/>
    <w:rPr>
      <w:b/>
      <w:bCs/>
    </w:rPr>
  </w:style>
  <w:style w:type="character" w:customStyle="1" w:styleId="AsuntodelcomentarioCar1">
    <w:name w:val="Asunto del comentario Car1"/>
    <w:basedOn w:val="TextocomentarioCar1"/>
    <w:link w:val="Asuntodelcomentario"/>
    <w:uiPriority w:val="99"/>
    <w:semiHidden/>
    <w:rsid w:val="002A154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mineducacion.gov.co/sistemasdeinformacion/1735/articles-254702_diagnostico_desercion.pdf" TargetMode="External"/><Relationship Id="rId18" Type="http://schemas.openxmlformats.org/officeDocument/2006/relationships/hyperlink" Target="http://redie.uabc.mx/vol15no1/contenido-vazqueznoriega.html"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nces.ed.gov/pubs/web/97578.asp" TargetMode="External"/><Relationship Id="rId17" Type="http://schemas.openxmlformats.org/officeDocument/2006/relationships/hyperlink" Target="https://unesdoc.unesco.org/ark:/48223/pf0000227146" TargetMode="External"/><Relationship Id="rId2" Type="http://schemas.openxmlformats.org/officeDocument/2006/relationships/styles" Target="styles.xml"/><Relationship Id="rId16" Type="http://schemas.openxmlformats.org/officeDocument/2006/relationships/hyperlink" Target="https://unesdoc.unesco.org/ark:/48223/pf000023269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redie.uabc.mx/vol15no3/contenido-herreroetal.html" TargetMode="External"/><Relationship Id="rId5" Type="http://schemas.openxmlformats.org/officeDocument/2006/relationships/hyperlink" Target="about:blank" TargetMode="External"/><Relationship Id="rId15" Type="http://schemas.openxmlformats.org/officeDocument/2006/relationships/hyperlink" Target="https://cinda.cl/wp-content/uploads/2019/01/educacion-superior-en-iberoamerica-informe-2016-informe-nacional-paraguay.pdf" TargetMode="External"/><Relationship Id="rId10" Type="http://schemas.openxmlformats.org/officeDocument/2006/relationships/hyperlink" Target="https://doi.org/10.31619/caledu.n17.4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researchgate.net/publication/281641379_Causas_psicosociales_de_la_desercion_universit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Light"/>
        <a:cs typeface="Times New Roman"/>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13</Pages>
  <Words>5893</Words>
  <Characters>33592</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D Mujica G</dc:creator>
  <cp:keywords/>
  <dc:description/>
  <cp:lastModifiedBy>Lauri Bagnoli</cp:lastModifiedBy>
  <cp:revision>47</cp:revision>
  <dcterms:created xsi:type="dcterms:W3CDTF">2020-01-27T00:13:00Z</dcterms:created>
  <dcterms:modified xsi:type="dcterms:W3CDTF">2020-05-21T22:23:00Z</dcterms:modified>
</cp:coreProperties>
</file>