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96676" w14:textId="727FC7AC" w:rsidR="001E38B6" w:rsidRDefault="00A43AAE" w:rsidP="00026AD7">
      <w:pPr>
        <w:jc w:val="center"/>
        <w:rPr>
          <w:rFonts w:ascii="Arial" w:hAnsi="Arial" w:cs="Arial"/>
          <w:b/>
          <w:color w:val="000000"/>
          <w:lang w:eastAsia="es-ES_tradnl"/>
        </w:rPr>
      </w:pPr>
      <w:bookmarkStart w:id="0" w:name="_GoBack"/>
      <w:bookmarkEnd w:id="0"/>
      <w:r w:rsidRPr="00532BB5">
        <w:rPr>
          <w:rFonts w:ascii="Arial" w:hAnsi="Arial" w:cs="Arial"/>
          <w:b/>
          <w:color w:val="000000"/>
          <w:lang w:eastAsia="es-ES_tradnl"/>
        </w:rPr>
        <w:t>Resumen</w:t>
      </w:r>
    </w:p>
    <w:p w14:paraId="03F72A76" w14:textId="77777777" w:rsidR="00C8676D" w:rsidRPr="00532BB5" w:rsidRDefault="00C8676D" w:rsidP="00A94036">
      <w:pPr>
        <w:jc w:val="center"/>
        <w:rPr>
          <w:rFonts w:ascii="Arial" w:hAnsi="Arial" w:cs="Arial"/>
          <w:color w:val="000000"/>
          <w:lang w:eastAsia="es-ES_tradnl"/>
        </w:rPr>
      </w:pPr>
    </w:p>
    <w:p w14:paraId="686F5038" w14:textId="78FBDC0E" w:rsidR="00A43AAE" w:rsidRPr="00532BB5" w:rsidRDefault="00E35336" w:rsidP="00A94036">
      <w:pPr>
        <w:spacing w:after="240"/>
        <w:jc w:val="both"/>
        <w:rPr>
          <w:rFonts w:ascii="-webkit-standard" w:hAnsi="-webkit-standard" w:cs="Times New Roman" w:hint="eastAsia"/>
          <w:color w:val="000000"/>
          <w:lang w:eastAsia="es-ES_tradnl"/>
        </w:rPr>
      </w:pPr>
      <w:r>
        <w:rPr>
          <w:rFonts w:ascii="Arial" w:hAnsi="Arial" w:cs="Arial"/>
          <w:color w:val="000000"/>
          <w:lang w:eastAsia="es-ES_tradnl"/>
        </w:rPr>
        <w:t xml:space="preserve">En el presente estudio </w:t>
      </w:r>
      <w:r w:rsidR="008E3E57" w:rsidRPr="00532BB5">
        <w:rPr>
          <w:rFonts w:ascii="Arial" w:hAnsi="Arial" w:cs="Arial"/>
          <w:color w:val="000000"/>
          <w:lang w:eastAsia="es-ES_tradnl"/>
        </w:rPr>
        <w:t>se implementó un programa de intervención</w:t>
      </w:r>
      <w:r w:rsidR="002230E3">
        <w:rPr>
          <w:rFonts w:ascii="Arial" w:hAnsi="Arial" w:cs="Arial"/>
          <w:color w:val="000000"/>
          <w:lang w:eastAsia="es-ES_tradnl"/>
        </w:rPr>
        <w:t xml:space="preserve"> </w:t>
      </w:r>
      <w:r w:rsidR="00D922BE">
        <w:rPr>
          <w:rFonts w:ascii="Arial" w:hAnsi="Arial" w:cs="Arial"/>
          <w:color w:val="000000"/>
          <w:lang w:eastAsia="es-ES_tradnl"/>
        </w:rPr>
        <w:t>para</w:t>
      </w:r>
      <w:r w:rsidR="002230E3" w:rsidRPr="00532BB5">
        <w:rPr>
          <w:rFonts w:ascii="Arial" w:hAnsi="Arial" w:cs="Arial"/>
          <w:color w:val="000000"/>
          <w:lang w:eastAsia="es-ES_tradnl"/>
        </w:rPr>
        <w:t xml:space="preserve"> desarrollar la conducta pro-ambiental de separación de residuos en estudiantes de una universidad</w:t>
      </w:r>
      <w:r w:rsidR="002230E3">
        <w:rPr>
          <w:rFonts w:ascii="Arial" w:hAnsi="Arial" w:cs="Arial"/>
          <w:color w:val="000000"/>
          <w:lang w:eastAsia="es-ES_tradnl"/>
        </w:rPr>
        <w:t>, por medio de</w:t>
      </w:r>
      <w:r w:rsidR="008E3E57" w:rsidRPr="00532BB5">
        <w:rPr>
          <w:rFonts w:ascii="Arial" w:hAnsi="Arial" w:cs="Arial"/>
          <w:color w:val="000000"/>
          <w:lang w:eastAsia="es-ES_tradnl"/>
        </w:rPr>
        <w:t xml:space="preserve"> las estrategias de información, difusión social y recordatorios</w:t>
      </w:r>
      <w:r w:rsidR="00A43AAE" w:rsidRPr="00532BB5">
        <w:rPr>
          <w:rFonts w:ascii="Arial" w:hAnsi="Arial" w:cs="Arial"/>
          <w:color w:val="000000"/>
          <w:lang w:eastAsia="es-ES_tradnl"/>
        </w:rPr>
        <w:t>. Se trabajó con tres gr</w:t>
      </w:r>
      <w:r w:rsidR="001E38B6" w:rsidRPr="00532BB5">
        <w:rPr>
          <w:rFonts w:ascii="Arial" w:hAnsi="Arial" w:cs="Arial"/>
          <w:color w:val="000000"/>
          <w:lang w:eastAsia="es-ES_tradnl"/>
        </w:rPr>
        <w:t>upos de estudiantes</w:t>
      </w:r>
      <w:r w:rsidR="00D922BE">
        <w:rPr>
          <w:rFonts w:ascii="Arial" w:hAnsi="Arial" w:cs="Arial"/>
          <w:color w:val="000000"/>
          <w:lang w:eastAsia="es-ES_tradnl"/>
        </w:rPr>
        <w:t xml:space="preserve"> que</w:t>
      </w:r>
      <w:r w:rsidR="001E38B6" w:rsidRPr="00532BB5">
        <w:rPr>
          <w:rFonts w:ascii="Arial" w:hAnsi="Arial" w:cs="Arial"/>
          <w:color w:val="000000"/>
          <w:lang w:eastAsia="es-ES_tradnl"/>
        </w:rPr>
        <w:t xml:space="preserve"> estuv</w:t>
      </w:r>
      <w:r w:rsidR="00D922BE">
        <w:rPr>
          <w:rFonts w:ascii="Arial" w:hAnsi="Arial" w:cs="Arial"/>
          <w:color w:val="000000"/>
          <w:lang w:eastAsia="es-ES_tradnl"/>
        </w:rPr>
        <w:t>ieron</w:t>
      </w:r>
      <w:r w:rsidR="001E38B6" w:rsidRPr="00532BB5">
        <w:rPr>
          <w:rFonts w:ascii="Arial" w:hAnsi="Arial" w:cs="Arial"/>
          <w:color w:val="000000"/>
          <w:lang w:eastAsia="es-ES_tradnl"/>
        </w:rPr>
        <w:t xml:space="preserve"> en dos sesiones</w:t>
      </w:r>
      <w:r w:rsidR="00A43AAE" w:rsidRPr="00532BB5">
        <w:rPr>
          <w:rFonts w:ascii="Arial" w:hAnsi="Arial" w:cs="Arial"/>
          <w:color w:val="000000"/>
          <w:lang w:eastAsia="es-ES_tradnl"/>
        </w:rPr>
        <w:t xml:space="preserve"> informativa</w:t>
      </w:r>
      <w:r w:rsidR="001E38B6" w:rsidRPr="00532BB5">
        <w:rPr>
          <w:rFonts w:ascii="Arial" w:hAnsi="Arial" w:cs="Arial"/>
          <w:color w:val="000000"/>
          <w:lang w:eastAsia="es-ES_tradnl"/>
        </w:rPr>
        <w:t xml:space="preserve">s. Asimismo, </w:t>
      </w:r>
      <w:r w:rsidR="00D922BE">
        <w:rPr>
          <w:rFonts w:ascii="Arial" w:hAnsi="Arial" w:cs="Arial"/>
          <w:color w:val="000000"/>
          <w:lang w:eastAsia="es-ES_tradnl"/>
        </w:rPr>
        <w:t>un grupo de estudiantes</w:t>
      </w:r>
      <w:r w:rsidR="00A43AAE" w:rsidRPr="00532BB5">
        <w:rPr>
          <w:rFonts w:ascii="Arial" w:hAnsi="Arial" w:cs="Arial"/>
          <w:color w:val="000000"/>
          <w:lang w:eastAsia="es-ES_tradnl"/>
        </w:rPr>
        <w:t xml:space="preserve"> difundi</w:t>
      </w:r>
      <w:r w:rsidR="00D922BE">
        <w:rPr>
          <w:rFonts w:ascii="Arial" w:hAnsi="Arial" w:cs="Arial"/>
          <w:color w:val="000000"/>
          <w:lang w:eastAsia="es-ES_tradnl"/>
        </w:rPr>
        <w:t>ó</w:t>
      </w:r>
      <w:r w:rsidR="00A43AAE" w:rsidRPr="00532BB5">
        <w:rPr>
          <w:rFonts w:ascii="Arial" w:hAnsi="Arial" w:cs="Arial"/>
          <w:color w:val="000000"/>
          <w:lang w:eastAsia="es-ES_tradnl"/>
        </w:rPr>
        <w:t xml:space="preserve"> la información con sus compañeros y se introdujeron mensajes recordatorios en el campus. Después de la intervención hubo un incremento importante en la cantidad de contenedores de PET con separación correcta así como en la cantidad de este residuo enviado a reciclaje. </w:t>
      </w:r>
      <w:r w:rsidR="008E3E57">
        <w:rPr>
          <w:rFonts w:ascii="Arial" w:hAnsi="Arial" w:cs="Arial"/>
          <w:color w:val="000000"/>
          <w:lang w:eastAsia="es-ES_tradnl"/>
        </w:rPr>
        <w:t>También</w:t>
      </w:r>
      <w:r w:rsidR="00A43AAE" w:rsidRPr="00532BB5">
        <w:rPr>
          <w:rFonts w:ascii="Arial" w:hAnsi="Arial" w:cs="Arial"/>
          <w:color w:val="000000"/>
          <w:lang w:eastAsia="es-ES_tradnl"/>
        </w:rPr>
        <w:t xml:space="preserve"> aumentaron de manera estadísticamente significativa las variables conciencia de consecuencias del reciclaje y sentimiento de</w:t>
      </w:r>
      <w:r w:rsidR="00C053BA" w:rsidRPr="00532BB5">
        <w:rPr>
          <w:rFonts w:ascii="Arial" w:hAnsi="Arial" w:cs="Arial"/>
          <w:color w:val="000000"/>
          <w:lang w:eastAsia="es-ES_tradnl"/>
        </w:rPr>
        <w:t xml:space="preserve"> molestia por no reciclar en</w:t>
      </w:r>
      <w:r w:rsidR="001E38B6" w:rsidRPr="00532BB5">
        <w:rPr>
          <w:rFonts w:ascii="Arial" w:hAnsi="Arial" w:cs="Arial"/>
          <w:color w:val="000000"/>
          <w:lang w:eastAsia="es-ES_tradnl"/>
        </w:rPr>
        <w:t xml:space="preserve"> </w:t>
      </w:r>
      <w:r w:rsidR="00D922BE">
        <w:rPr>
          <w:rFonts w:ascii="Arial" w:hAnsi="Arial" w:cs="Arial"/>
          <w:color w:val="000000"/>
          <w:lang w:eastAsia="es-ES_tradnl"/>
        </w:rPr>
        <w:t>un grupo</w:t>
      </w:r>
      <w:r w:rsidR="00A43AAE" w:rsidRPr="00532BB5">
        <w:rPr>
          <w:rFonts w:ascii="Arial" w:hAnsi="Arial" w:cs="Arial"/>
          <w:color w:val="000000"/>
          <w:lang w:eastAsia="es-ES_tradnl"/>
        </w:rPr>
        <w:t>, as</w:t>
      </w:r>
      <w:r w:rsidR="00C053BA" w:rsidRPr="00532BB5">
        <w:rPr>
          <w:rFonts w:ascii="Arial" w:hAnsi="Arial" w:cs="Arial"/>
          <w:color w:val="000000"/>
          <w:lang w:eastAsia="es-ES_tradnl"/>
        </w:rPr>
        <w:t xml:space="preserve">í como esta última en </w:t>
      </w:r>
      <w:r w:rsidR="00D922BE">
        <w:rPr>
          <w:rFonts w:ascii="Arial" w:hAnsi="Arial" w:cs="Arial"/>
          <w:color w:val="000000"/>
          <w:lang w:eastAsia="es-ES_tradnl"/>
        </w:rPr>
        <w:t>otro</w:t>
      </w:r>
      <w:r w:rsidR="00A43AAE" w:rsidRPr="00532BB5">
        <w:rPr>
          <w:rFonts w:ascii="Arial" w:hAnsi="Arial" w:cs="Arial"/>
          <w:color w:val="000000"/>
          <w:lang w:eastAsia="es-ES_tradnl"/>
        </w:rPr>
        <w:t>. </w:t>
      </w:r>
      <w:r w:rsidR="002230E3">
        <w:rPr>
          <w:rFonts w:ascii="Arial" w:hAnsi="Arial" w:cs="Arial"/>
          <w:color w:val="000000"/>
          <w:lang w:eastAsia="es-ES_tradnl"/>
        </w:rPr>
        <w:t xml:space="preserve"> </w:t>
      </w:r>
    </w:p>
    <w:p w14:paraId="4D8C859D" w14:textId="77777777" w:rsidR="00A43AAE" w:rsidRPr="00532BB5" w:rsidRDefault="00A43AAE" w:rsidP="00A94036">
      <w:pPr>
        <w:spacing w:after="240"/>
        <w:jc w:val="center"/>
        <w:rPr>
          <w:rFonts w:ascii="-webkit-standard" w:hAnsi="-webkit-standard" w:cs="Times New Roman" w:hint="eastAsia"/>
          <w:b/>
          <w:color w:val="000000"/>
          <w:lang w:val="en-US" w:eastAsia="es-ES_tradnl"/>
        </w:rPr>
      </w:pPr>
      <w:r w:rsidRPr="00532BB5">
        <w:rPr>
          <w:rFonts w:ascii="Arial" w:hAnsi="Arial" w:cs="Arial"/>
          <w:b/>
          <w:color w:val="000000"/>
          <w:lang w:val="en-US" w:eastAsia="es-ES_tradnl"/>
        </w:rPr>
        <w:t>Abstract</w:t>
      </w:r>
    </w:p>
    <w:p w14:paraId="60C1963D" w14:textId="35FC175E" w:rsidR="00532BB5" w:rsidRPr="00604BAB" w:rsidRDefault="00A43AAE" w:rsidP="00973A5E">
      <w:pPr>
        <w:spacing w:after="240"/>
        <w:jc w:val="both"/>
        <w:rPr>
          <w:rFonts w:ascii="Arial" w:hAnsi="Arial" w:cs="Arial"/>
          <w:color w:val="000000"/>
          <w:lang w:val="en-US" w:eastAsia="es-ES_tradnl"/>
        </w:rPr>
      </w:pPr>
      <w:r w:rsidRPr="00532BB5">
        <w:rPr>
          <w:rFonts w:ascii="Arial" w:hAnsi="Arial" w:cs="Arial"/>
          <w:color w:val="000000"/>
          <w:lang w:val="en-US" w:eastAsia="es-ES_tradnl"/>
        </w:rPr>
        <w:t>In</w:t>
      </w:r>
      <w:r w:rsidR="008B32DB">
        <w:rPr>
          <w:rFonts w:ascii="Arial" w:hAnsi="Arial" w:cs="Arial"/>
          <w:color w:val="000000"/>
          <w:lang w:val="en-US" w:eastAsia="es-ES_tradnl"/>
        </w:rPr>
        <w:t xml:space="preserve"> this study </w:t>
      </w:r>
      <w:r w:rsidR="008B32DB" w:rsidRPr="00532BB5">
        <w:rPr>
          <w:rFonts w:ascii="Arial" w:hAnsi="Arial" w:cs="Arial"/>
          <w:color w:val="000000"/>
          <w:lang w:val="en-US" w:eastAsia="es-ES_tradnl"/>
        </w:rPr>
        <w:t>an intervention program was implemented</w:t>
      </w:r>
      <w:r w:rsidR="002230E3" w:rsidRPr="00532BB5">
        <w:rPr>
          <w:rFonts w:ascii="Arial" w:hAnsi="Arial" w:cs="Arial"/>
          <w:color w:val="000000"/>
          <w:lang w:val="en-US" w:eastAsia="es-ES_tradnl"/>
        </w:rPr>
        <w:t xml:space="preserve"> to develop pro-environmental </w:t>
      </w:r>
      <w:r w:rsidR="00343ECB">
        <w:rPr>
          <w:rFonts w:ascii="Arial" w:hAnsi="Arial" w:cs="Arial"/>
          <w:color w:val="000000"/>
          <w:lang w:val="en-US" w:eastAsia="es-ES_tradnl"/>
        </w:rPr>
        <w:t xml:space="preserve">recycling </w:t>
      </w:r>
      <w:r w:rsidR="002230E3" w:rsidRPr="00532BB5">
        <w:rPr>
          <w:rFonts w:ascii="Arial" w:hAnsi="Arial" w:cs="Arial"/>
          <w:color w:val="000000"/>
          <w:lang w:val="en-US" w:eastAsia="es-ES_tradnl"/>
        </w:rPr>
        <w:t>behavior among</w:t>
      </w:r>
      <w:r w:rsidR="006268BF">
        <w:rPr>
          <w:rFonts w:ascii="Arial" w:hAnsi="Arial" w:cs="Arial"/>
          <w:color w:val="000000"/>
          <w:lang w:val="en-US" w:eastAsia="es-ES_tradnl"/>
        </w:rPr>
        <w:t xml:space="preserve"> the </w:t>
      </w:r>
      <w:r w:rsidR="002230E3" w:rsidRPr="00532BB5">
        <w:rPr>
          <w:rFonts w:ascii="Arial" w:hAnsi="Arial" w:cs="Arial"/>
          <w:color w:val="000000"/>
          <w:lang w:val="en-US" w:eastAsia="es-ES_tradnl"/>
        </w:rPr>
        <w:t>students of a</w:t>
      </w:r>
      <w:r w:rsidR="000840EE">
        <w:rPr>
          <w:rFonts w:ascii="Arial" w:hAnsi="Arial" w:cs="Arial"/>
          <w:color w:val="000000"/>
          <w:lang w:val="en-US" w:eastAsia="es-ES_tradnl"/>
        </w:rPr>
        <w:t xml:space="preserve"> </w:t>
      </w:r>
      <w:r w:rsidR="002230E3" w:rsidRPr="00532BB5">
        <w:rPr>
          <w:rFonts w:ascii="Arial" w:hAnsi="Arial" w:cs="Arial"/>
          <w:color w:val="000000"/>
          <w:lang w:val="en-US" w:eastAsia="es-ES_tradnl"/>
        </w:rPr>
        <w:t>university</w:t>
      </w:r>
      <w:r w:rsidR="008B32DB" w:rsidRPr="00532BB5">
        <w:rPr>
          <w:rFonts w:ascii="Arial" w:hAnsi="Arial" w:cs="Arial"/>
          <w:color w:val="000000"/>
          <w:lang w:val="en-US" w:eastAsia="es-ES_tradnl"/>
        </w:rPr>
        <w:t>, combining the strategies of information, social diffusion and prompts</w:t>
      </w:r>
      <w:r w:rsidRPr="00532BB5">
        <w:rPr>
          <w:rFonts w:ascii="Arial" w:hAnsi="Arial" w:cs="Arial"/>
          <w:color w:val="000000"/>
          <w:lang w:val="en-US" w:eastAsia="es-ES_tradnl"/>
        </w:rPr>
        <w:t>. There were three gro</w:t>
      </w:r>
      <w:r w:rsidR="00563502" w:rsidRPr="00532BB5">
        <w:rPr>
          <w:rFonts w:ascii="Arial" w:hAnsi="Arial" w:cs="Arial"/>
          <w:color w:val="000000"/>
          <w:lang w:val="en-US" w:eastAsia="es-ES_tradnl"/>
        </w:rPr>
        <w:t>ups of participants</w:t>
      </w:r>
      <w:r w:rsidR="001E38B6" w:rsidRPr="00532BB5">
        <w:rPr>
          <w:rFonts w:ascii="Arial" w:hAnsi="Arial" w:cs="Arial"/>
          <w:color w:val="000000"/>
          <w:lang w:val="en-US" w:eastAsia="es-ES_tradnl"/>
        </w:rPr>
        <w:t>. Each group attended two</w:t>
      </w:r>
      <w:r w:rsidRPr="00532BB5">
        <w:rPr>
          <w:rFonts w:ascii="Arial" w:hAnsi="Arial" w:cs="Arial"/>
          <w:color w:val="000000"/>
          <w:lang w:val="en-US" w:eastAsia="es-ES_tradnl"/>
        </w:rPr>
        <w:t xml:space="preserve"> informative session</w:t>
      </w:r>
      <w:r w:rsidR="001E38B6" w:rsidRPr="00532BB5">
        <w:rPr>
          <w:rFonts w:ascii="Arial" w:hAnsi="Arial" w:cs="Arial"/>
          <w:color w:val="000000"/>
          <w:lang w:val="en-US" w:eastAsia="es-ES_tradnl"/>
        </w:rPr>
        <w:t>s</w:t>
      </w:r>
      <w:r w:rsidR="00563502" w:rsidRPr="00532BB5">
        <w:rPr>
          <w:rFonts w:ascii="Arial" w:hAnsi="Arial" w:cs="Arial"/>
          <w:color w:val="000000"/>
          <w:lang w:val="en-US" w:eastAsia="es-ES_tradnl"/>
        </w:rPr>
        <w:t xml:space="preserve">. Afterwards, </w:t>
      </w:r>
      <w:r w:rsidR="00D922BE">
        <w:rPr>
          <w:rFonts w:ascii="Arial" w:hAnsi="Arial" w:cs="Arial"/>
          <w:color w:val="000000"/>
          <w:lang w:val="en-US" w:eastAsia="es-ES_tradnl"/>
        </w:rPr>
        <w:t>a group of students</w:t>
      </w:r>
      <w:r w:rsidRPr="00532BB5">
        <w:rPr>
          <w:rFonts w:ascii="Arial" w:hAnsi="Arial" w:cs="Arial"/>
          <w:color w:val="000000"/>
          <w:lang w:val="en-US" w:eastAsia="es-ES_tradnl"/>
        </w:rPr>
        <w:t xml:space="preserve"> carried out social diffusion actions with their classmates. </w:t>
      </w:r>
      <w:r w:rsidR="00D922BE">
        <w:rPr>
          <w:rFonts w:ascii="Arial" w:hAnsi="Arial" w:cs="Arial"/>
          <w:color w:val="000000"/>
          <w:lang w:val="en-US" w:eastAsia="es-ES_tradnl"/>
        </w:rPr>
        <w:t>P</w:t>
      </w:r>
      <w:r w:rsidR="002230E3">
        <w:rPr>
          <w:rFonts w:ascii="Arial" w:hAnsi="Arial" w:cs="Arial"/>
          <w:color w:val="000000"/>
          <w:lang w:val="en-US" w:eastAsia="es-ES_tradnl"/>
        </w:rPr>
        <w:t>rompts</w:t>
      </w:r>
      <w:r w:rsidRPr="00532BB5">
        <w:rPr>
          <w:rFonts w:ascii="Arial" w:hAnsi="Arial" w:cs="Arial"/>
          <w:color w:val="000000"/>
          <w:lang w:val="en-US" w:eastAsia="es-ES_tradnl"/>
        </w:rPr>
        <w:t xml:space="preserve"> </w:t>
      </w:r>
      <w:r w:rsidR="00BB4134">
        <w:rPr>
          <w:rFonts w:ascii="Arial" w:hAnsi="Arial" w:cs="Arial"/>
          <w:color w:val="000000"/>
          <w:lang w:val="en-US" w:eastAsia="es-ES_tradnl"/>
        </w:rPr>
        <w:t xml:space="preserve">posted </w:t>
      </w:r>
      <w:r w:rsidRPr="00532BB5">
        <w:rPr>
          <w:rFonts w:ascii="Arial" w:hAnsi="Arial" w:cs="Arial"/>
          <w:color w:val="000000"/>
          <w:lang w:val="en-US" w:eastAsia="es-ES_tradnl"/>
        </w:rPr>
        <w:t xml:space="preserve">throughout the campus were also introduced. After the intervention there was a considerable increase in the number of PET bins with correct separation and in the amount of PET recycled. Also, there was a statistically significant increase in the </w:t>
      </w:r>
      <w:r w:rsidR="008B32DB" w:rsidRPr="00532BB5">
        <w:rPr>
          <w:rFonts w:ascii="Arial" w:hAnsi="Arial" w:cs="Arial"/>
          <w:color w:val="000000"/>
          <w:lang w:val="en-US" w:eastAsia="es-ES_tradnl"/>
        </w:rPr>
        <w:t>awareness</w:t>
      </w:r>
      <w:r w:rsidRPr="00532BB5">
        <w:rPr>
          <w:rFonts w:ascii="Arial" w:hAnsi="Arial" w:cs="Arial"/>
          <w:color w:val="000000"/>
          <w:lang w:val="en-US" w:eastAsia="es-ES_tradnl"/>
        </w:rPr>
        <w:t xml:space="preserve"> </w:t>
      </w:r>
      <w:r w:rsidR="006268BF">
        <w:rPr>
          <w:rFonts w:ascii="Arial" w:hAnsi="Arial" w:cs="Arial"/>
          <w:color w:val="000000"/>
          <w:lang w:val="en-US" w:eastAsia="es-ES_tradnl"/>
        </w:rPr>
        <w:t>of</w:t>
      </w:r>
      <w:r w:rsidRPr="00532BB5">
        <w:rPr>
          <w:rFonts w:ascii="Arial" w:hAnsi="Arial" w:cs="Arial"/>
          <w:color w:val="000000"/>
          <w:lang w:val="en-US" w:eastAsia="es-ES_tradnl"/>
        </w:rPr>
        <w:t xml:space="preserve"> recycling consequences and feeling of </w:t>
      </w:r>
      <w:r w:rsidR="00563502" w:rsidRPr="00532BB5">
        <w:rPr>
          <w:rFonts w:ascii="Arial" w:hAnsi="Arial" w:cs="Arial"/>
          <w:color w:val="000000"/>
          <w:lang w:val="en-US" w:eastAsia="es-ES_tradnl"/>
        </w:rPr>
        <w:t xml:space="preserve">annoyance for not recycling in </w:t>
      </w:r>
      <w:r w:rsidR="00D922BE">
        <w:rPr>
          <w:rFonts w:ascii="Arial" w:hAnsi="Arial" w:cs="Arial"/>
          <w:color w:val="000000"/>
          <w:lang w:val="en-US" w:eastAsia="es-ES_tradnl"/>
        </w:rPr>
        <w:t>one</w:t>
      </w:r>
      <w:r w:rsidR="002230E3">
        <w:rPr>
          <w:rFonts w:ascii="Arial" w:hAnsi="Arial" w:cs="Arial"/>
          <w:color w:val="000000"/>
          <w:lang w:val="en-US" w:eastAsia="es-ES_tradnl"/>
        </w:rPr>
        <w:t xml:space="preserve"> group</w:t>
      </w:r>
      <w:r w:rsidR="00563502" w:rsidRPr="00532BB5">
        <w:rPr>
          <w:rFonts w:ascii="Arial" w:hAnsi="Arial" w:cs="Arial"/>
          <w:color w:val="000000"/>
          <w:lang w:val="en-US" w:eastAsia="es-ES_tradnl"/>
        </w:rPr>
        <w:t xml:space="preserve">. In </w:t>
      </w:r>
      <w:r w:rsidR="00D922BE">
        <w:rPr>
          <w:rFonts w:ascii="Arial" w:hAnsi="Arial" w:cs="Arial"/>
          <w:color w:val="000000"/>
          <w:lang w:val="en-US" w:eastAsia="es-ES_tradnl"/>
        </w:rPr>
        <w:t>another</w:t>
      </w:r>
      <w:r w:rsidR="002230E3">
        <w:rPr>
          <w:rFonts w:ascii="Arial" w:hAnsi="Arial" w:cs="Arial"/>
          <w:color w:val="000000"/>
          <w:lang w:val="en-US" w:eastAsia="es-ES_tradnl"/>
        </w:rPr>
        <w:t xml:space="preserve"> group</w:t>
      </w:r>
      <w:r w:rsidRPr="00532BB5">
        <w:rPr>
          <w:rFonts w:ascii="Arial" w:hAnsi="Arial" w:cs="Arial"/>
          <w:color w:val="000000"/>
          <w:lang w:val="en-US" w:eastAsia="es-ES_tradnl"/>
        </w:rPr>
        <w:t xml:space="preserve"> there was also a s</w:t>
      </w:r>
      <w:r w:rsidR="008B32DB">
        <w:rPr>
          <w:rFonts w:ascii="Arial" w:hAnsi="Arial" w:cs="Arial"/>
          <w:color w:val="000000"/>
          <w:lang w:val="en-US" w:eastAsia="es-ES_tradnl"/>
        </w:rPr>
        <w:t>t</w:t>
      </w:r>
      <w:r w:rsidRPr="00532BB5">
        <w:rPr>
          <w:rFonts w:ascii="Arial" w:hAnsi="Arial" w:cs="Arial"/>
          <w:color w:val="000000"/>
          <w:lang w:val="en-US" w:eastAsia="es-ES_tradnl"/>
        </w:rPr>
        <w:t>atistically significant increase in the feeling of annoyance. </w:t>
      </w:r>
    </w:p>
    <w:p w14:paraId="1B8E07FA" w14:textId="77777777" w:rsidR="00C8676D" w:rsidRPr="001273FE" w:rsidRDefault="00C8676D" w:rsidP="00A94036">
      <w:pPr>
        <w:jc w:val="center"/>
        <w:rPr>
          <w:rFonts w:ascii="Arial" w:hAnsi="Arial" w:cs="Arial"/>
          <w:b/>
          <w:color w:val="000000"/>
          <w:lang w:val="en-US" w:eastAsia="es-ES_tradnl"/>
        </w:rPr>
      </w:pPr>
    </w:p>
    <w:p w14:paraId="533D3724" w14:textId="1934D9A3" w:rsidR="005A30B6" w:rsidRPr="003301B2" w:rsidRDefault="003301B2" w:rsidP="00A94036">
      <w:pPr>
        <w:jc w:val="center"/>
        <w:rPr>
          <w:rFonts w:ascii="Arial" w:hAnsi="Arial" w:cs="Arial"/>
          <w:b/>
          <w:color w:val="000000"/>
          <w:lang w:eastAsia="es-ES_tradnl"/>
        </w:rPr>
      </w:pPr>
      <w:r w:rsidRPr="003301B2">
        <w:rPr>
          <w:rFonts w:ascii="Arial" w:hAnsi="Arial" w:cs="Arial"/>
          <w:b/>
          <w:color w:val="000000"/>
          <w:lang w:eastAsia="es-ES_tradnl"/>
        </w:rPr>
        <w:t>Introducción</w:t>
      </w:r>
    </w:p>
    <w:p w14:paraId="45CD30F9" w14:textId="3B285207" w:rsidR="008514F7" w:rsidRDefault="00BD7CAF" w:rsidP="00A94036">
      <w:pPr>
        <w:spacing w:before="100" w:beforeAutospacing="1" w:after="100" w:afterAutospacing="1"/>
        <w:jc w:val="both"/>
        <w:rPr>
          <w:rFonts w:ascii="Arial" w:eastAsia="Times New Roman" w:hAnsi="Arial" w:cs="Arial"/>
          <w:lang w:val="es-MX" w:eastAsia="es-ES_tradnl"/>
        </w:rPr>
      </w:pPr>
      <w:r w:rsidRPr="00743E44">
        <w:rPr>
          <w:rFonts w:ascii="Arial" w:eastAsia="Times New Roman" w:hAnsi="Arial" w:cs="Arial"/>
          <w:lang w:val="es-MX" w:eastAsia="es-ES_tradnl"/>
        </w:rPr>
        <w:t xml:space="preserve">El estilo de vida consumista, prevaleciente en la sociedad actual, tiene por consecuencia la acumulación de basura, lo cual constituye un grave problema ambiental que a su vez afecta la salud humana. La contaminación del agua, el aire y los suelos causada por la basura </w:t>
      </w:r>
      <w:r w:rsidR="00AB1E18">
        <w:rPr>
          <w:rFonts w:ascii="Arial" w:eastAsia="Times New Roman" w:hAnsi="Arial" w:cs="Arial"/>
          <w:lang w:val="es-MX" w:eastAsia="es-ES_tradnl"/>
        </w:rPr>
        <w:t>causa</w:t>
      </w:r>
      <w:r w:rsidRPr="00743E44">
        <w:rPr>
          <w:rFonts w:ascii="Arial" w:eastAsia="Times New Roman" w:hAnsi="Arial" w:cs="Arial"/>
          <w:lang w:val="es-MX" w:eastAsia="es-ES_tradnl"/>
        </w:rPr>
        <w:t xml:space="preserve"> enfermedades </w:t>
      </w:r>
      <w:r w:rsidR="009641F1" w:rsidRPr="00743E44">
        <w:rPr>
          <w:rFonts w:ascii="Arial" w:eastAsia="Times New Roman" w:hAnsi="Arial" w:cs="Arial"/>
          <w:lang w:val="es-MX" w:eastAsia="es-ES_tradnl"/>
        </w:rPr>
        <w:t>humanas</w:t>
      </w:r>
      <w:r w:rsidRPr="00743E44">
        <w:rPr>
          <w:rFonts w:ascii="Arial" w:eastAsia="Times New Roman" w:hAnsi="Arial" w:cs="Arial"/>
          <w:lang w:val="es-MX" w:eastAsia="es-ES_tradnl"/>
        </w:rPr>
        <w:t xml:space="preserve"> (Bonfanti, 2004</w:t>
      </w:r>
      <w:r w:rsidR="00C01D23" w:rsidRPr="00743E44">
        <w:rPr>
          <w:rFonts w:ascii="Arial" w:eastAsia="Times New Roman" w:hAnsi="Arial" w:cs="Arial"/>
          <w:lang w:val="es-MX" w:eastAsia="es-ES_tradnl"/>
        </w:rPr>
        <w:t>;</w:t>
      </w:r>
      <w:r w:rsidR="00843500">
        <w:rPr>
          <w:rFonts w:ascii="Arial" w:eastAsia="Times New Roman" w:hAnsi="Arial" w:cs="Arial"/>
          <w:lang w:val="es-MX" w:eastAsia="es-ES_tradnl"/>
        </w:rPr>
        <w:t xml:space="preserve"> </w:t>
      </w:r>
      <w:r w:rsidR="00843500" w:rsidRPr="00743E44">
        <w:rPr>
          <w:rFonts w:ascii="Arial" w:eastAsia="Times New Roman" w:hAnsi="Arial" w:cs="Arial"/>
          <w:lang w:val="es-MX" w:eastAsia="es-ES_tradnl"/>
        </w:rPr>
        <w:t>Corral, Fraijo, Frías, González y Varela, 2008</w:t>
      </w:r>
      <w:r w:rsidR="00843500">
        <w:rPr>
          <w:rFonts w:ascii="Arial" w:eastAsia="Times New Roman" w:hAnsi="Arial" w:cs="Arial"/>
          <w:lang w:val="es-MX" w:eastAsia="es-ES_tradnl"/>
        </w:rPr>
        <w:t>;</w:t>
      </w:r>
      <w:r w:rsidR="00C01D23" w:rsidRPr="00743E44">
        <w:rPr>
          <w:rFonts w:ascii="Arial" w:eastAsia="Times New Roman" w:hAnsi="Arial" w:cs="Arial"/>
          <w:lang w:val="es-MX" w:eastAsia="es-ES_tradnl"/>
        </w:rPr>
        <w:t xml:space="preserve"> Seltenrich, 2015</w:t>
      </w:r>
      <w:r w:rsidRPr="00743E44">
        <w:rPr>
          <w:rFonts w:ascii="Arial" w:eastAsia="Times New Roman" w:hAnsi="Arial" w:cs="Arial"/>
          <w:lang w:val="es-MX" w:eastAsia="es-ES_tradnl"/>
        </w:rPr>
        <w:t xml:space="preserve">). Es por esto que el desarrollar conductas que </w:t>
      </w:r>
      <w:r w:rsidR="008C1F7C">
        <w:rPr>
          <w:rFonts w:ascii="Arial" w:eastAsia="Times New Roman" w:hAnsi="Arial" w:cs="Arial"/>
          <w:lang w:val="es-MX" w:eastAsia="es-ES_tradnl"/>
        </w:rPr>
        <w:t>disminuyan</w:t>
      </w:r>
      <w:r w:rsidRPr="00743E44">
        <w:rPr>
          <w:rFonts w:ascii="Arial" w:eastAsia="Times New Roman" w:hAnsi="Arial" w:cs="Arial"/>
          <w:lang w:val="es-MX" w:eastAsia="es-ES_tradnl"/>
        </w:rPr>
        <w:t xml:space="preserve"> la acumulación de desechos es un</w:t>
      </w:r>
      <w:r w:rsidR="008C1F7C">
        <w:rPr>
          <w:rFonts w:ascii="Arial" w:eastAsia="Times New Roman" w:hAnsi="Arial" w:cs="Arial"/>
          <w:lang w:val="es-MX" w:eastAsia="es-ES_tradnl"/>
        </w:rPr>
        <w:t>o de los temas prioritarios</w:t>
      </w:r>
      <w:r w:rsidRPr="00743E44">
        <w:rPr>
          <w:rFonts w:ascii="Arial" w:eastAsia="Times New Roman" w:hAnsi="Arial" w:cs="Arial"/>
          <w:lang w:val="es-MX" w:eastAsia="es-ES_tradnl"/>
        </w:rPr>
        <w:t xml:space="preserve"> de investigación en psicología para el desarrollo sustentable (</w:t>
      </w:r>
      <w:r w:rsidR="00843500">
        <w:rPr>
          <w:rFonts w:ascii="Arial" w:eastAsia="Times New Roman" w:hAnsi="Arial" w:cs="Arial"/>
          <w:lang w:val="es-MX" w:eastAsia="es-ES_tradnl"/>
        </w:rPr>
        <w:t>Corral et al., 2008</w:t>
      </w:r>
      <w:r w:rsidRPr="00743E44">
        <w:rPr>
          <w:rFonts w:ascii="Arial" w:eastAsia="Times New Roman" w:hAnsi="Arial" w:cs="Arial"/>
          <w:lang w:val="es-MX" w:eastAsia="es-ES_tradnl"/>
        </w:rPr>
        <w:t xml:space="preserve">). </w:t>
      </w:r>
      <w:r w:rsidR="00090742">
        <w:rPr>
          <w:rFonts w:ascii="Arial" w:eastAsia="Times New Roman" w:hAnsi="Arial" w:cs="Arial"/>
          <w:lang w:val="es-MX" w:eastAsia="es-ES_tradnl"/>
        </w:rPr>
        <w:t xml:space="preserve"> </w:t>
      </w:r>
    </w:p>
    <w:p w14:paraId="274FDA42" w14:textId="77777777" w:rsidR="001D5D16" w:rsidRDefault="00090742" w:rsidP="00A94036">
      <w:pPr>
        <w:spacing w:before="100" w:beforeAutospacing="1" w:after="100" w:afterAutospacing="1"/>
        <w:ind w:firstLine="708"/>
        <w:jc w:val="both"/>
        <w:rPr>
          <w:rFonts w:ascii="Arial" w:hAnsi="Arial" w:cs="Arial"/>
        </w:rPr>
      </w:pPr>
      <w:r>
        <w:rPr>
          <w:rFonts w:ascii="Arial" w:hAnsi="Arial" w:cs="Arial"/>
        </w:rPr>
        <w:t>E</w:t>
      </w:r>
      <w:r w:rsidRPr="00743E44">
        <w:rPr>
          <w:rFonts w:ascii="Arial" w:hAnsi="Arial" w:cs="Arial"/>
        </w:rPr>
        <w:t>l reciclaje</w:t>
      </w:r>
      <w:r>
        <w:rPr>
          <w:rFonts w:ascii="Arial" w:hAnsi="Arial" w:cs="Arial"/>
        </w:rPr>
        <w:t xml:space="preserve"> es una</w:t>
      </w:r>
      <w:r w:rsidRPr="00743E44">
        <w:rPr>
          <w:rFonts w:ascii="Arial" w:hAnsi="Arial" w:cs="Arial"/>
        </w:rPr>
        <w:t xml:space="preserve"> de las prácticas más importantes para mitigar el problema de la basura</w:t>
      </w:r>
      <w:r>
        <w:rPr>
          <w:rFonts w:ascii="Arial" w:hAnsi="Arial" w:cs="Arial"/>
        </w:rPr>
        <w:t xml:space="preserve">, y </w:t>
      </w:r>
      <w:r w:rsidRPr="00743E44">
        <w:rPr>
          <w:rFonts w:ascii="Arial" w:hAnsi="Arial" w:cs="Arial"/>
        </w:rPr>
        <w:t xml:space="preserve">tiene muchos beneficios ambientales y sociales (Corral-Verdugo y </w:t>
      </w:r>
      <w:proofErr w:type="spellStart"/>
      <w:r w:rsidRPr="00743E44">
        <w:rPr>
          <w:rFonts w:ascii="Arial" w:hAnsi="Arial" w:cs="Arial"/>
        </w:rPr>
        <w:t>Pinheiro</w:t>
      </w:r>
      <w:proofErr w:type="spellEnd"/>
      <w:r w:rsidRPr="00743E44">
        <w:rPr>
          <w:rFonts w:ascii="Arial" w:hAnsi="Arial" w:cs="Arial"/>
        </w:rPr>
        <w:t xml:space="preserve">, 2004; </w:t>
      </w:r>
      <w:proofErr w:type="spellStart"/>
      <w:r w:rsidRPr="00743E44">
        <w:rPr>
          <w:rFonts w:ascii="Arial" w:hAnsi="Arial" w:cs="Arial"/>
        </w:rPr>
        <w:t>Izagirre-Olaizola</w:t>
      </w:r>
      <w:proofErr w:type="spellEnd"/>
      <w:r w:rsidRPr="00743E44">
        <w:rPr>
          <w:rFonts w:ascii="Arial" w:hAnsi="Arial" w:cs="Arial"/>
        </w:rPr>
        <w:t>, Fernández-Sainz &amp; Vicente-Molina, 2015).</w:t>
      </w:r>
      <w:r>
        <w:rPr>
          <w:rFonts w:ascii="Arial" w:hAnsi="Arial" w:cs="Arial"/>
        </w:rPr>
        <w:t xml:space="preserve"> En este estudio</w:t>
      </w:r>
      <w:r w:rsidRPr="00743E44">
        <w:rPr>
          <w:rFonts w:ascii="Arial" w:hAnsi="Arial" w:cs="Arial"/>
        </w:rPr>
        <w:t xml:space="preserve"> </w:t>
      </w:r>
      <w:r>
        <w:rPr>
          <w:rFonts w:ascii="Arial" w:hAnsi="Arial" w:cs="Arial"/>
        </w:rPr>
        <w:t>se implementó</w:t>
      </w:r>
      <w:r w:rsidRPr="00743E44">
        <w:rPr>
          <w:rFonts w:ascii="Arial" w:hAnsi="Arial" w:cs="Arial"/>
        </w:rPr>
        <w:t xml:space="preserve"> un </w:t>
      </w:r>
      <w:r>
        <w:rPr>
          <w:rFonts w:ascii="Arial" w:hAnsi="Arial" w:cs="Arial"/>
        </w:rPr>
        <w:t>programa</w:t>
      </w:r>
      <w:r w:rsidRPr="00743E44">
        <w:rPr>
          <w:rFonts w:ascii="Arial" w:hAnsi="Arial" w:cs="Arial"/>
        </w:rPr>
        <w:t xml:space="preserve"> de intervención para</w:t>
      </w:r>
      <w:r>
        <w:rPr>
          <w:rFonts w:ascii="Arial" w:hAnsi="Arial" w:cs="Arial"/>
        </w:rPr>
        <w:t xml:space="preserve"> </w:t>
      </w:r>
      <w:r w:rsidR="001D5D16">
        <w:rPr>
          <w:rFonts w:ascii="Arial" w:hAnsi="Arial" w:cs="Arial"/>
        </w:rPr>
        <w:t>fomentar</w:t>
      </w:r>
      <w:r>
        <w:rPr>
          <w:rFonts w:ascii="Arial" w:hAnsi="Arial" w:cs="Arial"/>
        </w:rPr>
        <w:t xml:space="preserve"> la conducta </w:t>
      </w:r>
      <w:r w:rsidR="001D5D16">
        <w:rPr>
          <w:rFonts w:ascii="Arial" w:hAnsi="Arial" w:cs="Arial"/>
        </w:rPr>
        <w:t>de separación de residuos para</w:t>
      </w:r>
      <w:r>
        <w:rPr>
          <w:rFonts w:ascii="Arial" w:hAnsi="Arial" w:cs="Arial"/>
        </w:rPr>
        <w:t xml:space="preserve"> reciclaje en estudiantes </w:t>
      </w:r>
      <w:r w:rsidR="001D5D16">
        <w:rPr>
          <w:rFonts w:ascii="Arial" w:hAnsi="Arial" w:cs="Arial"/>
        </w:rPr>
        <w:t>de</w:t>
      </w:r>
      <w:r>
        <w:rPr>
          <w:rFonts w:ascii="Arial" w:hAnsi="Arial" w:cs="Arial"/>
        </w:rPr>
        <w:t xml:space="preserve"> una universidad privada </w:t>
      </w:r>
      <w:r w:rsidR="001D5D16">
        <w:rPr>
          <w:rFonts w:ascii="Arial" w:hAnsi="Arial" w:cs="Arial"/>
        </w:rPr>
        <w:t>m</w:t>
      </w:r>
      <w:r>
        <w:rPr>
          <w:rFonts w:ascii="Arial" w:hAnsi="Arial" w:cs="Arial"/>
        </w:rPr>
        <w:t>exicana.</w:t>
      </w:r>
      <w:r w:rsidRPr="00743E44">
        <w:rPr>
          <w:rFonts w:ascii="Arial" w:hAnsi="Arial" w:cs="Arial"/>
        </w:rPr>
        <w:t xml:space="preserve"> </w:t>
      </w:r>
    </w:p>
    <w:p w14:paraId="7D437EDD" w14:textId="740AC6F9" w:rsidR="00090742" w:rsidRPr="00090742" w:rsidRDefault="00090742" w:rsidP="00A94036">
      <w:pPr>
        <w:spacing w:before="100" w:beforeAutospacing="1" w:after="100" w:afterAutospacing="1"/>
        <w:ind w:firstLine="708"/>
        <w:jc w:val="both"/>
        <w:rPr>
          <w:rFonts w:ascii="Arial" w:eastAsia="Times New Roman" w:hAnsi="Arial" w:cs="Arial"/>
          <w:lang w:val="es-MX" w:eastAsia="es-ES_tradnl"/>
        </w:rPr>
      </w:pPr>
      <w:r>
        <w:rPr>
          <w:rFonts w:ascii="Arial" w:hAnsi="Arial" w:cs="Arial"/>
        </w:rPr>
        <w:t>La mayoría de las instituciones de educación superior son grandes generadoras de residuos</w:t>
      </w:r>
      <w:r w:rsidR="001D5D16">
        <w:rPr>
          <w:rFonts w:ascii="Arial" w:hAnsi="Arial" w:cs="Arial"/>
        </w:rPr>
        <w:t xml:space="preserve"> </w:t>
      </w:r>
      <w:r w:rsidR="001D5D16" w:rsidRPr="00743E44">
        <w:rPr>
          <w:rFonts w:ascii="Arial" w:hAnsi="Arial" w:cs="Arial"/>
        </w:rPr>
        <w:t>(</w:t>
      </w:r>
      <w:r w:rsidR="001D5D16">
        <w:rPr>
          <w:rFonts w:ascii="Arial" w:hAnsi="Arial" w:cs="Arial"/>
        </w:rPr>
        <w:t>Armijo, Ojeda &amp; Ramírez, 2008)</w:t>
      </w:r>
      <w:r w:rsidR="000738BE">
        <w:rPr>
          <w:rFonts w:ascii="Arial" w:hAnsi="Arial" w:cs="Arial"/>
        </w:rPr>
        <w:t>. Además</w:t>
      </w:r>
      <w:r>
        <w:rPr>
          <w:rFonts w:ascii="Arial" w:hAnsi="Arial" w:cs="Arial"/>
        </w:rPr>
        <w:t xml:space="preserve"> tienen el papel de formar a los próximos tomadores de decisiones, por lo que muchas de éstas</w:t>
      </w:r>
      <w:r w:rsidRPr="00743E44">
        <w:rPr>
          <w:rFonts w:ascii="Arial" w:hAnsi="Arial" w:cs="Arial"/>
        </w:rPr>
        <w:t xml:space="preserve"> han adoptado programas de separación y reciclaje de residuos </w:t>
      </w:r>
      <w:r w:rsidR="000738BE">
        <w:rPr>
          <w:rFonts w:ascii="Arial" w:hAnsi="Arial" w:cs="Arial"/>
        </w:rPr>
        <w:t>con el fin de</w:t>
      </w:r>
      <w:r w:rsidRPr="00743E44">
        <w:rPr>
          <w:rFonts w:ascii="Arial" w:hAnsi="Arial" w:cs="Arial"/>
        </w:rPr>
        <w:t xml:space="preserve"> reducir su impacto </w:t>
      </w:r>
      <w:r w:rsidRPr="00743E44">
        <w:rPr>
          <w:rFonts w:ascii="Arial" w:hAnsi="Arial" w:cs="Arial"/>
        </w:rPr>
        <w:lastRenderedPageBreak/>
        <w:t xml:space="preserve">ambiental </w:t>
      </w:r>
      <w:r>
        <w:rPr>
          <w:rFonts w:ascii="Arial" w:hAnsi="Arial" w:cs="Arial"/>
        </w:rPr>
        <w:t xml:space="preserve">y </w:t>
      </w:r>
      <w:r w:rsidR="000738BE">
        <w:rPr>
          <w:rFonts w:ascii="Arial" w:hAnsi="Arial" w:cs="Arial"/>
        </w:rPr>
        <w:t xml:space="preserve">de </w:t>
      </w:r>
      <w:r w:rsidRPr="00743E44">
        <w:rPr>
          <w:rFonts w:ascii="Arial" w:hAnsi="Arial" w:cs="Arial"/>
        </w:rPr>
        <w:t xml:space="preserve">formar este hábito en sus estudiantes. </w:t>
      </w:r>
      <w:r>
        <w:rPr>
          <w:rFonts w:ascii="Arial" w:hAnsi="Arial" w:cs="Arial"/>
        </w:rPr>
        <w:t>Aunque las universidades</w:t>
      </w:r>
      <w:r w:rsidRPr="00743E44">
        <w:rPr>
          <w:rFonts w:ascii="Arial" w:hAnsi="Arial" w:cs="Arial"/>
        </w:rPr>
        <w:t xml:space="preserve"> cuent</w:t>
      </w:r>
      <w:r w:rsidR="0003187F">
        <w:rPr>
          <w:rFonts w:ascii="Arial" w:hAnsi="Arial" w:cs="Arial"/>
        </w:rPr>
        <w:t>e</w:t>
      </w:r>
      <w:r w:rsidRPr="00743E44">
        <w:rPr>
          <w:rFonts w:ascii="Arial" w:hAnsi="Arial" w:cs="Arial"/>
        </w:rPr>
        <w:t>n con contenedores para la separación de los residuos, la gente</w:t>
      </w:r>
      <w:r>
        <w:rPr>
          <w:rFonts w:ascii="Arial" w:hAnsi="Arial" w:cs="Arial"/>
        </w:rPr>
        <w:t xml:space="preserve"> </w:t>
      </w:r>
      <w:r w:rsidR="000738BE">
        <w:rPr>
          <w:rFonts w:ascii="Arial" w:hAnsi="Arial" w:cs="Arial"/>
        </w:rPr>
        <w:t xml:space="preserve">frecuentemente </w:t>
      </w:r>
      <w:r>
        <w:rPr>
          <w:rFonts w:ascii="Arial" w:hAnsi="Arial" w:cs="Arial"/>
        </w:rPr>
        <w:t>los utili</w:t>
      </w:r>
      <w:r w:rsidR="001D5D16">
        <w:rPr>
          <w:rFonts w:ascii="Arial" w:hAnsi="Arial" w:cs="Arial"/>
        </w:rPr>
        <w:t>z</w:t>
      </w:r>
      <w:r>
        <w:rPr>
          <w:rFonts w:ascii="Arial" w:hAnsi="Arial" w:cs="Arial"/>
        </w:rPr>
        <w:t>a</w:t>
      </w:r>
      <w:r w:rsidRPr="00743E44">
        <w:rPr>
          <w:rFonts w:ascii="Arial" w:hAnsi="Arial" w:cs="Arial"/>
        </w:rPr>
        <w:t xml:space="preserve"> indistintamente. Cuando esto sucede las instituciones</w:t>
      </w:r>
      <w:r>
        <w:rPr>
          <w:rFonts w:ascii="Arial" w:hAnsi="Arial" w:cs="Arial"/>
        </w:rPr>
        <w:t xml:space="preserve"> </w:t>
      </w:r>
      <w:r w:rsidR="0003187F">
        <w:rPr>
          <w:rFonts w:ascii="Arial" w:hAnsi="Arial" w:cs="Arial"/>
        </w:rPr>
        <w:t xml:space="preserve">deben </w:t>
      </w:r>
      <w:r w:rsidRPr="00743E44">
        <w:rPr>
          <w:rFonts w:ascii="Arial" w:hAnsi="Arial" w:cs="Arial"/>
        </w:rPr>
        <w:t>designa</w:t>
      </w:r>
      <w:r w:rsidR="0003187F">
        <w:rPr>
          <w:rFonts w:ascii="Arial" w:hAnsi="Arial" w:cs="Arial"/>
        </w:rPr>
        <w:t>r</w:t>
      </w:r>
      <w:r w:rsidRPr="00743E44">
        <w:rPr>
          <w:rFonts w:ascii="Arial" w:hAnsi="Arial" w:cs="Arial"/>
        </w:rPr>
        <w:t xml:space="preserve"> personal para separar</w:t>
      </w:r>
      <w:r w:rsidR="0003187F">
        <w:rPr>
          <w:rFonts w:ascii="Arial" w:hAnsi="Arial" w:cs="Arial"/>
        </w:rPr>
        <w:t xml:space="preserve"> </w:t>
      </w:r>
      <w:r w:rsidRPr="00743E44">
        <w:rPr>
          <w:rFonts w:ascii="Arial" w:hAnsi="Arial" w:cs="Arial"/>
        </w:rPr>
        <w:t>los</w:t>
      </w:r>
      <w:r w:rsidR="0003187F">
        <w:rPr>
          <w:rFonts w:ascii="Arial" w:hAnsi="Arial" w:cs="Arial"/>
        </w:rPr>
        <w:t xml:space="preserve"> residuos</w:t>
      </w:r>
      <w:r w:rsidRPr="00743E44">
        <w:rPr>
          <w:rFonts w:ascii="Arial" w:hAnsi="Arial" w:cs="Arial"/>
        </w:rPr>
        <w:t xml:space="preserve"> o abandona</w:t>
      </w:r>
      <w:r w:rsidR="0003187F">
        <w:rPr>
          <w:rFonts w:ascii="Arial" w:hAnsi="Arial" w:cs="Arial"/>
        </w:rPr>
        <w:t>r</w:t>
      </w:r>
      <w:r w:rsidRPr="00743E44">
        <w:rPr>
          <w:rFonts w:ascii="Arial" w:hAnsi="Arial" w:cs="Arial"/>
        </w:rPr>
        <w:t xml:space="preserve"> los programas de reciclaje</w:t>
      </w:r>
      <w:r>
        <w:rPr>
          <w:rFonts w:ascii="Arial" w:hAnsi="Arial" w:cs="Arial"/>
        </w:rPr>
        <w:t xml:space="preserve"> </w:t>
      </w:r>
      <w:r w:rsidR="001D5D16">
        <w:rPr>
          <w:rFonts w:ascii="Arial" w:hAnsi="Arial" w:cs="Arial"/>
        </w:rPr>
        <w:t>(</w:t>
      </w:r>
      <w:proofErr w:type="spellStart"/>
      <w:r w:rsidRPr="00743E44">
        <w:rPr>
          <w:rFonts w:ascii="Arial" w:hAnsi="Arial" w:cs="Arial"/>
        </w:rPr>
        <w:t>Duffy</w:t>
      </w:r>
      <w:proofErr w:type="spellEnd"/>
      <w:r w:rsidRPr="00743E44">
        <w:rPr>
          <w:rFonts w:ascii="Arial" w:hAnsi="Arial" w:cs="Arial"/>
        </w:rPr>
        <w:t xml:space="preserve"> &amp; </w:t>
      </w:r>
      <w:proofErr w:type="spellStart"/>
      <w:r w:rsidRPr="00743E44">
        <w:rPr>
          <w:rFonts w:ascii="Arial" w:hAnsi="Arial" w:cs="Arial"/>
        </w:rPr>
        <w:t>Verges</w:t>
      </w:r>
      <w:proofErr w:type="spellEnd"/>
      <w:r w:rsidRPr="00743E44">
        <w:rPr>
          <w:rFonts w:ascii="Arial" w:hAnsi="Arial" w:cs="Arial"/>
        </w:rPr>
        <w:t xml:space="preserve">, 2009). </w:t>
      </w:r>
    </w:p>
    <w:p w14:paraId="38BB3855" w14:textId="53C49897" w:rsidR="00F74403" w:rsidRDefault="007B5D5E" w:rsidP="00A94036">
      <w:pPr>
        <w:jc w:val="both"/>
        <w:rPr>
          <w:rFonts w:ascii="Arial" w:hAnsi="Arial" w:cs="Arial"/>
        </w:rPr>
      </w:pPr>
      <w:r w:rsidRPr="00743E44">
        <w:rPr>
          <w:rFonts w:ascii="Arial" w:hAnsi="Arial" w:cs="Arial"/>
        </w:rPr>
        <w:tab/>
      </w:r>
      <w:r w:rsidR="00F74403">
        <w:rPr>
          <w:rFonts w:ascii="Arial" w:hAnsi="Arial" w:cs="Arial"/>
        </w:rPr>
        <w:t>En</w:t>
      </w:r>
      <w:r w:rsidRPr="00743E44">
        <w:rPr>
          <w:rFonts w:ascii="Arial" w:hAnsi="Arial" w:cs="Arial"/>
        </w:rPr>
        <w:t xml:space="preserve"> </w:t>
      </w:r>
      <w:r w:rsidR="00EC06C5">
        <w:rPr>
          <w:rFonts w:ascii="Arial" w:hAnsi="Arial" w:cs="Arial"/>
        </w:rPr>
        <w:t>l</w:t>
      </w:r>
      <w:r w:rsidRPr="00743E44">
        <w:rPr>
          <w:rFonts w:ascii="Arial" w:hAnsi="Arial" w:cs="Arial"/>
        </w:rPr>
        <w:t xml:space="preserve">a universidad </w:t>
      </w:r>
      <w:r w:rsidR="00EC06C5">
        <w:rPr>
          <w:rFonts w:ascii="Arial" w:hAnsi="Arial" w:cs="Arial"/>
        </w:rPr>
        <w:t>donde se llevó a cabo el presente estudio</w:t>
      </w:r>
      <w:r w:rsidRPr="00743E44">
        <w:rPr>
          <w:rFonts w:ascii="Arial" w:hAnsi="Arial" w:cs="Arial"/>
        </w:rPr>
        <w:t xml:space="preserve"> existía este problema. </w:t>
      </w:r>
      <w:r w:rsidR="00720AF7">
        <w:rPr>
          <w:rFonts w:ascii="Arial" w:hAnsi="Arial" w:cs="Arial"/>
        </w:rPr>
        <w:t xml:space="preserve">El programa </w:t>
      </w:r>
      <w:r w:rsidR="00523B04">
        <w:rPr>
          <w:rFonts w:ascii="Arial" w:hAnsi="Arial" w:cs="Arial"/>
        </w:rPr>
        <w:t>c</w:t>
      </w:r>
      <w:r w:rsidR="00957232">
        <w:rPr>
          <w:rFonts w:ascii="Arial" w:hAnsi="Arial" w:cs="Arial"/>
        </w:rPr>
        <w:t>ontaba</w:t>
      </w:r>
      <w:r w:rsidR="00523B04">
        <w:rPr>
          <w:rFonts w:ascii="Arial" w:hAnsi="Arial" w:cs="Arial"/>
        </w:rPr>
        <w:t xml:space="preserve"> con estaciones de separación de residuos y una empresa recicladora que recogía semanalmente los residuos. Los ingresos obtenidos por la venta de estos residuos se destinaban para apoyar proyectos sociales. Sin embargo, l</w:t>
      </w:r>
      <w:r w:rsidRPr="00743E44">
        <w:rPr>
          <w:rFonts w:ascii="Arial" w:hAnsi="Arial" w:cs="Arial"/>
        </w:rPr>
        <w:t>a comunidad universitaria</w:t>
      </w:r>
      <w:r w:rsidR="000738BE">
        <w:rPr>
          <w:rFonts w:ascii="Arial" w:hAnsi="Arial" w:cs="Arial"/>
        </w:rPr>
        <w:t>, compuesta principalmente por estudiantes,</w:t>
      </w:r>
      <w:r w:rsidRPr="00743E44">
        <w:rPr>
          <w:rFonts w:ascii="Arial" w:hAnsi="Arial" w:cs="Arial"/>
        </w:rPr>
        <w:t xml:space="preserve"> colocaba una gran cantidad de residuos incorrectos en los contenedores para reciclaje, sobre todo en los de plástico PET, lo cual obstaculizaba el reciclaje de este residuo. El residuo incorrecto más común en los contenedores de PET eran los vasos de café desechables</w:t>
      </w:r>
      <w:r w:rsidR="0013032F">
        <w:rPr>
          <w:rFonts w:ascii="Arial" w:hAnsi="Arial" w:cs="Arial"/>
        </w:rPr>
        <w:t xml:space="preserve">, de acuerdo con </w:t>
      </w:r>
      <w:r w:rsidR="009472E8">
        <w:rPr>
          <w:rFonts w:ascii="Arial" w:hAnsi="Arial" w:cs="Arial"/>
        </w:rPr>
        <w:t xml:space="preserve">lo referido por la empresa recicladora y por </w:t>
      </w:r>
      <w:r w:rsidR="0013032F">
        <w:rPr>
          <w:rFonts w:ascii="Arial" w:hAnsi="Arial" w:cs="Arial"/>
        </w:rPr>
        <w:t>observaciones realizadas en los contenedores</w:t>
      </w:r>
      <w:r w:rsidRPr="00743E44">
        <w:rPr>
          <w:rFonts w:ascii="Arial" w:hAnsi="Arial" w:cs="Arial"/>
        </w:rPr>
        <w:t>.</w:t>
      </w:r>
    </w:p>
    <w:p w14:paraId="7FA0DF4D" w14:textId="145962D8" w:rsidR="008514F7" w:rsidRPr="0029401D" w:rsidRDefault="00F74403" w:rsidP="00A94036">
      <w:pPr>
        <w:spacing w:before="100" w:beforeAutospacing="1" w:after="100" w:afterAutospacing="1"/>
        <w:ind w:firstLine="709"/>
        <w:jc w:val="both"/>
        <w:rPr>
          <w:rFonts w:ascii="Times New Roman" w:eastAsia="Times New Roman" w:hAnsi="Times New Roman" w:cs="Times New Roman"/>
          <w:lang w:val="es-MX" w:eastAsia="es-ES_tradnl"/>
        </w:rPr>
      </w:pPr>
      <w:r>
        <w:rPr>
          <w:rFonts w:ascii="ArialMT" w:eastAsia="Times New Roman" w:hAnsi="ArialMT" w:cs="Times New Roman"/>
          <w:lang w:val="es-MX" w:eastAsia="es-ES_tradnl"/>
        </w:rPr>
        <w:t xml:space="preserve">El PET </w:t>
      </w:r>
      <w:r w:rsidR="0029401D" w:rsidRPr="00F74403">
        <w:rPr>
          <w:rFonts w:ascii="ArialMT" w:eastAsia="Times New Roman" w:hAnsi="ArialMT" w:cs="Times New Roman"/>
          <w:lang w:val="es-MX" w:eastAsia="es-ES_tradnl"/>
        </w:rPr>
        <w:t>(</w:t>
      </w:r>
      <w:r w:rsidR="0029401D">
        <w:rPr>
          <w:rFonts w:ascii="ArialMT" w:eastAsia="Times New Roman" w:hAnsi="ArialMT" w:cs="Times New Roman"/>
          <w:lang w:val="es-MX" w:eastAsia="es-ES_tradnl"/>
        </w:rPr>
        <w:t>t</w:t>
      </w:r>
      <w:r w:rsidR="0029401D" w:rsidRPr="00F74403">
        <w:rPr>
          <w:rFonts w:ascii="ArialMT" w:eastAsia="Times New Roman" w:hAnsi="ArialMT" w:cs="Times New Roman"/>
          <w:lang w:val="es-MX" w:eastAsia="es-ES_tradnl"/>
        </w:rPr>
        <w:t xml:space="preserve">ereftalato de </w:t>
      </w:r>
      <w:r w:rsidR="0029401D">
        <w:rPr>
          <w:rFonts w:ascii="ArialMT" w:eastAsia="Times New Roman" w:hAnsi="ArialMT" w:cs="Times New Roman"/>
          <w:lang w:val="es-MX" w:eastAsia="es-ES_tradnl"/>
        </w:rPr>
        <w:t>p</w:t>
      </w:r>
      <w:r w:rsidR="0029401D" w:rsidRPr="00F74403">
        <w:rPr>
          <w:rFonts w:ascii="ArialMT" w:eastAsia="Times New Roman" w:hAnsi="ArialMT" w:cs="Times New Roman"/>
          <w:lang w:val="es-MX" w:eastAsia="es-ES_tradnl"/>
        </w:rPr>
        <w:t>olietileno)</w:t>
      </w:r>
      <w:r w:rsidR="0029401D">
        <w:rPr>
          <w:rFonts w:ascii="ArialMT" w:eastAsia="Times New Roman" w:hAnsi="ArialMT" w:cs="Times New Roman"/>
          <w:lang w:val="es-MX" w:eastAsia="es-ES_tradnl"/>
        </w:rPr>
        <w:t xml:space="preserve"> es un tipo de plástico</w:t>
      </w:r>
      <w:r w:rsidRPr="00F74403">
        <w:rPr>
          <w:rFonts w:ascii="ArialMT" w:eastAsia="Times New Roman" w:hAnsi="ArialMT" w:cs="Times New Roman"/>
          <w:lang w:val="es-MX" w:eastAsia="es-ES_tradnl"/>
        </w:rPr>
        <w:t xml:space="preserve"> no biodegradable muy utilizado en envases de bebidas</w:t>
      </w:r>
      <w:r w:rsidR="0029401D">
        <w:rPr>
          <w:rFonts w:ascii="ArialMT" w:eastAsia="Times New Roman" w:hAnsi="ArialMT" w:cs="Times New Roman"/>
          <w:lang w:val="es-MX" w:eastAsia="es-ES_tradnl"/>
        </w:rPr>
        <w:t xml:space="preserve">, </w:t>
      </w:r>
      <w:r w:rsidR="000738BE">
        <w:rPr>
          <w:rFonts w:ascii="ArialMT" w:eastAsia="Times New Roman" w:hAnsi="ArialMT" w:cs="Times New Roman"/>
          <w:lang w:val="es-MX" w:eastAsia="es-ES_tradnl"/>
        </w:rPr>
        <w:t>sobre todo de</w:t>
      </w:r>
      <w:r w:rsidR="0029401D">
        <w:rPr>
          <w:rFonts w:ascii="ArialMT" w:eastAsia="Times New Roman" w:hAnsi="ArialMT" w:cs="Times New Roman"/>
          <w:lang w:val="es-MX" w:eastAsia="es-ES_tradnl"/>
        </w:rPr>
        <w:t xml:space="preserve"> agua y refresco</w:t>
      </w:r>
      <w:r w:rsidRPr="00F74403">
        <w:rPr>
          <w:rFonts w:ascii="ArialMT" w:eastAsia="Times New Roman" w:hAnsi="ArialMT" w:cs="Times New Roman"/>
          <w:lang w:val="es-MX" w:eastAsia="es-ES_tradnl"/>
        </w:rPr>
        <w:t>.</w:t>
      </w:r>
      <w:r w:rsidR="0029401D">
        <w:rPr>
          <w:rFonts w:ascii="ArialMT" w:eastAsia="Times New Roman" w:hAnsi="ArialMT" w:cs="Times New Roman"/>
          <w:lang w:val="es-MX" w:eastAsia="es-ES_tradnl"/>
        </w:rPr>
        <w:t xml:space="preserve"> Es muy contaminante pero es completamente reciclable (Chen, 2014; Seltenrich, 2015).</w:t>
      </w:r>
      <w:r w:rsidRPr="00F74403">
        <w:rPr>
          <w:rFonts w:ascii="ArialMT" w:eastAsia="Times New Roman" w:hAnsi="ArialMT" w:cs="Times New Roman"/>
          <w:lang w:val="es-MX" w:eastAsia="es-ES_tradnl"/>
        </w:rPr>
        <w:t xml:space="preserve"> </w:t>
      </w:r>
      <w:r>
        <w:rPr>
          <w:rFonts w:ascii="ArialMT" w:eastAsia="Times New Roman" w:hAnsi="ArialMT" w:cs="Times New Roman"/>
          <w:lang w:val="es-MX" w:eastAsia="es-ES_tradnl"/>
        </w:rPr>
        <w:t xml:space="preserve"> </w:t>
      </w:r>
    </w:p>
    <w:p w14:paraId="3A04464D" w14:textId="1A95E8F3" w:rsidR="00F36AFA" w:rsidRPr="00743E44" w:rsidRDefault="007B5D5E" w:rsidP="00A94036">
      <w:pPr>
        <w:jc w:val="both"/>
        <w:rPr>
          <w:rFonts w:ascii="Arial" w:hAnsi="Arial" w:cs="Arial"/>
        </w:rPr>
      </w:pPr>
      <w:r w:rsidRPr="00743E44">
        <w:rPr>
          <w:rFonts w:ascii="Arial" w:hAnsi="Arial" w:cs="Arial"/>
        </w:rPr>
        <w:tab/>
        <w:t>La separación de residuos para reciclaje es considerada una conducta pro-ambiental. Corral (2001, p. 37) define este tipo de comportamientos como “</w:t>
      </w:r>
      <w:r w:rsidRPr="00743E44">
        <w:rPr>
          <w:rFonts w:ascii="Arial" w:hAnsi="Arial" w:cs="Arial"/>
          <w:lang w:val="es-MX"/>
        </w:rPr>
        <w:t>el conjunto de acciones deliberadas y efectivas que responden a requerimientos sociales e individuales y que resultan en la protección del medio</w:t>
      </w:r>
      <w:r w:rsidRPr="00743E44">
        <w:rPr>
          <w:rFonts w:ascii="Arial" w:hAnsi="Arial" w:cs="Arial"/>
        </w:rPr>
        <w:t xml:space="preserve">”. </w:t>
      </w:r>
      <w:r w:rsidR="00412B90">
        <w:rPr>
          <w:rFonts w:ascii="Arial" w:hAnsi="Arial" w:cs="Arial"/>
        </w:rPr>
        <w:t xml:space="preserve">En un meta-análisis realizado por Bamberg y </w:t>
      </w:r>
      <w:proofErr w:type="spellStart"/>
      <w:r w:rsidR="00412B90">
        <w:rPr>
          <w:rFonts w:ascii="Arial" w:hAnsi="Arial" w:cs="Arial"/>
        </w:rPr>
        <w:t>M</w:t>
      </w:r>
      <w:r w:rsidR="00412B90" w:rsidRPr="00412B90">
        <w:rPr>
          <w:rFonts w:ascii="Arial" w:hAnsi="Arial" w:cs="Arial"/>
        </w:rPr>
        <w:t>ö</w:t>
      </w:r>
      <w:r w:rsidR="00412B90">
        <w:rPr>
          <w:rFonts w:ascii="Arial" w:hAnsi="Arial" w:cs="Arial"/>
        </w:rPr>
        <w:t>ser</w:t>
      </w:r>
      <w:proofErr w:type="spellEnd"/>
      <w:r w:rsidR="00412B90">
        <w:rPr>
          <w:rFonts w:ascii="Arial" w:hAnsi="Arial" w:cs="Arial"/>
        </w:rPr>
        <w:t xml:space="preserve"> (2007) se identificaron variables psicosociales asociadas al actuar pro-ambiental, </w:t>
      </w:r>
      <w:r w:rsidR="009472E8">
        <w:rPr>
          <w:rFonts w:ascii="Arial" w:hAnsi="Arial" w:cs="Arial"/>
        </w:rPr>
        <w:t>incluidas</w:t>
      </w:r>
      <w:r w:rsidR="00412B90">
        <w:rPr>
          <w:rFonts w:ascii="Arial" w:hAnsi="Arial" w:cs="Arial"/>
        </w:rPr>
        <w:t xml:space="preserve"> la norma moral o personal, la conciencia de las consecuencias o conciencia del problema, la norma social,</w:t>
      </w:r>
      <w:r w:rsidR="0021181B">
        <w:rPr>
          <w:rFonts w:ascii="Arial" w:hAnsi="Arial" w:cs="Arial"/>
        </w:rPr>
        <w:t xml:space="preserve"> la atribución interna</w:t>
      </w:r>
      <w:r w:rsidR="00815120">
        <w:rPr>
          <w:rFonts w:ascii="Arial" w:hAnsi="Arial" w:cs="Arial"/>
        </w:rPr>
        <w:t xml:space="preserve"> y</w:t>
      </w:r>
      <w:r w:rsidR="00412B90">
        <w:rPr>
          <w:rFonts w:ascii="Arial" w:hAnsi="Arial" w:cs="Arial"/>
        </w:rPr>
        <w:t xml:space="preserve"> la percepción de tener control sobre la conducta. </w:t>
      </w:r>
      <w:r w:rsidR="00F36AFA" w:rsidRPr="00743E44">
        <w:rPr>
          <w:rFonts w:ascii="Arial" w:hAnsi="Arial" w:cs="Arial"/>
        </w:rPr>
        <w:t xml:space="preserve"> </w:t>
      </w:r>
    </w:p>
    <w:p w14:paraId="142A279D" w14:textId="77777777" w:rsidR="00F36AFA" w:rsidRPr="00743E44" w:rsidRDefault="00F36AFA" w:rsidP="00A94036">
      <w:pPr>
        <w:jc w:val="both"/>
        <w:rPr>
          <w:rFonts w:ascii="Arial" w:hAnsi="Arial" w:cs="Arial"/>
        </w:rPr>
      </w:pPr>
    </w:p>
    <w:p w14:paraId="5B329FD1" w14:textId="0311EDEC" w:rsidR="007B5D5E" w:rsidRPr="00743E44" w:rsidRDefault="007B5D5E" w:rsidP="00A94036">
      <w:pPr>
        <w:ind w:firstLine="708"/>
        <w:jc w:val="both"/>
        <w:rPr>
          <w:rFonts w:ascii="Arial" w:hAnsi="Arial" w:cs="Arial"/>
        </w:rPr>
      </w:pPr>
      <w:r w:rsidRPr="00743E44">
        <w:rPr>
          <w:rFonts w:ascii="Arial" w:hAnsi="Arial" w:cs="Arial"/>
        </w:rPr>
        <w:t>Una de las principales teorías que se ha</w:t>
      </w:r>
      <w:r w:rsidR="0021181B">
        <w:rPr>
          <w:rFonts w:ascii="Arial" w:hAnsi="Arial" w:cs="Arial"/>
        </w:rPr>
        <w:t>n</w:t>
      </w:r>
      <w:r w:rsidRPr="00743E44">
        <w:rPr>
          <w:rFonts w:ascii="Arial" w:hAnsi="Arial" w:cs="Arial"/>
        </w:rPr>
        <w:t xml:space="preserve"> empleado para explicar la conducta pro-ambiental es la Teoría de la Activación de Normas </w:t>
      </w:r>
      <w:r w:rsidR="001A0264" w:rsidRPr="00743E44">
        <w:rPr>
          <w:rFonts w:ascii="Arial" w:hAnsi="Arial" w:cs="Arial"/>
        </w:rPr>
        <w:t>generada por</w:t>
      </w:r>
      <w:r w:rsidRPr="00743E44">
        <w:rPr>
          <w:rFonts w:ascii="Arial" w:hAnsi="Arial" w:cs="Arial"/>
        </w:rPr>
        <w:t xml:space="preserve"> Schwartz (1977)</w:t>
      </w:r>
      <w:r w:rsidR="001A0264" w:rsidRPr="00743E44">
        <w:rPr>
          <w:rFonts w:ascii="Arial" w:hAnsi="Arial" w:cs="Arial"/>
        </w:rPr>
        <w:t>, inicialmente propuesta para explicar la conducta altruista</w:t>
      </w:r>
      <w:r w:rsidRPr="00743E44">
        <w:rPr>
          <w:rFonts w:ascii="Arial" w:hAnsi="Arial" w:cs="Arial"/>
        </w:rPr>
        <w:t xml:space="preserve">. De acuerdo con ésta, el proceso comienza con las normas sociales, las cuales el individuo adopta a un nivel personal volviéndose normas personales, que a su vez constituyen la variable más cercana a la conducta, pero el hecho de que la norma personal se traduzca en comportamiento depende de otras dos variables: la conciencia de las consecuencias que la conducta tendrá y la adscripción de responsabilidad personal por actuar. </w:t>
      </w:r>
    </w:p>
    <w:p w14:paraId="50A169D7" w14:textId="6C995AE8" w:rsidR="000A45D4" w:rsidRPr="00743E44" w:rsidRDefault="00F36AFA" w:rsidP="00A94036">
      <w:pPr>
        <w:pStyle w:val="NormalWeb"/>
        <w:ind w:firstLine="700"/>
        <w:jc w:val="both"/>
        <w:rPr>
          <w:rFonts w:ascii="Arial" w:eastAsia="Times New Roman" w:hAnsi="Arial" w:cs="Arial"/>
          <w:lang w:val="es-MX"/>
        </w:rPr>
      </w:pPr>
      <w:r w:rsidRPr="00743E44">
        <w:rPr>
          <w:rFonts w:ascii="Arial" w:eastAsia="Times New Roman" w:hAnsi="Arial" w:cs="Arial"/>
          <w:lang w:val="es-MX"/>
        </w:rPr>
        <w:t>Aunque se han estudiado varios tratamientos que ayudan a promover la conducta de separación de residuos, la mayoría de éstos se han enfocado en hacer compromisos conductuales, cambiar el diseño o la ubicación de los contenedores para reciclaje y brindar información enfocándose en los beneficios del reciclaje</w:t>
      </w:r>
      <w:r w:rsidR="00604BAB" w:rsidRPr="00743E44">
        <w:rPr>
          <w:rFonts w:ascii="Arial" w:eastAsia="Times New Roman" w:hAnsi="Arial" w:cs="Arial"/>
          <w:lang w:val="es-MX"/>
        </w:rPr>
        <w:t xml:space="preserve"> (</w:t>
      </w:r>
      <w:r w:rsidR="001424FF" w:rsidRPr="00743E44">
        <w:rPr>
          <w:rFonts w:ascii="Arial" w:eastAsia="Times New Roman" w:hAnsi="Arial" w:cs="Arial"/>
          <w:lang w:val="es-MX"/>
        </w:rPr>
        <w:t>Bustos-Aguayo, Montero y Flores-Herrera, 2002; Chase, Dominick, Trepal, Bailey &amp; Friedman, 2009; Osbaldiston &amp; Schott, 2012)</w:t>
      </w:r>
      <w:r w:rsidRPr="00743E44">
        <w:rPr>
          <w:rFonts w:ascii="Arial" w:eastAsia="Times New Roman" w:hAnsi="Arial" w:cs="Arial"/>
          <w:lang w:val="es-MX"/>
        </w:rPr>
        <w:t xml:space="preserve">. </w:t>
      </w:r>
      <w:r w:rsidR="00735D68" w:rsidRPr="00743E44">
        <w:rPr>
          <w:rFonts w:ascii="Arial" w:eastAsia="Times New Roman" w:hAnsi="Arial" w:cs="Arial"/>
          <w:lang w:val="es-MX"/>
        </w:rPr>
        <w:t xml:space="preserve">Algunos estudios han empleado la interacción social en la que una persona motiva a </w:t>
      </w:r>
      <w:r w:rsidR="009472E8">
        <w:rPr>
          <w:rFonts w:ascii="Arial" w:eastAsia="Times New Roman" w:hAnsi="Arial" w:cs="Arial"/>
          <w:lang w:val="es-MX"/>
        </w:rPr>
        <w:t>otra</w:t>
      </w:r>
      <w:r w:rsidR="00735D68" w:rsidRPr="00743E44">
        <w:rPr>
          <w:rFonts w:ascii="Arial" w:eastAsia="Times New Roman" w:hAnsi="Arial" w:cs="Arial"/>
          <w:lang w:val="es-MX"/>
        </w:rPr>
        <w:t xml:space="preserve"> a involucrarse en una conducta pro-ambiental (Hopper &amp; Nielsen, 1991; </w:t>
      </w:r>
      <w:r w:rsidR="008C36BE" w:rsidRPr="00743E44">
        <w:rPr>
          <w:rFonts w:ascii="Arial" w:eastAsia="Times New Roman" w:hAnsi="Arial" w:cs="Arial"/>
          <w:lang w:val="es-MX"/>
        </w:rPr>
        <w:t>Long, Harré &amp; Atkinson, 2014</w:t>
      </w:r>
      <w:r w:rsidR="002D6995" w:rsidRPr="00743E44">
        <w:rPr>
          <w:rFonts w:ascii="Arial" w:eastAsia="Times New Roman" w:hAnsi="Arial" w:cs="Arial"/>
          <w:lang w:val="es-MX"/>
        </w:rPr>
        <w:t>)</w:t>
      </w:r>
      <w:r w:rsidR="00735D68" w:rsidRPr="00743E44">
        <w:rPr>
          <w:rFonts w:ascii="Arial" w:eastAsia="Times New Roman" w:hAnsi="Arial" w:cs="Arial"/>
          <w:lang w:val="es-MX"/>
        </w:rPr>
        <w:t>.</w:t>
      </w:r>
      <w:r w:rsidR="008C36BE" w:rsidRPr="00743E44">
        <w:rPr>
          <w:rFonts w:ascii="Arial" w:eastAsia="Times New Roman" w:hAnsi="Arial" w:cs="Arial"/>
          <w:lang w:val="es-MX"/>
        </w:rPr>
        <w:t xml:space="preserve"> </w:t>
      </w:r>
    </w:p>
    <w:p w14:paraId="0BA59B5E" w14:textId="3566C443" w:rsidR="000A45D4" w:rsidRPr="00743E44" w:rsidRDefault="008C36BE" w:rsidP="00A94036">
      <w:pPr>
        <w:pStyle w:val="NormalWeb"/>
        <w:ind w:firstLine="700"/>
        <w:jc w:val="both"/>
        <w:rPr>
          <w:rFonts w:ascii="Arial" w:eastAsia="Times New Roman" w:hAnsi="Arial" w:cs="Arial"/>
          <w:lang w:val="es-MX"/>
        </w:rPr>
      </w:pPr>
      <w:r w:rsidRPr="00743E44">
        <w:rPr>
          <w:rFonts w:ascii="Arial" w:eastAsia="Times New Roman" w:hAnsi="Arial" w:cs="Arial"/>
          <w:lang w:val="es-MX"/>
        </w:rPr>
        <w:lastRenderedPageBreak/>
        <w:t xml:space="preserve">Otros </w:t>
      </w:r>
      <w:r w:rsidR="000A45D4" w:rsidRPr="00743E44">
        <w:rPr>
          <w:rFonts w:ascii="Arial" w:eastAsia="Times New Roman" w:hAnsi="Arial" w:cs="Arial"/>
          <w:lang w:val="es-MX"/>
        </w:rPr>
        <w:t>estudios han encontrado que es muy efectivo proporcionar mensajes que simplemente recuerdan llevar a cabo la acción pro-ambiental</w:t>
      </w:r>
      <w:r w:rsidR="002D6995" w:rsidRPr="00743E44">
        <w:rPr>
          <w:rFonts w:ascii="Arial" w:eastAsia="Times New Roman" w:hAnsi="Arial" w:cs="Arial"/>
          <w:lang w:val="es-MX"/>
        </w:rPr>
        <w:t xml:space="preserve"> (Osbaldiston &amp; Schott, 2012; Sussman, Greeno, Gifford &amp; Scannell, 2013)</w:t>
      </w:r>
      <w:r w:rsidR="0021181B">
        <w:rPr>
          <w:rFonts w:ascii="Arial" w:eastAsia="Times New Roman" w:hAnsi="Arial" w:cs="Arial"/>
          <w:lang w:val="es-MX"/>
        </w:rPr>
        <w:t>, sobre todo si los mensajes corrigen creencias</w:t>
      </w:r>
      <w:r w:rsidR="000A45D4" w:rsidRPr="00743E44">
        <w:rPr>
          <w:rFonts w:ascii="Arial" w:eastAsia="Times New Roman" w:hAnsi="Arial" w:cs="Arial"/>
          <w:lang w:val="es-MX"/>
        </w:rPr>
        <w:t xml:space="preserve">. Por ejemplo, en un experimento se </w:t>
      </w:r>
      <w:r w:rsidR="00604BAB" w:rsidRPr="00743E44">
        <w:rPr>
          <w:rFonts w:ascii="Arial" w:eastAsia="Times New Roman" w:hAnsi="Arial" w:cs="Arial"/>
          <w:lang w:val="es-MX"/>
        </w:rPr>
        <w:t xml:space="preserve">logró aumentar significativamente la separación del papel </w:t>
      </w:r>
      <w:r w:rsidR="000A45D4" w:rsidRPr="00743E44">
        <w:rPr>
          <w:rFonts w:ascii="Arial" w:eastAsia="Times New Roman" w:hAnsi="Arial" w:cs="Arial"/>
          <w:lang w:val="es-MX"/>
        </w:rPr>
        <w:t>coloca</w:t>
      </w:r>
      <w:r w:rsidR="00604BAB" w:rsidRPr="00743E44">
        <w:rPr>
          <w:rFonts w:ascii="Arial" w:eastAsia="Times New Roman" w:hAnsi="Arial" w:cs="Arial"/>
          <w:lang w:val="es-MX"/>
        </w:rPr>
        <w:t>ndo</w:t>
      </w:r>
      <w:r w:rsidR="000A45D4" w:rsidRPr="00743E44">
        <w:rPr>
          <w:rFonts w:ascii="Arial" w:eastAsia="Times New Roman" w:hAnsi="Arial" w:cs="Arial"/>
          <w:lang w:val="es-MX"/>
        </w:rPr>
        <w:t xml:space="preserve"> letreros encima de los contenedores de reciclaje de </w:t>
      </w:r>
      <w:r w:rsidR="00604BAB" w:rsidRPr="00743E44">
        <w:rPr>
          <w:rFonts w:ascii="Arial" w:eastAsia="Times New Roman" w:hAnsi="Arial" w:cs="Arial"/>
          <w:lang w:val="es-MX"/>
        </w:rPr>
        <w:t>este residuo</w:t>
      </w:r>
      <w:r w:rsidR="000A45D4" w:rsidRPr="00743E44">
        <w:rPr>
          <w:rFonts w:ascii="Arial" w:eastAsia="Times New Roman" w:hAnsi="Arial" w:cs="Arial"/>
          <w:lang w:val="es-MX"/>
        </w:rPr>
        <w:t>, los cuales recordaban colocar en éstos el papel aún cuando estuviera arrugado o cortado, mostrando imágenes de las diferentes formas que podía adquirir este residuo. Esto corrigió la creencia de que el papel arrugado o cortado no se podía reciclar</w:t>
      </w:r>
      <w:r w:rsidR="0021181B">
        <w:rPr>
          <w:rFonts w:ascii="Arial" w:eastAsia="Times New Roman" w:hAnsi="Arial" w:cs="Arial"/>
          <w:lang w:val="es-MX"/>
        </w:rPr>
        <w:t xml:space="preserve"> (Trudel, Argo &amp; Meng, 2016)</w:t>
      </w:r>
      <w:r w:rsidR="000A45D4" w:rsidRPr="00743E44">
        <w:rPr>
          <w:rFonts w:ascii="Arial" w:eastAsia="Times New Roman" w:hAnsi="Arial" w:cs="Arial"/>
          <w:lang w:val="es-MX"/>
        </w:rPr>
        <w:t xml:space="preserve">. </w:t>
      </w:r>
    </w:p>
    <w:p w14:paraId="6ECD7D11" w14:textId="64E5E08D" w:rsidR="00206A55" w:rsidRPr="00743E44" w:rsidRDefault="002A7DE7" w:rsidP="00A94036">
      <w:pPr>
        <w:spacing w:before="100" w:beforeAutospacing="1" w:after="100" w:afterAutospacing="1"/>
        <w:ind w:firstLine="700"/>
        <w:jc w:val="both"/>
        <w:rPr>
          <w:rFonts w:ascii="Arial" w:eastAsia="Times New Roman" w:hAnsi="Arial" w:cs="Arial"/>
          <w:lang w:val="es-MX" w:eastAsia="es-ES_tradnl"/>
        </w:rPr>
      </w:pPr>
      <w:r w:rsidRPr="00743E44">
        <w:rPr>
          <w:rFonts w:ascii="Arial" w:eastAsia="Times New Roman" w:hAnsi="Arial" w:cs="Arial"/>
          <w:lang w:val="es-MX" w:eastAsia="es-ES_tradnl"/>
        </w:rPr>
        <w:t xml:space="preserve">En </w:t>
      </w:r>
      <w:r w:rsidR="0021181B">
        <w:rPr>
          <w:rFonts w:ascii="Arial" w:eastAsia="Times New Roman" w:hAnsi="Arial" w:cs="Arial"/>
          <w:lang w:val="es-MX" w:eastAsia="es-ES_tradnl"/>
        </w:rPr>
        <w:t>otro</w:t>
      </w:r>
      <w:r w:rsidRPr="00743E44">
        <w:rPr>
          <w:rFonts w:ascii="Arial" w:eastAsia="Times New Roman" w:hAnsi="Arial" w:cs="Arial"/>
          <w:lang w:val="es-MX" w:eastAsia="es-ES_tradnl"/>
        </w:rPr>
        <w:t xml:space="preserve"> estudio se empleó eficazmente la red social de Facebook junto con otras estrategias para aumentar la conducta de ahorro de electricidad en jóvenes universitarios</w:t>
      </w:r>
      <w:r w:rsidR="0021181B">
        <w:rPr>
          <w:rFonts w:ascii="Arial" w:eastAsia="Times New Roman" w:hAnsi="Arial" w:cs="Arial"/>
          <w:lang w:val="es-MX" w:eastAsia="es-ES_tradnl"/>
        </w:rPr>
        <w:t xml:space="preserve"> (Senbel, Douglas &amp; Blair, 2014). Sin embargo,</w:t>
      </w:r>
      <w:r w:rsidRPr="00743E44">
        <w:rPr>
          <w:rFonts w:ascii="Arial" w:eastAsia="Times New Roman" w:hAnsi="Arial" w:cs="Arial"/>
          <w:lang w:val="es-MX" w:eastAsia="es-ES_tradnl"/>
        </w:rPr>
        <w:t xml:space="preserve"> no se </w:t>
      </w:r>
      <w:r w:rsidR="009472E8">
        <w:rPr>
          <w:rFonts w:ascii="Arial" w:eastAsia="Times New Roman" w:hAnsi="Arial" w:cs="Arial"/>
          <w:lang w:val="es-MX" w:eastAsia="es-ES_tradnl"/>
        </w:rPr>
        <w:t>han llevado a cabo</w:t>
      </w:r>
      <w:r w:rsidRPr="00743E44">
        <w:rPr>
          <w:rFonts w:ascii="Arial" w:eastAsia="Times New Roman" w:hAnsi="Arial" w:cs="Arial"/>
          <w:lang w:val="es-MX" w:eastAsia="es-ES_tradnl"/>
        </w:rPr>
        <w:t xml:space="preserve"> estudios que hayan empleado esta estrategia para fomentar la conducta de separación de residuos</w:t>
      </w:r>
      <w:r w:rsidR="0021181B">
        <w:rPr>
          <w:rFonts w:ascii="Arial" w:eastAsia="Times New Roman" w:hAnsi="Arial" w:cs="Arial"/>
          <w:lang w:val="es-MX" w:eastAsia="es-ES_tradnl"/>
        </w:rPr>
        <w:t xml:space="preserve">, siendo que los jóvenes usan mucho las redes sociales. </w:t>
      </w:r>
      <w:r w:rsidR="00F65FB4">
        <w:rPr>
          <w:rFonts w:ascii="Arial" w:eastAsia="Times New Roman" w:hAnsi="Arial" w:cs="Arial"/>
          <w:lang w:val="es-MX" w:eastAsia="es-ES_tradnl"/>
        </w:rPr>
        <w:t xml:space="preserve"> </w:t>
      </w:r>
    </w:p>
    <w:p w14:paraId="1A6CF980" w14:textId="6DE2CE85" w:rsidR="00743E44" w:rsidRPr="00ED195E" w:rsidRDefault="0021181B" w:rsidP="00A94036">
      <w:pPr>
        <w:ind w:firstLine="700"/>
        <w:jc w:val="both"/>
        <w:rPr>
          <w:rFonts w:ascii="Arial" w:hAnsi="Arial" w:cs="Arial"/>
          <w:color w:val="000000"/>
          <w:lang w:eastAsia="es-ES_tradnl"/>
        </w:rPr>
      </w:pPr>
      <w:r>
        <w:rPr>
          <w:rFonts w:ascii="Arial" w:hAnsi="Arial" w:cs="Arial"/>
          <w:color w:val="000000"/>
          <w:lang w:eastAsia="es-ES_tradnl"/>
        </w:rPr>
        <w:t>Así,</w:t>
      </w:r>
      <w:r w:rsidR="00A43AAE" w:rsidRPr="00743E44">
        <w:rPr>
          <w:rFonts w:ascii="Arial" w:hAnsi="Arial" w:cs="Arial"/>
          <w:color w:val="000000"/>
          <w:lang w:eastAsia="es-ES_tradnl"/>
        </w:rPr>
        <w:t xml:space="preserve"> </w:t>
      </w:r>
      <w:r>
        <w:rPr>
          <w:rFonts w:ascii="Arial" w:hAnsi="Arial" w:cs="Arial"/>
          <w:color w:val="000000"/>
          <w:lang w:eastAsia="es-ES_tradnl"/>
        </w:rPr>
        <w:t xml:space="preserve">para </w:t>
      </w:r>
      <w:r w:rsidR="00A43AAE" w:rsidRPr="00743E44">
        <w:rPr>
          <w:rFonts w:ascii="Arial" w:hAnsi="Arial" w:cs="Arial"/>
          <w:color w:val="000000"/>
          <w:lang w:eastAsia="es-ES_tradnl"/>
        </w:rPr>
        <w:t>mejorar el problema que existía en el c</w:t>
      </w:r>
      <w:r w:rsidR="008465BC" w:rsidRPr="00743E44">
        <w:rPr>
          <w:rFonts w:ascii="Arial" w:hAnsi="Arial" w:cs="Arial"/>
          <w:color w:val="000000"/>
          <w:lang w:eastAsia="es-ES_tradnl"/>
        </w:rPr>
        <w:t>ampus</w:t>
      </w:r>
      <w:r w:rsidR="00A43AAE" w:rsidRPr="00743E44">
        <w:rPr>
          <w:rFonts w:ascii="Arial" w:hAnsi="Arial" w:cs="Arial"/>
          <w:color w:val="000000"/>
          <w:lang w:eastAsia="es-ES_tradnl"/>
        </w:rPr>
        <w:t xml:space="preserve">, se implementó un programa de intervención que incluyó tres estrategias: información, difusión social y recordatorios, y se evaluó su efecto sobre la conciencia de consecuencias, la norma personal, </w:t>
      </w:r>
      <w:r w:rsidR="009472E8">
        <w:rPr>
          <w:rFonts w:ascii="Arial" w:hAnsi="Arial" w:cs="Arial"/>
          <w:color w:val="000000"/>
          <w:lang w:eastAsia="es-ES_tradnl"/>
        </w:rPr>
        <w:t xml:space="preserve">la </w:t>
      </w:r>
      <w:r w:rsidR="00A43AAE" w:rsidRPr="00743E44">
        <w:rPr>
          <w:rFonts w:ascii="Arial" w:hAnsi="Arial" w:cs="Arial"/>
          <w:color w:val="000000"/>
          <w:lang w:eastAsia="es-ES_tradnl"/>
        </w:rPr>
        <w:t>norma social y la conducta de separación del plásti</w:t>
      </w:r>
      <w:r w:rsidR="008465BC" w:rsidRPr="00743E44">
        <w:rPr>
          <w:rFonts w:ascii="Arial" w:hAnsi="Arial" w:cs="Arial"/>
          <w:color w:val="000000"/>
          <w:lang w:eastAsia="es-ES_tradnl"/>
        </w:rPr>
        <w:t>co PET en estudiantes de la universidad</w:t>
      </w:r>
      <w:r w:rsidR="00A43AAE" w:rsidRPr="00743E44">
        <w:rPr>
          <w:rFonts w:ascii="Arial" w:hAnsi="Arial" w:cs="Arial"/>
          <w:color w:val="000000"/>
          <w:lang w:eastAsia="es-ES_tradnl"/>
        </w:rPr>
        <w:t>.</w:t>
      </w:r>
    </w:p>
    <w:p w14:paraId="2D23F463" w14:textId="77777777" w:rsidR="00743E44" w:rsidRDefault="00743E44" w:rsidP="00A94036">
      <w:pPr>
        <w:jc w:val="center"/>
        <w:rPr>
          <w:rFonts w:ascii="Arial" w:hAnsi="Arial" w:cs="Arial"/>
          <w:b/>
          <w:color w:val="000000"/>
          <w:lang w:eastAsia="es-ES_tradnl"/>
        </w:rPr>
      </w:pPr>
    </w:p>
    <w:p w14:paraId="3C0E80D9" w14:textId="61AC6177" w:rsidR="00A43AAE" w:rsidRPr="00532BB5" w:rsidRDefault="00A43AAE" w:rsidP="00A94036">
      <w:pPr>
        <w:jc w:val="center"/>
        <w:rPr>
          <w:rFonts w:ascii="Arial" w:hAnsi="Arial" w:cs="Arial"/>
          <w:b/>
          <w:color w:val="000000"/>
          <w:lang w:eastAsia="es-ES_tradnl"/>
        </w:rPr>
      </w:pPr>
      <w:r w:rsidRPr="00532BB5">
        <w:rPr>
          <w:rFonts w:ascii="Arial" w:hAnsi="Arial" w:cs="Arial"/>
          <w:b/>
          <w:color w:val="000000"/>
          <w:lang w:eastAsia="es-ES_tradnl"/>
        </w:rPr>
        <w:t>Método</w:t>
      </w:r>
    </w:p>
    <w:p w14:paraId="18481ADF" w14:textId="77777777" w:rsidR="00743E44" w:rsidRDefault="00743E44" w:rsidP="00A94036">
      <w:pPr>
        <w:jc w:val="center"/>
        <w:rPr>
          <w:rFonts w:ascii="Arial" w:hAnsi="Arial" w:cs="Arial"/>
          <w:color w:val="000000"/>
          <w:lang w:eastAsia="es-ES_tradnl"/>
        </w:rPr>
      </w:pPr>
    </w:p>
    <w:p w14:paraId="1371D502" w14:textId="576351DB"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Participantes</w:t>
      </w:r>
    </w:p>
    <w:p w14:paraId="673F20D5" w14:textId="77777777" w:rsidR="008C1F7C" w:rsidRDefault="008C1F7C" w:rsidP="00A94036">
      <w:pPr>
        <w:jc w:val="both"/>
        <w:rPr>
          <w:rFonts w:ascii="Arial" w:hAnsi="Arial" w:cs="Arial"/>
          <w:color w:val="000000"/>
          <w:lang w:eastAsia="es-ES_tradnl"/>
        </w:rPr>
      </w:pPr>
    </w:p>
    <w:p w14:paraId="09B9BF65" w14:textId="70241223" w:rsidR="00F65FB4" w:rsidRDefault="00A43AAE" w:rsidP="00A94036">
      <w:pPr>
        <w:jc w:val="both"/>
        <w:rPr>
          <w:rFonts w:ascii="Arial" w:hAnsi="Arial" w:cs="Arial"/>
          <w:color w:val="000000"/>
          <w:lang w:eastAsia="es-ES_tradnl"/>
        </w:rPr>
      </w:pPr>
      <w:r w:rsidRPr="00532BB5">
        <w:rPr>
          <w:rFonts w:ascii="Arial" w:hAnsi="Arial" w:cs="Arial"/>
          <w:color w:val="000000"/>
          <w:lang w:eastAsia="es-ES_tradnl"/>
        </w:rPr>
        <w:t>En la etapa de pre-intervención, participaron 166 estudiantes de licenciatura del campus, dentro de tres grupos experimentales: 1) 27 líderes estudiantiles, 2) 13 promotores ambientales y 3) 124 estudiantes de ingeniería. El rango de edad fue de entre 18 y 30 años (</w:t>
      </w:r>
      <w:r w:rsidRPr="007D336F">
        <w:rPr>
          <w:rFonts w:ascii="Arial" w:hAnsi="Arial" w:cs="Arial"/>
          <w:iCs/>
          <w:color w:val="000000"/>
          <w:lang w:eastAsia="es-ES_tradnl"/>
        </w:rPr>
        <w:t>M</w:t>
      </w:r>
      <w:r w:rsidRPr="00532BB5">
        <w:rPr>
          <w:rFonts w:ascii="Arial" w:hAnsi="Arial" w:cs="Arial"/>
          <w:color w:val="000000"/>
          <w:lang w:eastAsia="es-ES_tradnl"/>
        </w:rPr>
        <w:t>=19.6). El 41.5% fueron mujeres y el 58.4% hombres.</w:t>
      </w:r>
      <w:r w:rsidR="00F65FB4">
        <w:rPr>
          <w:rFonts w:ascii="Arial" w:hAnsi="Arial" w:cs="Arial"/>
          <w:color w:val="000000"/>
          <w:lang w:eastAsia="es-ES_tradnl"/>
        </w:rPr>
        <w:t xml:space="preserve"> Los líderes estudiantiles habían sido elegidos por los estudiantes de sus carreras para representarlos</w:t>
      </w:r>
      <w:r w:rsidR="000738BE">
        <w:rPr>
          <w:rFonts w:ascii="Arial" w:hAnsi="Arial" w:cs="Arial"/>
          <w:color w:val="000000"/>
          <w:lang w:eastAsia="es-ES_tradnl"/>
        </w:rPr>
        <w:t xml:space="preserve"> en la universidad</w:t>
      </w:r>
      <w:r w:rsidR="00F65FB4">
        <w:rPr>
          <w:rFonts w:ascii="Arial" w:hAnsi="Arial" w:cs="Arial"/>
          <w:color w:val="000000"/>
          <w:lang w:eastAsia="es-ES_tradnl"/>
        </w:rPr>
        <w:t>. Los promotores ambientales eran estudiantes que voluntariamente realizaban proyectos ambientales en la universidad y que apoyaron el programa de intervención como parte de estos proyectos. El grupo de estudiantes de ingeniería eran de recién ingreso a la universidad</w:t>
      </w:r>
      <w:r w:rsidR="00686519">
        <w:rPr>
          <w:rFonts w:ascii="Arial" w:hAnsi="Arial" w:cs="Arial"/>
          <w:color w:val="000000"/>
          <w:lang w:eastAsia="es-ES_tradnl"/>
        </w:rPr>
        <w:t xml:space="preserve"> y no tenían ningún papel especial de liderazgo o interés ambiental en particular</w:t>
      </w:r>
      <w:r w:rsidR="00F65FB4">
        <w:rPr>
          <w:rFonts w:ascii="Arial" w:hAnsi="Arial" w:cs="Arial"/>
          <w:color w:val="000000"/>
          <w:lang w:eastAsia="es-ES_tradnl"/>
        </w:rPr>
        <w:t>.</w:t>
      </w:r>
      <w:r w:rsidR="006740C1">
        <w:rPr>
          <w:rFonts w:ascii="Arial" w:hAnsi="Arial" w:cs="Arial"/>
          <w:color w:val="000000"/>
          <w:lang w:eastAsia="es-ES_tradnl"/>
        </w:rPr>
        <w:t xml:space="preserve"> </w:t>
      </w:r>
    </w:p>
    <w:p w14:paraId="5B387F04" w14:textId="77777777" w:rsidR="00F65FB4" w:rsidRDefault="00F65FB4" w:rsidP="00A94036">
      <w:pPr>
        <w:jc w:val="both"/>
        <w:rPr>
          <w:rFonts w:ascii="Arial" w:hAnsi="Arial" w:cs="Arial"/>
          <w:color w:val="000000"/>
          <w:lang w:eastAsia="es-ES_tradnl"/>
        </w:rPr>
      </w:pPr>
    </w:p>
    <w:p w14:paraId="11056ED8" w14:textId="541E7E3F" w:rsidR="00A43AAE" w:rsidRPr="00532BB5" w:rsidRDefault="00A43AAE" w:rsidP="00A94036">
      <w:pPr>
        <w:ind w:firstLine="708"/>
        <w:jc w:val="both"/>
        <w:rPr>
          <w:rFonts w:ascii="Arial" w:hAnsi="Arial" w:cs="Arial"/>
          <w:color w:val="000000"/>
          <w:lang w:eastAsia="es-ES_tradnl"/>
        </w:rPr>
      </w:pPr>
      <w:r w:rsidRPr="00532BB5">
        <w:rPr>
          <w:rFonts w:ascii="Arial" w:hAnsi="Arial" w:cs="Arial"/>
          <w:color w:val="000000"/>
          <w:lang w:eastAsia="es-ES_tradnl"/>
        </w:rPr>
        <w:t>En la etapa de pos</w:t>
      </w:r>
      <w:r w:rsidR="008514F7">
        <w:rPr>
          <w:rFonts w:ascii="Arial" w:hAnsi="Arial" w:cs="Arial"/>
          <w:color w:val="000000"/>
          <w:lang w:eastAsia="es-ES_tradnl"/>
        </w:rPr>
        <w:t>t</w:t>
      </w:r>
      <w:r w:rsidRPr="00532BB5">
        <w:rPr>
          <w:rFonts w:ascii="Arial" w:hAnsi="Arial" w:cs="Arial"/>
          <w:color w:val="000000"/>
          <w:lang w:eastAsia="es-ES_tradnl"/>
        </w:rPr>
        <w:t xml:space="preserve">-intervención se tuvo una pérdida </w:t>
      </w:r>
      <w:r w:rsidR="001E607E">
        <w:rPr>
          <w:rFonts w:ascii="Arial" w:hAnsi="Arial" w:cs="Arial"/>
          <w:color w:val="000000"/>
          <w:lang w:eastAsia="es-ES_tradnl"/>
        </w:rPr>
        <w:t>de participantes</w:t>
      </w:r>
      <w:r w:rsidRPr="00532BB5">
        <w:rPr>
          <w:rFonts w:ascii="Arial" w:hAnsi="Arial" w:cs="Arial"/>
          <w:color w:val="000000"/>
          <w:lang w:eastAsia="es-ES_tradnl"/>
        </w:rPr>
        <w:t>. Siguieron participando 117 estudiantes no pareados</w:t>
      </w:r>
      <w:r w:rsidR="00F65FB4">
        <w:rPr>
          <w:rFonts w:ascii="Arial" w:hAnsi="Arial" w:cs="Arial"/>
          <w:color w:val="000000"/>
          <w:lang w:eastAsia="es-ES_tradnl"/>
        </w:rPr>
        <w:t xml:space="preserve"> dentro de los mismos grupos</w:t>
      </w:r>
      <w:r w:rsidRPr="00532BB5">
        <w:rPr>
          <w:rFonts w:ascii="Arial" w:hAnsi="Arial" w:cs="Arial"/>
          <w:color w:val="000000"/>
          <w:lang w:eastAsia="es-ES_tradnl"/>
        </w:rPr>
        <w:t>: 15 líderes estudiantiles, 7 promotores ambientales y 95 estudiantes de ingeniería. Su rango de edad fue de entre 18 y 24 años (</w:t>
      </w:r>
      <w:r w:rsidRPr="007D336F">
        <w:rPr>
          <w:rFonts w:ascii="Arial" w:hAnsi="Arial" w:cs="Arial"/>
          <w:iCs/>
          <w:color w:val="000000"/>
          <w:lang w:eastAsia="es-ES_tradnl"/>
        </w:rPr>
        <w:t>M</w:t>
      </w:r>
      <w:r w:rsidRPr="00532BB5">
        <w:rPr>
          <w:rFonts w:ascii="Arial" w:hAnsi="Arial" w:cs="Arial"/>
          <w:color w:val="000000"/>
          <w:lang w:eastAsia="es-ES_tradnl"/>
        </w:rPr>
        <w:t>=19.2). De éstos el 44.4% fueron mujeres y el 55.6% hombres.  </w:t>
      </w:r>
    </w:p>
    <w:p w14:paraId="47FEC4C5" w14:textId="77777777" w:rsidR="00686519" w:rsidRDefault="00686519" w:rsidP="00A94036">
      <w:pPr>
        <w:rPr>
          <w:rFonts w:ascii="Arial" w:hAnsi="Arial" w:cs="Arial"/>
          <w:color w:val="000000"/>
          <w:lang w:eastAsia="es-ES_tradnl"/>
        </w:rPr>
      </w:pPr>
    </w:p>
    <w:p w14:paraId="1BAC8ACE" w14:textId="220C2BF3"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Instrumentos</w:t>
      </w:r>
    </w:p>
    <w:p w14:paraId="308C648B" w14:textId="77777777" w:rsidR="008C1F7C" w:rsidRDefault="008C1F7C" w:rsidP="00A94036">
      <w:pPr>
        <w:jc w:val="both"/>
        <w:rPr>
          <w:rFonts w:ascii="Arial" w:hAnsi="Arial" w:cs="Arial"/>
          <w:color w:val="000000"/>
          <w:lang w:eastAsia="es-ES_tradnl"/>
        </w:rPr>
      </w:pPr>
    </w:p>
    <w:p w14:paraId="313D6E86" w14:textId="63814306" w:rsidR="008465BC"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Se emplearon hojas de registro conductu</w:t>
      </w:r>
      <w:r w:rsidR="001E607E">
        <w:rPr>
          <w:rFonts w:ascii="Arial" w:hAnsi="Arial" w:cs="Arial"/>
          <w:color w:val="000000"/>
          <w:lang w:eastAsia="es-ES_tradnl"/>
        </w:rPr>
        <w:t>al</w:t>
      </w:r>
      <w:r w:rsidRPr="00532BB5">
        <w:rPr>
          <w:rFonts w:ascii="Arial" w:hAnsi="Arial" w:cs="Arial"/>
          <w:color w:val="000000"/>
          <w:lang w:eastAsia="es-ES_tradnl"/>
        </w:rPr>
        <w:t xml:space="preserve"> así como un instrumento de medición desarrollado por Hopper y </w:t>
      </w:r>
      <w:proofErr w:type="spellStart"/>
      <w:r w:rsidRPr="00532BB5">
        <w:rPr>
          <w:rFonts w:ascii="Arial" w:hAnsi="Arial" w:cs="Arial"/>
          <w:color w:val="000000"/>
          <w:lang w:eastAsia="es-ES_tradnl"/>
        </w:rPr>
        <w:t>Nielsen</w:t>
      </w:r>
      <w:proofErr w:type="spellEnd"/>
      <w:r w:rsidRPr="00532BB5">
        <w:rPr>
          <w:rFonts w:ascii="Arial" w:hAnsi="Arial" w:cs="Arial"/>
          <w:color w:val="000000"/>
          <w:lang w:eastAsia="es-ES_tradnl"/>
        </w:rPr>
        <w:t xml:space="preserve"> (1991), el cual está basado en la Teoría de la </w:t>
      </w:r>
      <w:r w:rsidRPr="00532BB5">
        <w:rPr>
          <w:rFonts w:ascii="Arial" w:hAnsi="Arial" w:cs="Arial"/>
          <w:color w:val="000000"/>
          <w:lang w:eastAsia="es-ES_tradnl"/>
        </w:rPr>
        <w:lastRenderedPageBreak/>
        <w:t>Activación de Normas de Schwartz (1977). Para el presente estudio, los reactivos se tradujeron, se a</w:t>
      </w:r>
      <w:r w:rsidR="008465BC" w:rsidRPr="00532BB5">
        <w:rPr>
          <w:rFonts w:ascii="Arial" w:hAnsi="Arial" w:cs="Arial"/>
          <w:color w:val="000000"/>
          <w:lang w:eastAsia="es-ES_tradnl"/>
        </w:rPr>
        <w:t>daptaron al contexto</w:t>
      </w:r>
      <w:r w:rsidRPr="00532BB5">
        <w:rPr>
          <w:rFonts w:ascii="Arial" w:hAnsi="Arial" w:cs="Arial"/>
          <w:color w:val="000000"/>
          <w:lang w:eastAsia="es-ES_tradnl"/>
        </w:rPr>
        <w:t xml:space="preserve"> y se agregaron</w:t>
      </w:r>
      <w:r w:rsidR="00D25A29">
        <w:rPr>
          <w:rFonts w:ascii="Arial" w:hAnsi="Arial" w:cs="Arial"/>
          <w:color w:val="000000"/>
          <w:lang w:eastAsia="es-ES_tradnl"/>
        </w:rPr>
        <w:t xml:space="preserve"> tres</w:t>
      </w:r>
      <w:r w:rsidRPr="00532BB5">
        <w:rPr>
          <w:rFonts w:ascii="Arial" w:hAnsi="Arial" w:cs="Arial"/>
          <w:color w:val="000000"/>
          <w:lang w:eastAsia="es-ES_tradnl"/>
        </w:rPr>
        <w:t xml:space="preserve">. </w:t>
      </w:r>
      <w:r w:rsidR="006740C1">
        <w:rPr>
          <w:rFonts w:ascii="Arial" w:hAnsi="Arial" w:cs="Arial"/>
          <w:color w:val="000000"/>
          <w:lang w:eastAsia="es-ES_tradnl"/>
        </w:rPr>
        <w:t xml:space="preserve">En dicho instrumento, antes de las instrucciones venía una leyenda que indicaba que las respuestas eran con fines de investigación e invitaba a los estudiantes a participar en el estudio, aclarando que no era obligatorio y que en caso de decidir no participar no tenían que responder el cuestionario. </w:t>
      </w:r>
      <w:r w:rsidR="00686519">
        <w:rPr>
          <w:rFonts w:ascii="Arial" w:hAnsi="Arial" w:cs="Arial"/>
          <w:color w:val="000000"/>
          <w:lang w:eastAsia="es-ES_tradnl"/>
        </w:rPr>
        <w:t xml:space="preserve"> </w:t>
      </w:r>
    </w:p>
    <w:p w14:paraId="715B0F4D" w14:textId="77777777" w:rsidR="008C1F7C" w:rsidRDefault="008C1F7C" w:rsidP="00A94036">
      <w:pPr>
        <w:ind w:firstLine="708"/>
        <w:jc w:val="both"/>
        <w:rPr>
          <w:rFonts w:ascii="Arial" w:hAnsi="Arial" w:cs="Arial"/>
          <w:color w:val="000000"/>
          <w:lang w:eastAsia="es-ES_tradnl"/>
        </w:rPr>
      </w:pPr>
    </w:p>
    <w:p w14:paraId="00A7C0C5" w14:textId="068FFAA2" w:rsidR="008E0330" w:rsidRPr="00EB4520" w:rsidRDefault="00A43AAE" w:rsidP="00A94036">
      <w:pPr>
        <w:ind w:firstLine="708"/>
        <w:jc w:val="both"/>
        <w:rPr>
          <w:rFonts w:ascii="Arial" w:hAnsi="Arial" w:cs="Arial"/>
          <w:color w:val="000000"/>
          <w:lang w:eastAsia="es-ES_tradnl"/>
        </w:rPr>
      </w:pPr>
      <w:r w:rsidRPr="00532BB5">
        <w:rPr>
          <w:rFonts w:ascii="Arial" w:hAnsi="Arial" w:cs="Arial"/>
          <w:color w:val="000000"/>
          <w:lang w:eastAsia="es-ES_tradnl"/>
        </w:rPr>
        <w:t>Para su piloteo, el instrumento se aplicó a 100 est</w:t>
      </w:r>
      <w:r w:rsidR="00035740" w:rsidRPr="00532BB5">
        <w:rPr>
          <w:rFonts w:ascii="Arial" w:hAnsi="Arial" w:cs="Arial"/>
          <w:color w:val="000000"/>
          <w:lang w:eastAsia="es-ES_tradnl"/>
        </w:rPr>
        <w:t>udiantes del campus</w:t>
      </w:r>
      <w:r w:rsidR="00E243D6">
        <w:rPr>
          <w:rFonts w:ascii="Arial" w:hAnsi="Arial" w:cs="Arial"/>
          <w:color w:val="000000"/>
          <w:lang w:eastAsia="es-ES_tradnl"/>
        </w:rPr>
        <w:t>,</w:t>
      </w:r>
      <w:r w:rsidR="00F11E9D">
        <w:rPr>
          <w:rFonts w:ascii="Arial" w:hAnsi="Arial" w:cs="Arial"/>
          <w:color w:val="000000"/>
          <w:lang w:eastAsia="es-ES_tradnl"/>
        </w:rPr>
        <w:t xml:space="preserve"> durante el cuatrimestre anterior al de intervención.</w:t>
      </w:r>
      <w:r w:rsidR="00E243D6">
        <w:rPr>
          <w:rFonts w:ascii="Arial" w:hAnsi="Arial" w:cs="Arial"/>
          <w:color w:val="000000"/>
          <w:lang w:eastAsia="es-ES_tradnl"/>
        </w:rPr>
        <w:t xml:space="preserve"> </w:t>
      </w:r>
      <w:r w:rsidR="002D62CA">
        <w:rPr>
          <w:rFonts w:ascii="Arial" w:hAnsi="Arial" w:cs="Arial"/>
          <w:color w:val="000000"/>
          <w:lang w:eastAsia="es-ES_tradnl"/>
        </w:rPr>
        <w:t>É</w:t>
      </w:r>
      <w:r w:rsidR="00F11E9D">
        <w:rPr>
          <w:rFonts w:ascii="Arial" w:hAnsi="Arial" w:cs="Arial"/>
          <w:color w:val="000000"/>
          <w:lang w:eastAsia="es-ES_tradnl"/>
        </w:rPr>
        <w:t xml:space="preserve">stos se eligieron aleatoriamente dentro de grupos </w:t>
      </w:r>
      <w:r w:rsidR="008E0330">
        <w:rPr>
          <w:rFonts w:ascii="Arial" w:hAnsi="Arial" w:cs="Arial"/>
          <w:color w:val="000000"/>
          <w:lang w:eastAsia="es-ES_tradnl"/>
        </w:rPr>
        <w:t xml:space="preserve">de estudiantes </w:t>
      </w:r>
      <w:r w:rsidR="00EB4520">
        <w:rPr>
          <w:rFonts w:ascii="Arial" w:hAnsi="Arial" w:cs="Arial"/>
          <w:color w:val="000000"/>
          <w:lang w:eastAsia="es-ES_tradnl"/>
        </w:rPr>
        <w:t xml:space="preserve">de diferentes carreras </w:t>
      </w:r>
      <w:r w:rsidR="00F11E9D">
        <w:rPr>
          <w:rFonts w:ascii="Arial" w:hAnsi="Arial" w:cs="Arial"/>
          <w:color w:val="000000"/>
          <w:lang w:eastAsia="es-ES_tradnl"/>
        </w:rPr>
        <w:t xml:space="preserve">que cursaban su último semestre en la universidad, por lo que no estuvieron el siguiente </w:t>
      </w:r>
      <w:r w:rsidR="008E0330">
        <w:rPr>
          <w:rFonts w:ascii="Arial" w:hAnsi="Arial" w:cs="Arial"/>
          <w:color w:val="000000"/>
          <w:lang w:eastAsia="es-ES_tradnl"/>
        </w:rPr>
        <w:t>cuatrimestre</w:t>
      </w:r>
      <w:r w:rsidR="00F11E9D">
        <w:rPr>
          <w:rFonts w:ascii="Arial" w:hAnsi="Arial" w:cs="Arial"/>
          <w:color w:val="000000"/>
          <w:lang w:eastAsia="es-ES_tradnl"/>
        </w:rPr>
        <w:t xml:space="preserve"> en el que se implementó el programa de intervención.</w:t>
      </w:r>
      <w:r w:rsidR="00035740" w:rsidRPr="00532BB5">
        <w:rPr>
          <w:rFonts w:ascii="Arial" w:hAnsi="Arial" w:cs="Arial"/>
          <w:color w:val="000000"/>
          <w:lang w:eastAsia="es-ES_tradnl"/>
        </w:rPr>
        <w:t> </w:t>
      </w:r>
      <w:r w:rsidR="00EB4520">
        <w:rPr>
          <w:rFonts w:ascii="Arial" w:hAnsi="Arial" w:cs="Arial"/>
          <w:color w:val="000000"/>
          <w:lang w:eastAsia="es-ES_tradnl"/>
        </w:rPr>
        <w:t>El rango de edad de éstos fue de entre 21 y 29 años de edad (</w:t>
      </w:r>
      <w:r w:rsidR="00EB4520" w:rsidRPr="007D336F">
        <w:rPr>
          <w:rFonts w:ascii="Arial" w:hAnsi="Arial" w:cs="Arial"/>
          <w:color w:val="000000"/>
          <w:lang w:eastAsia="es-ES_tradnl"/>
        </w:rPr>
        <w:t>M</w:t>
      </w:r>
      <w:r w:rsidR="00EB4520">
        <w:rPr>
          <w:rFonts w:ascii="Arial" w:hAnsi="Arial" w:cs="Arial"/>
          <w:i/>
          <w:color w:val="000000"/>
          <w:lang w:eastAsia="es-ES_tradnl"/>
        </w:rPr>
        <w:t xml:space="preserve">= </w:t>
      </w:r>
      <w:r w:rsidR="00EB4520">
        <w:rPr>
          <w:rFonts w:ascii="Arial" w:hAnsi="Arial" w:cs="Arial"/>
          <w:color w:val="000000"/>
          <w:lang w:eastAsia="es-ES_tradnl"/>
        </w:rPr>
        <w:t xml:space="preserve">22.1). El 56% fueron mujeres y el 44% hombres.  </w:t>
      </w:r>
    </w:p>
    <w:p w14:paraId="57686E2A" w14:textId="77777777" w:rsidR="008E0330" w:rsidRDefault="008E0330" w:rsidP="00A94036">
      <w:pPr>
        <w:ind w:firstLine="708"/>
        <w:jc w:val="both"/>
        <w:rPr>
          <w:rFonts w:ascii="Arial" w:hAnsi="Arial" w:cs="Arial"/>
          <w:color w:val="000000"/>
          <w:lang w:eastAsia="es-ES_tradnl"/>
        </w:rPr>
      </w:pPr>
    </w:p>
    <w:p w14:paraId="50C4B31E" w14:textId="0A3CD0D1" w:rsidR="00A43AAE" w:rsidRPr="00532BB5" w:rsidRDefault="00035740" w:rsidP="00A94036">
      <w:pPr>
        <w:ind w:firstLine="708"/>
        <w:jc w:val="both"/>
        <w:rPr>
          <w:rFonts w:ascii="Arial" w:hAnsi="Arial" w:cs="Arial"/>
          <w:color w:val="000000"/>
          <w:lang w:eastAsia="es-ES_tradnl"/>
        </w:rPr>
      </w:pPr>
      <w:r w:rsidRPr="00532BB5">
        <w:rPr>
          <w:rFonts w:ascii="Arial" w:hAnsi="Arial" w:cs="Arial"/>
          <w:color w:val="000000"/>
          <w:lang w:eastAsia="es-ES_tradnl"/>
        </w:rPr>
        <w:t>Ejecutando</w:t>
      </w:r>
      <w:r w:rsidR="00A43AAE" w:rsidRPr="00532BB5">
        <w:rPr>
          <w:rFonts w:ascii="Arial" w:hAnsi="Arial" w:cs="Arial"/>
          <w:color w:val="000000"/>
          <w:lang w:eastAsia="es-ES_tradnl"/>
        </w:rPr>
        <w:t xml:space="preserve"> un análisis factorial se encontró que el instrumento estaba configurado por tres factores, cada </w:t>
      </w:r>
      <w:r w:rsidR="00F56082" w:rsidRPr="00532BB5">
        <w:rPr>
          <w:rFonts w:ascii="Arial" w:hAnsi="Arial" w:cs="Arial"/>
          <w:color w:val="000000"/>
          <w:lang w:eastAsia="es-ES_tradnl"/>
        </w:rPr>
        <w:t>uno representando una escala: l</w:t>
      </w:r>
      <w:r w:rsidR="00A43AAE" w:rsidRPr="00532BB5">
        <w:rPr>
          <w:rFonts w:ascii="Arial" w:hAnsi="Arial" w:cs="Arial"/>
          <w:color w:val="000000"/>
          <w:lang w:eastAsia="es-ES_tradnl"/>
        </w:rPr>
        <w:t>a escala de conciencia de consecuencias, con</w:t>
      </w:r>
      <w:r w:rsidR="00EB4520">
        <w:rPr>
          <w:rFonts w:ascii="Arial" w:hAnsi="Arial" w:cs="Arial"/>
          <w:color w:val="000000"/>
          <w:lang w:eastAsia="es-ES_tradnl"/>
        </w:rPr>
        <w:t xml:space="preserve"> seis</w:t>
      </w:r>
      <w:r w:rsidR="00A43AAE" w:rsidRPr="00532BB5">
        <w:rPr>
          <w:rFonts w:ascii="Arial" w:hAnsi="Arial" w:cs="Arial"/>
          <w:color w:val="000000"/>
          <w:lang w:eastAsia="es-ES_tradnl"/>
        </w:rPr>
        <w:t xml:space="preserve"> reactivos sobre conocimientos con respecto a los beneficios del reciclaje</w:t>
      </w:r>
      <w:r w:rsidR="00C01D23">
        <w:rPr>
          <w:rFonts w:ascii="Arial" w:hAnsi="Arial" w:cs="Arial"/>
          <w:color w:val="000000"/>
          <w:lang w:eastAsia="es-ES_tradnl"/>
        </w:rPr>
        <w:t xml:space="preserve"> (p. ej. “el reciclaje ayuda a disminuir el cambio climático” o “el reciclaje ayuda a mejorar la salud pública”</w:t>
      </w:r>
      <w:r w:rsidR="00DF4685">
        <w:rPr>
          <w:rFonts w:ascii="Arial" w:hAnsi="Arial" w:cs="Arial"/>
          <w:color w:val="000000"/>
          <w:lang w:eastAsia="es-ES_tradnl"/>
        </w:rPr>
        <w:t>)</w:t>
      </w:r>
      <w:r w:rsidR="00F56082" w:rsidRPr="00532BB5">
        <w:rPr>
          <w:rFonts w:ascii="Arial" w:hAnsi="Arial" w:cs="Arial"/>
          <w:color w:val="000000"/>
          <w:lang w:eastAsia="es-ES_tradnl"/>
        </w:rPr>
        <w:t>;</w:t>
      </w:r>
      <w:r w:rsidR="00A43AAE" w:rsidRPr="00532BB5">
        <w:rPr>
          <w:rFonts w:ascii="Arial" w:hAnsi="Arial" w:cs="Arial"/>
          <w:color w:val="000000"/>
          <w:lang w:eastAsia="es-ES_tradnl"/>
        </w:rPr>
        <w:t xml:space="preserve"> la escala de norma social, que incluye </w:t>
      </w:r>
      <w:r w:rsidR="00DF4685">
        <w:rPr>
          <w:rFonts w:ascii="Arial" w:hAnsi="Arial" w:cs="Arial"/>
          <w:color w:val="000000"/>
          <w:lang w:eastAsia="es-ES_tradnl"/>
        </w:rPr>
        <w:t xml:space="preserve">cuatro </w:t>
      </w:r>
      <w:r w:rsidR="00A43AAE" w:rsidRPr="00532BB5">
        <w:rPr>
          <w:rFonts w:ascii="Arial" w:hAnsi="Arial" w:cs="Arial"/>
          <w:color w:val="000000"/>
          <w:lang w:eastAsia="es-ES_tradnl"/>
        </w:rPr>
        <w:t>preguntas acerca de las expectativas por reciclar entre compañeros y autoridades de la universidad</w:t>
      </w:r>
      <w:r w:rsidR="00C01D23">
        <w:rPr>
          <w:rFonts w:ascii="Arial" w:hAnsi="Arial" w:cs="Arial"/>
          <w:color w:val="000000"/>
          <w:lang w:eastAsia="es-ES_tradnl"/>
        </w:rPr>
        <w:t xml:space="preserve"> (p. ej. “</w:t>
      </w:r>
      <w:r w:rsidR="00900703">
        <w:rPr>
          <w:rFonts w:ascii="Arial" w:hAnsi="Arial" w:cs="Arial"/>
          <w:color w:val="000000"/>
          <w:lang w:eastAsia="es-ES_tradnl"/>
        </w:rPr>
        <w:t>yo espero que mis compañeros reciclen” o “las autoridades de la universidad esperan que yo recicle”)</w:t>
      </w:r>
      <w:r w:rsidR="00F56082" w:rsidRPr="00532BB5">
        <w:rPr>
          <w:rFonts w:ascii="Arial" w:hAnsi="Arial" w:cs="Arial"/>
          <w:color w:val="000000"/>
          <w:lang w:eastAsia="es-ES_tradnl"/>
        </w:rPr>
        <w:t>; y</w:t>
      </w:r>
      <w:r w:rsidR="00A43AAE" w:rsidRPr="00532BB5">
        <w:rPr>
          <w:rFonts w:ascii="Arial" w:hAnsi="Arial" w:cs="Arial"/>
          <w:color w:val="000000"/>
          <w:lang w:eastAsia="es-ES_tradnl"/>
        </w:rPr>
        <w:t xml:space="preserve"> la escala de norma personal, con </w:t>
      </w:r>
      <w:r w:rsidR="00DF4685">
        <w:rPr>
          <w:rFonts w:ascii="Arial" w:hAnsi="Arial" w:cs="Arial"/>
          <w:color w:val="000000"/>
          <w:lang w:eastAsia="es-ES_tradnl"/>
        </w:rPr>
        <w:t xml:space="preserve">diez preguntas, de las cuales cinco </w:t>
      </w:r>
      <w:r w:rsidR="009E2300">
        <w:rPr>
          <w:rFonts w:ascii="Arial" w:hAnsi="Arial" w:cs="Arial"/>
          <w:color w:val="000000"/>
          <w:lang w:eastAsia="es-ES_tradnl"/>
        </w:rPr>
        <w:t>son</w:t>
      </w:r>
      <w:r w:rsidR="00A43AAE" w:rsidRPr="00532BB5">
        <w:rPr>
          <w:rFonts w:ascii="Arial" w:hAnsi="Arial" w:cs="Arial"/>
          <w:color w:val="000000"/>
          <w:lang w:eastAsia="es-ES_tradnl"/>
        </w:rPr>
        <w:t xml:space="preserve"> sobre el sentimiento de molestia por tirar a</w:t>
      </w:r>
      <w:r w:rsidR="00F56082" w:rsidRPr="00532BB5">
        <w:rPr>
          <w:rFonts w:ascii="Arial" w:hAnsi="Arial" w:cs="Arial"/>
          <w:color w:val="000000"/>
          <w:lang w:eastAsia="es-ES_tradnl"/>
        </w:rPr>
        <w:t xml:space="preserve"> la basura residuos reciclables</w:t>
      </w:r>
      <w:r w:rsidR="00686519">
        <w:rPr>
          <w:rFonts w:ascii="Arial" w:hAnsi="Arial" w:cs="Arial"/>
          <w:color w:val="000000"/>
          <w:lang w:eastAsia="es-ES_tradnl"/>
        </w:rPr>
        <w:t xml:space="preserve"> (p. ej. “¿cuánto te molesta tirar el plástico PET a la basura?”</w:t>
      </w:r>
      <w:r w:rsidR="00A43AAE" w:rsidRPr="00532BB5">
        <w:rPr>
          <w:rFonts w:ascii="Arial" w:hAnsi="Arial" w:cs="Arial"/>
          <w:i/>
          <w:iCs/>
          <w:color w:val="000000"/>
          <w:lang w:eastAsia="es-ES_tradnl"/>
        </w:rPr>
        <w:t xml:space="preserve"> </w:t>
      </w:r>
      <w:r w:rsidR="009E2300">
        <w:rPr>
          <w:rFonts w:ascii="Arial" w:hAnsi="Arial" w:cs="Arial"/>
          <w:color w:val="000000"/>
          <w:lang w:eastAsia="es-ES_tradnl"/>
        </w:rPr>
        <w:t>y cinco</w:t>
      </w:r>
      <w:r w:rsidR="00A43AAE" w:rsidRPr="00532BB5">
        <w:rPr>
          <w:rFonts w:ascii="Arial" w:hAnsi="Arial" w:cs="Arial"/>
          <w:color w:val="000000"/>
          <w:lang w:eastAsia="es-ES_tradnl"/>
        </w:rPr>
        <w:t xml:space="preserve"> sobre el sentimiento de obligación personal por reciclar esos materiales</w:t>
      </w:r>
      <w:r w:rsidR="00600C24">
        <w:rPr>
          <w:rFonts w:ascii="Arial" w:hAnsi="Arial" w:cs="Arial"/>
          <w:color w:val="000000"/>
          <w:lang w:eastAsia="es-ES_tradnl"/>
        </w:rPr>
        <w:t xml:space="preserve"> </w:t>
      </w:r>
      <w:r w:rsidR="00686519">
        <w:rPr>
          <w:rFonts w:ascii="Arial" w:hAnsi="Arial" w:cs="Arial"/>
          <w:color w:val="000000"/>
          <w:lang w:eastAsia="es-ES_tradnl"/>
        </w:rPr>
        <w:t>(p. ej.</w:t>
      </w:r>
      <w:r w:rsidR="00600C24">
        <w:rPr>
          <w:rFonts w:ascii="Arial" w:hAnsi="Arial" w:cs="Arial"/>
          <w:color w:val="000000"/>
          <w:lang w:eastAsia="es-ES_tradnl"/>
        </w:rPr>
        <w:t xml:space="preserve"> “¿cuánta obligación personal sientes de reciclar el papel?”)</w:t>
      </w:r>
      <w:r w:rsidR="00A43AAE" w:rsidRPr="00532BB5">
        <w:rPr>
          <w:rFonts w:ascii="Arial" w:hAnsi="Arial" w:cs="Arial"/>
          <w:color w:val="000000"/>
          <w:lang w:eastAsia="es-ES_tradnl"/>
        </w:rPr>
        <w:t>.</w:t>
      </w:r>
      <w:r w:rsidR="007C76CA">
        <w:rPr>
          <w:rFonts w:ascii="Arial" w:hAnsi="Arial" w:cs="Arial"/>
          <w:color w:val="000000"/>
          <w:lang w:eastAsia="es-ES_tradnl"/>
        </w:rPr>
        <w:t xml:space="preserve"> Todos los reactivos del instrumento se colocaron con un formato de respuesta tipo Likert de cinco puntos (1= muy en desacuerdo a 5= muy de acuerdo o 1= nada a 5= muchísimo). </w:t>
      </w:r>
    </w:p>
    <w:p w14:paraId="54EAFDEA" w14:textId="77777777" w:rsidR="008C1F7C" w:rsidRDefault="008C1F7C" w:rsidP="00A94036">
      <w:pPr>
        <w:ind w:firstLine="708"/>
        <w:jc w:val="both"/>
        <w:rPr>
          <w:rFonts w:ascii="Arial" w:hAnsi="Arial" w:cs="Arial"/>
          <w:color w:val="000000"/>
          <w:lang w:eastAsia="es-ES_tradnl"/>
        </w:rPr>
      </w:pPr>
    </w:p>
    <w:p w14:paraId="338522AD" w14:textId="6824DD2D" w:rsidR="00A43AAE" w:rsidRPr="00532BB5" w:rsidRDefault="00A43AAE" w:rsidP="00A94036">
      <w:pPr>
        <w:ind w:firstLine="708"/>
        <w:jc w:val="both"/>
        <w:rPr>
          <w:rFonts w:ascii="Arial" w:hAnsi="Arial" w:cs="Arial"/>
          <w:color w:val="000000"/>
          <w:lang w:eastAsia="es-ES_tradnl"/>
        </w:rPr>
      </w:pPr>
      <w:r w:rsidRPr="00532BB5">
        <w:rPr>
          <w:rFonts w:ascii="Arial" w:hAnsi="Arial" w:cs="Arial"/>
          <w:color w:val="000000"/>
          <w:lang w:eastAsia="es-ES_tradnl"/>
        </w:rPr>
        <w:t xml:space="preserve">En la tabla </w:t>
      </w:r>
      <w:r w:rsidR="00266452">
        <w:rPr>
          <w:rFonts w:ascii="Arial" w:hAnsi="Arial" w:cs="Arial"/>
          <w:color w:val="000000"/>
          <w:lang w:eastAsia="es-ES_tradnl"/>
        </w:rPr>
        <w:t xml:space="preserve">1 </w:t>
      </w:r>
      <w:r w:rsidRPr="00532BB5">
        <w:rPr>
          <w:rFonts w:ascii="Arial" w:hAnsi="Arial" w:cs="Arial"/>
          <w:color w:val="000000"/>
          <w:lang w:eastAsia="es-ES_tradnl"/>
        </w:rPr>
        <w:t>se muestran los datos del análisis factorial y las pruebas de confiabilidad a partir de los resultados del piloteo. </w:t>
      </w:r>
    </w:p>
    <w:p w14:paraId="1E7A8AF7" w14:textId="01C50199" w:rsidR="00BA0745"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 </w:t>
      </w:r>
    </w:p>
    <w:p w14:paraId="55F50997" w14:textId="77777777" w:rsidR="00A43AAE"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Tabla 1</w:t>
      </w:r>
    </w:p>
    <w:p w14:paraId="347DCC49" w14:textId="77777777" w:rsidR="00A43AAE" w:rsidRPr="00532BB5" w:rsidRDefault="00A43AAE" w:rsidP="00A94036">
      <w:pPr>
        <w:jc w:val="both"/>
        <w:rPr>
          <w:rFonts w:ascii="Arial" w:hAnsi="Arial" w:cs="Arial"/>
          <w:color w:val="000000"/>
          <w:lang w:eastAsia="es-ES_tradnl"/>
        </w:rPr>
      </w:pPr>
      <w:r w:rsidRPr="00532BB5">
        <w:rPr>
          <w:rFonts w:ascii="Arial" w:hAnsi="Arial" w:cs="Arial"/>
          <w:i/>
          <w:iCs/>
          <w:color w:val="000000"/>
          <w:lang w:eastAsia="es-ES_tradnl"/>
        </w:rPr>
        <w:t xml:space="preserve">Análisis factorial y Alfa de </w:t>
      </w:r>
      <w:proofErr w:type="spellStart"/>
      <w:r w:rsidRPr="00532BB5">
        <w:rPr>
          <w:rFonts w:ascii="Arial" w:hAnsi="Arial" w:cs="Arial"/>
          <w:i/>
          <w:iCs/>
          <w:color w:val="000000"/>
          <w:lang w:eastAsia="es-ES_tradnl"/>
        </w:rPr>
        <w:t>Cronbach</w:t>
      </w:r>
      <w:proofErr w:type="spellEnd"/>
      <w:r w:rsidRPr="00532BB5">
        <w:rPr>
          <w:rFonts w:ascii="Arial" w:hAnsi="Arial" w:cs="Arial"/>
          <w:i/>
          <w:iCs/>
          <w:color w:val="000000"/>
          <w:lang w:eastAsia="es-ES_tradnl"/>
        </w:rPr>
        <w:t xml:space="preserve"> del instrumento en el piloteo</w:t>
      </w:r>
    </w:p>
    <w:tbl>
      <w:tblPr>
        <w:tblStyle w:val="Tablaconcuadrcula"/>
        <w:tblW w:w="93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8"/>
        <w:gridCol w:w="1234"/>
        <w:gridCol w:w="2162"/>
        <w:gridCol w:w="1542"/>
        <w:gridCol w:w="1852"/>
      </w:tblGrid>
      <w:tr w:rsidR="005B6016" w:rsidRPr="00532BB5" w14:paraId="7F47B4D7" w14:textId="77777777" w:rsidTr="008465BC">
        <w:trPr>
          <w:trHeight w:val="1098"/>
        </w:trPr>
        <w:tc>
          <w:tcPr>
            <w:tcW w:w="2588" w:type="dxa"/>
            <w:tcBorders>
              <w:bottom w:val="single" w:sz="4" w:space="0" w:color="auto"/>
            </w:tcBorders>
          </w:tcPr>
          <w:p w14:paraId="19294715" w14:textId="77777777" w:rsidR="005B6016" w:rsidRPr="00532BB5" w:rsidRDefault="005B6016" w:rsidP="00A94036">
            <w:pPr>
              <w:jc w:val="center"/>
              <w:rPr>
                <w:rFonts w:ascii="Arial" w:hAnsi="Arial" w:cs="Arial"/>
              </w:rPr>
            </w:pPr>
            <w:r w:rsidRPr="00532BB5">
              <w:rPr>
                <w:rFonts w:ascii="Arial" w:hAnsi="Arial" w:cs="Arial"/>
              </w:rPr>
              <w:t>Factor</w:t>
            </w:r>
          </w:p>
        </w:tc>
        <w:tc>
          <w:tcPr>
            <w:tcW w:w="1234" w:type="dxa"/>
            <w:tcBorders>
              <w:bottom w:val="single" w:sz="4" w:space="0" w:color="auto"/>
            </w:tcBorders>
          </w:tcPr>
          <w:p w14:paraId="5F98ADB2" w14:textId="77777777" w:rsidR="005B6016" w:rsidRPr="00532BB5" w:rsidRDefault="005B6016" w:rsidP="00A94036">
            <w:pPr>
              <w:jc w:val="center"/>
              <w:rPr>
                <w:rFonts w:ascii="Arial" w:hAnsi="Arial" w:cs="Arial"/>
              </w:rPr>
            </w:pPr>
            <w:r w:rsidRPr="00532BB5">
              <w:rPr>
                <w:rFonts w:ascii="Arial" w:hAnsi="Arial" w:cs="Arial"/>
              </w:rPr>
              <w:t xml:space="preserve">Valor </w:t>
            </w:r>
            <w:proofErr w:type="spellStart"/>
            <w:r w:rsidRPr="00532BB5">
              <w:rPr>
                <w:rFonts w:ascii="Arial" w:hAnsi="Arial" w:cs="Arial"/>
              </w:rPr>
              <w:t>eigen</w:t>
            </w:r>
            <w:proofErr w:type="spellEnd"/>
          </w:p>
        </w:tc>
        <w:tc>
          <w:tcPr>
            <w:tcW w:w="2162" w:type="dxa"/>
            <w:tcBorders>
              <w:bottom w:val="single" w:sz="4" w:space="0" w:color="auto"/>
            </w:tcBorders>
          </w:tcPr>
          <w:p w14:paraId="7F4C60EC" w14:textId="77777777" w:rsidR="005B6016" w:rsidRPr="00532BB5" w:rsidRDefault="005B6016" w:rsidP="00A94036">
            <w:pPr>
              <w:jc w:val="center"/>
              <w:rPr>
                <w:rFonts w:ascii="Arial" w:hAnsi="Arial" w:cs="Arial"/>
              </w:rPr>
            </w:pPr>
            <w:r w:rsidRPr="00532BB5">
              <w:rPr>
                <w:rFonts w:ascii="Arial" w:hAnsi="Arial" w:cs="Arial"/>
              </w:rPr>
              <w:t>Varianza explicada</w:t>
            </w:r>
          </w:p>
        </w:tc>
        <w:tc>
          <w:tcPr>
            <w:tcW w:w="1542" w:type="dxa"/>
            <w:tcBorders>
              <w:bottom w:val="single" w:sz="4" w:space="0" w:color="auto"/>
            </w:tcBorders>
          </w:tcPr>
          <w:p w14:paraId="302F4714" w14:textId="77777777" w:rsidR="005B6016" w:rsidRPr="00532BB5" w:rsidRDefault="005B6016" w:rsidP="00A94036">
            <w:pPr>
              <w:jc w:val="center"/>
              <w:rPr>
                <w:rFonts w:ascii="Arial" w:hAnsi="Arial" w:cs="Arial"/>
              </w:rPr>
            </w:pPr>
            <w:r w:rsidRPr="00532BB5">
              <w:rPr>
                <w:rFonts w:ascii="Arial" w:hAnsi="Arial" w:cs="Arial"/>
              </w:rPr>
              <w:t>Varianza acumulada</w:t>
            </w:r>
          </w:p>
        </w:tc>
        <w:tc>
          <w:tcPr>
            <w:tcW w:w="1852" w:type="dxa"/>
            <w:tcBorders>
              <w:bottom w:val="single" w:sz="4" w:space="0" w:color="auto"/>
            </w:tcBorders>
          </w:tcPr>
          <w:p w14:paraId="20C6A229" w14:textId="77777777" w:rsidR="005B6016" w:rsidRPr="00532BB5" w:rsidRDefault="005B6016" w:rsidP="00A94036">
            <w:pPr>
              <w:jc w:val="center"/>
              <w:rPr>
                <w:rFonts w:ascii="Arial" w:hAnsi="Arial" w:cs="Arial"/>
              </w:rPr>
            </w:pPr>
            <w:r w:rsidRPr="00532BB5">
              <w:rPr>
                <w:rFonts w:ascii="Arial" w:hAnsi="Arial" w:cs="Arial"/>
              </w:rPr>
              <w:t xml:space="preserve">Alfa de </w:t>
            </w:r>
            <w:proofErr w:type="spellStart"/>
            <w:r w:rsidRPr="00532BB5">
              <w:rPr>
                <w:rFonts w:ascii="Arial" w:hAnsi="Arial" w:cs="Arial"/>
              </w:rPr>
              <w:t>Cronbach</w:t>
            </w:r>
            <w:proofErr w:type="spellEnd"/>
          </w:p>
        </w:tc>
      </w:tr>
      <w:tr w:rsidR="005B6016" w:rsidRPr="00532BB5" w14:paraId="21B59032" w14:textId="77777777" w:rsidTr="008465BC">
        <w:trPr>
          <w:trHeight w:val="532"/>
        </w:trPr>
        <w:tc>
          <w:tcPr>
            <w:tcW w:w="2588" w:type="dxa"/>
            <w:tcBorders>
              <w:top w:val="single" w:sz="4" w:space="0" w:color="auto"/>
            </w:tcBorders>
          </w:tcPr>
          <w:p w14:paraId="7CF193EA" w14:textId="77777777" w:rsidR="005B6016" w:rsidRPr="00532BB5" w:rsidRDefault="005B6016" w:rsidP="00A94036">
            <w:pPr>
              <w:rPr>
                <w:rFonts w:ascii="Arial" w:hAnsi="Arial" w:cs="Arial"/>
              </w:rPr>
            </w:pPr>
            <w:r w:rsidRPr="00532BB5">
              <w:rPr>
                <w:rFonts w:ascii="Arial" w:hAnsi="Arial" w:cs="Arial"/>
              </w:rPr>
              <w:t>1. Norma personal</w:t>
            </w:r>
          </w:p>
        </w:tc>
        <w:tc>
          <w:tcPr>
            <w:tcW w:w="1234" w:type="dxa"/>
            <w:tcBorders>
              <w:top w:val="single" w:sz="4" w:space="0" w:color="auto"/>
            </w:tcBorders>
          </w:tcPr>
          <w:p w14:paraId="5AC462EE" w14:textId="77777777" w:rsidR="005B6016" w:rsidRPr="00532BB5" w:rsidRDefault="005B6016" w:rsidP="00A94036">
            <w:pPr>
              <w:jc w:val="center"/>
              <w:rPr>
                <w:rFonts w:ascii="Arial" w:hAnsi="Arial" w:cs="Arial"/>
              </w:rPr>
            </w:pPr>
            <w:r w:rsidRPr="00532BB5">
              <w:rPr>
                <w:rFonts w:ascii="Arial" w:hAnsi="Arial" w:cs="Arial"/>
              </w:rPr>
              <w:t>4.54</w:t>
            </w:r>
          </w:p>
        </w:tc>
        <w:tc>
          <w:tcPr>
            <w:tcW w:w="2162" w:type="dxa"/>
            <w:tcBorders>
              <w:top w:val="single" w:sz="4" w:space="0" w:color="auto"/>
            </w:tcBorders>
          </w:tcPr>
          <w:p w14:paraId="3B142618" w14:textId="77777777" w:rsidR="005B6016" w:rsidRPr="00532BB5" w:rsidRDefault="005B6016" w:rsidP="00A94036">
            <w:pPr>
              <w:jc w:val="center"/>
              <w:rPr>
                <w:rFonts w:ascii="Arial" w:hAnsi="Arial" w:cs="Arial"/>
              </w:rPr>
            </w:pPr>
            <w:r w:rsidRPr="00532BB5">
              <w:rPr>
                <w:rFonts w:ascii="Arial" w:hAnsi="Arial" w:cs="Arial"/>
              </w:rPr>
              <w:t>22.71%</w:t>
            </w:r>
          </w:p>
        </w:tc>
        <w:tc>
          <w:tcPr>
            <w:tcW w:w="1542" w:type="dxa"/>
            <w:tcBorders>
              <w:top w:val="single" w:sz="4" w:space="0" w:color="auto"/>
            </w:tcBorders>
          </w:tcPr>
          <w:p w14:paraId="0F063433" w14:textId="77777777" w:rsidR="005B6016" w:rsidRPr="00532BB5" w:rsidRDefault="005B6016" w:rsidP="00A94036">
            <w:pPr>
              <w:jc w:val="center"/>
              <w:rPr>
                <w:rFonts w:ascii="Arial" w:hAnsi="Arial" w:cs="Arial"/>
              </w:rPr>
            </w:pPr>
            <w:r w:rsidRPr="00532BB5">
              <w:rPr>
                <w:rFonts w:ascii="Arial" w:hAnsi="Arial" w:cs="Arial"/>
              </w:rPr>
              <w:t>22.71%</w:t>
            </w:r>
          </w:p>
        </w:tc>
        <w:tc>
          <w:tcPr>
            <w:tcW w:w="1852" w:type="dxa"/>
            <w:tcBorders>
              <w:top w:val="single" w:sz="4" w:space="0" w:color="auto"/>
            </w:tcBorders>
          </w:tcPr>
          <w:p w14:paraId="7C0D34F5" w14:textId="77777777" w:rsidR="005B6016" w:rsidRPr="00532BB5" w:rsidRDefault="005B6016" w:rsidP="00A94036">
            <w:pPr>
              <w:jc w:val="center"/>
              <w:rPr>
                <w:rFonts w:ascii="Arial" w:hAnsi="Arial" w:cs="Arial"/>
              </w:rPr>
            </w:pPr>
            <w:r w:rsidRPr="00532BB5">
              <w:rPr>
                <w:rFonts w:ascii="Arial" w:hAnsi="Arial" w:cs="Arial"/>
              </w:rPr>
              <w:t>.90</w:t>
            </w:r>
          </w:p>
        </w:tc>
      </w:tr>
      <w:tr w:rsidR="005B6016" w:rsidRPr="00532BB5" w14:paraId="3648E9B8" w14:textId="77777777" w:rsidTr="008465BC">
        <w:trPr>
          <w:trHeight w:val="1098"/>
        </w:trPr>
        <w:tc>
          <w:tcPr>
            <w:tcW w:w="2588" w:type="dxa"/>
          </w:tcPr>
          <w:p w14:paraId="4D6984F0" w14:textId="77777777" w:rsidR="005B6016" w:rsidRPr="00532BB5" w:rsidRDefault="005B6016" w:rsidP="00A94036">
            <w:pPr>
              <w:rPr>
                <w:rFonts w:ascii="Arial" w:hAnsi="Arial" w:cs="Arial"/>
              </w:rPr>
            </w:pPr>
            <w:r w:rsidRPr="00532BB5">
              <w:rPr>
                <w:rFonts w:ascii="Arial" w:hAnsi="Arial" w:cs="Arial"/>
              </w:rPr>
              <w:t>2. Conciencia de consecuencias</w:t>
            </w:r>
          </w:p>
        </w:tc>
        <w:tc>
          <w:tcPr>
            <w:tcW w:w="1234" w:type="dxa"/>
          </w:tcPr>
          <w:p w14:paraId="641DBC8F" w14:textId="77777777" w:rsidR="005B6016" w:rsidRPr="00532BB5" w:rsidRDefault="005B6016" w:rsidP="00A94036">
            <w:pPr>
              <w:jc w:val="center"/>
              <w:rPr>
                <w:rFonts w:ascii="Arial" w:hAnsi="Arial" w:cs="Arial"/>
              </w:rPr>
            </w:pPr>
            <w:r w:rsidRPr="00532BB5">
              <w:rPr>
                <w:rFonts w:ascii="Arial" w:hAnsi="Arial" w:cs="Arial"/>
              </w:rPr>
              <w:t>3.48</w:t>
            </w:r>
          </w:p>
        </w:tc>
        <w:tc>
          <w:tcPr>
            <w:tcW w:w="2162" w:type="dxa"/>
          </w:tcPr>
          <w:p w14:paraId="63D79DD4" w14:textId="77777777" w:rsidR="005B6016" w:rsidRPr="00532BB5" w:rsidRDefault="005B6016" w:rsidP="00A94036">
            <w:pPr>
              <w:jc w:val="center"/>
              <w:rPr>
                <w:rFonts w:ascii="Arial" w:hAnsi="Arial" w:cs="Arial"/>
              </w:rPr>
            </w:pPr>
            <w:r w:rsidRPr="00532BB5">
              <w:rPr>
                <w:rFonts w:ascii="Arial" w:hAnsi="Arial" w:cs="Arial"/>
              </w:rPr>
              <w:t>17.42%</w:t>
            </w:r>
          </w:p>
        </w:tc>
        <w:tc>
          <w:tcPr>
            <w:tcW w:w="1542" w:type="dxa"/>
          </w:tcPr>
          <w:p w14:paraId="61CEACB9" w14:textId="77777777" w:rsidR="005B6016" w:rsidRPr="00532BB5" w:rsidRDefault="005B6016" w:rsidP="00A94036">
            <w:pPr>
              <w:jc w:val="center"/>
              <w:rPr>
                <w:rFonts w:ascii="Arial" w:hAnsi="Arial" w:cs="Arial"/>
              </w:rPr>
            </w:pPr>
            <w:r w:rsidRPr="00532BB5">
              <w:rPr>
                <w:rFonts w:ascii="Arial" w:hAnsi="Arial" w:cs="Arial"/>
              </w:rPr>
              <w:t>40.13%</w:t>
            </w:r>
          </w:p>
        </w:tc>
        <w:tc>
          <w:tcPr>
            <w:tcW w:w="1852" w:type="dxa"/>
          </w:tcPr>
          <w:p w14:paraId="50C525D3" w14:textId="77777777" w:rsidR="005B6016" w:rsidRPr="00532BB5" w:rsidRDefault="005B6016" w:rsidP="00A94036">
            <w:pPr>
              <w:jc w:val="center"/>
              <w:rPr>
                <w:rFonts w:ascii="Arial" w:hAnsi="Arial" w:cs="Arial"/>
              </w:rPr>
            </w:pPr>
            <w:r w:rsidRPr="00532BB5">
              <w:rPr>
                <w:rFonts w:ascii="Arial" w:hAnsi="Arial" w:cs="Arial"/>
              </w:rPr>
              <w:t>.81</w:t>
            </w:r>
          </w:p>
        </w:tc>
      </w:tr>
      <w:tr w:rsidR="005B6016" w:rsidRPr="00532BB5" w14:paraId="5E5C7603" w14:textId="77777777" w:rsidTr="008465BC">
        <w:trPr>
          <w:trHeight w:val="549"/>
        </w:trPr>
        <w:tc>
          <w:tcPr>
            <w:tcW w:w="2588" w:type="dxa"/>
          </w:tcPr>
          <w:p w14:paraId="263AF80F" w14:textId="77777777" w:rsidR="005B6016" w:rsidRPr="00532BB5" w:rsidRDefault="005B6016" w:rsidP="00A94036">
            <w:pPr>
              <w:rPr>
                <w:rFonts w:ascii="Arial" w:hAnsi="Arial" w:cs="Arial"/>
              </w:rPr>
            </w:pPr>
            <w:r w:rsidRPr="00532BB5">
              <w:rPr>
                <w:rFonts w:ascii="Arial" w:hAnsi="Arial" w:cs="Arial"/>
              </w:rPr>
              <w:t>3. Norma social</w:t>
            </w:r>
          </w:p>
        </w:tc>
        <w:tc>
          <w:tcPr>
            <w:tcW w:w="1234" w:type="dxa"/>
          </w:tcPr>
          <w:p w14:paraId="3F4B247A" w14:textId="77777777" w:rsidR="005B6016" w:rsidRPr="00532BB5" w:rsidRDefault="005B6016" w:rsidP="00A94036">
            <w:pPr>
              <w:jc w:val="center"/>
              <w:rPr>
                <w:rFonts w:ascii="Arial" w:hAnsi="Arial" w:cs="Arial"/>
              </w:rPr>
            </w:pPr>
            <w:r w:rsidRPr="00532BB5">
              <w:rPr>
                <w:rFonts w:ascii="Arial" w:hAnsi="Arial" w:cs="Arial"/>
              </w:rPr>
              <w:t>2.03</w:t>
            </w:r>
          </w:p>
        </w:tc>
        <w:tc>
          <w:tcPr>
            <w:tcW w:w="2162" w:type="dxa"/>
          </w:tcPr>
          <w:p w14:paraId="40C32BAB" w14:textId="77777777" w:rsidR="005B6016" w:rsidRPr="00532BB5" w:rsidRDefault="005B6016" w:rsidP="00A94036">
            <w:pPr>
              <w:jc w:val="center"/>
              <w:rPr>
                <w:rFonts w:ascii="Arial" w:hAnsi="Arial" w:cs="Arial"/>
              </w:rPr>
            </w:pPr>
            <w:r w:rsidRPr="00532BB5">
              <w:rPr>
                <w:rFonts w:ascii="Arial" w:hAnsi="Arial" w:cs="Arial"/>
              </w:rPr>
              <w:t>10.15%</w:t>
            </w:r>
          </w:p>
        </w:tc>
        <w:tc>
          <w:tcPr>
            <w:tcW w:w="1542" w:type="dxa"/>
          </w:tcPr>
          <w:p w14:paraId="1A6F26AD" w14:textId="77777777" w:rsidR="005B6016" w:rsidRPr="00532BB5" w:rsidRDefault="005B6016" w:rsidP="00A94036">
            <w:pPr>
              <w:jc w:val="center"/>
              <w:rPr>
                <w:rFonts w:ascii="Arial" w:hAnsi="Arial" w:cs="Arial"/>
              </w:rPr>
            </w:pPr>
            <w:r w:rsidRPr="00532BB5">
              <w:rPr>
                <w:rFonts w:ascii="Arial" w:hAnsi="Arial" w:cs="Arial"/>
              </w:rPr>
              <w:t>50.28%</w:t>
            </w:r>
          </w:p>
        </w:tc>
        <w:tc>
          <w:tcPr>
            <w:tcW w:w="1852" w:type="dxa"/>
          </w:tcPr>
          <w:p w14:paraId="352B6F60" w14:textId="77777777" w:rsidR="005B6016" w:rsidRPr="00532BB5" w:rsidRDefault="005B6016" w:rsidP="00A94036">
            <w:pPr>
              <w:jc w:val="center"/>
              <w:rPr>
                <w:rFonts w:ascii="Arial" w:hAnsi="Arial" w:cs="Arial"/>
              </w:rPr>
            </w:pPr>
            <w:r w:rsidRPr="00532BB5">
              <w:rPr>
                <w:rFonts w:ascii="Arial" w:hAnsi="Arial" w:cs="Arial"/>
              </w:rPr>
              <w:t>.77</w:t>
            </w:r>
          </w:p>
        </w:tc>
      </w:tr>
    </w:tbl>
    <w:p w14:paraId="0A074D67" w14:textId="77777777" w:rsidR="005B6016" w:rsidRPr="00532BB5" w:rsidRDefault="005B6016" w:rsidP="00A94036">
      <w:pPr>
        <w:rPr>
          <w:rFonts w:ascii="Arial" w:eastAsia="Times New Roman" w:hAnsi="Arial" w:cs="Arial"/>
          <w:color w:val="000000"/>
          <w:lang w:eastAsia="es-ES_tradnl"/>
        </w:rPr>
      </w:pPr>
    </w:p>
    <w:p w14:paraId="39047CA5" w14:textId="4FF1993B" w:rsidR="00A43AAE" w:rsidRPr="00532BB5" w:rsidRDefault="00A43AAE" w:rsidP="00A94036">
      <w:pPr>
        <w:ind w:firstLine="720"/>
        <w:jc w:val="both"/>
        <w:rPr>
          <w:rFonts w:ascii="Arial" w:hAnsi="Arial" w:cs="Arial"/>
          <w:color w:val="000000"/>
          <w:lang w:eastAsia="es-ES_tradnl"/>
        </w:rPr>
      </w:pPr>
      <w:r w:rsidRPr="00532BB5">
        <w:rPr>
          <w:rFonts w:ascii="Arial" w:hAnsi="Arial" w:cs="Arial"/>
          <w:color w:val="000000"/>
          <w:lang w:eastAsia="es-ES_tradnl"/>
        </w:rPr>
        <w:lastRenderedPageBreak/>
        <w:t>Para corroborar la estabilidad o invariancia factorial del instrumento de medida entre diferentes grupos, se realizó un análisis factorial con los datos de la pre-intervención de los grupos experimentales. En este análisis se encontró que el instrumento estaba configurado por cuatro factores, ya que la escala de norma personal se compuso de dos factores: el sentimiento de obligación personal por reciclar, por un lado, y el sentimiento de molestia por no reciclar, por el otro.</w:t>
      </w:r>
      <w:r w:rsidR="00DF4685">
        <w:rPr>
          <w:rFonts w:ascii="Arial" w:hAnsi="Arial" w:cs="Arial"/>
          <w:color w:val="000000"/>
          <w:lang w:eastAsia="es-ES_tradnl"/>
        </w:rPr>
        <w:t xml:space="preserve"> Asimismo, uno de los reactivos de la escala de conciencia de consecuencias obtuvo una muy baja carga factorial, por lo que se decidió eliminarlo para posteriores análisis, aumentando de esta manera la confiabilidad (Alfa de </w:t>
      </w:r>
      <w:proofErr w:type="spellStart"/>
      <w:r w:rsidR="00DF4685">
        <w:rPr>
          <w:rFonts w:ascii="Arial" w:hAnsi="Arial" w:cs="Arial"/>
          <w:color w:val="000000"/>
          <w:lang w:eastAsia="es-ES_tradnl"/>
        </w:rPr>
        <w:t>Cronbach</w:t>
      </w:r>
      <w:proofErr w:type="spellEnd"/>
      <w:r w:rsidR="00DF4685">
        <w:rPr>
          <w:rFonts w:ascii="Arial" w:hAnsi="Arial" w:cs="Arial"/>
          <w:color w:val="000000"/>
          <w:lang w:eastAsia="es-ES_tradnl"/>
        </w:rPr>
        <w:t>) de la escala de conciencia de consecuencias, quedando ésta con cinco reactivos.</w:t>
      </w:r>
      <w:r w:rsidRPr="00532BB5">
        <w:rPr>
          <w:rFonts w:ascii="Arial" w:hAnsi="Arial" w:cs="Arial"/>
          <w:color w:val="000000"/>
          <w:lang w:eastAsia="es-ES_tradnl"/>
        </w:rPr>
        <w:t xml:space="preserve"> En la tabla</w:t>
      </w:r>
      <w:r w:rsidR="00DF4685">
        <w:rPr>
          <w:rFonts w:ascii="Arial" w:hAnsi="Arial" w:cs="Arial"/>
          <w:color w:val="000000"/>
          <w:lang w:eastAsia="es-ES_tradnl"/>
        </w:rPr>
        <w:t xml:space="preserve"> 2</w:t>
      </w:r>
      <w:r w:rsidRPr="00532BB5">
        <w:rPr>
          <w:rFonts w:ascii="Arial" w:hAnsi="Arial" w:cs="Arial"/>
          <w:color w:val="000000"/>
          <w:lang w:eastAsia="es-ES_tradnl"/>
        </w:rPr>
        <w:t xml:space="preserve"> se muestran los datos del análisis factorial y las pruebas de confiabilidad efectuadas a partir de los resultados de la pre-intervención</w:t>
      </w:r>
      <w:r w:rsidR="00DF4685">
        <w:rPr>
          <w:rFonts w:ascii="Arial" w:hAnsi="Arial" w:cs="Arial"/>
          <w:color w:val="000000"/>
          <w:lang w:eastAsia="es-ES_tradnl"/>
        </w:rPr>
        <w:t>, después de haber eliminado dicho reactivo</w:t>
      </w:r>
      <w:r w:rsidRPr="00532BB5">
        <w:rPr>
          <w:rFonts w:ascii="Arial" w:hAnsi="Arial" w:cs="Arial"/>
          <w:color w:val="000000"/>
          <w:lang w:eastAsia="es-ES_tradnl"/>
        </w:rPr>
        <w:t>. </w:t>
      </w:r>
    </w:p>
    <w:p w14:paraId="0167CBFB" w14:textId="77777777" w:rsidR="008C1F7C" w:rsidRDefault="008C1F7C" w:rsidP="00A94036">
      <w:pPr>
        <w:jc w:val="both"/>
        <w:rPr>
          <w:rFonts w:ascii="Arial" w:hAnsi="Arial" w:cs="Arial"/>
          <w:color w:val="000000"/>
          <w:lang w:eastAsia="es-ES_tradnl"/>
        </w:rPr>
      </w:pPr>
    </w:p>
    <w:p w14:paraId="23419281" w14:textId="4D66F23C" w:rsidR="00A43AAE"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Tabla 2</w:t>
      </w:r>
    </w:p>
    <w:p w14:paraId="259E1D6E" w14:textId="41C759E8" w:rsidR="00A43AAE" w:rsidRPr="00532BB5" w:rsidRDefault="00A43AAE" w:rsidP="00A94036">
      <w:pPr>
        <w:jc w:val="both"/>
        <w:rPr>
          <w:rFonts w:ascii="Arial" w:hAnsi="Arial" w:cs="Arial"/>
          <w:color w:val="000000"/>
          <w:lang w:eastAsia="es-ES_tradnl"/>
        </w:rPr>
      </w:pPr>
      <w:r w:rsidRPr="00532BB5">
        <w:rPr>
          <w:rFonts w:ascii="Arial" w:hAnsi="Arial" w:cs="Arial"/>
          <w:i/>
          <w:iCs/>
          <w:color w:val="000000"/>
          <w:lang w:eastAsia="es-ES_tradnl"/>
        </w:rPr>
        <w:t xml:space="preserve">Análisis factorial y Alfa de </w:t>
      </w:r>
      <w:proofErr w:type="spellStart"/>
      <w:r w:rsidRPr="00532BB5">
        <w:rPr>
          <w:rFonts w:ascii="Arial" w:hAnsi="Arial" w:cs="Arial"/>
          <w:i/>
          <w:iCs/>
          <w:color w:val="000000"/>
          <w:lang w:eastAsia="es-ES_tradnl"/>
        </w:rPr>
        <w:t>Cronbach</w:t>
      </w:r>
      <w:proofErr w:type="spellEnd"/>
      <w:r w:rsidRPr="00532BB5">
        <w:rPr>
          <w:rFonts w:ascii="Arial" w:hAnsi="Arial" w:cs="Arial"/>
          <w:i/>
          <w:iCs/>
          <w:color w:val="000000"/>
          <w:lang w:eastAsia="es-ES_tradnl"/>
        </w:rPr>
        <w:t xml:space="preserve"> del instrumento en </w:t>
      </w:r>
      <w:r w:rsidR="00686519">
        <w:rPr>
          <w:rFonts w:ascii="Arial" w:hAnsi="Arial" w:cs="Arial"/>
          <w:i/>
          <w:iCs/>
          <w:color w:val="000000"/>
          <w:lang w:eastAsia="es-ES_tradnl"/>
        </w:rPr>
        <w:t>la etapa de pre-intervención</w:t>
      </w:r>
    </w:p>
    <w:tbl>
      <w:tblPr>
        <w:tblStyle w:val="Tablaconcuadrcula"/>
        <w:tblW w:w="93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3"/>
        <w:gridCol w:w="1234"/>
        <w:gridCol w:w="1852"/>
        <w:gridCol w:w="1543"/>
        <w:gridCol w:w="2006"/>
      </w:tblGrid>
      <w:tr w:rsidR="005B6016" w:rsidRPr="00532BB5" w14:paraId="0654D4B7" w14:textId="77777777" w:rsidTr="008465BC">
        <w:trPr>
          <w:trHeight w:val="1112"/>
        </w:trPr>
        <w:tc>
          <w:tcPr>
            <w:tcW w:w="2743" w:type="dxa"/>
            <w:tcBorders>
              <w:bottom w:val="single" w:sz="4" w:space="0" w:color="auto"/>
            </w:tcBorders>
          </w:tcPr>
          <w:p w14:paraId="6FC2EEB8" w14:textId="77777777" w:rsidR="005B6016" w:rsidRPr="00532BB5" w:rsidRDefault="005B6016" w:rsidP="00A94036">
            <w:pPr>
              <w:jc w:val="center"/>
              <w:rPr>
                <w:rFonts w:ascii="Arial" w:hAnsi="Arial" w:cs="Arial"/>
              </w:rPr>
            </w:pPr>
            <w:r w:rsidRPr="00532BB5">
              <w:rPr>
                <w:rFonts w:ascii="Arial" w:hAnsi="Arial" w:cs="Arial"/>
              </w:rPr>
              <w:t>Factor</w:t>
            </w:r>
          </w:p>
        </w:tc>
        <w:tc>
          <w:tcPr>
            <w:tcW w:w="1234" w:type="dxa"/>
            <w:tcBorders>
              <w:bottom w:val="single" w:sz="4" w:space="0" w:color="auto"/>
            </w:tcBorders>
          </w:tcPr>
          <w:p w14:paraId="244CF62B" w14:textId="77777777" w:rsidR="005B6016" w:rsidRPr="00532BB5" w:rsidRDefault="005B6016" w:rsidP="00A94036">
            <w:pPr>
              <w:jc w:val="center"/>
              <w:rPr>
                <w:rFonts w:ascii="Arial" w:hAnsi="Arial" w:cs="Arial"/>
              </w:rPr>
            </w:pPr>
            <w:r w:rsidRPr="00532BB5">
              <w:rPr>
                <w:rFonts w:ascii="Arial" w:hAnsi="Arial" w:cs="Arial"/>
              </w:rPr>
              <w:t xml:space="preserve">Valor </w:t>
            </w:r>
            <w:proofErr w:type="spellStart"/>
            <w:r w:rsidRPr="00532BB5">
              <w:rPr>
                <w:rFonts w:ascii="Arial" w:hAnsi="Arial" w:cs="Arial"/>
              </w:rPr>
              <w:t>eigen</w:t>
            </w:r>
            <w:proofErr w:type="spellEnd"/>
          </w:p>
        </w:tc>
        <w:tc>
          <w:tcPr>
            <w:tcW w:w="1852" w:type="dxa"/>
            <w:tcBorders>
              <w:bottom w:val="single" w:sz="4" w:space="0" w:color="auto"/>
            </w:tcBorders>
          </w:tcPr>
          <w:p w14:paraId="378C83B2" w14:textId="77777777" w:rsidR="005B6016" w:rsidRPr="00532BB5" w:rsidRDefault="005B6016" w:rsidP="00A94036">
            <w:pPr>
              <w:jc w:val="center"/>
              <w:rPr>
                <w:rFonts w:ascii="Arial" w:hAnsi="Arial" w:cs="Arial"/>
              </w:rPr>
            </w:pPr>
            <w:r w:rsidRPr="00532BB5">
              <w:rPr>
                <w:rFonts w:ascii="Arial" w:hAnsi="Arial" w:cs="Arial"/>
              </w:rPr>
              <w:t>Varianza explicada</w:t>
            </w:r>
          </w:p>
        </w:tc>
        <w:tc>
          <w:tcPr>
            <w:tcW w:w="1543" w:type="dxa"/>
            <w:tcBorders>
              <w:bottom w:val="single" w:sz="4" w:space="0" w:color="auto"/>
            </w:tcBorders>
          </w:tcPr>
          <w:p w14:paraId="24A526B9" w14:textId="77777777" w:rsidR="005B6016" w:rsidRPr="00532BB5" w:rsidRDefault="005B6016" w:rsidP="00A94036">
            <w:pPr>
              <w:jc w:val="center"/>
              <w:rPr>
                <w:rFonts w:ascii="Arial" w:hAnsi="Arial" w:cs="Arial"/>
              </w:rPr>
            </w:pPr>
            <w:r w:rsidRPr="00532BB5">
              <w:rPr>
                <w:rFonts w:ascii="Arial" w:hAnsi="Arial" w:cs="Arial"/>
              </w:rPr>
              <w:t>Varianza acumulada</w:t>
            </w:r>
          </w:p>
        </w:tc>
        <w:tc>
          <w:tcPr>
            <w:tcW w:w="2006" w:type="dxa"/>
            <w:tcBorders>
              <w:bottom w:val="single" w:sz="4" w:space="0" w:color="auto"/>
            </w:tcBorders>
          </w:tcPr>
          <w:p w14:paraId="6ECB3FA0" w14:textId="77777777" w:rsidR="005B6016" w:rsidRPr="00532BB5" w:rsidRDefault="005B6016" w:rsidP="00A94036">
            <w:pPr>
              <w:jc w:val="center"/>
              <w:rPr>
                <w:rFonts w:ascii="Arial" w:hAnsi="Arial" w:cs="Arial"/>
              </w:rPr>
            </w:pPr>
            <w:r w:rsidRPr="00532BB5">
              <w:rPr>
                <w:rFonts w:ascii="Arial" w:hAnsi="Arial" w:cs="Arial"/>
              </w:rPr>
              <w:t xml:space="preserve">Alfa de </w:t>
            </w:r>
            <w:proofErr w:type="spellStart"/>
            <w:r w:rsidRPr="00532BB5">
              <w:rPr>
                <w:rFonts w:ascii="Arial" w:hAnsi="Arial" w:cs="Arial"/>
              </w:rPr>
              <w:t>Cronbach</w:t>
            </w:r>
            <w:proofErr w:type="spellEnd"/>
          </w:p>
        </w:tc>
      </w:tr>
      <w:tr w:rsidR="005B6016" w:rsidRPr="00532BB5" w14:paraId="66DB3417" w14:textId="77777777" w:rsidTr="00D31F7C">
        <w:trPr>
          <w:trHeight w:val="1144"/>
        </w:trPr>
        <w:tc>
          <w:tcPr>
            <w:tcW w:w="2743" w:type="dxa"/>
            <w:tcBorders>
              <w:top w:val="single" w:sz="4" w:space="0" w:color="auto"/>
            </w:tcBorders>
          </w:tcPr>
          <w:p w14:paraId="7F71200E" w14:textId="77777777" w:rsidR="005B6016" w:rsidRPr="00532BB5" w:rsidRDefault="005B6016" w:rsidP="00A94036">
            <w:pPr>
              <w:rPr>
                <w:rFonts w:ascii="Arial" w:hAnsi="Arial" w:cs="Arial"/>
              </w:rPr>
            </w:pPr>
            <w:r w:rsidRPr="00532BB5">
              <w:rPr>
                <w:rFonts w:ascii="Arial" w:hAnsi="Arial" w:cs="Arial"/>
              </w:rPr>
              <w:t>1. Sentimiento de molestia</w:t>
            </w:r>
          </w:p>
        </w:tc>
        <w:tc>
          <w:tcPr>
            <w:tcW w:w="1234" w:type="dxa"/>
            <w:tcBorders>
              <w:top w:val="single" w:sz="4" w:space="0" w:color="auto"/>
            </w:tcBorders>
          </w:tcPr>
          <w:p w14:paraId="31E7C667" w14:textId="77777777" w:rsidR="005B6016" w:rsidRPr="00532BB5" w:rsidRDefault="005B6016" w:rsidP="00A94036">
            <w:pPr>
              <w:jc w:val="center"/>
              <w:rPr>
                <w:rFonts w:ascii="Arial" w:hAnsi="Arial" w:cs="Arial"/>
              </w:rPr>
            </w:pPr>
            <w:r w:rsidRPr="00532BB5">
              <w:rPr>
                <w:rFonts w:ascii="Arial" w:hAnsi="Arial" w:cs="Arial"/>
              </w:rPr>
              <w:t>3.89</w:t>
            </w:r>
          </w:p>
        </w:tc>
        <w:tc>
          <w:tcPr>
            <w:tcW w:w="1852" w:type="dxa"/>
            <w:tcBorders>
              <w:top w:val="single" w:sz="4" w:space="0" w:color="auto"/>
            </w:tcBorders>
          </w:tcPr>
          <w:p w14:paraId="23B32713" w14:textId="77777777" w:rsidR="005B6016" w:rsidRPr="00532BB5" w:rsidRDefault="005B6016" w:rsidP="00A94036">
            <w:pPr>
              <w:jc w:val="center"/>
              <w:rPr>
                <w:rFonts w:ascii="Arial" w:hAnsi="Arial" w:cs="Arial"/>
              </w:rPr>
            </w:pPr>
            <w:r w:rsidRPr="00532BB5">
              <w:rPr>
                <w:rFonts w:ascii="Arial" w:hAnsi="Arial" w:cs="Arial"/>
              </w:rPr>
              <w:t>19.44%</w:t>
            </w:r>
          </w:p>
        </w:tc>
        <w:tc>
          <w:tcPr>
            <w:tcW w:w="1543" w:type="dxa"/>
            <w:tcBorders>
              <w:top w:val="single" w:sz="4" w:space="0" w:color="auto"/>
            </w:tcBorders>
          </w:tcPr>
          <w:p w14:paraId="2AEECC96" w14:textId="77777777" w:rsidR="005B6016" w:rsidRPr="00532BB5" w:rsidRDefault="005B6016" w:rsidP="00A94036">
            <w:pPr>
              <w:jc w:val="center"/>
              <w:rPr>
                <w:rFonts w:ascii="Arial" w:hAnsi="Arial" w:cs="Arial"/>
              </w:rPr>
            </w:pPr>
            <w:r w:rsidRPr="00532BB5">
              <w:rPr>
                <w:rFonts w:ascii="Arial" w:hAnsi="Arial" w:cs="Arial"/>
              </w:rPr>
              <w:t>19.44%</w:t>
            </w:r>
          </w:p>
        </w:tc>
        <w:tc>
          <w:tcPr>
            <w:tcW w:w="2006" w:type="dxa"/>
            <w:tcBorders>
              <w:top w:val="single" w:sz="4" w:space="0" w:color="auto"/>
            </w:tcBorders>
          </w:tcPr>
          <w:p w14:paraId="262B5150" w14:textId="77777777" w:rsidR="005B6016" w:rsidRPr="00532BB5" w:rsidRDefault="005B6016" w:rsidP="00A94036">
            <w:pPr>
              <w:jc w:val="center"/>
              <w:rPr>
                <w:rFonts w:ascii="Arial" w:hAnsi="Arial" w:cs="Arial"/>
              </w:rPr>
            </w:pPr>
            <w:r w:rsidRPr="00532BB5">
              <w:rPr>
                <w:rFonts w:ascii="Arial" w:hAnsi="Arial" w:cs="Arial"/>
              </w:rPr>
              <w:t>.94</w:t>
            </w:r>
          </w:p>
        </w:tc>
      </w:tr>
      <w:tr w:rsidR="005B6016" w:rsidRPr="00532BB5" w14:paraId="05C1F5CD" w14:textId="77777777" w:rsidTr="008465BC">
        <w:trPr>
          <w:trHeight w:val="1095"/>
        </w:trPr>
        <w:tc>
          <w:tcPr>
            <w:tcW w:w="2743" w:type="dxa"/>
          </w:tcPr>
          <w:p w14:paraId="026A41E2" w14:textId="77777777" w:rsidR="005B6016" w:rsidRPr="00532BB5" w:rsidRDefault="005B6016" w:rsidP="00A94036">
            <w:pPr>
              <w:rPr>
                <w:rFonts w:ascii="Arial" w:hAnsi="Arial" w:cs="Arial"/>
              </w:rPr>
            </w:pPr>
            <w:r w:rsidRPr="00532BB5">
              <w:rPr>
                <w:rFonts w:ascii="Arial" w:hAnsi="Arial" w:cs="Arial"/>
              </w:rPr>
              <w:t>2. Conciencia de consecuencias</w:t>
            </w:r>
          </w:p>
        </w:tc>
        <w:tc>
          <w:tcPr>
            <w:tcW w:w="1234" w:type="dxa"/>
          </w:tcPr>
          <w:p w14:paraId="416E2151" w14:textId="77777777" w:rsidR="005B6016" w:rsidRPr="00532BB5" w:rsidRDefault="005B6016" w:rsidP="00A94036">
            <w:pPr>
              <w:jc w:val="center"/>
              <w:rPr>
                <w:rFonts w:ascii="Arial" w:hAnsi="Arial" w:cs="Arial"/>
              </w:rPr>
            </w:pPr>
            <w:r w:rsidRPr="00532BB5">
              <w:rPr>
                <w:rFonts w:ascii="Arial" w:hAnsi="Arial" w:cs="Arial"/>
              </w:rPr>
              <w:t>2.68</w:t>
            </w:r>
          </w:p>
        </w:tc>
        <w:tc>
          <w:tcPr>
            <w:tcW w:w="1852" w:type="dxa"/>
          </w:tcPr>
          <w:p w14:paraId="3900EC55" w14:textId="77777777" w:rsidR="005B6016" w:rsidRPr="00532BB5" w:rsidRDefault="005B6016" w:rsidP="00A94036">
            <w:pPr>
              <w:jc w:val="center"/>
              <w:rPr>
                <w:rFonts w:ascii="Arial" w:hAnsi="Arial" w:cs="Arial"/>
              </w:rPr>
            </w:pPr>
            <w:r w:rsidRPr="00532BB5">
              <w:rPr>
                <w:rFonts w:ascii="Arial" w:hAnsi="Arial" w:cs="Arial"/>
              </w:rPr>
              <w:t>13.42%</w:t>
            </w:r>
          </w:p>
        </w:tc>
        <w:tc>
          <w:tcPr>
            <w:tcW w:w="1543" w:type="dxa"/>
          </w:tcPr>
          <w:p w14:paraId="7377436E" w14:textId="77777777" w:rsidR="005B6016" w:rsidRPr="00532BB5" w:rsidRDefault="005B6016" w:rsidP="00A94036">
            <w:pPr>
              <w:jc w:val="center"/>
              <w:rPr>
                <w:rFonts w:ascii="Arial" w:hAnsi="Arial" w:cs="Arial"/>
              </w:rPr>
            </w:pPr>
            <w:r w:rsidRPr="00532BB5">
              <w:rPr>
                <w:rFonts w:ascii="Arial" w:hAnsi="Arial" w:cs="Arial"/>
              </w:rPr>
              <w:t>32.86%</w:t>
            </w:r>
          </w:p>
        </w:tc>
        <w:tc>
          <w:tcPr>
            <w:tcW w:w="2006" w:type="dxa"/>
          </w:tcPr>
          <w:p w14:paraId="4162C8E6" w14:textId="77777777" w:rsidR="005B6016" w:rsidRPr="00532BB5" w:rsidRDefault="005B6016" w:rsidP="00A94036">
            <w:pPr>
              <w:jc w:val="center"/>
              <w:rPr>
                <w:rFonts w:ascii="Arial" w:hAnsi="Arial" w:cs="Arial"/>
              </w:rPr>
            </w:pPr>
            <w:r w:rsidRPr="00532BB5">
              <w:rPr>
                <w:rFonts w:ascii="Arial" w:hAnsi="Arial" w:cs="Arial"/>
              </w:rPr>
              <w:t>.80</w:t>
            </w:r>
          </w:p>
        </w:tc>
      </w:tr>
      <w:tr w:rsidR="005B6016" w:rsidRPr="00532BB5" w14:paraId="418E25CA" w14:textId="77777777" w:rsidTr="008465BC">
        <w:trPr>
          <w:trHeight w:val="1112"/>
        </w:trPr>
        <w:tc>
          <w:tcPr>
            <w:tcW w:w="2743" w:type="dxa"/>
          </w:tcPr>
          <w:p w14:paraId="7CFF6F91" w14:textId="77777777" w:rsidR="005B6016" w:rsidRPr="00532BB5" w:rsidRDefault="005B6016" w:rsidP="00A94036">
            <w:pPr>
              <w:rPr>
                <w:rFonts w:ascii="Arial" w:hAnsi="Arial" w:cs="Arial"/>
              </w:rPr>
            </w:pPr>
            <w:r w:rsidRPr="00532BB5">
              <w:rPr>
                <w:rFonts w:ascii="Arial" w:hAnsi="Arial" w:cs="Arial"/>
              </w:rPr>
              <w:t>3. Sentimiento de obligación personal</w:t>
            </w:r>
          </w:p>
        </w:tc>
        <w:tc>
          <w:tcPr>
            <w:tcW w:w="1234" w:type="dxa"/>
          </w:tcPr>
          <w:p w14:paraId="6E68136C" w14:textId="77777777" w:rsidR="005B6016" w:rsidRPr="00532BB5" w:rsidRDefault="005B6016" w:rsidP="00A94036">
            <w:pPr>
              <w:jc w:val="center"/>
              <w:rPr>
                <w:rFonts w:ascii="Arial" w:hAnsi="Arial" w:cs="Arial"/>
              </w:rPr>
            </w:pPr>
            <w:r w:rsidRPr="00532BB5">
              <w:rPr>
                <w:rFonts w:ascii="Arial" w:hAnsi="Arial" w:cs="Arial"/>
              </w:rPr>
              <w:t>3.31</w:t>
            </w:r>
          </w:p>
        </w:tc>
        <w:tc>
          <w:tcPr>
            <w:tcW w:w="1852" w:type="dxa"/>
          </w:tcPr>
          <w:p w14:paraId="29BDF8EB" w14:textId="77777777" w:rsidR="005B6016" w:rsidRPr="00532BB5" w:rsidRDefault="005B6016" w:rsidP="00A94036">
            <w:pPr>
              <w:jc w:val="center"/>
              <w:rPr>
                <w:rFonts w:ascii="Arial" w:hAnsi="Arial" w:cs="Arial"/>
              </w:rPr>
            </w:pPr>
            <w:r w:rsidRPr="00532BB5">
              <w:rPr>
                <w:rFonts w:ascii="Arial" w:hAnsi="Arial" w:cs="Arial"/>
              </w:rPr>
              <w:t>16.53%</w:t>
            </w:r>
          </w:p>
        </w:tc>
        <w:tc>
          <w:tcPr>
            <w:tcW w:w="1543" w:type="dxa"/>
          </w:tcPr>
          <w:p w14:paraId="78030B63" w14:textId="77777777" w:rsidR="005B6016" w:rsidRPr="00532BB5" w:rsidRDefault="005B6016" w:rsidP="00A94036">
            <w:pPr>
              <w:jc w:val="center"/>
              <w:rPr>
                <w:rFonts w:ascii="Arial" w:hAnsi="Arial" w:cs="Arial"/>
              </w:rPr>
            </w:pPr>
            <w:r w:rsidRPr="00532BB5">
              <w:rPr>
                <w:rFonts w:ascii="Arial" w:hAnsi="Arial" w:cs="Arial"/>
              </w:rPr>
              <w:t>49.40%</w:t>
            </w:r>
          </w:p>
        </w:tc>
        <w:tc>
          <w:tcPr>
            <w:tcW w:w="2006" w:type="dxa"/>
          </w:tcPr>
          <w:p w14:paraId="27D8C1C3" w14:textId="77777777" w:rsidR="005B6016" w:rsidRPr="00532BB5" w:rsidRDefault="005B6016" w:rsidP="00A94036">
            <w:pPr>
              <w:jc w:val="center"/>
              <w:rPr>
                <w:rFonts w:ascii="Arial" w:hAnsi="Arial" w:cs="Arial"/>
              </w:rPr>
            </w:pPr>
            <w:r w:rsidRPr="00532BB5">
              <w:rPr>
                <w:rFonts w:ascii="Arial" w:hAnsi="Arial" w:cs="Arial"/>
              </w:rPr>
              <w:t>.90</w:t>
            </w:r>
          </w:p>
        </w:tc>
      </w:tr>
      <w:tr w:rsidR="005B6016" w:rsidRPr="00532BB5" w14:paraId="1028DBB9" w14:textId="77777777" w:rsidTr="008465BC">
        <w:trPr>
          <w:trHeight w:val="556"/>
        </w:trPr>
        <w:tc>
          <w:tcPr>
            <w:tcW w:w="2743" w:type="dxa"/>
          </w:tcPr>
          <w:p w14:paraId="054C88F5" w14:textId="77777777" w:rsidR="005B6016" w:rsidRPr="00532BB5" w:rsidRDefault="005B6016" w:rsidP="00A94036">
            <w:pPr>
              <w:rPr>
                <w:rFonts w:ascii="Arial" w:hAnsi="Arial" w:cs="Arial"/>
              </w:rPr>
            </w:pPr>
            <w:r w:rsidRPr="00532BB5">
              <w:rPr>
                <w:rFonts w:ascii="Arial" w:hAnsi="Arial" w:cs="Arial"/>
              </w:rPr>
              <w:t>4. Norma social</w:t>
            </w:r>
          </w:p>
        </w:tc>
        <w:tc>
          <w:tcPr>
            <w:tcW w:w="1234" w:type="dxa"/>
          </w:tcPr>
          <w:p w14:paraId="642ED8EC" w14:textId="77777777" w:rsidR="005B6016" w:rsidRPr="00532BB5" w:rsidRDefault="005B6016" w:rsidP="00A94036">
            <w:pPr>
              <w:jc w:val="center"/>
              <w:rPr>
                <w:rFonts w:ascii="Arial" w:hAnsi="Arial" w:cs="Arial"/>
              </w:rPr>
            </w:pPr>
            <w:r w:rsidRPr="00532BB5">
              <w:rPr>
                <w:rFonts w:ascii="Arial" w:hAnsi="Arial" w:cs="Arial"/>
              </w:rPr>
              <w:t>1.79</w:t>
            </w:r>
          </w:p>
        </w:tc>
        <w:tc>
          <w:tcPr>
            <w:tcW w:w="1852" w:type="dxa"/>
          </w:tcPr>
          <w:p w14:paraId="7444BF3B" w14:textId="77777777" w:rsidR="005B6016" w:rsidRPr="00532BB5" w:rsidRDefault="005B6016" w:rsidP="00A94036">
            <w:pPr>
              <w:jc w:val="center"/>
              <w:rPr>
                <w:rFonts w:ascii="Arial" w:hAnsi="Arial" w:cs="Arial"/>
              </w:rPr>
            </w:pPr>
            <w:r w:rsidRPr="00532BB5">
              <w:rPr>
                <w:rFonts w:ascii="Arial" w:hAnsi="Arial" w:cs="Arial"/>
              </w:rPr>
              <w:t>8.95%</w:t>
            </w:r>
          </w:p>
        </w:tc>
        <w:tc>
          <w:tcPr>
            <w:tcW w:w="1543" w:type="dxa"/>
          </w:tcPr>
          <w:p w14:paraId="0C69310C" w14:textId="77777777" w:rsidR="005B6016" w:rsidRPr="00532BB5" w:rsidRDefault="005B6016" w:rsidP="00A94036">
            <w:pPr>
              <w:jc w:val="center"/>
              <w:rPr>
                <w:rFonts w:ascii="Arial" w:hAnsi="Arial" w:cs="Arial"/>
              </w:rPr>
            </w:pPr>
            <w:r w:rsidRPr="00532BB5">
              <w:rPr>
                <w:rFonts w:ascii="Arial" w:hAnsi="Arial" w:cs="Arial"/>
              </w:rPr>
              <w:t>58.35%</w:t>
            </w:r>
          </w:p>
        </w:tc>
        <w:tc>
          <w:tcPr>
            <w:tcW w:w="2006" w:type="dxa"/>
          </w:tcPr>
          <w:p w14:paraId="3A8B6184" w14:textId="77777777" w:rsidR="005B6016" w:rsidRPr="00532BB5" w:rsidRDefault="005B6016" w:rsidP="00A94036">
            <w:pPr>
              <w:jc w:val="center"/>
              <w:rPr>
                <w:rFonts w:ascii="Arial" w:hAnsi="Arial" w:cs="Arial"/>
              </w:rPr>
            </w:pPr>
            <w:r w:rsidRPr="00532BB5">
              <w:rPr>
                <w:rFonts w:ascii="Arial" w:hAnsi="Arial" w:cs="Arial"/>
              </w:rPr>
              <w:t>.74</w:t>
            </w:r>
          </w:p>
        </w:tc>
      </w:tr>
    </w:tbl>
    <w:p w14:paraId="44EF41BD" w14:textId="74BF07BA" w:rsidR="00686519" w:rsidRDefault="007A626C" w:rsidP="00A94036">
      <w:pPr>
        <w:rPr>
          <w:rFonts w:ascii="Arial" w:hAnsi="Arial" w:cs="Arial"/>
          <w:color w:val="000000"/>
          <w:lang w:eastAsia="es-ES_tradnl"/>
        </w:rPr>
      </w:pPr>
      <w:r>
        <w:rPr>
          <w:rFonts w:ascii="Arial" w:hAnsi="Arial" w:cs="Arial"/>
          <w:color w:val="000000"/>
          <w:lang w:eastAsia="es-ES_tradnl"/>
        </w:rPr>
        <w:t xml:space="preserve"> </w:t>
      </w:r>
    </w:p>
    <w:p w14:paraId="5F987111" w14:textId="77777777" w:rsidR="00446D25" w:rsidRDefault="00446D25" w:rsidP="00A94036">
      <w:pPr>
        <w:rPr>
          <w:rFonts w:ascii="Arial" w:hAnsi="Arial" w:cs="Arial"/>
          <w:color w:val="000000"/>
          <w:lang w:eastAsia="es-ES_tradnl"/>
        </w:rPr>
      </w:pPr>
    </w:p>
    <w:p w14:paraId="2896026C" w14:textId="17D0EBB5"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Procedimiento</w:t>
      </w:r>
    </w:p>
    <w:p w14:paraId="07301FC3" w14:textId="77777777" w:rsidR="008C1F7C" w:rsidRDefault="008C1F7C" w:rsidP="00A94036">
      <w:pPr>
        <w:jc w:val="both"/>
        <w:rPr>
          <w:rFonts w:ascii="Arial" w:hAnsi="Arial" w:cs="Arial"/>
          <w:color w:val="000000"/>
          <w:lang w:eastAsia="es-ES_tradnl"/>
        </w:rPr>
      </w:pPr>
    </w:p>
    <w:p w14:paraId="5AD553E1" w14:textId="5934F735" w:rsidR="00A43AAE" w:rsidRDefault="001A15BF" w:rsidP="00A94036">
      <w:pPr>
        <w:jc w:val="both"/>
        <w:rPr>
          <w:rFonts w:ascii="Arial" w:hAnsi="Arial" w:cs="Arial"/>
          <w:color w:val="000000"/>
          <w:lang w:eastAsia="es-ES_tradnl"/>
        </w:rPr>
      </w:pPr>
      <w:r>
        <w:rPr>
          <w:rFonts w:ascii="Arial" w:hAnsi="Arial" w:cs="Arial"/>
          <w:color w:val="000000"/>
          <w:lang w:eastAsia="es-ES_tradnl"/>
        </w:rPr>
        <w:t xml:space="preserve">Para el presente estudio se empleó un diseño de investigación </w:t>
      </w:r>
      <w:proofErr w:type="spellStart"/>
      <w:r>
        <w:rPr>
          <w:rFonts w:ascii="Arial" w:hAnsi="Arial" w:cs="Arial"/>
          <w:color w:val="000000"/>
          <w:lang w:eastAsia="es-ES_tradnl"/>
        </w:rPr>
        <w:t>pretest</w:t>
      </w:r>
      <w:proofErr w:type="spellEnd"/>
      <w:r>
        <w:rPr>
          <w:rFonts w:ascii="Arial" w:hAnsi="Arial" w:cs="Arial"/>
          <w:color w:val="000000"/>
          <w:lang w:eastAsia="es-ES_tradnl"/>
        </w:rPr>
        <w:t xml:space="preserve">- </w:t>
      </w:r>
      <w:proofErr w:type="spellStart"/>
      <w:r>
        <w:rPr>
          <w:rFonts w:ascii="Arial" w:hAnsi="Arial" w:cs="Arial"/>
          <w:color w:val="000000"/>
          <w:lang w:eastAsia="es-ES_tradnl"/>
        </w:rPr>
        <w:t>postest</w:t>
      </w:r>
      <w:proofErr w:type="spellEnd"/>
      <w:r>
        <w:rPr>
          <w:rFonts w:ascii="Arial" w:hAnsi="Arial" w:cs="Arial"/>
          <w:color w:val="000000"/>
          <w:lang w:eastAsia="es-ES_tradnl"/>
        </w:rPr>
        <w:t xml:space="preserve">. </w:t>
      </w:r>
      <w:r w:rsidR="00A43AAE" w:rsidRPr="00532BB5">
        <w:rPr>
          <w:rFonts w:ascii="Arial" w:hAnsi="Arial" w:cs="Arial"/>
          <w:color w:val="000000"/>
          <w:lang w:eastAsia="es-ES_tradnl"/>
        </w:rPr>
        <w:t xml:space="preserve">Las dos primeras semanas del cuatrimestre </w:t>
      </w:r>
      <w:r w:rsidR="00D31F7C" w:rsidRPr="00532BB5">
        <w:rPr>
          <w:rFonts w:ascii="Arial" w:hAnsi="Arial" w:cs="Arial"/>
          <w:color w:val="000000"/>
          <w:lang w:eastAsia="es-ES_tradnl"/>
        </w:rPr>
        <w:t xml:space="preserve">universitario </w:t>
      </w:r>
      <w:r w:rsidR="00A43AAE" w:rsidRPr="00532BB5">
        <w:rPr>
          <w:rFonts w:ascii="Arial" w:hAnsi="Arial" w:cs="Arial"/>
          <w:color w:val="000000"/>
          <w:lang w:eastAsia="es-ES_tradnl"/>
        </w:rPr>
        <w:t>se tomaron como línea base</w:t>
      </w:r>
      <w:r w:rsidR="00276C42">
        <w:rPr>
          <w:rFonts w:ascii="Arial" w:hAnsi="Arial" w:cs="Arial"/>
          <w:color w:val="000000"/>
          <w:lang w:eastAsia="es-ES_tradnl"/>
        </w:rPr>
        <w:t>, del 8 al 19 de agosto</w:t>
      </w:r>
      <w:r w:rsidR="00A43AAE" w:rsidRPr="00532BB5">
        <w:rPr>
          <w:rFonts w:ascii="Arial" w:hAnsi="Arial" w:cs="Arial"/>
          <w:color w:val="000000"/>
          <w:lang w:eastAsia="es-ES_tradnl"/>
        </w:rPr>
        <w:t>. La conducta de separación del plástico PET se evaluó por medio de dos mediciones. Una de éstas fue la observación de la separación de residuos en una muestra de contenedores de PET, clasificando la separación como correcta o incorrecta. Cuando en el contenedor no había más de seis residuos incorrectos después de una semana de uso se consideraba correcta. El registro se lle</w:t>
      </w:r>
      <w:r w:rsidR="00D31F7C" w:rsidRPr="00532BB5">
        <w:rPr>
          <w:rFonts w:ascii="Arial" w:hAnsi="Arial" w:cs="Arial"/>
          <w:color w:val="000000"/>
          <w:lang w:eastAsia="es-ES_tradnl"/>
        </w:rPr>
        <w:t>vaba a cabo el mismo día de la</w:t>
      </w:r>
      <w:r w:rsidR="00A43AAE" w:rsidRPr="00532BB5">
        <w:rPr>
          <w:rFonts w:ascii="Arial" w:hAnsi="Arial" w:cs="Arial"/>
          <w:color w:val="000000"/>
          <w:lang w:eastAsia="es-ES_tradnl"/>
        </w:rPr>
        <w:t xml:space="preserve"> semana, antes de que los residuos fueran retirados por el personal de intendencia. La muestra estaba constituida por 18 contenedores, es decir la mitad </w:t>
      </w:r>
      <w:r w:rsidR="00A43AAE" w:rsidRPr="00532BB5">
        <w:rPr>
          <w:rFonts w:ascii="Arial" w:hAnsi="Arial" w:cs="Arial"/>
          <w:color w:val="000000"/>
          <w:lang w:eastAsia="es-ES_tradnl"/>
        </w:rPr>
        <w:lastRenderedPageBreak/>
        <w:t>del total, el cual se conformó por los contenedores más usados por la comunidad universitaria y menos por personas externas a la universidad (edificios de salones de clases</w:t>
      </w:r>
      <w:r w:rsidR="007A626C">
        <w:rPr>
          <w:rFonts w:ascii="Arial" w:hAnsi="Arial" w:cs="Arial"/>
          <w:color w:val="000000"/>
          <w:lang w:eastAsia="es-ES_tradnl"/>
        </w:rPr>
        <w:t>, talleres, laboratorios y</w:t>
      </w:r>
      <w:r w:rsidR="00A43AAE" w:rsidRPr="00532BB5">
        <w:rPr>
          <w:rFonts w:ascii="Arial" w:hAnsi="Arial" w:cs="Arial"/>
          <w:color w:val="000000"/>
          <w:lang w:eastAsia="es-ES_tradnl"/>
        </w:rPr>
        <w:t xml:space="preserve"> el área social). </w:t>
      </w:r>
    </w:p>
    <w:p w14:paraId="73F0AEAA" w14:textId="7369ABFC" w:rsidR="007A626C" w:rsidRDefault="007A626C" w:rsidP="00A94036">
      <w:pPr>
        <w:jc w:val="both"/>
        <w:rPr>
          <w:rFonts w:ascii="Arial" w:hAnsi="Arial" w:cs="Arial"/>
          <w:color w:val="000000"/>
          <w:lang w:eastAsia="es-ES_tradnl"/>
        </w:rPr>
      </w:pPr>
    </w:p>
    <w:p w14:paraId="37F7E90B" w14:textId="121923BE" w:rsidR="007A626C" w:rsidRPr="007A626C" w:rsidRDefault="00BD5B63" w:rsidP="00A94036">
      <w:pPr>
        <w:ind w:firstLine="708"/>
        <w:jc w:val="both"/>
        <w:rPr>
          <w:rFonts w:ascii="Arial" w:hAnsi="Arial" w:cs="Arial"/>
          <w:color w:val="000000"/>
          <w:lang w:val="es-MX" w:eastAsia="es-ES_tradnl"/>
        </w:rPr>
      </w:pPr>
      <w:r>
        <w:rPr>
          <w:rFonts w:ascii="Arial" w:hAnsi="Arial" w:cs="Arial"/>
          <w:color w:val="000000"/>
          <w:lang w:val="es-MX" w:eastAsia="es-ES_tradnl"/>
        </w:rPr>
        <w:t>P</w:t>
      </w:r>
      <w:r w:rsidR="007A626C" w:rsidRPr="007A626C">
        <w:rPr>
          <w:rFonts w:ascii="Arial" w:hAnsi="Arial" w:cs="Arial"/>
          <w:color w:val="000000"/>
          <w:lang w:val="es-MX" w:eastAsia="es-ES_tradnl"/>
        </w:rPr>
        <w:t>ara conformar la muestra se elegían: a) 11 contenedores de los edificios de salones de clases (cada uno de diferentes pisos de cada edificio),</w:t>
      </w:r>
      <w:r>
        <w:rPr>
          <w:rFonts w:ascii="Arial" w:hAnsi="Arial" w:cs="Arial"/>
          <w:color w:val="000000"/>
          <w:lang w:val="es-MX" w:eastAsia="es-ES_tradnl"/>
        </w:rPr>
        <w:t xml:space="preserve"> ya que estos edificios ten</w:t>
      </w:r>
      <w:r w:rsidR="003A0316">
        <w:rPr>
          <w:rFonts w:ascii="Arial" w:hAnsi="Arial" w:cs="Arial"/>
          <w:color w:val="000000"/>
          <w:lang w:val="es-MX" w:eastAsia="es-ES_tradnl"/>
        </w:rPr>
        <w:t>í</w:t>
      </w:r>
      <w:r>
        <w:rPr>
          <w:rFonts w:ascii="Arial" w:hAnsi="Arial" w:cs="Arial"/>
          <w:color w:val="000000"/>
          <w:lang w:val="es-MX" w:eastAsia="es-ES_tradnl"/>
        </w:rPr>
        <w:t>an una mayor cantidad de contenedores que las demás áreas y eran los más utilizados;</w:t>
      </w:r>
      <w:r w:rsidR="007A626C" w:rsidRPr="007A626C">
        <w:rPr>
          <w:rFonts w:ascii="Arial" w:hAnsi="Arial" w:cs="Arial"/>
          <w:color w:val="000000"/>
          <w:lang w:val="es-MX" w:eastAsia="es-ES_tradnl"/>
        </w:rPr>
        <w:t xml:space="preserve"> b) 2 contenedores del área </w:t>
      </w:r>
      <w:r w:rsidR="003A0316">
        <w:rPr>
          <w:rFonts w:ascii="Arial" w:hAnsi="Arial" w:cs="Arial"/>
          <w:color w:val="000000"/>
          <w:lang w:val="es-MX" w:eastAsia="es-ES_tradnl"/>
        </w:rPr>
        <w:t>social</w:t>
      </w:r>
      <w:r w:rsidR="007A626C" w:rsidRPr="007A626C">
        <w:rPr>
          <w:rFonts w:ascii="Arial" w:hAnsi="Arial" w:cs="Arial"/>
          <w:color w:val="000000"/>
          <w:lang w:val="es-MX" w:eastAsia="es-ES_tradnl"/>
        </w:rPr>
        <w:t xml:space="preserve"> y c) 5 contenedores de los edificios de talleres y laboratorios (cada uno de diferentes pisos de cada edificio). Si dentro del mismo piso de un edificio había más de un contenedor, se elegía al azar uno de éstos. De esta manera la muestra representa</w:t>
      </w:r>
      <w:r w:rsidR="003A0316">
        <w:rPr>
          <w:rFonts w:ascii="Arial" w:hAnsi="Arial" w:cs="Arial"/>
          <w:color w:val="000000"/>
          <w:lang w:val="es-MX" w:eastAsia="es-ES_tradnl"/>
        </w:rPr>
        <w:t>ba</w:t>
      </w:r>
      <w:r w:rsidR="007A626C" w:rsidRPr="007A626C">
        <w:rPr>
          <w:rFonts w:ascii="Arial" w:hAnsi="Arial" w:cs="Arial"/>
          <w:color w:val="000000"/>
          <w:lang w:val="es-MX" w:eastAsia="es-ES_tradnl"/>
        </w:rPr>
        <w:t xml:space="preserve"> todos los edificios de cada área.</w:t>
      </w:r>
    </w:p>
    <w:p w14:paraId="23D301C5" w14:textId="77777777" w:rsidR="008C1F7C" w:rsidRDefault="008C1F7C" w:rsidP="00A94036">
      <w:pPr>
        <w:ind w:firstLine="720"/>
        <w:jc w:val="both"/>
        <w:rPr>
          <w:rFonts w:ascii="Arial" w:hAnsi="Arial" w:cs="Arial"/>
          <w:color w:val="000000"/>
          <w:lang w:eastAsia="es-ES_tradnl"/>
        </w:rPr>
      </w:pPr>
    </w:p>
    <w:p w14:paraId="25CE0419" w14:textId="3581416C" w:rsidR="00A43AAE" w:rsidRPr="00532BB5" w:rsidRDefault="00A43AAE" w:rsidP="00A94036">
      <w:pPr>
        <w:ind w:firstLine="720"/>
        <w:jc w:val="both"/>
        <w:rPr>
          <w:rFonts w:ascii="Arial" w:hAnsi="Arial" w:cs="Arial"/>
          <w:color w:val="000000"/>
          <w:lang w:eastAsia="es-ES_tradnl"/>
        </w:rPr>
      </w:pPr>
      <w:r w:rsidRPr="00532BB5">
        <w:rPr>
          <w:rFonts w:ascii="Arial" w:hAnsi="Arial" w:cs="Arial"/>
          <w:color w:val="000000"/>
          <w:lang w:eastAsia="es-ES_tradnl"/>
        </w:rPr>
        <w:t>La conducta de separación del PET también se evaluó por medio de las mediciones realizadas por la empresa recicladora del peso, expresado en kilogramos, del PET enviado a</w:t>
      </w:r>
      <w:r w:rsidR="00D31F7C" w:rsidRPr="00532BB5">
        <w:rPr>
          <w:rFonts w:ascii="Arial" w:hAnsi="Arial" w:cs="Arial"/>
          <w:color w:val="000000"/>
          <w:lang w:eastAsia="es-ES_tradnl"/>
        </w:rPr>
        <w:t xml:space="preserve"> reciclaje</w:t>
      </w:r>
      <w:r w:rsidR="00E3693B" w:rsidRPr="00532BB5">
        <w:rPr>
          <w:rFonts w:ascii="Arial" w:hAnsi="Arial" w:cs="Arial"/>
          <w:color w:val="000000"/>
          <w:lang w:eastAsia="es-ES_tradnl"/>
        </w:rPr>
        <w:t xml:space="preserve"> en el campus. Asimismo, antes de la intervención</w:t>
      </w:r>
      <w:r w:rsidRPr="00532BB5">
        <w:rPr>
          <w:rFonts w:ascii="Arial" w:hAnsi="Arial" w:cs="Arial"/>
          <w:color w:val="000000"/>
          <w:lang w:eastAsia="es-ES_tradnl"/>
        </w:rPr>
        <w:t xml:space="preserve"> se aplicó </w:t>
      </w:r>
      <w:r w:rsidR="00D31F7C" w:rsidRPr="00532BB5">
        <w:rPr>
          <w:rFonts w:ascii="Arial" w:hAnsi="Arial" w:cs="Arial"/>
          <w:color w:val="000000"/>
          <w:lang w:eastAsia="es-ES_tradnl"/>
        </w:rPr>
        <w:t>el instrumento de medición</w:t>
      </w:r>
      <w:r w:rsidR="00E3693B" w:rsidRPr="00532BB5">
        <w:rPr>
          <w:rFonts w:ascii="Arial" w:hAnsi="Arial" w:cs="Arial"/>
          <w:color w:val="000000"/>
          <w:lang w:eastAsia="es-ES_tradnl"/>
        </w:rPr>
        <w:t xml:space="preserve"> </w:t>
      </w:r>
      <w:r w:rsidRPr="00532BB5">
        <w:rPr>
          <w:rFonts w:ascii="Arial" w:hAnsi="Arial" w:cs="Arial"/>
          <w:color w:val="000000"/>
          <w:lang w:eastAsia="es-ES_tradnl"/>
        </w:rPr>
        <w:t>a los tres grupos de participantes. </w:t>
      </w:r>
    </w:p>
    <w:p w14:paraId="27108D62" w14:textId="77777777" w:rsidR="008C1F7C" w:rsidRDefault="008C1F7C" w:rsidP="00A94036">
      <w:pPr>
        <w:ind w:firstLine="720"/>
        <w:jc w:val="both"/>
        <w:rPr>
          <w:rFonts w:ascii="Arial" w:hAnsi="Arial" w:cs="Arial"/>
          <w:color w:val="000000"/>
          <w:lang w:eastAsia="es-ES_tradnl"/>
        </w:rPr>
      </w:pPr>
    </w:p>
    <w:p w14:paraId="26B3D6FE" w14:textId="5757A293" w:rsidR="00A43AAE" w:rsidRPr="00532BB5" w:rsidRDefault="00E3693B" w:rsidP="00A94036">
      <w:pPr>
        <w:ind w:firstLine="720"/>
        <w:jc w:val="both"/>
        <w:rPr>
          <w:rFonts w:ascii="Arial" w:hAnsi="Arial" w:cs="Arial"/>
          <w:color w:val="000000"/>
          <w:lang w:eastAsia="es-ES_tradnl"/>
        </w:rPr>
      </w:pPr>
      <w:r w:rsidRPr="00532BB5">
        <w:rPr>
          <w:rFonts w:ascii="Arial" w:hAnsi="Arial" w:cs="Arial"/>
          <w:color w:val="000000"/>
          <w:lang w:eastAsia="es-ES_tradnl"/>
        </w:rPr>
        <w:t>La intervención comenzó con una plática informativa para cada grupo</w:t>
      </w:r>
      <w:r w:rsidR="00A43AAE" w:rsidRPr="00532BB5">
        <w:rPr>
          <w:rFonts w:ascii="Arial" w:hAnsi="Arial" w:cs="Arial"/>
          <w:color w:val="000000"/>
          <w:lang w:eastAsia="es-ES_tradnl"/>
        </w:rPr>
        <w:t>,</w:t>
      </w:r>
      <w:r w:rsidR="00266452">
        <w:rPr>
          <w:rFonts w:ascii="Arial" w:hAnsi="Arial" w:cs="Arial"/>
          <w:color w:val="000000"/>
          <w:lang w:eastAsia="es-ES_tradnl"/>
        </w:rPr>
        <w:t xml:space="preserve"> con</w:t>
      </w:r>
      <w:r w:rsidR="00A43AAE" w:rsidRPr="00532BB5">
        <w:rPr>
          <w:rFonts w:ascii="Arial" w:hAnsi="Arial" w:cs="Arial"/>
          <w:color w:val="000000"/>
          <w:lang w:eastAsia="es-ES_tradnl"/>
        </w:rPr>
        <w:t xml:space="preserve"> una sesión de seguimiento. En dichas sesiones los participantes recibieron dos tipos de información: justificaciones e instrucciones. Las justificaciones son los motivos racionales para realizar la conducta (</w:t>
      </w:r>
      <w:proofErr w:type="spellStart"/>
      <w:r w:rsidR="00A43AAE" w:rsidRPr="00532BB5">
        <w:rPr>
          <w:rFonts w:ascii="Arial" w:hAnsi="Arial" w:cs="Arial"/>
          <w:color w:val="000000"/>
          <w:lang w:eastAsia="es-ES_tradnl"/>
        </w:rPr>
        <w:t>Osbaldiston</w:t>
      </w:r>
      <w:proofErr w:type="spellEnd"/>
      <w:r w:rsidR="00A43AAE" w:rsidRPr="00532BB5">
        <w:rPr>
          <w:rFonts w:ascii="Arial" w:hAnsi="Arial" w:cs="Arial"/>
          <w:color w:val="000000"/>
          <w:lang w:eastAsia="es-ES_tradnl"/>
        </w:rPr>
        <w:t xml:space="preserve"> &amp; </w:t>
      </w:r>
      <w:proofErr w:type="spellStart"/>
      <w:r w:rsidR="00A43AAE" w:rsidRPr="00532BB5">
        <w:rPr>
          <w:rFonts w:ascii="Arial" w:hAnsi="Arial" w:cs="Arial"/>
          <w:color w:val="000000"/>
          <w:lang w:eastAsia="es-ES_tradnl"/>
        </w:rPr>
        <w:t>Schott</w:t>
      </w:r>
      <w:proofErr w:type="spellEnd"/>
      <w:r w:rsidR="00A43AAE" w:rsidRPr="00532BB5">
        <w:rPr>
          <w:rFonts w:ascii="Arial" w:hAnsi="Arial" w:cs="Arial"/>
          <w:color w:val="000000"/>
          <w:lang w:eastAsia="es-ES_tradnl"/>
        </w:rPr>
        <w:t>, 2012).</w:t>
      </w:r>
      <w:r w:rsidR="00157707" w:rsidRPr="00532BB5">
        <w:rPr>
          <w:rFonts w:ascii="Arial" w:hAnsi="Arial" w:cs="Arial"/>
          <w:color w:val="000000"/>
          <w:lang w:eastAsia="es-ES_tradnl"/>
        </w:rPr>
        <w:t xml:space="preserve"> </w:t>
      </w:r>
      <w:r w:rsidR="00957232">
        <w:rPr>
          <w:rFonts w:ascii="Arial" w:hAnsi="Arial" w:cs="Arial"/>
          <w:color w:val="000000"/>
          <w:lang w:eastAsia="es-ES_tradnl"/>
        </w:rPr>
        <w:t>En l</w:t>
      </w:r>
      <w:r w:rsidRPr="00532BB5">
        <w:rPr>
          <w:rFonts w:ascii="Arial" w:hAnsi="Arial" w:cs="Arial"/>
          <w:color w:val="000000"/>
          <w:lang w:eastAsia="es-ES_tradnl"/>
        </w:rPr>
        <w:t>a plática</w:t>
      </w:r>
      <w:r w:rsidR="00500C14">
        <w:rPr>
          <w:rFonts w:ascii="Arial" w:hAnsi="Arial" w:cs="Arial"/>
          <w:color w:val="000000"/>
          <w:lang w:eastAsia="es-ES_tradnl"/>
        </w:rPr>
        <w:t xml:space="preserve"> se</w:t>
      </w:r>
      <w:r w:rsidR="00A43AAE" w:rsidRPr="00532BB5">
        <w:rPr>
          <w:rFonts w:ascii="Arial" w:hAnsi="Arial" w:cs="Arial"/>
          <w:color w:val="000000"/>
          <w:lang w:eastAsia="es-ES_tradnl"/>
        </w:rPr>
        <w:t xml:space="preserve"> inform</w:t>
      </w:r>
      <w:r w:rsidR="00500C14">
        <w:rPr>
          <w:rFonts w:ascii="Arial" w:hAnsi="Arial" w:cs="Arial"/>
          <w:color w:val="000000"/>
          <w:lang w:eastAsia="es-ES_tradnl"/>
        </w:rPr>
        <w:t>ó</w:t>
      </w:r>
      <w:r w:rsidR="00A43AAE" w:rsidRPr="00532BB5">
        <w:rPr>
          <w:rFonts w:ascii="Arial" w:hAnsi="Arial" w:cs="Arial"/>
          <w:color w:val="000000"/>
          <w:lang w:eastAsia="es-ES_tradnl"/>
        </w:rPr>
        <w:t xml:space="preserve"> sobre los problemas ocasionados por los residuos sólidos, principalmente el PET; los beneficios ambientales y sociales del reciclaje, la generación de residuos en el campus, el programa de reciclaje de la universidad, los proyectos sociales que se apoyaban con la venta de los materiales reciclables y cómo el reciclaje se ve obstaculizado cuando se mezclan los desechos. </w:t>
      </w:r>
    </w:p>
    <w:p w14:paraId="1FE5ADBC" w14:textId="77777777" w:rsidR="008C1F7C" w:rsidRDefault="008C1F7C" w:rsidP="00A94036">
      <w:pPr>
        <w:ind w:firstLine="720"/>
        <w:jc w:val="both"/>
        <w:rPr>
          <w:rFonts w:ascii="Arial" w:hAnsi="Arial" w:cs="Arial"/>
          <w:color w:val="000000"/>
          <w:lang w:eastAsia="es-ES_tradnl"/>
        </w:rPr>
      </w:pPr>
    </w:p>
    <w:p w14:paraId="58D727BF" w14:textId="410CB76D" w:rsidR="00A43AAE" w:rsidRPr="00532BB5" w:rsidRDefault="00A43AAE" w:rsidP="00A94036">
      <w:pPr>
        <w:ind w:firstLine="720"/>
        <w:jc w:val="both"/>
        <w:rPr>
          <w:rFonts w:ascii="Arial" w:hAnsi="Arial" w:cs="Arial"/>
          <w:color w:val="000000"/>
          <w:lang w:eastAsia="es-ES_tradnl"/>
        </w:rPr>
      </w:pPr>
      <w:r w:rsidRPr="00532BB5">
        <w:rPr>
          <w:rFonts w:ascii="Arial" w:hAnsi="Arial" w:cs="Arial"/>
          <w:color w:val="000000"/>
          <w:lang w:eastAsia="es-ES_tradnl"/>
        </w:rPr>
        <w:t>El otro tipo de información, las instrucciones, indican cómo realizar la conducta (</w:t>
      </w:r>
      <w:proofErr w:type="spellStart"/>
      <w:r w:rsidRPr="00532BB5">
        <w:rPr>
          <w:rFonts w:ascii="Arial" w:hAnsi="Arial" w:cs="Arial"/>
          <w:color w:val="000000"/>
          <w:lang w:eastAsia="es-ES_tradnl"/>
        </w:rPr>
        <w:t>Osbaldiston</w:t>
      </w:r>
      <w:proofErr w:type="spellEnd"/>
      <w:r w:rsidRPr="00532BB5">
        <w:rPr>
          <w:rFonts w:ascii="Arial" w:hAnsi="Arial" w:cs="Arial"/>
          <w:color w:val="000000"/>
          <w:lang w:eastAsia="es-ES_tradnl"/>
        </w:rPr>
        <w:t xml:space="preserve"> &amp; </w:t>
      </w:r>
      <w:proofErr w:type="spellStart"/>
      <w:r w:rsidRPr="00532BB5">
        <w:rPr>
          <w:rFonts w:ascii="Arial" w:hAnsi="Arial" w:cs="Arial"/>
          <w:color w:val="000000"/>
          <w:lang w:eastAsia="es-ES_tradnl"/>
        </w:rPr>
        <w:t>Schott</w:t>
      </w:r>
      <w:proofErr w:type="spellEnd"/>
      <w:r w:rsidRPr="00532BB5">
        <w:rPr>
          <w:rFonts w:ascii="Arial" w:hAnsi="Arial" w:cs="Arial"/>
          <w:color w:val="000000"/>
          <w:lang w:eastAsia="es-ES_tradnl"/>
        </w:rPr>
        <w:t>, 2012). En este caso consistió en explicar cómo hacer la separación de residuos en el campus. Se enfatizó el cómo distinguir el plástico PET. Ambos tipos de información también se proporcionaron por medio de las redes sociales del programa ambiental de la universidad y de carteles en el campus.</w:t>
      </w:r>
    </w:p>
    <w:p w14:paraId="3DA64200" w14:textId="77777777" w:rsidR="008C1F7C" w:rsidRDefault="008C1F7C" w:rsidP="00A94036">
      <w:pPr>
        <w:ind w:firstLine="720"/>
        <w:jc w:val="both"/>
        <w:rPr>
          <w:rFonts w:ascii="Arial" w:hAnsi="Arial" w:cs="Arial"/>
          <w:color w:val="000000"/>
          <w:lang w:eastAsia="es-ES_tradnl"/>
        </w:rPr>
      </w:pPr>
    </w:p>
    <w:p w14:paraId="4DB24CDA" w14:textId="77777777" w:rsidR="001A33D8" w:rsidRDefault="00A43AAE" w:rsidP="00A94036">
      <w:pPr>
        <w:ind w:firstLine="720"/>
        <w:jc w:val="both"/>
        <w:rPr>
          <w:rFonts w:ascii="Arial" w:hAnsi="Arial" w:cs="Arial"/>
          <w:color w:val="000000"/>
          <w:lang w:eastAsia="es-ES_tradnl"/>
        </w:rPr>
      </w:pPr>
      <w:r w:rsidRPr="00532BB5">
        <w:rPr>
          <w:rFonts w:ascii="Arial" w:hAnsi="Arial" w:cs="Arial"/>
          <w:color w:val="000000"/>
          <w:lang w:eastAsia="es-ES_tradnl"/>
        </w:rPr>
        <w:t>El grupo de líderes estudiantiles y el de promotores ambientales, después de haber recibido la plática informativa, llevaron a cabo la difusión social. Esta estrategia consiste en la difusión de información por medio de “modelos”, quienes indican o demuestran que ellos mismos realizan la conducta (</w:t>
      </w:r>
      <w:proofErr w:type="spellStart"/>
      <w:r w:rsidRPr="00532BB5">
        <w:rPr>
          <w:rFonts w:ascii="Arial" w:hAnsi="Arial" w:cs="Arial"/>
          <w:color w:val="000000"/>
          <w:lang w:eastAsia="es-ES_tradnl"/>
        </w:rPr>
        <w:t>Osbaldiston</w:t>
      </w:r>
      <w:proofErr w:type="spellEnd"/>
      <w:r w:rsidRPr="00532BB5">
        <w:rPr>
          <w:rFonts w:ascii="Arial" w:hAnsi="Arial" w:cs="Arial"/>
          <w:color w:val="000000"/>
          <w:lang w:eastAsia="es-ES_tradnl"/>
        </w:rPr>
        <w:t xml:space="preserve"> &amp; </w:t>
      </w:r>
      <w:proofErr w:type="spellStart"/>
      <w:r w:rsidRPr="00532BB5">
        <w:rPr>
          <w:rFonts w:ascii="Arial" w:hAnsi="Arial" w:cs="Arial"/>
          <w:color w:val="000000"/>
          <w:lang w:eastAsia="es-ES_tradnl"/>
        </w:rPr>
        <w:t>Schott</w:t>
      </w:r>
      <w:proofErr w:type="spellEnd"/>
      <w:r w:rsidRPr="00532BB5">
        <w:rPr>
          <w:rFonts w:ascii="Arial" w:hAnsi="Arial" w:cs="Arial"/>
          <w:color w:val="000000"/>
          <w:lang w:eastAsia="es-ES_tradnl"/>
        </w:rPr>
        <w:t>, 2012). Estos dos grupos</w:t>
      </w:r>
      <w:r w:rsidR="00E3693B" w:rsidRPr="00532BB5">
        <w:rPr>
          <w:rFonts w:ascii="Arial" w:hAnsi="Arial" w:cs="Arial"/>
          <w:color w:val="000000"/>
          <w:lang w:eastAsia="es-ES_tradnl"/>
        </w:rPr>
        <w:t xml:space="preserve"> en su mayoría</w:t>
      </w:r>
      <w:r w:rsidRPr="00532BB5">
        <w:rPr>
          <w:rFonts w:ascii="Arial" w:hAnsi="Arial" w:cs="Arial"/>
          <w:color w:val="000000"/>
          <w:lang w:eastAsia="es-ES_tradnl"/>
        </w:rPr>
        <w:t xml:space="preserve"> realizaron la conducta de separación de residuos y motivaron a sus compañeros a hacer lo mismo, difundiendo la información que se les proporcionó en las pláticas, tanto verbalmente como a través de las redes sociales. </w:t>
      </w:r>
      <w:r w:rsidR="00D02F0D" w:rsidRPr="00532BB5">
        <w:rPr>
          <w:rFonts w:ascii="Arial" w:hAnsi="Arial" w:cs="Arial"/>
          <w:color w:val="000000"/>
          <w:lang w:eastAsia="es-ES_tradnl"/>
        </w:rPr>
        <w:t>Las acciones de separación de residuos y de difusión realizadas por cada estudiante de estos dos grupos fueron anotadas en hojas de registros que respondieron cada dos semanas.</w:t>
      </w:r>
      <w:r w:rsidR="00D02F0D">
        <w:rPr>
          <w:rFonts w:ascii="Arial" w:hAnsi="Arial" w:cs="Arial"/>
          <w:color w:val="000000"/>
          <w:lang w:eastAsia="es-ES_tradnl"/>
        </w:rPr>
        <w:t xml:space="preserve"> </w:t>
      </w:r>
    </w:p>
    <w:p w14:paraId="126F5374" w14:textId="77777777" w:rsidR="001A33D8" w:rsidRDefault="001A33D8" w:rsidP="00A94036">
      <w:pPr>
        <w:ind w:firstLine="720"/>
        <w:jc w:val="both"/>
        <w:rPr>
          <w:rFonts w:ascii="Arial" w:hAnsi="Arial" w:cs="Arial"/>
          <w:color w:val="000000"/>
          <w:lang w:eastAsia="es-ES_tradnl"/>
        </w:rPr>
      </w:pPr>
    </w:p>
    <w:p w14:paraId="650E1D07" w14:textId="002D1CF5" w:rsidR="00D02F0D" w:rsidRDefault="00A43AAE" w:rsidP="00A94036">
      <w:pPr>
        <w:ind w:firstLine="720"/>
        <w:jc w:val="both"/>
        <w:rPr>
          <w:rFonts w:ascii="Arial" w:hAnsi="Arial" w:cs="Arial"/>
          <w:color w:val="000000"/>
          <w:lang w:eastAsia="es-ES_tradnl"/>
        </w:rPr>
      </w:pPr>
      <w:r w:rsidRPr="00532BB5">
        <w:rPr>
          <w:rFonts w:ascii="Arial" w:hAnsi="Arial" w:cs="Arial"/>
          <w:color w:val="000000"/>
          <w:lang w:eastAsia="es-ES_tradnl"/>
        </w:rPr>
        <w:t xml:space="preserve">La difusión por medio de las redes sociales se dio compartiendo en las cuentas de las organizaciones estudiantiles las 13 publicaciones sobre separación de residuos del programa ambiental, las cuales llevaban el </w:t>
      </w:r>
      <w:r w:rsidRPr="00532BB5">
        <w:rPr>
          <w:rFonts w:ascii="Arial" w:hAnsi="Arial" w:cs="Arial"/>
          <w:i/>
          <w:iCs/>
          <w:color w:val="000000"/>
          <w:lang w:eastAsia="es-ES_tradnl"/>
        </w:rPr>
        <w:t>hashtag</w:t>
      </w:r>
      <w:r w:rsidRPr="00532BB5">
        <w:rPr>
          <w:rFonts w:ascii="Arial" w:hAnsi="Arial" w:cs="Arial"/>
          <w:color w:val="000000"/>
          <w:lang w:eastAsia="es-ES_tradnl"/>
        </w:rPr>
        <w:t xml:space="preserve"> #</w:t>
      </w:r>
      <w:proofErr w:type="spellStart"/>
      <w:r w:rsidRPr="00532BB5">
        <w:rPr>
          <w:rFonts w:ascii="Arial" w:hAnsi="Arial" w:cs="Arial"/>
          <w:color w:val="000000"/>
          <w:lang w:eastAsia="es-ES_tradnl"/>
        </w:rPr>
        <w:t>SéparteySepara</w:t>
      </w:r>
      <w:proofErr w:type="spellEnd"/>
      <w:r w:rsidR="00E20973">
        <w:rPr>
          <w:rFonts w:ascii="Arial" w:hAnsi="Arial" w:cs="Arial"/>
          <w:color w:val="000000"/>
          <w:lang w:eastAsia="es-ES_tradnl"/>
        </w:rPr>
        <w:t xml:space="preserve"> y se </w:t>
      </w:r>
      <w:r w:rsidR="00F06F75">
        <w:rPr>
          <w:rFonts w:ascii="Arial" w:hAnsi="Arial" w:cs="Arial"/>
          <w:color w:val="000000"/>
          <w:lang w:eastAsia="es-ES_tradnl"/>
        </w:rPr>
        <w:t xml:space="preserve">fueron </w:t>
      </w:r>
      <w:r w:rsidR="00E20973">
        <w:rPr>
          <w:rFonts w:ascii="Arial" w:hAnsi="Arial" w:cs="Arial"/>
          <w:color w:val="000000"/>
          <w:lang w:eastAsia="es-ES_tradnl"/>
        </w:rPr>
        <w:t>publica</w:t>
      </w:r>
      <w:r w:rsidR="00F06F75">
        <w:rPr>
          <w:rFonts w:ascii="Arial" w:hAnsi="Arial" w:cs="Arial"/>
          <w:color w:val="000000"/>
          <w:lang w:eastAsia="es-ES_tradnl"/>
        </w:rPr>
        <w:t>ndo</w:t>
      </w:r>
      <w:r w:rsidR="00E20973">
        <w:rPr>
          <w:rFonts w:ascii="Arial" w:hAnsi="Arial" w:cs="Arial"/>
          <w:color w:val="000000"/>
          <w:lang w:eastAsia="es-ES_tradnl"/>
        </w:rPr>
        <w:t xml:space="preserve"> a lo largo del cuatrimestre</w:t>
      </w:r>
      <w:r w:rsidRPr="00532BB5">
        <w:rPr>
          <w:rFonts w:ascii="Arial" w:hAnsi="Arial" w:cs="Arial"/>
          <w:color w:val="000000"/>
          <w:lang w:eastAsia="es-ES_tradnl"/>
        </w:rPr>
        <w:t xml:space="preserve">. </w:t>
      </w:r>
      <w:r w:rsidR="0059230A">
        <w:rPr>
          <w:rFonts w:ascii="Arial" w:hAnsi="Arial" w:cs="Arial"/>
          <w:color w:val="000000"/>
          <w:lang w:eastAsia="es-ES_tradnl"/>
        </w:rPr>
        <w:t xml:space="preserve">Por medio </w:t>
      </w:r>
      <w:r w:rsidR="002B2B57">
        <w:rPr>
          <w:rFonts w:ascii="Arial" w:hAnsi="Arial" w:cs="Arial"/>
          <w:color w:val="000000"/>
          <w:lang w:eastAsia="es-ES_tradnl"/>
        </w:rPr>
        <w:t xml:space="preserve">de la cuenta de Facebook del </w:t>
      </w:r>
      <w:r w:rsidR="002B2B57">
        <w:rPr>
          <w:rFonts w:ascii="Arial" w:hAnsi="Arial" w:cs="Arial"/>
          <w:color w:val="000000"/>
          <w:lang w:eastAsia="es-ES_tradnl"/>
        </w:rPr>
        <w:lastRenderedPageBreak/>
        <w:t xml:space="preserve">programa ambiental se pudo saber cuántas personas vieron cada publicación, encontrándose que en promedio cada publicación fue vista por 1,162 personas, de las cuales </w:t>
      </w:r>
      <w:r w:rsidR="00E20973">
        <w:rPr>
          <w:rFonts w:ascii="Arial" w:hAnsi="Arial" w:cs="Arial"/>
          <w:color w:val="000000"/>
          <w:lang w:eastAsia="es-ES_tradnl"/>
        </w:rPr>
        <w:t>probablemente</w:t>
      </w:r>
      <w:r w:rsidR="002B2B57">
        <w:rPr>
          <w:rFonts w:ascii="Arial" w:hAnsi="Arial" w:cs="Arial"/>
          <w:color w:val="000000"/>
          <w:lang w:eastAsia="es-ES_tradnl"/>
        </w:rPr>
        <w:t xml:space="preserve"> la mayoría eran estudiantes o miembros de la comunidad universitaria, ya que es más probable que </w:t>
      </w:r>
      <w:r w:rsidR="00996DEC">
        <w:rPr>
          <w:rFonts w:ascii="Arial" w:hAnsi="Arial" w:cs="Arial"/>
          <w:color w:val="000000"/>
          <w:lang w:eastAsia="es-ES_tradnl"/>
        </w:rPr>
        <w:t>esta población</w:t>
      </w:r>
      <w:r w:rsidR="002B2B57">
        <w:rPr>
          <w:rFonts w:ascii="Arial" w:hAnsi="Arial" w:cs="Arial"/>
          <w:color w:val="000000"/>
          <w:lang w:eastAsia="es-ES_tradnl"/>
        </w:rPr>
        <w:t xml:space="preserve"> siguiera la cuenta del programa ambiental y </w:t>
      </w:r>
      <w:r w:rsidR="00E20973">
        <w:rPr>
          <w:rFonts w:ascii="Arial" w:hAnsi="Arial" w:cs="Arial"/>
          <w:color w:val="000000"/>
          <w:lang w:eastAsia="es-ES_tradnl"/>
        </w:rPr>
        <w:t xml:space="preserve">las </w:t>
      </w:r>
      <w:r w:rsidR="002B2B57">
        <w:rPr>
          <w:rFonts w:ascii="Arial" w:hAnsi="Arial" w:cs="Arial"/>
          <w:color w:val="000000"/>
          <w:lang w:eastAsia="es-ES_tradnl"/>
        </w:rPr>
        <w:t xml:space="preserve">de las organizaciones estudiantiles. </w:t>
      </w:r>
    </w:p>
    <w:p w14:paraId="6E8F6A32" w14:textId="77777777" w:rsidR="00276F6A" w:rsidRPr="00532BB5" w:rsidRDefault="00276F6A" w:rsidP="00A94036">
      <w:pPr>
        <w:ind w:firstLine="720"/>
        <w:jc w:val="both"/>
        <w:rPr>
          <w:rFonts w:ascii="Arial" w:hAnsi="Arial" w:cs="Arial"/>
          <w:color w:val="000000"/>
          <w:lang w:eastAsia="es-ES_tradnl"/>
        </w:rPr>
      </w:pPr>
    </w:p>
    <w:p w14:paraId="37D56048" w14:textId="26995ACF" w:rsidR="00F56082" w:rsidRDefault="00F06F75" w:rsidP="00A94036">
      <w:pPr>
        <w:ind w:firstLine="708"/>
        <w:jc w:val="both"/>
        <w:rPr>
          <w:rFonts w:ascii="Arial" w:hAnsi="Arial" w:cs="Arial"/>
          <w:color w:val="000000"/>
          <w:lang w:eastAsia="es-ES_tradnl"/>
        </w:rPr>
      </w:pPr>
      <w:r>
        <w:rPr>
          <w:rFonts w:ascii="Arial" w:hAnsi="Arial" w:cs="Arial"/>
          <w:color w:val="000000"/>
          <w:lang w:eastAsia="es-ES_tradnl"/>
        </w:rPr>
        <w:t>En la segunda mitad</w:t>
      </w:r>
      <w:r w:rsidR="00A43AAE" w:rsidRPr="00532BB5">
        <w:rPr>
          <w:rFonts w:ascii="Arial" w:hAnsi="Arial" w:cs="Arial"/>
          <w:color w:val="000000"/>
          <w:lang w:eastAsia="es-ES_tradnl"/>
        </w:rPr>
        <w:t xml:space="preserve"> del cuatrimestre se introduj</w:t>
      </w:r>
      <w:r>
        <w:rPr>
          <w:rFonts w:ascii="Arial" w:hAnsi="Arial" w:cs="Arial"/>
          <w:color w:val="000000"/>
          <w:lang w:eastAsia="es-ES_tradnl"/>
        </w:rPr>
        <w:t>o</w:t>
      </w:r>
      <w:r w:rsidR="00A43AAE" w:rsidRPr="00532BB5">
        <w:rPr>
          <w:rFonts w:ascii="Arial" w:hAnsi="Arial" w:cs="Arial"/>
          <w:color w:val="000000"/>
          <w:lang w:eastAsia="es-ES_tradnl"/>
        </w:rPr>
        <w:t xml:space="preserve"> la estrategia de recordatorios, los cuales son mensajes que se enfocan en recordar qué hacer</w:t>
      </w:r>
      <w:r w:rsidR="002B2B57">
        <w:rPr>
          <w:rFonts w:ascii="Arial" w:hAnsi="Arial" w:cs="Arial"/>
          <w:color w:val="000000"/>
          <w:lang w:eastAsia="es-ES_tradnl"/>
        </w:rPr>
        <w:t>, pero no dan información general</w:t>
      </w:r>
      <w:r w:rsidR="00A43AAE" w:rsidRPr="00532BB5">
        <w:rPr>
          <w:rFonts w:ascii="Arial" w:hAnsi="Arial" w:cs="Arial"/>
          <w:color w:val="000000"/>
          <w:lang w:eastAsia="es-ES_tradnl"/>
        </w:rPr>
        <w:t xml:space="preserve"> (</w:t>
      </w:r>
      <w:proofErr w:type="spellStart"/>
      <w:r w:rsidR="00A43AAE" w:rsidRPr="00532BB5">
        <w:rPr>
          <w:rFonts w:ascii="Arial" w:hAnsi="Arial" w:cs="Arial"/>
          <w:color w:val="000000"/>
          <w:lang w:eastAsia="es-ES_tradnl"/>
        </w:rPr>
        <w:t>Osbaldiston</w:t>
      </w:r>
      <w:proofErr w:type="spellEnd"/>
      <w:r w:rsidR="00A43AAE" w:rsidRPr="00532BB5">
        <w:rPr>
          <w:rFonts w:ascii="Arial" w:hAnsi="Arial" w:cs="Arial"/>
          <w:color w:val="000000"/>
          <w:lang w:eastAsia="es-ES_tradnl"/>
        </w:rPr>
        <w:t xml:space="preserve"> &amp; </w:t>
      </w:r>
      <w:proofErr w:type="spellStart"/>
      <w:r w:rsidR="00A43AAE" w:rsidRPr="00532BB5">
        <w:rPr>
          <w:rFonts w:ascii="Arial" w:hAnsi="Arial" w:cs="Arial"/>
          <w:color w:val="000000"/>
          <w:lang w:eastAsia="es-ES_tradnl"/>
        </w:rPr>
        <w:t>Schott</w:t>
      </w:r>
      <w:proofErr w:type="spellEnd"/>
      <w:r w:rsidR="00A43AAE" w:rsidRPr="00532BB5">
        <w:rPr>
          <w:rFonts w:ascii="Arial" w:hAnsi="Arial" w:cs="Arial"/>
          <w:color w:val="000000"/>
          <w:lang w:eastAsia="es-ES_tradnl"/>
        </w:rPr>
        <w:t xml:space="preserve">, 2012; </w:t>
      </w:r>
      <w:proofErr w:type="spellStart"/>
      <w:r w:rsidR="00A43AAE" w:rsidRPr="00532BB5">
        <w:rPr>
          <w:rFonts w:ascii="Arial" w:hAnsi="Arial" w:cs="Arial"/>
          <w:color w:val="000000"/>
          <w:lang w:eastAsia="es-ES_tradnl"/>
        </w:rPr>
        <w:t>Trudel</w:t>
      </w:r>
      <w:proofErr w:type="spellEnd"/>
      <w:r w:rsidR="000A45D4">
        <w:rPr>
          <w:rFonts w:ascii="Arial" w:hAnsi="Arial" w:cs="Arial"/>
          <w:color w:val="000000"/>
          <w:lang w:eastAsia="es-ES_tradnl"/>
        </w:rPr>
        <w:t xml:space="preserve"> et al.</w:t>
      </w:r>
      <w:r w:rsidR="00A43AAE" w:rsidRPr="00532BB5">
        <w:rPr>
          <w:rFonts w:ascii="Arial" w:hAnsi="Arial" w:cs="Arial"/>
          <w:color w:val="000000"/>
          <w:lang w:eastAsia="es-ES_tradnl"/>
        </w:rPr>
        <w:t>, 2016). Se implementaron por medio de etiquetas en los contenedores de reciclaje de PET, las cuales recordaban colocar las botellas de agua y refresco en éstos y evitar colocar vasos de café</w:t>
      </w:r>
      <w:r w:rsidR="00197684">
        <w:rPr>
          <w:rFonts w:ascii="Arial" w:hAnsi="Arial" w:cs="Arial"/>
          <w:color w:val="000000"/>
          <w:lang w:eastAsia="es-ES_tradnl"/>
        </w:rPr>
        <w:t xml:space="preserve"> (ver la figura </w:t>
      </w:r>
      <w:r w:rsidR="00814509">
        <w:rPr>
          <w:rFonts w:ascii="Arial" w:hAnsi="Arial" w:cs="Arial"/>
          <w:color w:val="000000"/>
          <w:lang w:eastAsia="es-ES_tradnl"/>
        </w:rPr>
        <w:t>1</w:t>
      </w:r>
      <w:r w:rsidR="00197684">
        <w:rPr>
          <w:rFonts w:ascii="Arial" w:hAnsi="Arial" w:cs="Arial"/>
          <w:color w:val="000000"/>
          <w:lang w:eastAsia="es-ES_tradnl"/>
        </w:rPr>
        <w:t>)</w:t>
      </w:r>
      <w:r w:rsidR="00A43AAE" w:rsidRPr="00532BB5">
        <w:rPr>
          <w:rFonts w:ascii="Arial" w:hAnsi="Arial" w:cs="Arial"/>
          <w:color w:val="000000"/>
          <w:lang w:eastAsia="es-ES_tradnl"/>
        </w:rPr>
        <w:t>. También se colocó un letrero en la principal cafetería de la universidad, el cual recordaba evitar desechar los vasos de café en los contenedores para reciclaje.</w:t>
      </w:r>
    </w:p>
    <w:p w14:paraId="222C2F06" w14:textId="77777777" w:rsidR="00446D25" w:rsidRDefault="00446D25" w:rsidP="00446D25">
      <w:pPr>
        <w:jc w:val="both"/>
        <w:rPr>
          <w:rFonts w:ascii="Arial" w:hAnsi="Arial" w:cs="Arial"/>
          <w:color w:val="000000"/>
          <w:lang w:eastAsia="es-ES_tradnl"/>
        </w:rPr>
      </w:pPr>
    </w:p>
    <w:p w14:paraId="68B64C19" w14:textId="0054B3BD" w:rsidR="00197684" w:rsidRPr="00532BB5" w:rsidRDefault="00197684" w:rsidP="00A94036">
      <w:pPr>
        <w:ind w:firstLine="720"/>
        <w:jc w:val="center"/>
        <w:rPr>
          <w:rFonts w:ascii="Arial" w:hAnsi="Arial" w:cs="Arial"/>
          <w:color w:val="000000"/>
          <w:lang w:eastAsia="es-ES_tradnl"/>
        </w:rPr>
      </w:pPr>
      <w:r>
        <w:rPr>
          <w:rFonts w:ascii="Arial" w:hAnsi="Arial" w:cs="Arial"/>
          <w:noProof/>
          <w:color w:val="000000"/>
          <w:lang w:val="es-ES"/>
        </w:rPr>
        <w:drawing>
          <wp:inline distT="0" distB="0" distL="0" distR="0" wp14:anchorId="4C800797" wp14:editId="0C683952">
            <wp:extent cx="1816100" cy="210191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1104_165045.jpg"/>
                    <pic:cNvPicPr/>
                  </pic:nvPicPr>
                  <pic:blipFill>
                    <a:blip r:embed="rId6"/>
                    <a:stretch>
                      <a:fillRect/>
                    </a:stretch>
                  </pic:blipFill>
                  <pic:spPr>
                    <a:xfrm>
                      <a:off x="0" y="0"/>
                      <a:ext cx="1837954" cy="2127213"/>
                    </a:xfrm>
                    <a:prstGeom prst="rect">
                      <a:avLst/>
                    </a:prstGeom>
                  </pic:spPr>
                </pic:pic>
              </a:graphicData>
            </a:graphic>
          </wp:inline>
        </w:drawing>
      </w:r>
    </w:p>
    <w:p w14:paraId="7A91DF48" w14:textId="77777777" w:rsidR="00446D25" w:rsidRDefault="00446D25" w:rsidP="00A94036">
      <w:pPr>
        <w:ind w:firstLine="708"/>
        <w:jc w:val="center"/>
        <w:rPr>
          <w:rFonts w:ascii="Arial" w:hAnsi="Arial" w:cs="Arial"/>
          <w:color w:val="000000"/>
          <w:lang w:eastAsia="es-ES_tradnl"/>
        </w:rPr>
      </w:pPr>
    </w:p>
    <w:p w14:paraId="6293CA7D" w14:textId="1414BC8B" w:rsidR="00197684" w:rsidRDefault="00197684" w:rsidP="00A94036">
      <w:pPr>
        <w:ind w:firstLine="708"/>
        <w:jc w:val="center"/>
        <w:rPr>
          <w:rFonts w:ascii="Arial" w:hAnsi="Arial" w:cs="Arial"/>
          <w:color w:val="000000"/>
          <w:lang w:eastAsia="es-ES_tradnl"/>
        </w:rPr>
      </w:pPr>
      <w:r>
        <w:rPr>
          <w:rFonts w:ascii="Arial" w:hAnsi="Arial" w:cs="Arial"/>
          <w:color w:val="000000"/>
          <w:lang w:eastAsia="es-ES_tradnl"/>
        </w:rPr>
        <w:t xml:space="preserve">Figura </w:t>
      </w:r>
      <w:r w:rsidR="00814509">
        <w:rPr>
          <w:rFonts w:ascii="Arial" w:hAnsi="Arial" w:cs="Arial"/>
          <w:color w:val="000000"/>
          <w:lang w:eastAsia="es-ES_tradnl"/>
        </w:rPr>
        <w:t>1</w:t>
      </w:r>
      <w:r>
        <w:rPr>
          <w:rFonts w:ascii="Arial" w:hAnsi="Arial" w:cs="Arial"/>
          <w:color w:val="000000"/>
          <w:lang w:eastAsia="es-ES_tradnl"/>
        </w:rPr>
        <w:t>. Etiquetas colocadas en los contenedores de PET.</w:t>
      </w:r>
    </w:p>
    <w:p w14:paraId="62B2EC0D" w14:textId="77777777" w:rsidR="00197684" w:rsidRDefault="00197684" w:rsidP="00A94036">
      <w:pPr>
        <w:ind w:firstLine="708"/>
        <w:jc w:val="both"/>
        <w:rPr>
          <w:rFonts w:ascii="Arial" w:hAnsi="Arial" w:cs="Arial"/>
          <w:color w:val="000000"/>
          <w:lang w:eastAsia="es-ES_tradnl"/>
        </w:rPr>
      </w:pPr>
    </w:p>
    <w:p w14:paraId="6488B5DD" w14:textId="36C0964C" w:rsidR="00B35B92" w:rsidRPr="008C1F7C" w:rsidRDefault="00A43AAE" w:rsidP="00A94036">
      <w:pPr>
        <w:ind w:firstLine="708"/>
        <w:jc w:val="both"/>
        <w:rPr>
          <w:rFonts w:ascii="Arial" w:hAnsi="Arial" w:cs="Arial"/>
          <w:color w:val="000000"/>
          <w:lang w:eastAsia="es-ES_tradnl"/>
        </w:rPr>
      </w:pPr>
      <w:r w:rsidRPr="008C1F7C">
        <w:rPr>
          <w:rFonts w:ascii="Arial" w:hAnsi="Arial" w:cs="Arial"/>
          <w:color w:val="000000"/>
          <w:lang w:eastAsia="es-ES_tradnl"/>
        </w:rPr>
        <w:t>Durante el cuatrimestre, se realizaron registros de la separación del PET cada tres semanas hasta el final del mismo. Asimismo, se aplicó nuevamente el instrumento a los tres grupos después de la intervención. </w:t>
      </w:r>
    </w:p>
    <w:p w14:paraId="0E41C102" w14:textId="0879FBBD" w:rsidR="00B35B92" w:rsidRPr="008C1F7C" w:rsidRDefault="00500C14" w:rsidP="00A94036">
      <w:pPr>
        <w:pStyle w:val="NormalWeb"/>
        <w:ind w:firstLine="708"/>
        <w:jc w:val="both"/>
        <w:rPr>
          <w:rFonts w:ascii="Arial" w:eastAsia="Times New Roman" w:hAnsi="Arial" w:cs="Arial"/>
          <w:lang w:val="es-MX"/>
        </w:rPr>
      </w:pPr>
      <w:r>
        <w:rPr>
          <w:rFonts w:ascii="Arial" w:eastAsia="Times New Roman" w:hAnsi="Arial" w:cs="Arial"/>
        </w:rPr>
        <w:t>E</w:t>
      </w:r>
      <w:r w:rsidR="00B35B92" w:rsidRPr="00B35B92">
        <w:rPr>
          <w:rFonts w:ascii="Arial" w:eastAsia="Times New Roman" w:hAnsi="Arial" w:cs="Arial"/>
          <w:lang w:val="es-MX"/>
        </w:rPr>
        <w:t xml:space="preserve">n la primera etapa </w:t>
      </w:r>
      <w:r w:rsidR="005A12E2" w:rsidRPr="008C1F7C">
        <w:rPr>
          <w:rFonts w:ascii="Arial" w:eastAsia="Times New Roman" w:hAnsi="Arial" w:cs="Arial"/>
          <w:lang w:val="es-MX"/>
        </w:rPr>
        <w:t>de intervención, a partir de los comentarios</w:t>
      </w:r>
      <w:r w:rsidR="009A2DD7">
        <w:rPr>
          <w:rFonts w:ascii="Arial" w:eastAsia="Times New Roman" w:hAnsi="Arial" w:cs="Arial"/>
          <w:lang w:val="es-MX"/>
        </w:rPr>
        <w:t xml:space="preserve"> verbales</w:t>
      </w:r>
      <w:r w:rsidR="005A12E2" w:rsidRPr="008C1F7C">
        <w:rPr>
          <w:rFonts w:ascii="Arial" w:eastAsia="Times New Roman" w:hAnsi="Arial" w:cs="Arial"/>
          <w:lang w:val="es-MX"/>
        </w:rPr>
        <w:t xml:space="preserve"> de los estudiantes</w:t>
      </w:r>
      <w:r>
        <w:rPr>
          <w:rFonts w:ascii="Arial" w:eastAsia="Times New Roman" w:hAnsi="Arial" w:cs="Arial"/>
          <w:lang w:val="es-MX"/>
        </w:rPr>
        <w:t xml:space="preserve"> en las </w:t>
      </w:r>
      <w:r w:rsidR="009A2DD7">
        <w:rPr>
          <w:rFonts w:ascii="Arial" w:eastAsia="Times New Roman" w:hAnsi="Arial" w:cs="Arial"/>
          <w:lang w:val="es-MX"/>
        </w:rPr>
        <w:t>pláticas informativas</w:t>
      </w:r>
      <w:r w:rsidR="005A12E2" w:rsidRPr="008C1F7C">
        <w:rPr>
          <w:rFonts w:ascii="Arial" w:eastAsia="Times New Roman" w:hAnsi="Arial" w:cs="Arial"/>
          <w:lang w:val="es-MX"/>
        </w:rPr>
        <w:t>, se encontró</w:t>
      </w:r>
      <w:r w:rsidR="00B35B92" w:rsidRPr="00B35B92">
        <w:rPr>
          <w:rFonts w:ascii="Arial" w:eastAsia="Times New Roman" w:hAnsi="Arial" w:cs="Arial"/>
          <w:lang w:val="es-MX"/>
        </w:rPr>
        <w:t xml:space="preserve"> que no sabían en dónde colocar los vasos de café desechables</w:t>
      </w:r>
      <w:r w:rsidR="005A12E2" w:rsidRPr="008C1F7C">
        <w:rPr>
          <w:rFonts w:ascii="Arial" w:eastAsia="Times New Roman" w:hAnsi="Arial" w:cs="Arial"/>
          <w:lang w:val="es-MX"/>
        </w:rPr>
        <w:t xml:space="preserve">. </w:t>
      </w:r>
      <w:r w:rsidR="000C358A">
        <w:rPr>
          <w:rFonts w:ascii="Arial" w:eastAsia="Times New Roman" w:hAnsi="Arial" w:cs="Arial"/>
          <w:lang w:val="es-MX"/>
        </w:rPr>
        <w:t>Muchos</w:t>
      </w:r>
      <w:r w:rsidR="005A12E2" w:rsidRPr="008C1F7C">
        <w:rPr>
          <w:rFonts w:ascii="Arial" w:eastAsia="Times New Roman" w:hAnsi="Arial" w:cs="Arial"/>
          <w:lang w:val="es-MX"/>
        </w:rPr>
        <w:t xml:space="preserve"> creían que </w:t>
      </w:r>
      <w:r w:rsidR="00F20250">
        <w:rPr>
          <w:rFonts w:ascii="Arial" w:eastAsia="Times New Roman" w:hAnsi="Arial" w:cs="Arial"/>
          <w:lang w:val="es-MX"/>
        </w:rPr>
        <w:t>éstos</w:t>
      </w:r>
      <w:r w:rsidR="005A12E2" w:rsidRPr="008C1F7C">
        <w:rPr>
          <w:rFonts w:ascii="Arial" w:eastAsia="Times New Roman" w:hAnsi="Arial" w:cs="Arial"/>
          <w:lang w:val="es-MX"/>
        </w:rPr>
        <w:t>, al ser de papel, podían ser reciclados, sin embargo, están hechos de papel encerado, material que no es reciclable</w:t>
      </w:r>
      <w:r w:rsidR="009D7F20">
        <w:rPr>
          <w:rFonts w:ascii="Arial" w:eastAsia="Times New Roman" w:hAnsi="Arial" w:cs="Arial"/>
          <w:lang w:val="es-MX"/>
        </w:rPr>
        <w:t>.</w:t>
      </w:r>
      <w:r w:rsidR="005A12E2" w:rsidRPr="008C1F7C">
        <w:rPr>
          <w:rFonts w:ascii="Arial" w:eastAsia="Times New Roman" w:hAnsi="Arial" w:cs="Arial"/>
          <w:lang w:val="es-MX"/>
        </w:rPr>
        <w:t xml:space="preserve"> </w:t>
      </w:r>
      <w:r w:rsidR="009D7F20">
        <w:rPr>
          <w:rFonts w:ascii="Arial" w:eastAsia="Times New Roman" w:hAnsi="Arial" w:cs="Arial"/>
          <w:lang w:val="es-MX"/>
        </w:rPr>
        <w:t xml:space="preserve">Por esto, en la segunda etapa de intervención, realizada el siguiente cuatrimestre, </w:t>
      </w:r>
      <w:r w:rsidR="00B35B92" w:rsidRPr="00B35B92">
        <w:rPr>
          <w:rFonts w:ascii="Arial" w:eastAsia="Times New Roman" w:hAnsi="Arial" w:cs="Arial"/>
          <w:lang w:val="es-MX"/>
        </w:rPr>
        <w:t xml:space="preserve">se implementaron dos estrategias para indicar que estos vasos debían disponerse en los botes de basura inorgánica. </w:t>
      </w:r>
    </w:p>
    <w:p w14:paraId="52B1E0CB" w14:textId="5932A0C3" w:rsidR="00197684" w:rsidRPr="008C1F7C" w:rsidRDefault="00A43AAE" w:rsidP="00A94036">
      <w:pPr>
        <w:ind w:firstLine="708"/>
        <w:jc w:val="both"/>
        <w:rPr>
          <w:rFonts w:ascii="Arial" w:hAnsi="Arial" w:cs="Arial"/>
          <w:color w:val="000000"/>
          <w:lang w:eastAsia="es-ES_tradnl"/>
        </w:rPr>
      </w:pPr>
      <w:r w:rsidRPr="008C1F7C">
        <w:rPr>
          <w:rFonts w:ascii="Arial" w:hAnsi="Arial" w:cs="Arial"/>
          <w:color w:val="000000"/>
          <w:lang w:eastAsia="es-ES_tradnl"/>
        </w:rPr>
        <w:t xml:space="preserve">Antes de </w:t>
      </w:r>
      <w:r w:rsidR="009D7F20">
        <w:rPr>
          <w:rFonts w:ascii="Arial" w:hAnsi="Arial" w:cs="Arial"/>
          <w:color w:val="000000"/>
          <w:lang w:eastAsia="es-ES_tradnl"/>
        </w:rPr>
        <w:t>implementar dichas estrategias</w:t>
      </w:r>
      <w:r w:rsidRPr="008C1F7C">
        <w:rPr>
          <w:rFonts w:ascii="Arial" w:hAnsi="Arial" w:cs="Arial"/>
          <w:color w:val="000000"/>
          <w:lang w:eastAsia="es-ES_tradnl"/>
        </w:rPr>
        <w:t>, se llevó a cabo el registro de la separación del PET de una semana, como línea base de la segunda etapa de intervención. Posteriormente se implement</w:t>
      </w:r>
      <w:r w:rsidR="009D7F20">
        <w:rPr>
          <w:rFonts w:ascii="Arial" w:hAnsi="Arial" w:cs="Arial"/>
          <w:color w:val="000000"/>
          <w:lang w:eastAsia="es-ES_tradnl"/>
        </w:rPr>
        <w:t>aron las estrategias.</w:t>
      </w:r>
      <w:r w:rsidRPr="008C1F7C">
        <w:rPr>
          <w:rFonts w:ascii="Arial" w:hAnsi="Arial" w:cs="Arial"/>
          <w:color w:val="000000"/>
          <w:lang w:eastAsia="es-ES_tradnl"/>
        </w:rPr>
        <w:t xml:space="preserve"> </w:t>
      </w:r>
      <w:r w:rsidR="009D7F20">
        <w:rPr>
          <w:rFonts w:ascii="Arial" w:hAnsi="Arial" w:cs="Arial"/>
          <w:color w:val="000000"/>
          <w:lang w:eastAsia="es-ES_tradnl"/>
        </w:rPr>
        <w:t>La primera fueron</w:t>
      </w:r>
      <w:r w:rsidRPr="008C1F7C">
        <w:rPr>
          <w:rFonts w:ascii="Arial" w:hAnsi="Arial" w:cs="Arial"/>
          <w:color w:val="000000"/>
          <w:lang w:eastAsia="es-ES_tradnl"/>
        </w:rPr>
        <w:t xml:space="preserve"> etiquetas en los botes de basura inorgánica, las cuales indicaban que los vasos de café se debían colocar en éstos</w:t>
      </w:r>
      <w:r w:rsidR="00197684" w:rsidRPr="008C1F7C">
        <w:rPr>
          <w:rFonts w:ascii="Arial" w:hAnsi="Arial" w:cs="Arial"/>
          <w:color w:val="000000"/>
          <w:lang w:eastAsia="es-ES_tradnl"/>
        </w:rPr>
        <w:t xml:space="preserve"> (ver la figura </w:t>
      </w:r>
      <w:r w:rsidR="00814509">
        <w:rPr>
          <w:rFonts w:ascii="Arial" w:hAnsi="Arial" w:cs="Arial"/>
          <w:color w:val="000000"/>
          <w:lang w:eastAsia="es-ES_tradnl"/>
        </w:rPr>
        <w:t>2</w:t>
      </w:r>
      <w:r w:rsidR="00197684" w:rsidRPr="008C1F7C">
        <w:rPr>
          <w:rFonts w:ascii="Arial" w:hAnsi="Arial" w:cs="Arial"/>
          <w:color w:val="000000"/>
          <w:lang w:eastAsia="es-ES_tradnl"/>
        </w:rPr>
        <w:t>)</w:t>
      </w:r>
      <w:r w:rsidRPr="008C1F7C">
        <w:rPr>
          <w:rFonts w:ascii="Arial" w:hAnsi="Arial" w:cs="Arial"/>
          <w:color w:val="000000"/>
          <w:lang w:eastAsia="es-ES_tradnl"/>
        </w:rPr>
        <w:t xml:space="preserve">. </w:t>
      </w:r>
    </w:p>
    <w:p w14:paraId="468F7840" w14:textId="77777777" w:rsidR="00197684" w:rsidRDefault="00197684" w:rsidP="00A94036">
      <w:pPr>
        <w:jc w:val="both"/>
        <w:rPr>
          <w:rFonts w:ascii="Arial" w:hAnsi="Arial" w:cs="Arial"/>
          <w:color w:val="000000"/>
          <w:lang w:eastAsia="es-ES_tradnl"/>
        </w:rPr>
      </w:pPr>
    </w:p>
    <w:p w14:paraId="20B08F3D" w14:textId="58ADBF57" w:rsidR="00197684" w:rsidRDefault="00197684" w:rsidP="00A94036">
      <w:pPr>
        <w:jc w:val="center"/>
        <w:rPr>
          <w:rFonts w:ascii="Arial" w:hAnsi="Arial" w:cs="Arial"/>
          <w:color w:val="000000"/>
          <w:lang w:eastAsia="es-ES_tradnl"/>
        </w:rPr>
      </w:pPr>
      <w:r>
        <w:rPr>
          <w:rFonts w:ascii="Arial" w:hAnsi="Arial" w:cs="Arial"/>
          <w:noProof/>
          <w:color w:val="000000"/>
          <w:lang w:val="es-ES"/>
        </w:rPr>
        <w:lastRenderedPageBreak/>
        <w:drawing>
          <wp:inline distT="0" distB="0" distL="0" distR="0" wp14:anchorId="58BFF77E" wp14:editId="22C2AC29">
            <wp:extent cx="1357359" cy="24130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0207_124209.jpg"/>
                    <pic:cNvPicPr/>
                  </pic:nvPicPr>
                  <pic:blipFill>
                    <a:blip r:embed="rId7"/>
                    <a:stretch>
                      <a:fillRect/>
                    </a:stretch>
                  </pic:blipFill>
                  <pic:spPr>
                    <a:xfrm>
                      <a:off x="0" y="0"/>
                      <a:ext cx="1369314" cy="2434253"/>
                    </a:xfrm>
                    <a:prstGeom prst="rect">
                      <a:avLst/>
                    </a:prstGeom>
                  </pic:spPr>
                </pic:pic>
              </a:graphicData>
            </a:graphic>
          </wp:inline>
        </w:drawing>
      </w:r>
    </w:p>
    <w:p w14:paraId="4B2245F1" w14:textId="77777777" w:rsidR="00446D25" w:rsidRDefault="00446D25" w:rsidP="00A94036">
      <w:pPr>
        <w:jc w:val="center"/>
        <w:rPr>
          <w:rFonts w:ascii="Arial" w:hAnsi="Arial" w:cs="Arial"/>
          <w:color w:val="000000"/>
          <w:lang w:eastAsia="es-ES_tradnl"/>
        </w:rPr>
      </w:pPr>
    </w:p>
    <w:p w14:paraId="1C92416D" w14:textId="492FD59A" w:rsidR="00197684" w:rsidRDefault="00197684" w:rsidP="00A94036">
      <w:pPr>
        <w:jc w:val="center"/>
        <w:rPr>
          <w:rFonts w:ascii="Arial" w:hAnsi="Arial" w:cs="Arial"/>
          <w:color w:val="000000"/>
          <w:lang w:eastAsia="es-ES_tradnl"/>
        </w:rPr>
      </w:pPr>
      <w:r>
        <w:rPr>
          <w:rFonts w:ascii="Arial" w:hAnsi="Arial" w:cs="Arial"/>
          <w:color w:val="000000"/>
          <w:lang w:eastAsia="es-ES_tradnl"/>
        </w:rPr>
        <w:t xml:space="preserve">Figura </w:t>
      </w:r>
      <w:r w:rsidR="00814509">
        <w:rPr>
          <w:rFonts w:ascii="Arial" w:hAnsi="Arial" w:cs="Arial"/>
          <w:color w:val="000000"/>
          <w:lang w:eastAsia="es-ES_tradnl"/>
        </w:rPr>
        <w:t>2</w:t>
      </w:r>
      <w:r>
        <w:rPr>
          <w:rFonts w:ascii="Arial" w:hAnsi="Arial" w:cs="Arial"/>
          <w:color w:val="000000"/>
          <w:lang w:eastAsia="es-ES_tradnl"/>
        </w:rPr>
        <w:t>. Etiqueta en los contenedores de basura inorgánica.</w:t>
      </w:r>
    </w:p>
    <w:p w14:paraId="66065751" w14:textId="77777777" w:rsidR="00197684" w:rsidRDefault="00197684" w:rsidP="00A94036">
      <w:pPr>
        <w:jc w:val="both"/>
        <w:rPr>
          <w:rFonts w:ascii="Arial" w:hAnsi="Arial" w:cs="Arial"/>
          <w:color w:val="000000"/>
          <w:lang w:eastAsia="es-ES_tradnl"/>
        </w:rPr>
      </w:pPr>
    </w:p>
    <w:p w14:paraId="152C449F" w14:textId="1E4977A9" w:rsidR="00A43AAE" w:rsidRDefault="00F20250" w:rsidP="00A94036">
      <w:pPr>
        <w:ind w:firstLine="708"/>
        <w:jc w:val="both"/>
        <w:rPr>
          <w:rFonts w:ascii="Arial" w:hAnsi="Arial" w:cs="Arial"/>
          <w:color w:val="000000"/>
          <w:lang w:eastAsia="es-ES_tradnl"/>
        </w:rPr>
      </w:pPr>
      <w:r>
        <w:rPr>
          <w:rFonts w:ascii="Arial" w:hAnsi="Arial" w:cs="Arial"/>
          <w:color w:val="000000"/>
          <w:lang w:eastAsia="es-ES_tradnl"/>
        </w:rPr>
        <w:t>La segunda estrategia fueron</w:t>
      </w:r>
      <w:r w:rsidR="00A43AAE" w:rsidRPr="00532BB5">
        <w:rPr>
          <w:rFonts w:ascii="Arial" w:hAnsi="Arial" w:cs="Arial"/>
          <w:color w:val="000000"/>
          <w:lang w:eastAsia="es-ES_tradnl"/>
        </w:rPr>
        <w:t xml:space="preserve"> sellos </w:t>
      </w:r>
      <w:r>
        <w:rPr>
          <w:rFonts w:ascii="Arial" w:hAnsi="Arial" w:cs="Arial"/>
          <w:color w:val="000000"/>
          <w:lang w:eastAsia="es-ES_tradnl"/>
        </w:rPr>
        <w:t xml:space="preserve">que se aplicaron </w:t>
      </w:r>
      <w:r w:rsidR="00A43AAE" w:rsidRPr="00532BB5">
        <w:rPr>
          <w:rFonts w:ascii="Arial" w:hAnsi="Arial" w:cs="Arial"/>
          <w:color w:val="000000"/>
          <w:lang w:eastAsia="es-ES_tradnl"/>
        </w:rPr>
        <w:t>en las mangas de 800 vasos de café de la cafetería principal del campus, los cuales recordaban colocar estos vasos en los botes de basura inorgánica</w:t>
      </w:r>
      <w:r w:rsidR="00197684">
        <w:rPr>
          <w:rFonts w:ascii="Arial" w:hAnsi="Arial" w:cs="Arial"/>
          <w:color w:val="000000"/>
          <w:lang w:eastAsia="es-ES_tradnl"/>
        </w:rPr>
        <w:t xml:space="preserve"> (ver la figura </w:t>
      </w:r>
      <w:r w:rsidR="00814509">
        <w:rPr>
          <w:rFonts w:ascii="Arial" w:hAnsi="Arial" w:cs="Arial"/>
          <w:color w:val="000000"/>
          <w:lang w:eastAsia="es-ES_tradnl"/>
        </w:rPr>
        <w:t>3</w:t>
      </w:r>
      <w:r w:rsidR="00197684">
        <w:rPr>
          <w:rFonts w:ascii="Arial" w:hAnsi="Arial" w:cs="Arial"/>
          <w:color w:val="000000"/>
          <w:lang w:eastAsia="es-ES_tradnl"/>
        </w:rPr>
        <w:t>)</w:t>
      </w:r>
      <w:r w:rsidR="00A43AAE" w:rsidRPr="00532BB5">
        <w:rPr>
          <w:rFonts w:ascii="Arial" w:hAnsi="Arial" w:cs="Arial"/>
          <w:color w:val="000000"/>
          <w:lang w:eastAsia="es-ES_tradnl"/>
        </w:rPr>
        <w:t xml:space="preserve">. Durante este cuatrimestre se realizaron registros de la separación del PET </w:t>
      </w:r>
      <w:r w:rsidR="00E3693B" w:rsidRPr="00532BB5">
        <w:rPr>
          <w:rFonts w:ascii="Arial" w:hAnsi="Arial" w:cs="Arial"/>
          <w:color w:val="000000"/>
          <w:lang w:eastAsia="es-ES_tradnl"/>
        </w:rPr>
        <w:t xml:space="preserve">en los contenedores </w:t>
      </w:r>
      <w:r w:rsidR="00A43AAE" w:rsidRPr="00532BB5">
        <w:rPr>
          <w:rFonts w:ascii="Arial" w:hAnsi="Arial" w:cs="Arial"/>
          <w:color w:val="000000"/>
          <w:lang w:eastAsia="es-ES_tradnl"/>
        </w:rPr>
        <w:t>cada dos semanas hasta finalizar el cuatrimestre.</w:t>
      </w:r>
      <w:r w:rsidR="00F06F75">
        <w:rPr>
          <w:rFonts w:ascii="Arial" w:hAnsi="Arial" w:cs="Arial"/>
          <w:color w:val="000000"/>
          <w:lang w:eastAsia="es-ES_tradnl"/>
        </w:rPr>
        <w:t xml:space="preserve"> </w:t>
      </w:r>
    </w:p>
    <w:p w14:paraId="4345846D" w14:textId="77777777" w:rsidR="00197684" w:rsidRDefault="00197684" w:rsidP="00A94036">
      <w:pPr>
        <w:ind w:firstLine="708"/>
        <w:jc w:val="both"/>
        <w:rPr>
          <w:rFonts w:ascii="Arial" w:hAnsi="Arial" w:cs="Arial"/>
          <w:color w:val="000000"/>
          <w:lang w:eastAsia="es-ES_tradnl"/>
        </w:rPr>
      </w:pPr>
    </w:p>
    <w:p w14:paraId="71C5A6DE" w14:textId="685959BB" w:rsidR="00197684" w:rsidRDefault="00197684" w:rsidP="00A94036">
      <w:pPr>
        <w:jc w:val="center"/>
        <w:rPr>
          <w:rFonts w:ascii="Arial" w:hAnsi="Arial" w:cs="Arial"/>
          <w:color w:val="000000"/>
          <w:lang w:eastAsia="es-ES_tradnl"/>
        </w:rPr>
      </w:pPr>
      <w:r>
        <w:rPr>
          <w:rFonts w:ascii="Arial" w:hAnsi="Arial" w:cs="Arial"/>
          <w:noProof/>
          <w:color w:val="000000"/>
          <w:lang w:val="es-ES"/>
        </w:rPr>
        <w:drawing>
          <wp:inline distT="0" distB="0" distL="0" distR="0" wp14:anchorId="46D44901" wp14:editId="2D83E6FB">
            <wp:extent cx="1409700" cy="23166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170515-WA0000.jpg"/>
                    <pic:cNvPicPr/>
                  </pic:nvPicPr>
                  <pic:blipFill>
                    <a:blip r:embed="rId8"/>
                    <a:stretch>
                      <a:fillRect/>
                    </a:stretch>
                  </pic:blipFill>
                  <pic:spPr>
                    <a:xfrm>
                      <a:off x="0" y="0"/>
                      <a:ext cx="1418280" cy="2330762"/>
                    </a:xfrm>
                    <a:prstGeom prst="rect">
                      <a:avLst/>
                    </a:prstGeom>
                  </pic:spPr>
                </pic:pic>
              </a:graphicData>
            </a:graphic>
          </wp:inline>
        </w:drawing>
      </w:r>
    </w:p>
    <w:p w14:paraId="0870FE99" w14:textId="77777777" w:rsidR="00446D25" w:rsidRDefault="00446D25" w:rsidP="00A94036">
      <w:pPr>
        <w:jc w:val="center"/>
        <w:rPr>
          <w:rFonts w:ascii="Arial" w:hAnsi="Arial" w:cs="Arial"/>
          <w:color w:val="000000"/>
          <w:lang w:eastAsia="es-ES_tradnl"/>
        </w:rPr>
      </w:pPr>
    </w:p>
    <w:p w14:paraId="70AC7F91" w14:textId="7CE215F3" w:rsidR="00197684" w:rsidRPr="00532BB5" w:rsidRDefault="00197684" w:rsidP="00A94036">
      <w:pPr>
        <w:jc w:val="center"/>
        <w:rPr>
          <w:rFonts w:ascii="Arial" w:hAnsi="Arial" w:cs="Arial"/>
          <w:color w:val="000000"/>
          <w:lang w:eastAsia="es-ES_tradnl"/>
        </w:rPr>
      </w:pPr>
      <w:r>
        <w:rPr>
          <w:rFonts w:ascii="Arial" w:hAnsi="Arial" w:cs="Arial"/>
          <w:color w:val="000000"/>
          <w:lang w:eastAsia="es-ES_tradnl"/>
        </w:rPr>
        <w:t xml:space="preserve">Figura </w:t>
      </w:r>
      <w:r w:rsidR="00814509">
        <w:rPr>
          <w:rFonts w:ascii="Arial" w:hAnsi="Arial" w:cs="Arial"/>
          <w:color w:val="000000"/>
          <w:lang w:eastAsia="es-ES_tradnl"/>
        </w:rPr>
        <w:t>3</w:t>
      </w:r>
      <w:r>
        <w:rPr>
          <w:rFonts w:ascii="Arial" w:hAnsi="Arial" w:cs="Arial"/>
          <w:color w:val="000000"/>
          <w:lang w:eastAsia="es-ES_tradnl"/>
        </w:rPr>
        <w:t>. Sello en las mangas de los vasos de café.</w:t>
      </w:r>
      <w:r w:rsidR="00D25A29">
        <w:rPr>
          <w:rFonts w:ascii="Arial" w:hAnsi="Arial" w:cs="Arial"/>
          <w:color w:val="000000"/>
          <w:lang w:eastAsia="es-ES_tradnl"/>
        </w:rPr>
        <w:t xml:space="preserve"> </w:t>
      </w:r>
    </w:p>
    <w:p w14:paraId="0B3A1DB5" w14:textId="71E3D5AC" w:rsidR="00F06F75" w:rsidRDefault="00F06F75" w:rsidP="00446D25">
      <w:pPr>
        <w:rPr>
          <w:rFonts w:ascii="Arial" w:hAnsi="Arial" w:cs="Arial"/>
          <w:b/>
          <w:color w:val="000000"/>
          <w:lang w:eastAsia="es-ES_tradnl"/>
        </w:rPr>
      </w:pPr>
    </w:p>
    <w:p w14:paraId="4C891A20" w14:textId="77777777" w:rsidR="00446D25" w:rsidRDefault="00446D25" w:rsidP="00446D25">
      <w:pPr>
        <w:rPr>
          <w:rFonts w:ascii="Arial" w:hAnsi="Arial" w:cs="Arial"/>
          <w:b/>
          <w:color w:val="000000"/>
          <w:lang w:eastAsia="es-ES_tradnl"/>
        </w:rPr>
      </w:pPr>
    </w:p>
    <w:p w14:paraId="716AF603" w14:textId="66880524" w:rsidR="00A43AAE" w:rsidRDefault="00A43AAE" w:rsidP="00A94036">
      <w:pPr>
        <w:ind w:firstLine="720"/>
        <w:jc w:val="center"/>
        <w:rPr>
          <w:rFonts w:ascii="Arial" w:hAnsi="Arial" w:cs="Arial"/>
          <w:b/>
          <w:color w:val="000000"/>
          <w:lang w:eastAsia="es-ES_tradnl"/>
        </w:rPr>
      </w:pPr>
      <w:r w:rsidRPr="00532BB5">
        <w:rPr>
          <w:rFonts w:ascii="Arial" w:hAnsi="Arial" w:cs="Arial"/>
          <w:b/>
          <w:color w:val="000000"/>
          <w:lang w:eastAsia="es-ES_tradnl"/>
        </w:rPr>
        <w:t>Resultados</w:t>
      </w:r>
    </w:p>
    <w:p w14:paraId="2D4602A0" w14:textId="77777777" w:rsidR="008C1F7C" w:rsidRPr="008C1F7C" w:rsidRDefault="008C1F7C" w:rsidP="00A94036">
      <w:pPr>
        <w:ind w:firstLine="720"/>
        <w:jc w:val="center"/>
        <w:rPr>
          <w:rFonts w:ascii="Arial" w:hAnsi="Arial" w:cs="Arial"/>
          <w:color w:val="000000"/>
          <w:lang w:eastAsia="es-ES_tradnl"/>
        </w:rPr>
      </w:pPr>
    </w:p>
    <w:p w14:paraId="5F184BC1" w14:textId="54C8D301" w:rsidR="00D25A29" w:rsidRDefault="00E3693B" w:rsidP="00A94036">
      <w:pPr>
        <w:jc w:val="both"/>
        <w:rPr>
          <w:rFonts w:ascii="Arial" w:hAnsi="Arial" w:cs="Arial"/>
          <w:color w:val="000000"/>
          <w:lang w:eastAsia="es-ES_tradnl"/>
        </w:rPr>
      </w:pPr>
      <w:r w:rsidRPr="00532BB5">
        <w:rPr>
          <w:rFonts w:ascii="Arial" w:hAnsi="Arial" w:cs="Arial"/>
          <w:color w:val="000000"/>
          <w:lang w:eastAsia="es-ES_tradnl"/>
        </w:rPr>
        <w:t>Debido a que después de la intervención</w:t>
      </w:r>
      <w:r w:rsidR="00A43AAE" w:rsidRPr="00532BB5">
        <w:rPr>
          <w:rFonts w:ascii="Arial" w:hAnsi="Arial" w:cs="Arial"/>
          <w:color w:val="000000"/>
          <w:lang w:eastAsia="es-ES_tradnl"/>
        </w:rPr>
        <w:t xml:space="preserve"> hubo una reducción en el número de participantes que respondi</w:t>
      </w:r>
      <w:r w:rsidRPr="00532BB5">
        <w:rPr>
          <w:rFonts w:ascii="Arial" w:hAnsi="Arial" w:cs="Arial"/>
          <w:color w:val="000000"/>
          <w:lang w:eastAsia="es-ES_tradnl"/>
        </w:rPr>
        <w:t xml:space="preserve">eron el instrumento, </w:t>
      </w:r>
      <w:r w:rsidR="00A43AAE" w:rsidRPr="00532BB5">
        <w:rPr>
          <w:rFonts w:ascii="Arial" w:hAnsi="Arial" w:cs="Arial"/>
          <w:color w:val="000000"/>
          <w:lang w:eastAsia="es-ES_tradnl"/>
        </w:rPr>
        <w:t>para las prueba</w:t>
      </w:r>
      <w:r w:rsidR="00762C9E">
        <w:rPr>
          <w:rFonts w:ascii="Arial" w:hAnsi="Arial" w:cs="Arial"/>
          <w:color w:val="000000"/>
          <w:lang w:eastAsia="es-ES_tradnl"/>
        </w:rPr>
        <w:t>s</w:t>
      </w:r>
      <w:r w:rsidR="00A43AAE" w:rsidRPr="00532BB5">
        <w:rPr>
          <w:rFonts w:ascii="Arial" w:hAnsi="Arial" w:cs="Arial"/>
          <w:color w:val="000000"/>
          <w:lang w:eastAsia="es-ES_tradnl"/>
        </w:rPr>
        <w:t xml:space="preserve"> estadísticas de evaluación de la intervención se decidió juntar al grupo de líderes estudiantiles y al de promotores ambientales, ya que ambos eran pequeños y tuvieron el mismo rol de difusores dentro de la investigación. </w:t>
      </w:r>
    </w:p>
    <w:p w14:paraId="2F6CD531" w14:textId="3BC9A3E4" w:rsidR="00A43AAE" w:rsidRPr="00532BB5" w:rsidRDefault="00D25A29" w:rsidP="00446D25">
      <w:pPr>
        <w:jc w:val="both"/>
        <w:rPr>
          <w:rFonts w:ascii="Arial" w:hAnsi="Arial" w:cs="Arial"/>
          <w:color w:val="000000"/>
          <w:lang w:eastAsia="es-ES_tradnl"/>
        </w:rPr>
      </w:pPr>
      <w:r>
        <w:rPr>
          <w:rFonts w:ascii="Arial" w:hAnsi="Arial" w:cs="Arial"/>
          <w:color w:val="000000"/>
          <w:lang w:eastAsia="es-ES_tradnl"/>
        </w:rPr>
        <w:lastRenderedPageBreak/>
        <w:tab/>
      </w:r>
      <w:r w:rsidR="0048659C">
        <w:rPr>
          <w:rFonts w:ascii="Arial" w:hAnsi="Arial" w:cs="Arial"/>
          <w:color w:val="000000"/>
          <w:lang w:eastAsia="es-ES_tradnl"/>
        </w:rPr>
        <w:t xml:space="preserve">Al realizar las pruebas estadísticas para determinar si hubo diferencias entre los resultados del </w:t>
      </w:r>
      <w:proofErr w:type="spellStart"/>
      <w:r w:rsidR="0048659C">
        <w:rPr>
          <w:rFonts w:ascii="Arial" w:hAnsi="Arial" w:cs="Arial"/>
          <w:color w:val="000000"/>
          <w:lang w:eastAsia="es-ES_tradnl"/>
        </w:rPr>
        <w:t>pretest</w:t>
      </w:r>
      <w:proofErr w:type="spellEnd"/>
      <w:r w:rsidR="0048659C">
        <w:rPr>
          <w:rFonts w:ascii="Arial" w:hAnsi="Arial" w:cs="Arial"/>
          <w:color w:val="000000"/>
          <w:lang w:eastAsia="es-ES_tradnl"/>
        </w:rPr>
        <w:t xml:space="preserve"> y el </w:t>
      </w:r>
      <w:proofErr w:type="spellStart"/>
      <w:r w:rsidR="0048659C">
        <w:rPr>
          <w:rFonts w:ascii="Arial" w:hAnsi="Arial" w:cs="Arial"/>
          <w:color w:val="000000"/>
          <w:lang w:eastAsia="es-ES_tradnl"/>
        </w:rPr>
        <w:t>postest</w:t>
      </w:r>
      <w:proofErr w:type="spellEnd"/>
      <w:r w:rsidR="0048659C">
        <w:rPr>
          <w:rFonts w:ascii="Arial" w:hAnsi="Arial" w:cs="Arial"/>
          <w:color w:val="000000"/>
          <w:lang w:eastAsia="es-ES_tradnl"/>
        </w:rPr>
        <w:t xml:space="preserve"> en cada grupo, se encontró que d</w:t>
      </w:r>
      <w:r w:rsidRPr="00532BB5">
        <w:rPr>
          <w:rFonts w:ascii="Arial" w:hAnsi="Arial" w:cs="Arial"/>
          <w:color w:val="000000"/>
          <w:lang w:eastAsia="es-ES_tradnl"/>
        </w:rPr>
        <w:t>espués de la implementación del programa de intervención aumentaron de manera estadísticamente significativa las variables de conciencia de consecuencias y sentimiento de molestia del grupo de estudiantes de ingeniería, así como esta última del grupo de estudiantes difusores</w:t>
      </w:r>
      <w:r>
        <w:rPr>
          <w:rFonts w:ascii="Arial" w:hAnsi="Arial" w:cs="Arial"/>
          <w:color w:val="000000"/>
          <w:lang w:eastAsia="es-ES_tradnl"/>
        </w:rPr>
        <w:t>, como se muestra en las tablas 3 y 4</w:t>
      </w:r>
      <w:r w:rsidRPr="00532BB5">
        <w:rPr>
          <w:rFonts w:ascii="Arial" w:hAnsi="Arial" w:cs="Arial"/>
          <w:color w:val="000000"/>
          <w:lang w:eastAsia="es-ES_tradnl"/>
        </w:rPr>
        <w:t>.</w:t>
      </w:r>
      <w:r w:rsidR="00A43AAE" w:rsidRPr="00532BB5">
        <w:rPr>
          <w:rFonts w:ascii="Arial" w:hAnsi="Arial" w:cs="Arial"/>
          <w:color w:val="000000"/>
          <w:lang w:eastAsia="es-ES_tradnl"/>
        </w:rPr>
        <w:t> </w:t>
      </w:r>
    </w:p>
    <w:p w14:paraId="0C98FEA4" w14:textId="77777777" w:rsidR="002E1655" w:rsidRPr="00532BB5" w:rsidRDefault="002E1655" w:rsidP="00A94036">
      <w:pPr>
        <w:jc w:val="both"/>
        <w:rPr>
          <w:rFonts w:ascii="Arial" w:hAnsi="Arial" w:cs="Arial"/>
          <w:color w:val="000000"/>
          <w:lang w:eastAsia="es-ES_tradnl"/>
        </w:rPr>
      </w:pPr>
    </w:p>
    <w:p w14:paraId="6D0EA1F1" w14:textId="0B8F59C1" w:rsidR="00A43AAE"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 Tabla 3</w:t>
      </w:r>
    </w:p>
    <w:p w14:paraId="6A4BB7DA" w14:textId="39B014E2" w:rsidR="005B6016" w:rsidRPr="00532BB5" w:rsidRDefault="00A43AAE" w:rsidP="00A94036">
      <w:pPr>
        <w:jc w:val="both"/>
        <w:rPr>
          <w:rFonts w:ascii="Arial" w:hAnsi="Arial" w:cs="Arial"/>
          <w:i/>
          <w:iCs/>
          <w:color w:val="000000"/>
          <w:lang w:eastAsia="es-ES_tradnl"/>
        </w:rPr>
      </w:pPr>
      <w:r w:rsidRPr="00532BB5">
        <w:rPr>
          <w:rFonts w:ascii="Arial" w:hAnsi="Arial" w:cs="Arial"/>
          <w:i/>
          <w:iCs/>
          <w:color w:val="000000"/>
          <w:lang w:eastAsia="es-ES_tradnl"/>
        </w:rPr>
        <w:t xml:space="preserve">Prueba de </w:t>
      </w:r>
      <w:proofErr w:type="spellStart"/>
      <w:r w:rsidRPr="00532BB5">
        <w:rPr>
          <w:rFonts w:ascii="Arial" w:hAnsi="Arial" w:cs="Arial"/>
          <w:i/>
          <w:iCs/>
          <w:color w:val="000000"/>
          <w:lang w:eastAsia="es-ES_tradnl"/>
        </w:rPr>
        <w:t>Wilcoxon</w:t>
      </w:r>
      <w:proofErr w:type="spellEnd"/>
      <w:r w:rsidRPr="00532BB5">
        <w:rPr>
          <w:rFonts w:ascii="Arial" w:hAnsi="Arial" w:cs="Arial"/>
          <w:i/>
          <w:iCs/>
          <w:color w:val="000000"/>
          <w:lang w:eastAsia="es-ES_tradnl"/>
        </w:rPr>
        <w:t xml:space="preserve"> para diferencias entre el </w:t>
      </w:r>
      <w:proofErr w:type="spellStart"/>
      <w:r w:rsidRPr="00532BB5">
        <w:rPr>
          <w:rFonts w:ascii="Arial" w:hAnsi="Arial" w:cs="Arial"/>
          <w:i/>
          <w:iCs/>
          <w:color w:val="000000"/>
          <w:lang w:eastAsia="es-ES_tradnl"/>
        </w:rPr>
        <w:t>pretest</w:t>
      </w:r>
      <w:proofErr w:type="spellEnd"/>
      <w:r w:rsidRPr="00532BB5">
        <w:rPr>
          <w:rFonts w:ascii="Arial" w:hAnsi="Arial" w:cs="Arial"/>
          <w:i/>
          <w:iCs/>
          <w:color w:val="000000"/>
          <w:lang w:eastAsia="es-ES_tradnl"/>
        </w:rPr>
        <w:t xml:space="preserve"> y el </w:t>
      </w:r>
      <w:proofErr w:type="spellStart"/>
      <w:r w:rsidRPr="00532BB5">
        <w:rPr>
          <w:rFonts w:ascii="Arial" w:hAnsi="Arial" w:cs="Arial"/>
          <w:i/>
          <w:iCs/>
          <w:color w:val="000000"/>
          <w:lang w:eastAsia="es-ES_tradnl"/>
        </w:rPr>
        <w:t>postest</w:t>
      </w:r>
      <w:proofErr w:type="spellEnd"/>
      <w:r w:rsidRPr="00532BB5">
        <w:rPr>
          <w:rFonts w:ascii="Arial" w:hAnsi="Arial" w:cs="Arial"/>
          <w:i/>
          <w:iCs/>
          <w:color w:val="000000"/>
          <w:lang w:eastAsia="es-ES_tradnl"/>
        </w:rPr>
        <w:t xml:space="preserve"> del grupo de difusores</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19"/>
        <w:gridCol w:w="1140"/>
        <w:gridCol w:w="2045"/>
        <w:gridCol w:w="2016"/>
        <w:gridCol w:w="1871"/>
      </w:tblGrid>
      <w:tr w:rsidR="005B6016" w:rsidRPr="00532BB5" w14:paraId="633AFABC" w14:textId="77777777" w:rsidTr="002E1655">
        <w:trPr>
          <w:trHeight w:val="1494"/>
        </w:trPr>
        <w:tc>
          <w:tcPr>
            <w:tcW w:w="2319" w:type="dxa"/>
          </w:tcPr>
          <w:p w14:paraId="2FC03FE5" w14:textId="77777777" w:rsidR="005B6016" w:rsidRPr="00532BB5" w:rsidRDefault="005B6016" w:rsidP="00A94036">
            <w:pPr>
              <w:jc w:val="both"/>
              <w:rPr>
                <w:rFonts w:ascii="Arial" w:hAnsi="Arial" w:cs="Arial"/>
              </w:rPr>
            </w:pPr>
            <w:bookmarkStart w:id="1" w:name="OLE_LINK5"/>
          </w:p>
        </w:tc>
        <w:tc>
          <w:tcPr>
            <w:tcW w:w="1140" w:type="dxa"/>
          </w:tcPr>
          <w:p w14:paraId="7D600496" w14:textId="77777777" w:rsidR="005B6016" w:rsidRPr="00532BB5" w:rsidRDefault="005B6016" w:rsidP="00A94036">
            <w:pPr>
              <w:jc w:val="center"/>
              <w:rPr>
                <w:rFonts w:ascii="Arial" w:hAnsi="Arial" w:cs="Arial"/>
              </w:rPr>
            </w:pPr>
            <w:r w:rsidRPr="00532BB5">
              <w:rPr>
                <w:rFonts w:ascii="Arial" w:hAnsi="Arial" w:cs="Arial"/>
              </w:rPr>
              <w:t>Norma social</w:t>
            </w:r>
          </w:p>
        </w:tc>
        <w:tc>
          <w:tcPr>
            <w:tcW w:w="2045" w:type="dxa"/>
          </w:tcPr>
          <w:p w14:paraId="679CEADF" w14:textId="77777777" w:rsidR="005B6016" w:rsidRPr="00532BB5" w:rsidRDefault="005B6016" w:rsidP="00A94036">
            <w:pPr>
              <w:jc w:val="center"/>
              <w:rPr>
                <w:rFonts w:ascii="Arial" w:hAnsi="Arial" w:cs="Arial"/>
              </w:rPr>
            </w:pPr>
            <w:r w:rsidRPr="00532BB5">
              <w:rPr>
                <w:rFonts w:ascii="Arial" w:hAnsi="Arial" w:cs="Arial"/>
              </w:rPr>
              <w:t>Sentimiento de molestia</w:t>
            </w:r>
          </w:p>
        </w:tc>
        <w:tc>
          <w:tcPr>
            <w:tcW w:w="2016" w:type="dxa"/>
          </w:tcPr>
          <w:p w14:paraId="09EB5AEF" w14:textId="77777777" w:rsidR="005B6016" w:rsidRPr="00532BB5" w:rsidRDefault="005B6016" w:rsidP="00A94036">
            <w:pPr>
              <w:jc w:val="center"/>
              <w:rPr>
                <w:rFonts w:ascii="Arial" w:hAnsi="Arial" w:cs="Arial"/>
              </w:rPr>
            </w:pPr>
            <w:r w:rsidRPr="00532BB5">
              <w:rPr>
                <w:rFonts w:ascii="Arial" w:hAnsi="Arial" w:cs="Arial"/>
              </w:rPr>
              <w:t>Sentimiento de obligación personal</w:t>
            </w:r>
          </w:p>
        </w:tc>
        <w:tc>
          <w:tcPr>
            <w:tcW w:w="1871" w:type="dxa"/>
          </w:tcPr>
          <w:p w14:paraId="250C4836" w14:textId="77777777" w:rsidR="005B6016" w:rsidRPr="00532BB5" w:rsidRDefault="005B6016" w:rsidP="00A94036">
            <w:pPr>
              <w:jc w:val="center"/>
              <w:rPr>
                <w:rFonts w:ascii="Arial" w:hAnsi="Arial" w:cs="Arial"/>
              </w:rPr>
            </w:pPr>
            <w:r w:rsidRPr="00532BB5">
              <w:rPr>
                <w:rFonts w:ascii="Arial" w:hAnsi="Arial" w:cs="Arial"/>
              </w:rPr>
              <w:t>Conciencia de consecuencias</w:t>
            </w:r>
          </w:p>
        </w:tc>
      </w:tr>
      <w:tr w:rsidR="005B6016" w:rsidRPr="00532BB5" w14:paraId="037994BD" w14:textId="77777777" w:rsidTr="002E1655">
        <w:trPr>
          <w:trHeight w:val="1586"/>
        </w:trPr>
        <w:tc>
          <w:tcPr>
            <w:tcW w:w="2319" w:type="dxa"/>
          </w:tcPr>
          <w:p w14:paraId="68B1E432" w14:textId="77777777" w:rsidR="005B6016" w:rsidRPr="00532BB5" w:rsidRDefault="005B6016" w:rsidP="00A94036">
            <w:pPr>
              <w:jc w:val="center"/>
              <w:rPr>
                <w:rFonts w:ascii="Arial" w:hAnsi="Arial" w:cs="Arial"/>
              </w:rPr>
            </w:pPr>
            <w:r w:rsidRPr="00532BB5">
              <w:rPr>
                <w:rFonts w:ascii="Arial" w:hAnsi="Arial" w:cs="Arial"/>
              </w:rPr>
              <w:t xml:space="preserve">Media del </w:t>
            </w:r>
            <w:proofErr w:type="spellStart"/>
            <w:r w:rsidRPr="00532BB5">
              <w:rPr>
                <w:rFonts w:ascii="Arial" w:hAnsi="Arial" w:cs="Arial"/>
              </w:rPr>
              <w:t>pretest</w:t>
            </w:r>
            <w:proofErr w:type="spellEnd"/>
          </w:p>
          <w:p w14:paraId="0B8C5392" w14:textId="77777777" w:rsidR="005B6016" w:rsidRPr="00532BB5" w:rsidRDefault="005B6016" w:rsidP="00A94036">
            <w:pPr>
              <w:jc w:val="center"/>
              <w:rPr>
                <w:rFonts w:ascii="Arial" w:hAnsi="Arial" w:cs="Arial"/>
              </w:rPr>
            </w:pPr>
            <w:r w:rsidRPr="00532BB5">
              <w:rPr>
                <w:rFonts w:ascii="Arial" w:hAnsi="Arial" w:cs="Arial"/>
              </w:rPr>
              <w:t xml:space="preserve">Media del </w:t>
            </w:r>
            <w:proofErr w:type="spellStart"/>
            <w:r w:rsidRPr="00532BB5">
              <w:rPr>
                <w:rFonts w:ascii="Arial" w:hAnsi="Arial" w:cs="Arial"/>
              </w:rPr>
              <w:t>postest</w:t>
            </w:r>
            <w:proofErr w:type="spellEnd"/>
          </w:p>
          <w:p w14:paraId="216EAFC1" w14:textId="77777777" w:rsidR="005B6016" w:rsidRPr="00532BB5" w:rsidRDefault="005B6016" w:rsidP="00A94036">
            <w:pPr>
              <w:jc w:val="center"/>
              <w:rPr>
                <w:rFonts w:ascii="Arial" w:hAnsi="Arial" w:cs="Arial"/>
              </w:rPr>
            </w:pPr>
            <w:r w:rsidRPr="00532BB5">
              <w:rPr>
                <w:rFonts w:ascii="Arial" w:hAnsi="Arial" w:cs="Arial"/>
              </w:rPr>
              <w:t>Z</w:t>
            </w:r>
          </w:p>
          <w:p w14:paraId="2E593CEE" w14:textId="77777777" w:rsidR="005B6016" w:rsidRPr="00532BB5" w:rsidRDefault="005B6016" w:rsidP="00A94036">
            <w:pPr>
              <w:jc w:val="center"/>
              <w:rPr>
                <w:rFonts w:ascii="Arial" w:hAnsi="Arial" w:cs="Arial"/>
              </w:rPr>
            </w:pPr>
            <w:r w:rsidRPr="00532BB5">
              <w:rPr>
                <w:rFonts w:ascii="Arial" w:hAnsi="Arial" w:cs="Arial"/>
              </w:rPr>
              <w:t>Sig.</w:t>
            </w:r>
          </w:p>
        </w:tc>
        <w:tc>
          <w:tcPr>
            <w:tcW w:w="1140" w:type="dxa"/>
          </w:tcPr>
          <w:p w14:paraId="30834AAE" w14:textId="77777777" w:rsidR="005B6016" w:rsidRPr="00532BB5" w:rsidRDefault="005B6016" w:rsidP="00A94036">
            <w:pPr>
              <w:jc w:val="center"/>
              <w:rPr>
                <w:rFonts w:ascii="Arial" w:hAnsi="Arial" w:cs="Arial"/>
              </w:rPr>
            </w:pPr>
            <w:r w:rsidRPr="00532BB5">
              <w:rPr>
                <w:rFonts w:ascii="Arial" w:hAnsi="Arial" w:cs="Arial"/>
              </w:rPr>
              <w:t>16.73</w:t>
            </w:r>
          </w:p>
          <w:p w14:paraId="37D4D558" w14:textId="77777777" w:rsidR="005B6016" w:rsidRPr="00532BB5" w:rsidRDefault="005B6016" w:rsidP="00A94036">
            <w:pPr>
              <w:jc w:val="center"/>
              <w:rPr>
                <w:rFonts w:ascii="Arial" w:hAnsi="Arial" w:cs="Arial"/>
              </w:rPr>
            </w:pPr>
            <w:r w:rsidRPr="00532BB5">
              <w:rPr>
                <w:rFonts w:ascii="Arial" w:hAnsi="Arial" w:cs="Arial"/>
              </w:rPr>
              <w:t>16.36</w:t>
            </w:r>
          </w:p>
          <w:p w14:paraId="7B096C87" w14:textId="77777777" w:rsidR="005B6016" w:rsidRPr="00532BB5" w:rsidRDefault="005B6016" w:rsidP="00A94036">
            <w:pPr>
              <w:jc w:val="center"/>
              <w:rPr>
                <w:rFonts w:ascii="Arial" w:hAnsi="Arial" w:cs="Arial"/>
              </w:rPr>
            </w:pPr>
            <w:r w:rsidRPr="00532BB5">
              <w:rPr>
                <w:rFonts w:ascii="Arial" w:hAnsi="Arial" w:cs="Arial"/>
              </w:rPr>
              <w:t>-1.05</w:t>
            </w:r>
          </w:p>
          <w:p w14:paraId="339575E6" w14:textId="77777777" w:rsidR="005B6016" w:rsidRPr="00532BB5" w:rsidRDefault="005B6016" w:rsidP="00A94036">
            <w:pPr>
              <w:jc w:val="center"/>
              <w:rPr>
                <w:rFonts w:ascii="Arial" w:hAnsi="Arial" w:cs="Arial"/>
              </w:rPr>
            </w:pPr>
            <w:r w:rsidRPr="00532BB5">
              <w:rPr>
                <w:rFonts w:ascii="Arial" w:hAnsi="Arial" w:cs="Arial"/>
              </w:rPr>
              <w:t>.293</w:t>
            </w:r>
          </w:p>
        </w:tc>
        <w:tc>
          <w:tcPr>
            <w:tcW w:w="2045" w:type="dxa"/>
          </w:tcPr>
          <w:p w14:paraId="07D8BFF7" w14:textId="77777777" w:rsidR="005B6016" w:rsidRPr="00532BB5" w:rsidRDefault="005B6016" w:rsidP="00A94036">
            <w:pPr>
              <w:jc w:val="center"/>
              <w:rPr>
                <w:rFonts w:ascii="Arial" w:hAnsi="Arial" w:cs="Arial"/>
              </w:rPr>
            </w:pPr>
            <w:r w:rsidRPr="00532BB5">
              <w:rPr>
                <w:rFonts w:ascii="Arial" w:hAnsi="Arial" w:cs="Arial"/>
              </w:rPr>
              <w:t>14.64</w:t>
            </w:r>
          </w:p>
          <w:p w14:paraId="21491E2E" w14:textId="77777777" w:rsidR="005B6016" w:rsidRPr="00532BB5" w:rsidRDefault="005B6016" w:rsidP="00A94036">
            <w:pPr>
              <w:jc w:val="center"/>
              <w:rPr>
                <w:rFonts w:ascii="Arial" w:hAnsi="Arial" w:cs="Arial"/>
              </w:rPr>
            </w:pPr>
            <w:r w:rsidRPr="00532BB5">
              <w:rPr>
                <w:rFonts w:ascii="Arial" w:hAnsi="Arial" w:cs="Arial"/>
              </w:rPr>
              <w:t>18.82</w:t>
            </w:r>
          </w:p>
          <w:p w14:paraId="0D178E13" w14:textId="77777777" w:rsidR="005B6016" w:rsidRPr="00532BB5" w:rsidRDefault="005B6016" w:rsidP="00A94036">
            <w:pPr>
              <w:jc w:val="center"/>
              <w:rPr>
                <w:rFonts w:ascii="Arial" w:hAnsi="Arial" w:cs="Arial"/>
              </w:rPr>
            </w:pPr>
            <w:r w:rsidRPr="00532BB5">
              <w:rPr>
                <w:rFonts w:ascii="Arial" w:hAnsi="Arial" w:cs="Arial"/>
              </w:rPr>
              <w:t>-3.31</w:t>
            </w:r>
          </w:p>
          <w:p w14:paraId="5BB22DB1" w14:textId="77777777" w:rsidR="005B6016" w:rsidRPr="00532BB5" w:rsidRDefault="005B6016" w:rsidP="00A94036">
            <w:pPr>
              <w:jc w:val="center"/>
              <w:rPr>
                <w:rFonts w:ascii="Arial" w:hAnsi="Arial" w:cs="Arial"/>
                <w:b/>
              </w:rPr>
            </w:pPr>
            <w:r w:rsidRPr="00532BB5">
              <w:rPr>
                <w:rFonts w:ascii="Arial" w:hAnsi="Arial" w:cs="Arial"/>
              </w:rPr>
              <w:t>.001</w:t>
            </w:r>
          </w:p>
        </w:tc>
        <w:tc>
          <w:tcPr>
            <w:tcW w:w="2016" w:type="dxa"/>
          </w:tcPr>
          <w:p w14:paraId="5D8FC161" w14:textId="77777777" w:rsidR="005B6016" w:rsidRPr="00532BB5" w:rsidRDefault="005B6016" w:rsidP="00A94036">
            <w:pPr>
              <w:jc w:val="center"/>
              <w:rPr>
                <w:rFonts w:ascii="Arial" w:hAnsi="Arial" w:cs="Arial"/>
              </w:rPr>
            </w:pPr>
            <w:r w:rsidRPr="00532BB5">
              <w:rPr>
                <w:rFonts w:ascii="Arial" w:hAnsi="Arial" w:cs="Arial"/>
              </w:rPr>
              <w:t>18.36</w:t>
            </w:r>
          </w:p>
          <w:p w14:paraId="6EFA9D86" w14:textId="77777777" w:rsidR="005B6016" w:rsidRPr="00532BB5" w:rsidRDefault="005B6016" w:rsidP="00A94036">
            <w:pPr>
              <w:jc w:val="center"/>
              <w:rPr>
                <w:rFonts w:ascii="Arial" w:hAnsi="Arial" w:cs="Arial"/>
              </w:rPr>
            </w:pPr>
            <w:r w:rsidRPr="00532BB5">
              <w:rPr>
                <w:rFonts w:ascii="Arial" w:hAnsi="Arial" w:cs="Arial"/>
              </w:rPr>
              <w:t>16.68</w:t>
            </w:r>
          </w:p>
          <w:p w14:paraId="1F79FE1D" w14:textId="77777777" w:rsidR="005B6016" w:rsidRPr="00532BB5" w:rsidRDefault="005B6016" w:rsidP="00A94036">
            <w:pPr>
              <w:jc w:val="center"/>
              <w:rPr>
                <w:rFonts w:ascii="Arial" w:hAnsi="Arial" w:cs="Arial"/>
              </w:rPr>
            </w:pPr>
            <w:r w:rsidRPr="00532BB5">
              <w:rPr>
                <w:rFonts w:ascii="Arial" w:hAnsi="Arial" w:cs="Arial"/>
              </w:rPr>
              <w:t>-1.48</w:t>
            </w:r>
          </w:p>
          <w:p w14:paraId="26166FAF" w14:textId="77777777" w:rsidR="005B6016" w:rsidRPr="00532BB5" w:rsidRDefault="005B6016" w:rsidP="00A94036">
            <w:pPr>
              <w:jc w:val="center"/>
              <w:rPr>
                <w:rFonts w:ascii="Arial" w:hAnsi="Arial" w:cs="Arial"/>
              </w:rPr>
            </w:pPr>
            <w:r w:rsidRPr="00532BB5">
              <w:rPr>
                <w:rFonts w:ascii="Arial" w:hAnsi="Arial" w:cs="Arial"/>
              </w:rPr>
              <w:t>.138</w:t>
            </w:r>
          </w:p>
        </w:tc>
        <w:tc>
          <w:tcPr>
            <w:tcW w:w="1871" w:type="dxa"/>
          </w:tcPr>
          <w:p w14:paraId="45C75B8C" w14:textId="77777777" w:rsidR="005B6016" w:rsidRPr="00532BB5" w:rsidRDefault="005B6016" w:rsidP="00A94036">
            <w:pPr>
              <w:jc w:val="center"/>
              <w:rPr>
                <w:rFonts w:ascii="Arial" w:hAnsi="Arial" w:cs="Arial"/>
              </w:rPr>
            </w:pPr>
            <w:r w:rsidRPr="00532BB5">
              <w:rPr>
                <w:rFonts w:ascii="Arial" w:hAnsi="Arial" w:cs="Arial"/>
              </w:rPr>
              <w:t>21.64</w:t>
            </w:r>
          </w:p>
          <w:p w14:paraId="0C0FF4EF" w14:textId="77777777" w:rsidR="005B6016" w:rsidRPr="00532BB5" w:rsidRDefault="005B6016" w:rsidP="00A94036">
            <w:pPr>
              <w:jc w:val="center"/>
              <w:rPr>
                <w:rFonts w:ascii="Arial" w:hAnsi="Arial" w:cs="Arial"/>
              </w:rPr>
            </w:pPr>
            <w:r w:rsidRPr="00532BB5">
              <w:rPr>
                <w:rFonts w:ascii="Arial" w:hAnsi="Arial" w:cs="Arial"/>
              </w:rPr>
              <w:t>22.09</w:t>
            </w:r>
          </w:p>
          <w:p w14:paraId="5B343DF4" w14:textId="77777777" w:rsidR="005B6016" w:rsidRPr="00532BB5" w:rsidRDefault="005B6016" w:rsidP="00A94036">
            <w:pPr>
              <w:jc w:val="center"/>
              <w:rPr>
                <w:rFonts w:ascii="Arial" w:hAnsi="Arial" w:cs="Arial"/>
              </w:rPr>
            </w:pPr>
            <w:r w:rsidRPr="00532BB5">
              <w:rPr>
                <w:rFonts w:ascii="Arial" w:hAnsi="Arial" w:cs="Arial"/>
              </w:rPr>
              <w:t>-.93</w:t>
            </w:r>
          </w:p>
          <w:p w14:paraId="7E399E44" w14:textId="77777777" w:rsidR="005B6016" w:rsidRPr="00532BB5" w:rsidRDefault="005B6016" w:rsidP="00A94036">
            <w:pPr>
              <w:jc w:val="center"/>
              <w:rPr>
                <w:rFonts w:ascii="Arial" w:hAnsi="Arial" w:cs="Arial"/>
              </w:rPr>
            </w:pPr>
            <w:r w:rsidRPr="00532BB5">
              <w:rPr>
                <w:rFonts w:ascii="Arial" w:hAnsi="Arial" w:cs="Arial"/>
              </w:rPr>
              <w:t>.354</w:t>
            </w:r>
          </w:p>
        </w:tc>
      </w:tr>
      <w:bookmarkEnd w:id="1"/>
    </w:tbl>
    <w:p w14:paraId="445E8798" w14:textId="77777777" w:rsidR="00446D25" w:rsidRDefault="00446D25" w:rsidP="00A94036">
      <w:pPr>
        <w:jc w:val="both"/>
        <w:rPr>
          <w:rFonts w:ascii="Arial" w:hAnsi="Arial" w:cs="Arial"/>
          <w:color w:val="000000"/>
          <w:lang w:eastAsia="es-ES_tradnl"/>
        </w:rPr>
      </w:pPr>
    </w:p>
    <w:p w14:paraId="5C263069" w14:textId="1398B1AB" w:rsidR="00A43AAE" w:rsidRPr="00532BB5" w:rsidRDefault="00A43AAE" w:rsidP="00A94036">
      <w:pPr>
        <w:jc w:val="both"/>
        <w:rPr>
          <w:rFonts w:ascii="Arial" w:hAnsi="Arial" w:cs="Arial"/>
          <w:color w:val="000000"/>
          <w:lang w:eastAsia="es-ES_tradnl"/>
        </w:rPr>
      </w:pPr>
      <w:r w:rsidRPr="00532BB5">
        <w:rPr>
          <w:rFonts w:ascii="Arial" w:hAnsi="Arial" w:cs="Arial"/>
          <w:color w:val="000000"/>
          <w:lang w:eastAsia="es-ES_tradnl"/>
        </w:rPr>
        <w:t>Tabla 4  </w:t>
      </w:r>
    </w:p>
    <w:p w14:paraId="401C11F9" w14:textId="77777777" w:rsidR="00A43AAE" w:rsidRPr="00532BB5" w:rsidRDefault="00A43AAE" w:rsidP="00A94036">
      <w:pPr>
        <w:jc w:val="both"/>
        <w:rPr>
          <w:rFonts w:ascii="Arial" w:hAnsi="Arial" w:cs="Arial"/>
          <w:color w:val="000000"/>
          <w:lang w:eastAsia="es-ES_tradnl"/>
        </w:rPr>
      </w:pPr>
      <w:r w:rsidRPr="00532BB5">
        <w:rPr>
          <w:rFonts w:ascii="Arial" w:hAnsi="Arial" w:cs="Arial"/>
          <w:i/>
          <w:iCs/>
          <w:color w:val="000000"/>
          <w:lang w:eastAsia="es-ES_tradnl"/>
        </w:rPr>
        <w:t xml:space="preserve">Prueba T para diferencias entre el </w:t>
      </w:r>
      <w:proofErr w:type="spellStart"/>
      <w:r w:rsidRPr="00532BB5">
        <w:rPr>
          <w:rFonts w:ascii="Arial" w:hAnsi="Arial" w:cs="Arial"/>
          <w:i/>
          <w:iCs/>
          <w:color w:val="000000"/>
          <w:lang w:eastAsia="es-ES_tradnl"/>
        </w:rPr>
        <w:t>pretest</w:t>
      </w:r>
      <w:proofErr w:type="spellEnd"/>
      <w:r w:rsidRPr="00532BB5">
        <w:rPr>
          <w:rFonts w:ascii="Arial" w:hAnsi="Arial" w:cs="Arial"/>
          <w:i/>
          <w:iCs/>
          <w:color w:val="000000"/>
          <w:lang w:eastAsia="es-ES_tradnl"/>
        </w:rPr>
        <w:t xml:space="preserve"> y el </w:t>
      </w:r>
      <w:proofErr w:type="spellStart"/>
      <w:r w:rsidRPr="00532BB5">
        <w:rPr>
          <w:rFonts w:ascii="Arial" w:hAnsi="Arial" w:cs="Arial"/>
          <w:i/>
          <w:iCs/>
          <w:color w:val="000000"/>
          <w:lang w:eastAsia="es-ES_tradnl"/>
        </w:rPr>
        <w:t>postest</w:t>
      </w:r>
      <w:proofErr w:type="spellEnd"/>
      <w:r w:rsidRPr="00532BB5">
        <w:rPr>
          <w:rFonts w:ascii="Arial" w:hAnsi="Arial" w:cs="Arial"/>
          <w:i/>
          <w:iCs/>
          <w:color w:val="000000"/>
          <w:lang w:eastAsia="es-ES_tradnl"/>
        </w:rPr>
        <w:t xml:space="preserve"> del grupo de estudiantes de ingeniería</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63"/>
        <w:gridCol w:w="1348"/>
        <w:gridCol w:w="1899"/>
        <w:gridCol w:w="2055"/>
        <w:gridCol w:w="1907"/>
      </w:tblGrid>
      <w:tr w:rsidR="005B6016" w:rsidRPr="00532BB5" w14:paraId="60B5DDE1" w14:textId="77777777" w:rsidTr="00BA0745">
        <w:trPr>
          <w:trHeight w:val="1680"/>
        </w:trPr>
        <w:tc>
          <w:tcPr>
            <w:tcW w:w="2363" w:type="dxa"/>
          </w:tcPr>
          <w:p w14:paraId="7B2784F2" w14:textId="77777777" w:rsidR="005B6016" w:rsidRPr="00532BB5" w:rsidRDefault="005B6016" w:rsidP="00A94036">
            <w:pPr>
              <w:jc w:val="both"/>
              <w:rPr>
                <w:rFonts w:ascii="Arial" w:hAnsi="Arial" w:cs="Arial"/>
              </w:rPr>
            </w:pPr>
            <w:bookmarkStart w:id="2" w:name="OLE_LINK6"/>
          </w:p>
        </w:tc>
        <w:tc>
          <w:tcPr>
            <w:tcW w:w="1348" w:type="dxa"/>
          </w:tcPr>
          <w:p w14:paraId="36242589" w14:textId="77777777" w:rsidR="005B6016" w:rsidRPr="00532BB5" w:rsidRDefault="005B6016" w:rsidP="00A94036">
            <w:pPr>
              <w:jc w:val="center"/>
              <w:rPr>
                <w:rFonts w:ascii="Arial" w:hAnsi="Arial" w:cs="Arial"/>
              </w:rPr>
            </w:pPr>
            <w:r w:rsidRPr="00532BB5">
              <w:rPr>
                <w:rFonts w:ascii="Arial" w:hAnsi="Arial" w:cs="Arial"/>
              </w:rPr>
              <w:t>Norma social</w:t>
            </w:r>
          </w:p>
        </w:tc>
        <w:tc>
          <w:tcPr>
            <w:tcW w:w="1899" w:type="dxa"/>
          </w:tcPr>
          <w:p w14:paraId="23C0C8B8" w14:textId="77777777" w:rsidR="005B6016" w:rsidRPr="00532BB5" w:rsidRDefault="005B6016" w:rsidP="00A94036">
            <w:pPr>
              <w:jc w:val="center"/>
              <w:rPr>
                <w:rFonts w:ascii="Arial" w:hAnsi="Arial" w:cs="Arial"/>
              </w:rPr>
            </w:pPr>
            <w:r w:rsidRPr="00532BB5">
              <w:rPr>
                <w:rFonts w:ascii="Arial" w:hAnsi="Arial" w:cs="Arial"/>
              </w:rPr>
              <w:t>Sentimiento de molestia</w:t>
            </w:r>
          </w:p>
        </w:tc>
        <w:tc>
          <w:tcPr>
            <w:tcW w:w="2055" w:type="dxa"/>
          </w:tcPr>
          <w:p w14:paraId="35E10D6A" w14:textId="77777777" w:rsidR="005B6016" w:rsidRPr="00532BB5" w:rsidRDefault="005B6016" w:rsidP="00A94036">
            <w:pPr>
              <w:jc w:val="center"/>
              <w:rPr>
                <w:rFonts w:ascii="Arial" w:hAnsi="Arial" w:cs="Arial"/>
              </w:rPr>
            </w:pPr>
            <w:r w:rsidRPr="00532BB5">
              <w:rPr>
                <w:rFonts w:ascii="Arial" w:hAnsi="Arial" w:cs="Arial"/>
              </w:rPr>
              <w:t>Sentimiento de obligación personal</w:t>
            </w:r>
          </w:p>
        </w:tc>
        <w:tc>
          <w:tcPr>
            <w:tcW w:w="1907" w:type="dxa"/>
          </w:tcPr>
          <w:p w14:paraId="15CC7BCB" w14:textId="77777777" w:rsidR="005B6016" w:rsidRPr="00532BB5" w:rsidRDefault="005B6016" w:rsidP="00A94036">
            <w:pPr>
              <w:jc w:val="center"/>
              <w:rPr>
                <w:rFonts w:ascii="Arial" w:hAnsi="Arial" w:cs="Arial"/>
              </w:rPr>
            </w:pPr>
            <w:r w:rsidRPr="00532BB5">
              <w:rPr>
                <w:rFonts w:ascii="Arial" w:hAnsi="Arial" w:cs="Arial"/>
              </w:rPr>
              <w:t>Conciencia de consecuencias</w:t>
            </w:r>
          </w:p>
        </w:tc>
      </w:tr>
      <w:tr w:rsidR="005B6016" w:rsidRPr="00532BB5" w14:paraId="448A073A" w14:textId="77777777" w:rsidTr="00BA0745">
        <w:trPr>
          <w:trHeight w:val="854"/>
        </w:trPr>
        <w:tc>
          <w:tcPr>
            <w:tcW w:w="2363" w:type="dxa"/>
          </w:tcPr>
          <w:p w14:paraId="3C0DF75A" w14:textId="77777777" w:rsidR="005B6016" w:rsidRPr="00532BB5" w:rsidRDefault="005B6016" w:rsidP="00A94036">
            <w:pPr>
              <w:jc w:val="center"/>
              <w:rPr>
                <w:rFonts w:ascii="Arial" w:hAnsi="Arial" w:cs="Arial"/>
              </w:rPr>
            </w:pPr>
            <w:r w:rsidRPr="00532BB5">
              <w:rPr>
                <w:rFonts w:ascii="Arial" w:hAnsi="Arial" w:cs="Arial"/>
              </w:rPr>
              <w:t xml:space="preserve">  Media del </w:t>
            </w:r>
            <w:proofErr w:type="spellStart"/>
            <w:r w:rsidRPr="00532BB5">
              <w:rPr>
                <w:rFonts w:ascii="Arial" w:hAnsi="Arial" w:cs="Arial"/>
              </w:rPr>
              <w:t>pretest</w:t>
            </w:r>
            <w:proofErr w:type="spellEnd"/>
          </w:p>
          <w:p w14:paraId="7ED6FFC6" w14:textId="77777777" w:rsidR="005B6016" w:rsidRPr="00532BB5" w:rsidRDefault="005B6016" w:rsidP="00A94036">
            <w:pPr>
              <w:jc w:val="center"/>
              <w:rPr>
                <w:rFonts w:ascii="Arial" w:hAnsi="Arial" w:cs="Arial"/>
              </w:rPr>
            </w:pPr>
            <w:r w:rsidRPr="00532BB5">
              <w:rPr>
                <w:rFonts w:ascii="Arial" w:hAnsi="Arial" w:cs="Arial"/>
              </w:rPr>
              <w:t xml:space="preserve">Media del </w:t>
            </w:r>
            <w:proofErr w:type="spellStart"/>
            <w:r w:rsidRPr="00532BB5">
              <w:rPr>
                <w:rFonts w:ascii="Arial" w:hAnsi="Arial" w:cs="Arial"/>
              </w:rPr>
              <w:t>postest</w:t>
            </w:r>
            <w:proofErr w:type="spellEnd"/>
          </w:p>
          <w:p w14:paraId="191F4518" w14:textId="77777777" w:rsidR="005B6016" w:rsidRPr="00532BB5" w:rsidRDefault="005B6016" w:rsidP="00A94036">
            <w:pPr>
              <w:jc w:val="center"/>
              <w:rPr>
                <w:rFonts w:ascii="Arial" w:hAnsi="Arial" w:cs="Arial"/>
                <w:lang w:val="en-US"/>
              </w:rPr>
            </w:pPr>
            <w:r w:rsidRPr="00532BB5">
              <w:rPr>
                <w:rFonts w:ascii="Arial" w:hAnsi="Arial" w:cs="Arial"/>
                <w:lang w:val="en-US"/>
              </w:rPr>
              <w:t>T de Student</w:t>
            </w:r>
          </w:p>
          <w:p w14:paraId="5FAA6E6D" w14:textId="77777777" w:rsidR="005B6016" w:rsidRPr="00532BB5" w:rsidRDefault="005B6016" w:rsidP="00A94036">
            <w:pPr>
              <w:jc w:val="center"/>
              <w:rPr>
                <w:rFonts w:ascii="Arial" w:hAnsi="Arial" w:cs="Arial"/>
                <w:lang w:val="en-US"/>
              </w:rPr>
            </w:pPr>
            <w:proofErr w:type="spellStart"/>
            <w:r w:rsidRPr="00532BB5">
              <w:rPr>
                <w:rFonts w:ascii="Arial" w:hAnsi="Arial" w:cs="Arial"/>
                <w:lang w:val="en-US"/>
              </w:rPr>
              <w:t>gl</w:t>
            </w:r>
            <w:proofErr w:type="spellEnd"/>
          </w:p>
          <w:p w14:paraId="285B3B18" w14:textId="77777777" w:rsidR="005B6016" w:rsidRPr="00532BB5" w:rsidRDefault="005B6016" w:rsidP="00A94036">
            <w:pPr>
              <w:jc w:val="center"/>
              <w:rPr>
                <w:rFonts w:ascii="Arial" w:hAnsi="Arial" w:cs="Arial"/>
                <w:lang w:val="en-US"/>
              </w:rPr>
            </w:pPr>
            <w:r w:rsidRPr="00532BB5">
              <w:rPr>
                <w:rFonts w:ascii="Arial" w:hAnsi="Arial" w:cs="Arial"/>
                <w:lang w:val="en-US"/>
              </w:rPr>
              <w:t xml:space="preserve">Sig.  </w:t>
            </w:r>
          </w:p>
        </w:tc>
        <w:tc>
          <w:tcPr>
            <w:tcW w:w="1348" w:type="dxa"/>
          </w:tcPr>
          <w:p w14:paraId="4EF6C5FC" w14:textId="77777777" w:rsidR="005B6016" w:rsidRPr="00532BB5" w:rsidRDefault="005B6016" w:rsidP="00A94036">
            <w:pPr>
              <w:jc w:val="center"/>
              <w:rPr>
                <w:rFonts w:ascii="Arial" w:hAnsi="Arial" w:cs="Arial"/>
              </w:rPr>
            </w:pPr>
            <w:r w:rsidRPr="00532BB5">
              <w:rPr>
                <w:rFonts w:ascii="Arial" w:hAnsi="Arial" w:cs="Arial"/>
              </w:rPr>
              <w:t>16.24</w:t>
            </w:r>
          </w:p>
          <w:p w14:paraId="6C162C36" w14:textId="77777777" w:rsidR="005B6016" w:rsidRPr="00532BB5" w:rsidRDefault="005B6016" w:rsidP="00A94036">
            <w:pPr>
              <w:jc w:val="center"/>
              <w:rPr>
                <w:rFonts w:ascii="Arial" w:hAnsi="Arial" w:cs="Arial"/>
              </w:rPr>
            </w:pPr>
            <w:r w:rsidRPr="00532BB5">
              <w:rPr>
                <w:rFonts w:ascii="Arial" w:hAnsi="Arial" w:cs="Arial"/>
              </w:rPr>
              <w:t>15.98</w:t>
            </w:r>
          </w:p>
          <w:p w14:paraId="29AB0164" w14:textId="77777777" w:rsidR="005B6016" w:rsidRPr="00532BB5" w:rsidRDefault="005B6016" w:rsidP="00A94036">
            <w:pPr>
              <w:jc w:val="center"/>
              <w:rPr>
                <w:rFonts w:ascii="Arial" w:hAnsi="Arial" w:cs="Arial"/>
              </w:rPr>
            </w:pPr>
            <w:r w:rsidRPr="00532BB5">
              <w:rPr>
                <w:rFonts w:ascii="Arial" w:hAnsi="Arial" w:cs="Arial"/>
              </w:rPr>
              <w:t>.81</w:t>
            </w:r>
          </w:p>
          <w:p w14:paraId="206110DA" w14:textId="77777777" w:rsidR="005B6016" w:rsidRPr="00532BB5" w:rsidRDefault="005B6016" w:rsidP="00A94036">
            <w:pPr>
              <w:jc w:val="center"/>
              <w:rPr>
                <w:rFonts w:ascii="Arial" w:hAnsi="Arial" w:cs="Arial"/>
              </w:rPr>
            </w:pPr>
            <w:r w:rsidRPr="00532BB5">
              <w:rPr>
                <w:rFonts w:ascii="Arial" w:hAnsi="Arial" w:cs="Arial"/>
              </w:rPr>
              <w:t>94</w:t>
            </w:r>
          </w:p>
          <w:p w14:paraId="46D04586" w14:textId="77777777" w:rsidR="005B6016" w:rsidRPr="00532BB5" w:rsidRDefault="005B6016" w:rsidP="00A94036">
            <w:pPr>
              <w:jc w:val="center"/>
              <w:rPr>
                <w:rFonts w:ascii="Arial" w:hAnsi="Arial" w:cs="Arial"/>
              </w:rPr>
            </w:pPr>
            <w:r w:rsidRPr="00532BB5">
              <w:rPr>
                <w:rFonts w:ascii="Arial" w:hAnsi="Arial" w:cs="Arial"/>
              </w:rPr>
              <w:t xml:space="preserve">.420 </w:t>
            </w:r>
          </w:p>
        </w:tc>
        <w:tc>
          <w:tcPr>
            <w:tcW w:w="1899" w:type="dxa"/>
          </w:tcPr>
          <w:p w14:paraId="3F0806B6" w14:textId="77777777" w:rsidR="005B6016" w:rsidRPr="00532BB5" w:rsidRDefault="005B6016" w:rsidP="00A94036">
            <w:pPr>
              <w:jc w:val="center"/>
              <w:rPr>
                <w:rFonts w:ascii="Arial" w:hAnsi="Arial" w:cs="Arial"/>
              </w:rPr>
            </w:pPr>
            <w:r w:rsidRPr="00532BB5">
              <w:rPr>
                <w:rFonts w:ascii="Arial" w:hAnsi="Arial" w:cs="Arial"/>
              </w:rPr>
              <w:t>11.49</w:t>
            </w:r>
          </w:p>
          <w:p w14:paraId="31F65693" w14:textId="77777777" w:rsidR="005B6016" w:rsidRPr="00532BB5" w:rsidRDefault="005B6016" w:rsidP="00A94036">
            <w:pPr>
              <w:jc w:val="center"/>
              <w:rPr>
                <w:rFonts w:ascii="Arial" w:hAnsi="Arial" w:cs="Arial"/>
              </w:rPr>
            </w:pPr>
            <w:r w:rsidRPr="00532BB5">
              <w:rPr>
                <w:rFonts w:ascii="Arial" w:hAnsi="Arial" w:cs="Arial"/>
              </w:rPr>
              <w:t>17.67</w:t>
            </w:r>
          </w:p>
          <w:p w14:paraId="526412CD" w14:textId="77777777" w:rsidR="005B6016" w:rsidRPr="00532BB5" w:rsidRDefault="005B6016" w:rsidP="00A94036">
            <w:pPr>
              <w:jc w:val="center"/>
              <w:rPr>
                <w:rFonts w:ascii="Arial" w:hAnsi="Arial" w:cs="Arial"/>
              </w:rPr>
            </w:pPr>
            <w:r w:rsidRPr="00532BB5">
              <w:rPr>
                <w:rFonts w:ascii="Arial" w:hAnsi="Arial" w:cs="Arial"/>
              </w:rPr>
              <w:t xml:space="preserve">-8.93 </w:t>
            </w:r>
          </w:p>
          <w:p w14:paraId="643234A9" w14:textId="77777777" w:rsidR="005B6016" w:rsidRPr="00532BB5" w:rsidRDefault="005B6016" w:rsidP="00A94036">
            <w:pPr>
              <w:jc w:val="center"/>
              <w:rPr>
                <w:rFonts w:ascii="Arial" w:hAnsi="Arial" w:cs="Arial"/>
              </w:rPr>
            </w:pPr>
            <w:r w:rsidRPr="00532BB5">
              <w:rPr>
                <w:rFonts w:ascii="Arial" w:hAnsi="Arial" w:cs="Arial"/>
              </w:rPr>
              <w:t>94</w:t>
            </w:r>
          </w:p>
          <w:p w14:paraId="751B30B3" w14:textId="77777777" w:rsidR="005B6016" w:rsidRPr="00532BB5" w:rsidRDefault="005B6016" w:rsidP="00A94036">
            <w:pPr>
              <w:jc w:val="center"/>
              <w:rPr>
                <w:rFonts w:ascii="Arial" w:hAnsi="Arial" w:cs="Arial"/>
                <w:b/>
              </w:rPr>
            </w:pPr>
            <w:r w:rsidRPr="00532BB5">
              <w:rPr>
                <w:rFonts w:ascii="Arial" w:hAnsi="Arial" w:cs="Arial"/>
              </w:rPr>
              <w:t>.000</w:t>
            </w:r>
          </w:p>
        </w:tc>
        <w:tc>
          <w:tcPr>
            <w:tcW w:w="2055" w:type="dxa"/>
          </w:tcPr>
          <w:p w14:paraId="2F284627" w14:textId="77777777" w:rsidR="005B6016" w:rsidRPr="00532BB5" w:rsidRDefault="005B6016" w:rsidP="00A94036">
            <w:pPr>
              <w:jc w:val="center"/>
              <w:rPr>
                <w:rFonts w:ascii="Arial" w:hAnsi="Arial" w:cs="Arial"/>
              </w:rPr>
            </w:pPr>
            <w:r w:rsidRPr="00532BB5">
              <w:rPr>
                <w:rFonts w:ascii="Arial" w:hAnsi="Arial" w:cs="Arial"/>
              </w:rPr>
              <w:t>15.73</w:t>
            </w:r>
          </w:p>
          <w:p w14:paraId="37181B36" w14:textId="77777777" w:rsidR="005B6016" w:rsidRPr="00532BB5" w:rsidRDefault="005B6016" w:rsidP="00A94036">
            <w:pPr>
              <w:jc w:val="center"/>
              <w:rPr>
                <w:rFonts w:ascii="Arial" w:hAnsi="Arial" w:cs="Arial"/>
              </w:rPr>
            </w:pPr>
            <w:r w:rsidRPr="00532BB5">
              <w:rPr>
                <w:rFonts w:ascii="Arial" w:hAnsi="Arial" w:cs="Arial"/>
              </w:rPr>
              <w:t>14.27</w:t>
            </w:r>
          </w:p>
          <w:p w14:paraId="32D8C6AD" w14:textId="77777777" w:rsidR="005B6016" w:rsidRPr="00532BB5" w:rsidRDefault="005B6016" w:rsidP="00A94036">
            <w:pPr>
              <w:jc w:val="center"/>
              <w:rPr>
                <w:rFonts w:ascii="Arial" w:hAnsi="Arial" w:cs="Arial"/>
              </w:rPr>
            </w:pPr>
            <w:r w:rsidRPr="00532BB5">
              <w:rPr>
                <w:rFonts w:ascii="Arial" w:hAnsi="Arial" w:cs="Arial"/>
              </w:rPr>
              <w:t>2.19</w:t>
            </w:r>
          </w:p>
          <w:p w14:paraId="414AAF71" w14:textId="77777777" w:rsidR="005B6016" w:rsidRPr="00532BB5" w:rsidRDefault="005B6016" w:rsidP="00A94036">
            <w:pPr>
              <w:jc w:val="center"/>
              <w:rPr>
                <w:rFonts w:ascii="Arial" w:hAnsi="Arial" w:cs="Arial"/>
              </w:rPr>
            </w:pPr>
            <w:r w:rsidRPr="00532BB5">
              <w:rPr>
                <w:rFonts w:ascii="Arial" w:hAnsi="Arial" w:cs="Arial"/>
              </w:rPr>
              <w:t>94</w:t>
            </w:r>
          </w:p>
          <w:p w14:paraId="69395EA9" w14:textId="77777777" w:rsidR="005B6016" w:rsidRPr="00532BB5" w:rsidRDefault="005B6016" w:rsidP="00A94036">
            <w:pPr>
              <w:jc w:val="center"/>
              <w:rPr>
                <w:rFonts w:ascii="Arial" w:hAnsi="Arial" w:cs="Arial"/>
              </w:rPr>
            </w:pPr>
            <w:r w:rsidRPr="00532BB5">
              <w:rPr>
                <w:rFonts w:ascii="Arial" w:hAnsi="Arial" w:cs="Arial"/>
              </w:rPr>
              <w:t>.031</w:t>
            </w:r>
          </w:p>
        </w:tc>
        <w:tc>
          <w:tcPr>
            <w:tcW w:w="1907" w:type="dxa"/>
          </w:tcPr>
          <w:p w14:paraId="58F166B7" w14:textId="77777777" w:rsidR="005B6016" w:rsidRPr="00532BB5" w:rsidRDefault="005B6016" w:rsidP="00A94036">
            <w:pPr>
              <w:jc w:val="center"/>
              <w:rPr>
                <w:rFonts w:ascii="Arial" w:hAnsi="Arial" w:cs="Arial"/>
              </w:rPr>
            </w:pPr>
            <w:r w:rsidRPr="00532BB5">
              <w:rPr>
                <w:rFonts w:ascii="Arial" w:hAnsi="Arial" w:cs="Arial"/>
              </w:rPr>
              <w:t>21.31</w:t>
            </w:r>
          </w:p>
          <w:p w14:paraId="3FFE54D8" w14:textId="77777777" w:rsidR="005B6016" w:rsidRPr="00532BB5" w:rsidRDefault="005B6016" w:rsidP="00A94036">
            <w:pPr>
              <w:jc w:val="center"/>
              <w:rPr>
                <w:rFonts w:ascii="Arial" w:hAnsi="Arial" w:cs="Arial"/>
              </w:rPr>
            </w:pPr>
            <w:r w:rsidRPr="00532BB5">
              <w:rPr>
                <w:rFonts w:ascii="Arial" w:hAnsi="Arial" w:cs="Arial"/>
              </w:rPr>
              <w:t>23.16</w:t>
            </w:r>
          </w:p>
          <w:p w14:paraId="1B09BE8F" w14:textId="77777777" w:rsidR="005B6016" w:rsidRPr="00532BB5" w:rsidRDefault="005B6016" w:rsidP="00A94036">
            <w:pPr>
              <w:jc w:val="center"/>
              <w:rPr>
                <w:rFonts w:ascii="Arial" w:hAnsi="Arial" w:cs="Arial"/>
              </w:rPr>
            </w:pPr>
            <w:r w:rsidRPr="00532BB5">
              <w:rPr>
                <w:rFonts w:ascii="Arial" w:hAnsi="Arial" w:cs="Arial"/>
              </w:rPr>
              <w:t>-5.46</w:t>
            </w:r>
          </w:p>
          <w:p w14:paraId="5FE0307D" w14:textId="77777777" w:rsidR="005B6016" w:rsidRPr="00532BB5" w:rsidRDefault="005B6016" w:rsidP="00A94036">
            <w:pPr>
              <w:jc w:val="center"/>
              <w:rPr>
                <w:rFonts w:ascii="Arial" w:hAnsi="Arial" w:cs="Arial"/>
              </w:rPr>
            </w:pPr>
            <w:r w:rsidRPr="00532BB5">
              <w:rPr>
                <w:rFonts w:ascii="Arial" w:hAnsi="Arial" w:cs="Arial"/>
              </w:rPr>
              <w:t>94</w:t>
            </w:r>
          </w:p>
          <w:p w14:paraId="36B1229F" w14:textId="77777777" w:rsidR="005B6016" w:rsidRPr="00532BB5" w:rsidRDefault="005B6016" w:rsidP="00A94036">
            <w:pPr>
              <w:jc w:val="center"/>
              <w:rPr>
                <w:rFonts w:ascii="Arial" w:hAnsi="Arial" w:cs="Arial"/>
              </w:rPr>
            </w:pPr>
            <w:r w:rsidRPr="00532BB5">
              <w:rPr>
                <w:rFonts w:ascii="Arial" w:hAnsi="Arial" w:cs="Arial"/>
              </w:rPr>
              <w:t>.000</w:t>
            </w:r>
          </w:p>
        </w:tc>
      </w:tr>
    </w:tbl>
    <w:bookmarkEnd w:id="2"/>
    <w:p w14:paraId="129FCACD" w14:textId="7025E000" w:rsidR="0048659C" w:rsidRDefault="00A43AAE" w:rsidP="00446D25">
      <w:pPr>
        <w:jc w:val="both"/>
        <w:rPr>
          <w:rFonts w:ascii="Arial" w:hAnsi="Arial" w:cs="Arial"/>
          <w:color w:val="000000"/>
          <w:lang w:eastAsia="es-ES_tradnl"/>
        </w:rPr>
      </w:pPr>
      <w:r w:rsidRPr="00532BB5">
        <w:rPr>
          <w:rFonts w:ascii="Arial" w:hAnsi="Arial" w:cs="Arial"/>
          <w:color w:val="000000"/>
          <w:lang w:eastAsia="es-ES_tradnl"/>
        </w:rPr>
        <w:t> </w:t>
      </w:r>
    </w:p>
    <w:p w14:paraId="780F539C" w14:textId="77777777" w:rsidR="00446D25" w:rsidRDefault="00446D25" w:rsidP="00446D25">
      <w:pPr>
        <w:jc w:val="both"/>
        <w:rPr>
          <w:rFonts w:ascii="Arial" w:hAnsi="Arial" w:cs="Arial"/>
          <w:color w:val="000000"/>
          <w:lang w:eastAsia="es-ES_tradnl"/>
        </w:rPr>
      </w:pPr>
    </w:p>
    <w:p w14:paraId="6B2CF26D" w14:textId="588F759C" w:rsidR="00BA0745" w:rsidRPr="00532BB5" w:rsidRDefault="00A55A5D" w:rsidP="00A94036">
      <w:pPr>
        <w:ind w:firstLine="700"/>
        <w:jc w:val="both"/>
        <w:rPr>
          <w:rFonts w:ascii="Arial" w:hAnsi="Arial" w:cs="Arial"/>
          <w:color w:val="000000"/>
          <w:lang w:eastAsia="es-ES_tradnl"/>
        </w:rPr>
      </w:pPr>
      <w:r w:rsidRPr="00532BB5">
        <w:rPr>
          <w:rFonts w:ascii="Arial" w:hAnsi="Arial" w:cs="Arial"/>
          <w:color w:val="000000"/>
          <w:lang w:eastAsia="es-ES_tradnl"/>
        </w:rPr>
        <w:t xml:space="preserve">En cuanto a la conducta de separación del plástico PET, </w:t>
      </w:r>
      <w:r w:rsidR="00756F0E" w:rsidRPr="00532BB5">
        <w:rPr>
          <w:rFonts w:ascii="Arial" w:hAnsi="Arial" w:cs="Arial"/>
          <w:color w:val="000000"/>
          <w:lang w:eastAsia="es-ES_tradnl"/>
        </w:rPr>
        <w:t>después de la primera etapa de intervención aumentaron aproximadamente en un 81% los contenedores de PET con separación correcta y la cantidad de PET enviada a reciclaje en un 136%.</w:t>
      </w:r>
      <w:r w:rsidRPr="00532BB5">
        <w:rPr>
          <w:rFonts w:ascii="Arial" w:hAnsi="Arial" w:cs="Arial"/>
          <w:color w:val="000000"/>
          <w:lang w:eastAsia="es-ES_tradnl"/>
        </w:rPr>
        <w:t xml:space="preserve"> </w:t>
      </w:r>
      <w:r w:rsidR="00A43AAE" w:rsidRPr="00532BB5">
        <w:rPr>
          <w:rFonts w:ascii="Arial" w:hAnsi="Arial" w:cs="Arial"/>
          <w:color w:val="000000"/>
          <w:lang w:eastAsia="es-ES_tradnl"/>
        </w:rPr>
        <w:t xml:space="preserve">En las siguientes dos figuras se muestran las dos mediciones de la conducta de separación del PET a lo largo del cuatrimestre en el que se llevó a cabo la primera etapa de intervención. La figura </w:t>
      </w:r>
      <w:r w:rsidR="00814509">
        <w:rPr>
          <w:rFonts w:ascii="Arial" w:hAnsi="Arial" w:cs="Arial"/>
          <w:color w:val="000000"/>
          <w:lang w:eastAsia="es-ES_tradnl"/>
        </w:rPr>
        <w:t>4</w:t>
      </w:r>
      <w:r w:rsidR="00A43AAE" w:rsidRPr="00532BB5">
        <w:rPr>
          <w:rFonts w:ascii="Arial" w:hAnsi="Arial" w:cs="Arial"/>
          <w:color w:val="000000"/>
          <w:lang w:eastAsia="es-ES_tradnl"/>
        </w:rPr>
        <w:t xml:space="preserve"> indica los resultados de las observaciones de la separación de residuos en los contenedores de PET y la figura </w:t>
      </w:r>
      <w:r w:rsidR="00814509">
        <w:rPr>
          <w:rFonts w:ascii="Arial" w:hAnsi="Arial" w:cs="Arial"/>
          <w:color w:val="000000"/>
          <w:lang w:eastAsia="es-ES_tradnl"/>
        </w:rPr>
        <w:t>5</w:t>
      </w:r>
      <w:r w:rsidR="00A43AAE" w:rsidRPr="00532BB5">
        <w:rPr>
          <w:rFonts w:ascii="Arial" w:hAnsi="Arial" w:cs="Arial"/>
          <w:color w:val="000000"/>
          <w:lang w:eastAsia="es-ES_tradnl"/>
        </w:rPr>
        <w:t xml:space="preserve"> refleja las mediciones que realizó la empresa recicladora. </w:t>
      </w:r>
    </w:p>
    <w:p w14:paraId="59407EF5" w14:textId="77777777" w:rsidR="00240C30" w:rsidRPr="00532BB5" w:rsidRDefault="00240C30" w:rsidP="00A94036">
      <w:pPr>
        <w:ind w:firstLine="700"/>
        <w:jc w:val="both"/>
        <w:rPr>
          <w:rFonts w:ascii="Arial" w:hAnsi="Arial" w:cs="Arial"/>
          <w:color w:val="000000"/>
          <w:lang w:eastAsia="es-ES_tradnl"/>
        </w:rPr>
      </w:pPr>
    </w:p>
    <w:p w14:paraId="4D4591C8" w14:textId="518FA87D" w:rsidR="00A43AAE" w:rsidRPr="00532BB5" w:rsidRDefault="003F2D2E" w:rsidP="00A94036">
      <w:pPr>
        <w:rPr>
          <w:rFonts w:ascii="Arial" w:hAnsi="Arial" w:cs="Arial"/>
          <w:color w:val="000000"/>
          <w:lang w:eastAsia="es-ES_tradnl"/>
        </w:rPr>
      </w:pPr>
      <w:r w:rsidRPr="00532BB5">
        <w:rPr>
          <w:rFonts w:ascii="Arial" w:hAnsi="Arial" w:cs="Arial"/>
          <w:noProof/>
          <w:lang w:val="es-ES"/>
        </w:rPr>
        <w:lastRenderedPageBreak/>
        <w:drawing>
          <wp:inline distT="0" distB="0" distL="0" distR="0" wp14:anchorId="451C2B3B" wp14:editId="1107404A">
            <wp:extent cx="6006052" cy="2510254"/>
            <wp:effectExtent l="0" t="0" r="13970" b="4445"/>
            <wp:docPr id="7178" name="Gráfico 7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6DC04" w14:textId="77777777" w:rsidR="00446D25" w:rsidRDefault="00446D25" w:rsidP="00A94036">
      <w:pPr>
        <w:jc w:val="center"/>
        <w:rPr>
          <w:rFonts w:ascii="Arial" w:hAnsi="Arial" w:cs="Arial"/>
          <w:color w:val="000000"/>
          <w:lang w:eastAsia="es-ES_tradnl"/>
        </w:rPr>
      </w:pPr>
    </w:p>
    <w:p w14:paraId="0D26CA0F" w14:textId="7F07925C"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 xml:space="preserve">Figura </w:t>
      </w:r>
      <w:r w:rsidR="00814509">
        <w:rPr>
          <w:rFonts w:ascii="Arial" w:hAnsi="Arial" w:cs="Arial"/>
          <w:color w:val="000000"/>
          <w:lang w:eastAsia="es-ES_tradnl"/>
        </w:rPr>
        <w:t>4</w:t>
      </w:r>
      <w:r w:rsidRPr="00532BB5">
        <w:rPr>
          <w:rFonts w:ascii="Arial" w:hAnsi="Arial" w:cs="Arial"/>
          <w:color w:val="000000"/>
          <w:lang w:eastAsia="es-ES_tradnl"/>
        </w:rPr>
        <w:t>. Número de contenedores de PET con separación correcta de una muestra de 18, durante el primer cuatrimestre de intervención.</w:t>
      </w:r>
      <w:r w:rsidR="00A555EA">
        <w:rPr>
          <w:rFonts w:ascii="Arial" w:hAnsi="Arial" w:cs="Arial"/>
          <w:color w:val="000000"/>
          <w:lang w:eastAsia="es-ES_tradnl"/>
        </w:rPr>
        <w:t xml:space="preserve"> Nota: el letrero en la cafetería se colocó el 17 de octubre.</w:t>
      </w:r>
      <w:r w:rsidRPr="00532BB5">
        <w:rPr>
          <w:rFonts w:ascii="Arial" w:hAnsi="Arial" w:cs="Arial"/>
          <w:color w:val="000000"/>
          <w:lang w:eastAsia="es-ES_tradnl"/>
        </w:rPr>
        <w:t>  </w:t>
      </w:r>
    </w:p>
    <w:p w14:paraId="1A536635" w14:textId="77777777" w:rsidR="00240C30" w:rsidRPr="00532BB5" w:rsidRDefault="00240C30" w:rsidP="00A94036">
      <w:pPr>
        <w:jc w:val="center"/>
        <w:rPr>
          <w:rFonts w:ascii="Arial" w:hAnsi="Arial" w:cs="Arial"/>
          <w:color w:val="000000"/>
          <w:lang w:eastAsia="es-ES_tradnl"/>
        </w:rPr>
      </w:pPr>
    </w:p>
    <w:p w14:paraId="3EE934E5" w14:textId="3C6AE8E5" w:rsidR="003F2D2E" w:rsidRPr="00532BB5" w:rsidRDefault="003F2D2E" w:rsidP="00A94036">
      <w:pPr>
        <w:jc w:val="center"/>
        <w:rPr>
          <w:rFonts w:ascii="Arial" w:hAnsi="Arial" w:cs="Arial"/>
          <w:color w:val="000000"/>
          <w:lang w:eastAsia="es-ES_tradnl"/>
        </w:rPr>
      </w:pPr>
      <w:r w:rsidRPr="00532BB5">
        <w:rPr>
          <w:rFonts w:ascii="Arial" w:hAnsi="Arial" w:cs="Arial"/>
          <w:noProof/>
          <w:lang w:val="es-ES"/>
        </w:rPr>
        <w:drawing>
          <wp:inline distT="0" distB="0" distL="0" distR="0" wp14:anchorId="6C75623E" wp14:editId="767C8063">
            <wp:extent cx="5961984" cy="2521271"/>
            <wp:effectExtent l="0" t="0" r="7620" b="19050"/>
            <wp:docPr id="7179" name="Gráfico 7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1F091F" w14:textId="77777777" w:rsidR="00446D25" w:rsidRDefault="00446D25" w:rsidP="00A94036">
      <w:pPr>
        <w:jc w:val="center"/>
        <w:rPr>
          <w:rFonts w:ascii="Arial" w:hAnsi="Arial" w:cs="Arial"/>
          <w:color w:val="000000"/>
          <w:lang w:eastAsia="es-ES_tradnl"/>
        </w:rPr>
      </w:pPr>
    </w:p>
    <w:p w14:paraId="242264BD" w14:textId="30B36463"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 xml:space="preserve">Figura </w:t>
      </w:r>
      <w:r w:rsidR="00814509">
        <w:rPr>
          <w:rFonts w:ascii="Arial" w:hAnsi="Arial" w:cs="Arial"/>
          <w:color w:val="000000"/>
          <w:lang w:eastAsia="es-ES_tradnl"/>
        </w:rPr>
        <w:t>5</w:t>
      </w:r>
      <w:r w:rsidRPr="00532BB5">
        <w:rPr>
          <w:rFonts w:ascii="Arial" w:hAnsi="Arial" w:cs="Arial"/>
          <w:color w:val="000000"/>
          <w:lang w:eastAsia="es-ES_tradnl"/>
        </w:rPr>
        <w:t>. Kilogramos de PET enviados a reciclaje durante el primer cuatrimestre de intervención (</w:t>
      </w:r>
      <w:proofErr w:type="spellStart"/>
      <w:r w:rsidRPr="00532BB5">
        <w:rPr>
          <w:rFonts w:ascii="Arial" w:hAnsi="Arial" w:cs="Arial"/>
          <w:color w:val="000000"/>
          <w:lang w:eastAsia="es-ES_tradnl"/>
        </w:rPr>
        <w:t>Remplaso</w:t>
      </w:r>
      <w:proofErr w:type="spellEnd"/>
      <w:r w:rsidRPr="00532BB5">
        <w:rPr>
          <w:rFonts w:ascii="Arial" w:hAnsi="Arial" w:cs="Arial"/>
          <w:color w:val="000000"/>
          <w:lang w:eastAsia="es-ES_tradnl"/>
        </w:rPr>
        <w:t>, 2016).</w:t>
      </w:r>
      <w:r w:rsidR="00240C30" w:rsidRPr="00532BB5">
        <w:rPr>
          <w:rFonts w:ascii="Arial" w:hAnsi="Arial" w:cs="Arial"/>
          <w:color w:val="000000"/>
          <w:lang w:eastAsia="es-ES_tradnl"/>
        </w:rPr>
        <w:t xml:space="preserve"> </w:t>
      </w:r>
      <w:r w:rsidR="00E20973">
        <w:rPr>
          <w:rFonts w:ascii="Arial" w:hAnsi="Arial" w:cs="Arial"/>
          <w:color w:val="000000"/>
          <w:lang w:eastAsia="es-ES_tradnl"/>
        </w:rPr>
        <w:t>Nota: las etiquetas en los contenedores se colocaron el 4 de noviembre.</w:t>
      </w:r>
    </w:p>
    <w:p w14:paraId="04332E42" w14:textId="77777777" w:rsidR="008C1F7C" w:rsidRDefault="00A43AAE" w:rsidP="00A94036">
      <w:pPr>
        <w:jc w:val="both"/>
        <w:rPr>
          <w:rFonts w:ascii="Arial" w:hAnsi="Arial" w:cs="Arial"/>
          <w:color w:val="000000"/>
          <w:lang w:eastAsia="es-ES_tradnl"/>
        </w:rPr>
      </w:pPr>
      <w:r w:rsidRPr="00532BB5">
        <w:rPr>
          <w:rFonts w:ascii="Arial" w:hAnsi="Arial" w:cs="Arial"/>
          <w:color w:val="000000"/>
          <w:lang w:eastAsia="es-ES_tradnl"/>
        </w:rPr>
        <w:t> </w:t>
      </w:r>
      <w:r w:rsidR="00F56082" w:rsidRPr="00532BB5">
        <w:rPr>
          <w:rFonts w:ascii="Arial" w:hAnsi="Arial" w:cs="Arial"/>
          <w:color w:val="000000"/>
          <w:lang w:eastAsia="es-ES_tradnl"/>
        </w:rPr>
        <w:tab/>
      </w:r>
    </w:p>
    <w:p w14:paraId="7EBB34C4" w14:textId="64630F45" w:rsidR="00F56082" w:rsidRPr="00532BB5" w:rsidRDefault="00A55A5D" w:rsidP="00A94036">
      <w:pPr>
        <w:ind w:firstLine="708"/>
        <w:jc w:val="both"/>
        <w:rPr>
          <w:rFonts w:ascii="Arial" w:hAnsi="Arial" w:cs="Arial"/>
          <w:color w:val="000000"/>
          <w:lang w:eastAsia="es-ES_tradnl"/>
        </w:rPr>
      </w:pPr>
      <w:r w:rsidRPr="00532BB5">
        <w:rPr>
          <w:rFonts w:ascii="Arial" w:hAnsi="Arial" w:cs="Arial"/>
          <w:color w:val="000000"/>
          <w:lang w:eastAsia="es-ES_tradnl"/>
        </w:rPr>
        <w:t>En el siguiente cuatrimestre, posterior a la segunda etapa de intervención, se observó otro aumento de 30% en la cantidad de contenedores de PET con separación correcta</w:t>
      </w:r>
      <w:r w:rsidR="001D77DE">
        <w:rPr>
          <w:rFonts w:ascii="Arial" w:hAnsi="Arial" w:cs="Arial"/>
          <w:color w:val="000000"/>
          <w:lang w:eastAsia="es-ES_tradnl"/>
        </w:rPr>
        <w:t>, como se muestra en</w:t>
      </w:r>
      <w:r w:rsidR="00A43AAE" w:rsidRPr="00532BB5">
        <w:rPr>
          <w:rFonts w:ascii="Arial" w:hAnsi="Arial" w:cs="Arial"/>
          <w:color w:val="000000"/>
          <w:lang w:eastAsia="es-ES_tradnl"/>
        </w:rPr>
        <w:t xml:space="preserve"> la figura </w:t>
      </w:r>
      <w:r w:rsidR="00814509">
        <w:rPr>
          <w:rFonts w:ascii="Arial" w:hAnsi="Arial" w:cs="Arial"/>
          <w:color w:val="000000"/>
          <w:lang w:eastAsia="es-ES_tradnl"/>
        </w:rPr>
        <w:t>6</w:t>
      </w:r>
      <w:r w:rsidR="00A43AAE" w:rsidRPr="00532BB5">
        <w:rPr>
          <w:rFonts w:ascii="Arial" w:hAnsi="Arial" w:cs="Arial"/>
          <w:color w:val="000000"/>
          <w:lang w:eastAsia="es-ES_tradnl"/>
        </w:rPr>
        <w:t>. </w:t>
      </w:r>
    </w:p>
    <w:p w14:paraId="307B954A" w14:textId="77777777" w:rsidR="00A4062F" w:rsidRPr="00532BB5" w:rsidRDefault="00A4062F" w:rsidP="00A94036">
      <w:pPr>
        <w:jc w:val="both"/>
        <w:rPr>
          <w:rFonts w:ascii="Arial" w:hAnsi="Arial" w:cs="Arial"/>
          <w:color w:val="000000"/>
          <w:lang w:eastAsia="es-ES_tradnl"/>
        </w:rPr>
      </w:pPr>
    </w:p>
    <w:p w14:paraId="29351F77" w14:textId="1A89463A" w:rsidR="003F2D2E" w:rsidRPr="00532BB5" w:rsidRDefault="003F2D2E" w:rsidP="00A94036">
      <w:pPr>
        <w:jc w:val="center"/>
        <w:rPr>
          <w:rFonts w:ascii="Arial" w:hAnsi="Arial" w:cs="Arial"/>
          <w:color w:val="000000"/>
          <w:lang w:eastAsia="es-ES_tradnl"/>
        </w:rPr>
      </w:pPr>
      <w:r w:rsidRPr="00532BB5">
        <w:rPr>
          <w:rFonts w:ascii="Arial" w:hAnsi="Arial" w:cs="Arial"/>
          <w:noProof/>
          <w:lang w:val="es-ES"/>
        </w:rPr>
        <w:lastRenderedPageBreak/>
        <w:drawing>
          <wp:inline distT="0" distB="0" distL="0" distR="0" wp14:anchorId="1F57D0D3" wp14:editId="3B04712A">
            <wp:extent cx="5659304" cy="2544575"/>
            <wp:effectExtent l="0" t="0" r="5080" b="20955"/>
            <wp:docPr id="7180" name="Gráfico 71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36FDED" w14:textId="77777777" w:rsidR="00446D25" w:rsidRDefault="00446D25" w:rsidP="00A94036">
      <w:pPr>
        <w:jc w:val="center"/>
        <w:rPr>
          <w:rFonts w:ascii="Arial" w:hAnsi="Arial" w:cs="Arial"/>
          <w:color w:val="000000"/>
          <w:lang w:eastAsia="es-ES_tradnl"/>
        </w:rPr>
      </w:pPr>
    </w:p>
    <w:p w14:paraId="6D79293B" w14:textId="5AADDE53" w:rsidR="00A43AAE" w:rsidRPr="00532BB5" w:rsidRDefault="00A43AAE" w:rsidP="00A94036">
      <w:pPr>
        <w:jc w:val="center"/>
        <w:rPr>
          <w:rFonts w:ascii="Arial" w:hAnsi="Arial" w:cs="Arial"/>
          <w:color w:val="000000"/>
          <w:lang w:eastAsia="es-ES_tradnl"/>
        </w:rPr>
      </w:pPr>
      <w:r w:rsidRPr="00532BB5">
        <w:rPr>
          <w:rFonts w:ascii="Arial" w:hAnsi="Arial" w:cs="Arial"/>
          <w:color w:val="000000"/>
          <w:lang w:eastAsia="es-ES_tradnl"/>
        </w:rPr>
        <w:t xml:space="preserve">Figura </w:t>
      </w:r>
      <w:r w:rsidR="00814509">
        <w:rPr>
          <w:rFonts w:ascii="Arial" w:hAnsi="Arial" w:cs="Arial"/>
          <w:color w:val="000000"/>
          <w:lang w:eastAsia="es-ES_tradnl"/>
        </w:rPr>
        <w:t>6</w:t>
      </w:r>
      <w:r w:rsidRPr="00532BB5">
        <w:rPr>
          <w:rFonts w:ascii="Arial" w:hAnsi="Arial" w:cs="Arial"/>
          <w:color w:val="000000"/>
          <w:lang w:eastAsia="es-ES_tradnl"/>
        </w:rPr>
        <w:t>. Número de contenedores de PET con separación correcta de una muestra de 18, durante el segundo cuatrimestre de intervención.</w:t>
      </w:r>
      <w:r w:rsidR="00A66B96">
        <w:rPr>
          <w:rFonts w:ascii="Arial" w:hAnsi="Arial" w:cs="Arial"/>
          <w:color w:val="000000"/>
          <w:lang w:eastAsia="es-ES_tradnl"/>
        </w:rPr>
        <w:t xml:space="preserve"> Nota: las etiquetas en los botes se colocaron el 27 de febrero y los sellos en los vasos el 15 y 16 de mayo.</w:t>
      </w:r>
      <w:r w:rsidRPr="00532BB5">
        <w:rPr>
          <w:rFonts w:ascii="Arial" w:hAnsi="Arial" w:cs="Arial"/>
          <w:color w:val="000000"/>
          <w:lang w:eastAsia="es-ES_tradnl"/>
        </w:rPr>
        <w:t> </w:t>
      </w:r>
    </w:p>
    <w:p w14:paraId="52035DE2" w14:textId="67B85CE3" w:rsidR="00F56082" w:rsidRDefault="00A43AAE" w:rsidP="00A94036">
      <w:pPr>
        <w:jc w:val="center"/>
        <w:rPr>
          <w:rFonts w:ascii="Arial" w:hAnsi="Arial" w:cs="Arial"/>
          <w:color w:val="000000"/>
          <w:lang w:eastAsia="es-ES_tradnl"/>
        </w:rPr>
      </w:pPr>
      <w:r w:rsidRPr="00532BB5">
        <w:rPr>
          <w:rFonts w:ascii="Arial" w:hAnsi="Arial" w:cs="Arial"/>
          <w:color w:val="000000"/>
          <w:lang w:eastAsia="es-ES_tradnl"/>
        </w:rPr>
        <w:t> </w:t>
      </w:r>
    </w:p>
    <w:p w14:paraId="26D070F8" w14:textId="77777777" w:rsidR="00446D25" w:rsidRPr="00532BB5" w:rsidRDefault="00446D25" w:rsidP="00A94036">
      <w:pPr>
        <w:jc w:val="center"/>
        <w:rPr>
          <w:rFonts w:ascii="Arial" w:hAnsi="Arial" w:cs="Arial"/>
          <w:color w:val="000000"/>
          <w:lang w:eastAsia="es-ES_tradnl"/>
        </w:rPr>
      </w:pPr>
    </w:p>
    <w:p w14:paraId="5A630E14" w14:textId="2FAB87BC" w:rsidR="00A43AAE" w:rsidRPr="00532BB5" w:rsidRDefault="00A43AAE" w:rsidP="00A94036">
      <w:pPr>
        <w:jc w:val="center"/>
        <w:rPr>
          <w:rFonts w:ascii="Arial" w:hAnsi="Arial" w:cs="Arial"/>
          <w:b/>
          <w:color w:val="000000"/>
          <w:lang w:eastAsia="es-ES_tradnl"/>
        </w:rPr>
      </w:pPr>
      <w:r w:rsidRPr="00532BB5">
        <w:rPr>
          <w:rFonts w:ascii="Arial" w:hAnsi="Arial" w:cs="Arial"/>
          <w:b/>
          <w:color w:val="000000"/>
          <w:lang w:eastAsia="es-ES_tradnl"/>
        </w:rPr>
        <w:t>Discusión</w:t>
      </w:r>
    </w:p>
    <w:p w14:paraId="00172788" w14:textId="1B84F7A2" w:rsidR="005A12E2" w:rsidRPr="008C1F7C" w:rsidRDefault="005A12E2" w:rsidP="00A94036">
      <w:pPr>
        <w:spacing w:before="100" w:beforeAutospacing="1" w:after="100" w:afterAutospacing="1"/>
        <w:jc w:val="both"/>
        <w:rPr>
          <w:rFonts w:ascii="Arial" w:eastAsia="Times New Roman" w:hAnsi="Arial" w:cs="Arial"/>
          <w:lang w:val="es-MX" w:eastAsia="es-ES_tradnl"/>
        </w:rPr>
      </w:pPr>
      <w:r w:rsidRPr="005A12E2">
        <w:rPr>
          <w:rFonts w:ascii="Arial" w:eastAsia="Times New Roman" w:hAnsi="Arial" w:cs="Arial"/>
          <w:lang w:val="es-MX" w:eastAsia="es-ES_tradnl"/>
        </w:rPr>
        <w:t>La escala de norma social resultó alta en todos los grupos</w:t>
      </w:r>
      <w:r w:rsidR="001E4476">
        <w:rPr>
          <w:rFonts w:ascii="Arial" w:eastAsia="Times New Roman" w:hAnsi="Arial" w:cs="Arial"/>
          <w:lang w:val="es-MX" w:eastAsia="es-ES_tradnl"/>
        </w:rPr>
        <w:t xml:space="preserve"> desde el pretest</w:t>
      </w:r>
      <w:r w:rsidRPr="005A12E2">
        <w:rPr>
          <w:rFonts w:ascii="Arial" w:eastAsia="Times New Roman" w:hAnsi="Arial" w:cs="Arial"/>
          <w:lang w:val="es-MX" w:eastAsia="es-ES_tradnl"/>
        </w:rPr>
        <w:t>, no así los dos factores que conforman la norma personal, por lo que se puede deducir que los estudiantes aunque percibían una expectativa por reciclar dentro de la universidad, esto no se había traducido en que internalizaran esa expectativa a un nivel individual y sintieran la obligación personal de reciclar, exceptuando al grupo de promotores ambientales</w:t>
      </w:r>
      <w:r w:rsidR="00F20250">
        <w:rPr>
          <w:rFonts w:ascii="Arial" w:eastAsia="Times New Roman" w:hAnsi="Arial" w:cs="Arial"/>
          <w:lang w:val="es-MX" w:eastAsia="es-ES_tradnl"/>
        </w:rPr>
        <w:t xml:space="preserve">, quienes </w:t>
      </w:r>
      <w:r w:rsidR="00D742AF">
        <w:rPr>
          <w:rFonts w:ascii="Arial" w:eastAsia="Times New Roman" w:hAnsi="Arial" w:cs="Arial"/>
          <w:lang w:val="es-MX" w:eastAsia="es-ES_tradnl"/>
        </w:rPr>
        <w:t>probablemente</w:t>
      </w:r>
      <w:r w:rsidR="008802D6">
        <w:rPr>
          <w:rFonts w:ascii="Arial" w:eastAsia="Times New Roman" w:hAnsi="Arial" w:cs="Arial"/>
          <w:lang w:val="es-MX" w:eastAsia="es-ES_tradnl"/>
        </w:rPr>
        <w:t xml:space="preserve"> ya contaban con una actitud favorable hacia el medio ambiente</w:t>
      </w:r>
      <w:r w:rsidRPr="005A12E2">
        <w:rPr>
          <w:rFonts w:ascii="Arial" w:eastAsia="Times New Roman" w:hAnsi="Arial" w:cs="Arial"/>
          <w:lang w:val="es-MX" w:eastAsia="es-ES_tradnl"/>
        </w:rPr>
        <w:t>. En general, tampoco les molestaba tirar a la basura los residuos reciclables.</w:t>
      </w:r>
    </w:p>
    <w:p w14:paraId="3C5EC7BF" w14:textId="645E35A7" w:rsidR="005A12E2" w:rsidRPr="008C1F7C" w:rsidRDefault="008802D6" w:rsidP="00A94036">
      <w:pPr>
        <w:spacing w:before="100" w:beforeAutospacing="1" w:after="100" w:afterAutospacing="1"/>
        <w:ind w:firstLine="708"/>
        <w:jc w:val="both"/>
        <w:rPr>
          <w:rFonts w:ascii="Arial" w:eastAsia="Times New Roman" w:hAnsi="Arial" w:cs="Arial"/>
          <w:lang w:val="es-MX" w:eastAsia="es-ES_tradnl"/>
        </w:rPr>
      </w:pPr>
      <w:r>
        <w:rPr>
          <w:rFonts w:ascii="Arial" w:eastAsia="Times New Roman" w:hAnsi="Arial" w:cs="Arial"/>
          <w:lang w:val="es-MX" w:eastAsia="es-ES_tradnl"/>
        </w:rPr>
        <w:t>E</w:t>
      </w:r>
      <w:r w:rsidR="005870CF" w:rsidRPr="005870CF">
        <w:rPr>
          <w:rFonts w:ascii="Arial" w:eastAsia="Times New Roman" w:hAnsi="Arial" w:cs="Arial"/>
          <w:lang w:val="es-MX" w:eastAsia="es-ES_tradnl"/>
        </w:rPr>
        <w:t xml:space="preserve">l factor de sentimiento de molestia fue el único cuyas medias entre el pretest y el postest aumentaron de manera estadísticamente significativa en ambos grupos, el de difusores y el de estudiantes de ingeniería. Durante las pláticas informativas se observó que para los estudiantes fue impactante ver las imágenes de los daños al medio ambiente y a la salud que pueden causar los residuos, en particular el plástico, cuando no se reciclan. También </w:t>
      </w:r>
      <w:r w:rsidR="00D742AF">
        <w:rPr>
          <w:rFonts w:ascii="Arial" w:eastAsia="Times New Roman" w:hAnsi="Arial" w:cs="Arial"/>
          <w:lang w:val="es-MX" w:eastAsia="es-ES_tradnl"/>
        </w:rPr>
        <w:t xml:space="preserve">les </w:t>
      </w:r>
      <w:r w:rsidR="005870CF" w:rsidRPr="005870CF">
        <w:rPr>
          <w:rFonts w:ascii="Arial" w:eastAsia="Times New Roman" w:hAnsi="Arial" w:cs="Arial"/>
          <w:lang w:val="es-MX" w:eastAsia="es-ES_tradnl"/>
        </w:rPr>
        <w:t xml:space="preserve">resultó interesante conocer los diferentes objetos en los que se pueden convertir los residuos reciclables. En la mayoría de las sesiones informativas el facilitador incluso llevó puesta una camisa hecha de PET reciclado para que vieran el potencial de este residuo de convertirse en otro objeto útil. Probablemente por esto, a los estudiantes les comenzó a molestar el tirar a la basura los residuos reciclables, ya que sabían que al hacer eso era más probable que esos residuos terminaran en un relleno sanitario o en el mar contaminando, en lugar de convertirse en objetos útiles al ser reciclados. </w:t>
      </w:r>
    </w:p>
    <w:p w14:paraId="5F69AD47" w14:textId="2B8E4603" w:rsidR="005870CF" w:rsidRPr="008C1F7C" w:rsidRDefault="004C73D8" w:rsidP="00A94036">
      <w:pPr>
        <w:pStyle w:val="NormalWeb"/>
        <w:ind w:firstLine="708"/>
        <w:jc w:val="both"/>
        <w:rPr>
          <w:rFonts w:ascii="Arial" w:eastAsia="Times New Roman" w:hAnsi="Arial" w:cs="Arial"/>
          <w:lang w:val="es-MX"/>
        </w:rPr>
      </w:pPr>
      <w:r w:rsidRPr="008C1F7C">
        <w:rPr>
          <w:rFonts w:ascii="Arial" w:eastAsia="Times New Roman" w:hAnsi="Arial" w:cs="Arial"/>
          <w:lang w:val="es-MX"/>
        </w:rPr>
        <w:lastRenderedPageBreak/>
        <w:t xml:space="preserve">El aumento estadísticamente significativo observado en la escala de conciencia de consecuencias únicamente en el grupo de estudiantes de ingeniería puede explicarse porque todos los integrantes de este grupo eran de recién ingreso a la universidad y no habían cursado asignaturas sobre medio ambiente a nivel superior, a diferencia del grupo de estudiantes difusores, compuesto por estudiantes de semestres más avanzados. </w:t>
      </w:r>
      <w:r w:rsidR="0009604B" w:rsidRPr="008C1F7C">
        <w:rPr>
          <w:rFonts w:ascii="Arial" w:eastAsia="Times New Roman" w:hAnsi="Arial" w:cs="Arial"/>
          <w:lang w:val="es-MX"/>
        </w:rPr>
        <w:t>P</w:t>
      </w:r>
      <w:r w:rsidR="0009604B">
        <w:rPr>
          <w:rFonts w:ascii="Arial" w:eastAsia="Times New Roman" w:hAnsi="Arial" w:cs="Arial"/>
          <w:lang w:val="es-MX"/>
        </w:rPr>
        <w:t>robablemente p</w:t>
      </w:r>
      <w:r w:rsidR="0009604B" w:rsidRPr="008C1F7C">
        <w:rPr>
          <w:rFonts w:ascii="Arial" w:eastAsia="Times New Roman" w:hAnsi="Arial" w:cs="Arial"/>
          <w:lang w:val="es-MX"/>
        </w:rPr>
        <w:t xml:space="preserve">or esto los estudiantes de ingeniería </w:t>
      </w:r>
      <w:r w:rsidR="0009604B">
        <w:rPr>
          <w:rFonts w:ascii="Arial" w:eastAsia="Times New Roman" w:hAnsi="Arial" w:cs="Arial"/>
          <w:lang w:val="es-MX"/>
        </w:rPr>
        <w:t>contaban con</w:t>
      </w:r>
      <w:r w:rsidR="0009604B" w:rsidRPr="008C1F7C">
        <w:rPr>
          <w:rFonts w:ascii="Arial" w:eastAsia="Times New Roman" w:hAnsi="Arial" w:cs="Arial"/>
          <w:lang w:val="es-MX"/>
        </w:rPr>
        <w:t xml:space="preserve"> menos conocimientos sobre los beneficios del reciclaje </w:t>
      </w:r>
      <w:r w:rsidR="0009604B">
        <w:rPr>
          <w:rFonts w:ascii="Arial" w:eastAsia="Times New Roman" w:hAnsi="Arial" w:cs="Arial"/>
          <w:lang w:val="es-MX"/>
        </w:rPr>
        <w:t>e</w:t>
      </w:r>
      <w:r w:rsidR="0009604B" w:rsidRPr="008C1F7C">
        <w:rPr>
          <w:rFonts w:ascii="Arial" w:eastAsia="Times New Roman" w:hAnsi="Arial" w:cs="Arial"/>
          <w:lang w:val="es-MX"/>
        </w:rPr>
        <w:t xml:space="preserve"> incrementaron sus conocimientos sobre este tema a partir de la plática informativa que recibieron</w:t>
      </w:r>
      <w:r w:rsidR="00737EB8">
        <w:rPr>
          <w:rFonts w:ascii="Arial" w:eastAsia="Times New Roman" w:hAnsi="Arial" w:cs="Arial"/>
          <w:lang w:val="es-MX"/>
        </w:rPr>
        <w:t>.</w:t>
      </w:r>
    </w:p>
    <w:p w14:paraId="68A3EC99" w14:textId="77DA1062" w:rsidR="00A6493F" w:rsidRPr="008C1F7C" w:rsidRDefault="008802D6" w:rsidP="00A94036">
      <w:pPr>
        <w:ind w:firstLine="708"/>
        <w:jc w:val="both"/>
        <w:rPr>
          <w:rFonts w:ascii="Arial" w:hAnsi="Arial" w:cs="Arial"/>
        </w:rPr>
      </w:pPr>
      <w:r>
        <w:rPr>
          <w:rFonts w:ascii="Arial" w:hAnsi="Arial" w:cs="Arial"/>
        </w:rPr>
        <w:t>En cuanto a la separación del plástico PET, c</w:t>
      </w:r>
      <w:r w:rsidR="00A6493F" w:rsidRPr="008C1F7C">
        <w:rPr>
          <w:rFonts w:ascii="Arial" w:hAnsi="Arial" w:cs="Arial"/>
        </w:rPr>
        <w:t xml:space="preserve">omo se puede observar en la figura </w:t>
      </w:r>
      <w:r w:rsidR="00814509">
        <w:rPr>
          <w:rFonts w:ascii="Arial" w:hAnsi="Arial" w:cs="Arial"/>
        </w:rPr>
        <w:t>4</w:t>
      </w:r>
      <w:r w:rsidR="00A6493F" w:rsidRPr="008C1F7C">
        <w:rPr>
          <w:rFonts w:ascii="Arial" w:hAnsi="Arial" w:cs="Arial"/>
        </w:rPr>
        <w:t xml:space="preserve">, en general </w:t>
      </w:r>
      <w:r>
        <w:rPr>
          <w:rFonts w:ascii="Arial" w:hAnsi="Arial" w:cs="Arial"/>
        </w:rPr>
        <w:t>ésta</w:t>
      </w:r>
      <w:r w:rsidR="00A6493F" w:rsidRPr="008C1F7C">
        <w:rPr>
          <w:rFonts w:ascii="Arial" w:hAnsi="Arial" w:cs="Arial"/>
        </w:rPr>
        <w:t xml:space="preserve"> fue mejorando paulatinamente a lo largo del cuatrimestre, conforme se fueron introduciendo las estrategias, logrando la mayor mejoría al final del cuatrimestre. En la gráfica que muestra las mediciones realizadas por la empresa recicladora (figura </w:t>
      </w:r>
      <w:r w:rsidR="00814509">
        <w:rPr>
          <w:rFonts w:ascii="Arial" w:hAnsi="Arial" w:cs="Arial"/>
        </w:rPr>
        <w:t>5</w:t>
      </w:r>
      <w:r w:rsidR="00A6493F" w:rsidRPr="008C1F7C">
        <w:rPr>
          <w:rFonts w:ascii="Arial" w:hAnsi="Arial" w:cs="Arial"/>
        </w:rPr>
        <w:t>) se observa algo similar, un aumento destacado en la cantidad de PET enviado a reciclaje hacia finales del cuatrimestre. Esto puede significar que al haber habido una mejor separación del PET por parte de la comunidad universitaria hubo un mayor reciclaje.</w:t>
      </w:r>
    </w:p>
    <w:p w14:paraId="0E47F657" w14:textId="038955F9" w:rsidR="00A6493F" w:rsidRPr="000C358A" w:rsidRDefault="00A6493F" w:rsidP="00A94036">
      <w:pPr>
        <w:spacing w:before="100" w:beforeAutospacing="1" w:after="100" w:afterAutospacing="1"/>
        <w:ind w:firstLine="708"/>
        <w:jc w:val="both"/>
        <w:rPr>
          <w:rFonts w:ascii="Arial" w:eastAsia="Times New Roman" w:hAnsi="Arial" w:cs="Arial"/>
          <w:lang w:val="es-MX" w:eastAsia="es-ES_tradnl"/>
        </w:rPr>
      </w:pPr>
      <w:r w:rsidRPr="008C1F7C">
        <w:rPr>
          <w:rFonts w:ascii="Arial" w:hAnsi="Arial" w:cs="Arial"/>
        </w:rPr>
        <w:t>El mayor cambio observado se dio cuando se introdujeron los recordatorios: principalmente las etiquetas en los contenedores, el letrero en la cafetería y los sellos en los vasos de café</w:t>
      </w:r>
      <w:r w:rsidR="00814509">
        <w:rPr>
          <w:rFonts w:ascii="Arial" w:hAnsi="Arial" w:cs="Arial"/>
        </w:rPr>
        <w:t xml:space="preserve"> (ver figuras </w:t>
      </w:r>
      <w:r w:rsidR="00F74C69">
        <w:rPr>
          <w:rFonts w:ascii="Arial" w:hAnsi="Arial" w:cs="Arial"/>
        </w:rPr>
        <w:t>4, 5 y 6)</w:t>
      </w:r>
      <w:r w:rsidRPr="008C1F7C">
        <w:rPr>
          <w:rFonts w:ascii="Arial" w:hAnsi="Arial" w:cs="Arial"/>
        </w:rPr>
        <w:t>. Así, aunque no se evaluó el efecto de cada estrategia por separado, y también es probable que los cambios hayan sido por efecto conjunto de las estrategias, se cuenta con indicios de que los recordatorios resultaron los más efectivos para fomentar la conducta de separación del PET. Este resultado coincide con otros estudios que han encontrado que los recordatorios son una estrategia efectiva para alentar comportamientos pro-ambientales</w:t>
      </w:r>
      <w:r w:rsidR="008802D6">
        <w:rPr>
          <w:rFonts w:ascii="Arial" w:hAnsi="Arial" w:cs="Arial"/>
        </w:rPr>
        <w:t>, sobre todo cuando están dirigidos a cambiar creencias</w:t>
      </w:r>
      <w:r w:rsidRPr="008C1F7C">
        <w:rPr>
          <w:rFonts w:ascii="Arial" w:hAnsi="Arial" w:cs="Arial"/>
        </w:rPr>
        <w:t xml:space="preserve"> (</w:t>
      </w:r>
      <w:proofErr w:type="spellStart"/>
      <w:r w:rsidRPr="008C1F7C">
        <w:rPr>
          <w:rFonts w:ascii="Arial" w:hAnsi="Arial" w:cs="Arial"/>
        </w:rPr>
        <w:t>Osbaldiston</w:t>
      </w:r>
      <w:proofErr w:type="spellEnd"/>
      <w:r w:rsidRPr="008C1F7C">
        <w:rPr>
          <w:rFonts w:ascii="Arial" w:hAnsi="Arial" w:cs="Arial"/>
        </w:rPr>
        <w:t xml:space="preserve"> &amp; </w:t>
      </w:r>
      <w:proofErr w:type="spellStart"/>
      <w:r w:rsidRPr="008C1F7C">
        <w:rPr>
          <w:rFonts w:ascii="Arial" w:hAnsi="Arial" w:cs="Arial"/>
        </w:rPr>
        <w:t>Schott</w:t>
      </w:r>
      <w:proofErr w:type="spellEnd"/>
      <w:r w:rsidRPr="008C1F7C">
        <w:rPr>
          <w:rFonts w:ascii="Arial" w:hAnsi="Arial" w:cs="Arial"/>
        </w:rPr>
        <w:t xml:space="preserve">, 2012; </w:t>
      </w:r>
      <w:proofErr w:type="spellStart"/>
      <w:r w:rsidRPr="008C1F7C">
        <w:rPr>
          <w:rFonts w:ascii="Arial" w:hAnsi="Arial" w:cs="Arial"/>
        </w:rPr>
        <w:t>Sussman</w:t>
      </w:r>
      <w:proofErr w:type="spellEnd"/>
      <w:r w:rsidR="00B73A07">
        <w:rPr>
          <w:rFonts w:ascii="Arial" w:hAnsi="Arial" w:cs="Arial"/>
        </w:rPr>
        <w:t xml:space="preserve"> et al.</w:t>
      </w:r>
      <w:r w:rsidRPr="008C1F7C">
        <w:rPr>
          <w:rFonts w:ascii="Arial" w:hAnsi="Arial" w:cs="Arial"/>
        </w:rPr>
        <w:t xml:space="preserve">, 2013; </w:t>
      </w:r>
      <w:proofErr w:type="spellStart"/>
      <w:r w:rsidRPr="008C1F7C">
        <w:rPr>
          <w:rFonts w:ascii="Arial" w:hAnsi="Arial" w:cs="Arial"/>
        </w:rPr>
        <w:t>Trudel</w:t>
      </w:r>
      <w:proofErr w:type="spellEnd"/>
      <w:r w:rsidRPr="008C1F7C">
        <w:rPr>
          <w:rFonts w:ascii="Arial" w:hAnsi="Arial" w:cs="Arial"/>
        </w:rPr>
        <w:t xml:space="preserve"> et al., 2016).</w:t>
      </w:r>
      <w:r w:rsidR="008802D6">
        <w:rPr>
          <w:rFonts w:ascii="Arial" w:hAnsi="Arial" w:cs="Arial"/>
        </w:rPr>
        <w:t xml:space="preserve"> En este caso, se orientaron a cambiar la creencia</w:t>
      </w:r>
      <w:r w:rsidR="000C358A">
        <w:rPr>
          <w:rFonts w:ascii="Arial" w:hAnsi="Arial" w:cs="Arial"/>
        </w:rPr>
        <w:t xml:space="preserve"> que tenían muchos estudiantes</w:t>
      </w:r>
      <w:r w:rsidR="008802D6">
        <w:rPr>
          <w:rFonts w:ascii="Arial" w:hAnsi="Arial" w:cs="Arial"/>
        </w:rPr>
        <w:t xml:space="preserve"> de que los vasos de café eran recic</w:t>
      </w:r>
      <w:r w:rsidR="000C358A">
        <w:rPr>
          <w:rFonts w:ascii="Arial" w:hAnsi="Arial" w:cs="Arial"/>
        </w:rPr>
        <w:t xml:space="preserve">lables y debían disponerse en los contenedores para reciclaje. </w:t>
      </w:r>
      <w:r w:rsidR="000C358A" w:rsidRPr="005A12E2">
        <w:rPr>
          <w:rFonts w:ascii="Arial" w:eastAsia="Times New Roman" w:hAnsi="Arial" w:cs="Arial"/>
          <w:lang w:val="es-MX" w:eastAsia="es-ES_tradnl"/>
        </w:rPr>
        <w:t xml:space="preserve">Trudel et al. (2016), definen esto como “error de categorización del producto”, y a través de cuatro experimentos descubrieron que este error es una causa psicológica importante que lleva a los consumidores a tomar decisiones incorrectas en el momento de disponer los residuos. </w:t>
      </w:r>
      <w:r w:rsidR="000C358A">
        <w:rPr>
          <w:rFonts w:ascii="Arial" w:hAnsi="Arial" w:cs="Arial"/>
        </w:rPr>
        <w:t xml:space="preserve"> </w:t>
      </w:r>
    </w:p>
    <w:p w14:paraId="121D77B5" w14:textId="60A37713" w:rsidR="005A12E2" w:rsidRDefault="00A6493F" w:rsidP="00A94036">
      <w:pPr>
        <w:jc w:val="both"/>
        <w:rPr>
          <w:rFonts w:ascii="Arial" w:hAnsi="Arial" w:cs="Arial"/>
        </w:rPr>
      </w:pPr>
      <w:r w:rsidRPr="008C1F7C">
        <w:rPr>
          <w:rFonts w:ascii="Arial" w:hAnsi="Arial" w:cs="Arial"/>
        </w:rPr>
        <w:tab/>
        <w:t xml:space="preserve">Como se puede observar en la gráfica de las mediciones de separación del PET en el cuatrimestre de la segunda etapa de intervención (figura </w:t>
      </w:r>
      <w:r w:rsidR="00814509">
        <w:rPr>
          <w:rFonts w:ascii="Arial" w:hAnsi="Arial" w:cs="Arial"/>
        </w:rPr>
        <w:t>6</w:t>
      </w:r>
      <w:r w:rsidRPr="008C1F7C">
        <w:rPr>
          <w:rFonts w:ascii="Arial" w:hAnsi="Arial" w:cs="Arial"/>
        </w:rPr>
        <w:t xml:space="preserve">), la mejoría que se logró en la primera etapa se mantuvo, a pesar de que ingresaron nuevos estudiantes a la universidad. Esto probablemente fue gracias a que las etiquetas continuaban en los contenedores, ya que todas las demás estrategias implementadas el cuatrimestre anterior habían sido retiradas. Lo anterior es un indicio más de la eficacia de los recordatorios visuales, al igual que en </w:t>
      </w:r>
      <w:r w:rsidR="00B73A07">
        <w:rPr>
          <w:rFonts w:ascii="Arial" w:hAnsi="Arial" w:cs="Arial"/>
        </w:rPr>
        <w:t>uno de los</w:t>
      </w:r>
      <w:r w:rsidR="00C76762" w:rsidRPr="008C1F7C">
        <w:rPr>
          <w:rFonts w:ascii="Arial" w:hAnsi="Arial" w:cs="Arial"/>
        </w:rPr>
        <w:t xml:space="preserve"> experimento</w:t>
      </w:r>
      <w:r w:rsidR="00B73A07">
        <w:rPr>
          <w:rFonts w:ascii="Arial" w:hAnsi="Arial" w:cs="Arial"/>
        </w:rPr>
        <w:t>s</w:t>
      </w:r>
      <w:r w:rsidR="00C76762" w:rsidRPr="008C1F7C">
        <w:rPr>
          <w:rFonts w:ascii="Arial" w:hAnsi="Arial" w:cs="Arial"/>
        </w:rPr>
        <w:t xml:space="preserve"> de</w:t>
      </w:r>
      <w:r w:rsidRPr="008C1F7C">
        <w:rPr>
          <w:rFonts w:ascii="Arial" w:hAnsi="Arial" w:cs="Arial"/>
        </w:rPr>
        <w:t xml:space="preserve"> </w:t>
      </w:r>
      <w:proofErr w:type="spellStart"/>
      <w:r w:rsidRPr="008C1F7C">
        <w:rPr>
          <w:rFonts w:ascii="Arial" w:hAnsi="Arial" w:cs="Arial"/>
        </w:rPr>
        <w:t>Trudel</w:t>
      </w:r>
      <w:proofErr w:type="spellEnd"/>
      <w:r w:rsidRPr="008C1F7C">
        <w:rPr>
          <w:rFonts w:ascii="Arial" w:hAnsi="Arial" w:cs="Arial"/>
        </w:rPr>
        <w:t xml:space="preserve"> et al. (2016). También </w:t>
      </w:r>
      <w:r w:rsidR="00B905D6">
        <w:rPr>
          <w:rFonts w:ascii="Arial" w:hAnsi="Arial" w:cs="Arial"/>
        </w:rPr>
        <w:t xml:space="preserve">puede </w:t>
      </w:r>
      <w:r w:rsidRPr="008C1F7C">
        <w:rPr>
          <w:rFonts w:ascii="Arial" w:hAnsi="Arial" w:cs="Arial"/>
        </w:rPr>
        <w:t>significa</w:t>
      </w:r>
      <w:r w:rsidR="00B905D6">
        <w:rPr>
          <w:rFonts w:ascii="Arial" w:hAnsi="Arial" w:cs="Arial"/>
        </w:rPr>
        <w:t>r</w:t>
      </w:r>
      <w:r w:rsidRPr="008C1F7C">
        <w:rPr>
          <w:rFonts w:ascii="Arial" w:hAnsi="Arial" w:cs="Arial"/>
        </w:rPr>
        <w:t xml:space="preserve"> que a los contenedores de reciclaje de PET les faltaban imágenes, ya que aunque tenían las instrucciones escritas claramente, hubo estudiantes que comentaron </w:t>
      </w:r>
      <w:r w:rsidR="00B905D6">
        <w:rPr>
          <w:rFonts w:ascii="Arial" w:hAnsi="Arial" w:cs="Arial"/>
        </w:rPr>
        <w:t xml:space="preserve">verbalmente </w:t>
      </w:r>
      <w:r w:rsidRPr="008C1F7C">
        <w:rPr>
          <w:rFonts w:ascii="Arial" w:hAnsi="Arial" w:cs="Arial"/>
        </w:rPr>
        <w:t xml:space="preserve">que nunca se habían detenido a leerlas. </w:t>
      </w:r>
    </w:p>
    <w:p w14:paraId="3D78DC54" w14:textId="77777777" w:rsidR="00B73A07" w:rsidRPr="008C1F7C" w:rsidRDefault="00B73A07" w:rsidP="00A94036">
      <w:pPr>
        <w:jc w:val="both"/>
        <w:rPr>
          <w:rFonts w:ascii="Arial" w:hAnsi="Arial" w:cs="Arial"/>
        </w:rPr>
      </w:pPr>
    </w:p>
    <w:p w14:paraId="299DE362" w14:textId="77777777" w:rsidR="00A6493F" w:rsidRPr="008C1F7C" w:rsidRDefault="00A6493F" w:rsidP="00A94036">
      <w:pPr>
        <w:ind w:firstLine="708"/>
        <w:jc w:val="both"/>
        <w:rPr>
          <w:rFonts w:ascii="Arial" w:hAnsi="Arial" w:cs="Arial"/>
        </w:rPr>
      </w:pPr>
      <w:r w:rsidRPr="008C1F7C">
        <w:rPr>
          <w:rFonts w:ascii="Arial" w:hAnsi="Arial" w:cs="Arial"/>
        </w:rPr>
        <w:t xml:space="preserve">Durante el segundo cuatrimestre de intervención se observó en un momento un retroceso en la separación del PET, lo cual pudo haberse debido a que durante ese </w:t>
      </w:r>
      <w:r w:rsidRPr="008C1F7C">
        <w:rPr>
          <w:rFonts w:ascii="Arial" w:hAnsi="Arial" w:cs="Arial"/>
        </w:rPr>
        <w:lastRenderedPageBreak/>
        <w:t>período no se realizó ninguna intervención, por cuestiones de permisos institucionales, a diferencia de la primera etapa de intervención, en la que se estuvo insistiendo durante todo el cuatrimestre y quizá por eso la tendencia fue casi siempre a mejorar. Esto puede significar que es necesario insistir para evitar retrocesos.</w:t>
      </w:r>
    </w:p>
    <w:p w14:paraId="2928FFD8" w14:textId="77777777" w:rsidR="00A6493F" w:rsidRPr="007B5D5E" w:rsidRDefault="00A6493F" w:rsidP="00A94036">
      <w:pPr>
        <w:jc w:val="both"/>
        <w:rPr>
          <w:rFonts w:ascii="Arial" w:hAnsi="Arial" w:cs="Arial"/>
        </w:rPr>
      </w:pPr>
    </w:p>
    <w:p w14:paraId="24EBC1C2" w14:textId="77777777" w:rsidR="00A6493F" w:rsidRPr="007B5D5E" w:rsidRDefault="00A6493F" w:rsidP="00A94036">
      <w:pPr>
        <w:jc w:val="center"/>
        <w:outlineLvl w:val="0"/>
        <w:rPr>
          <w:rFonts w:ascii="Arial" w:hAnsi="Arial" w:cs="Arial"/>
          <w:b/>
        </w:rPr>
      </w:pPr>
      <w:r w:rsidRPr="007B5D5E">
        <w:rPr>
          <w:rFonts w:ascii="Arial" w:hAnsi="Arial" w:cs="Arial"/>
          <w:b/>
        </w:rPr>
        <w:t>Conclusiones</w:t>
      </w:r>
    </w:p>
    <w:p w14:paraId="76722A25" w14:textId="77777777" w:rsidR="008C1F7C" w:rsidRDefault="008C1F7C" w:rsidP="00A94036">
      <w:pPr>
        <w:jc w:val="both"/>
        <w:rPr>
          <w:rFonts w:ascii="Arial" w:hAnsi="Arial" w:cs="Arial"/>
        </w:rPr>
      </w:pPr>
    </w:p>
    <w:p w14:paraId="0375037A" w14:textId="780BC42F" w:rsidR="00A6493F" w:rsidRPr="007B5D5E" w:rsidRDefault="00A6493F" w:rsidP="00A94036">
      <w:pPr>
        <w:jc w:val="both"/>
        <w:rPr>
          <w:rFonts w:ascii="Arial" w:hAnsi="Arial" w:cs="Arial"/>
        </w:rPr>
      </w:pPr>
      <w:r w:rsidRPr="007B5D5E">
        <w:rPr>
          <w:rFonts w:ascii="Arial" w:hAnsi="Arial" w:cs="Arial"/>
        </w:rPr>
        <w:t>En cuanto a los principales hallazgos y efectos de la investigación</w:t>
      </w:r>
      <w:r w:rsidR="007B5D5E" w:rsidRPr="007B5D5E">
        <w:rPr>
          <w:rFonts w:ascii="Arial" w:hAnsi="Arial" w:cs="Arial"/>
        </w:rPr>
        <w:t xml:space="preserve"> aplicada</w:t>
      </w:r>
      <w:r w:rsidRPr="007B5D5E">
        <w:rPr>
          <w:rFonts w:ascii="Arial" w:hAnsi="Arial" w:cs="Arial"/>
        </w:rPr>
        <w:t xml:space="preserve">, se puede concluir que después de la primera etapa de intervención aumentaron aproximadamente en un 81% los contenedores de PET con separación correcta y la cantidad de PET enviada a reciclaje en un 136%. Posterior a la segunda etapa de intervención, se observó otro aumento de 30% en la cantidad de contenedores de PET con separación correcta. Asimismo, después de la implementación del programa de intervención, aumentó de manera estadísticamente significativa las variables de conciencia de consecuencias y sentimiento de molestia del grupo de estudiantes de ingeniería, así como esta última del grupo de estudiantes difusores. Lo más probable es que estos incrementos hayan sido por efecto del programa de intervención, ya que no se identificó alguna otra variable que pudiera explicarlos. </w:t>
      </w:r>
    </w:p>
    <w:p w14:paraId="3B130430" w14:textId="77777777" w:rsidR="00A6493F" w:rsidRPr="007B5D5E" w:rsidRDefault="00A6493F" w:rsidP="00A94036">
      <w:pPr>
        <w:jc w:val="both"/>
        <w:rPr>
          <w:rFonts w:ascii="Arial" w:hAnsi="Arial" w:cs="Arial"/>
        </w:rPr>
      </w:pPr>
    </w:p>
    <w:p w14:paraId="639466FF" w14:textId="11D500A1" w:rsidR="00A6493F" w:rsidRPr="007B5D5E" w:rsidRDefault="00A6493F" w:rsidP="00A94036">
      <w:pPr>
        <w:ind w:firstLine="708"/>
        <w:jc w:val="both"/>
        <w:rPr>
          <w:rFonts w:ascii="Arial" w:hAnsi="Arial" w:cs="Arial"/>
        </w:rPr>
      </w:pPr>
      <w:r w:rsidRPr="007B5D5E">
        <w:rPr>
          <w:rFonts w:ascii="Arial" w:hAnsi="Arial" w:cs="Arial"/>
        </w:rPr>
        <w:t xml:space="preserve">Con respecto a las estrategias de intervención, al parecer la más efectiva para alentar la conducta pro-ambiental de separación del PET resultó ser la de recordatorios, lo cual coincide con lo que afirman </w:t>
      </w:r>
      <w:proofErr w:type="spellStart"/>
      <w:r w:rsidRPr="007B5D5E">
        <w:rPr>
          <w:rFonts w:ascii="Arial" w:hAnsi="Arial" w:cs="Arial"/>
        </w:rPr>
        <w:t>Koger</w:t>
      </w:r>
      <w:proofErr w:type="spellEnd"/>
      <w:r w:rsidRPr="007B5D5E">
        <w:rPr>
          <w:rFonts w:ascii="Arial" w:hAnsi="Arial" w:cs="Arial"/>
        </w:rPr>
        <w:t xml:space="preserve"> y Winter (2010) acerca de que es más efectivo proporcionar mensajes que recuerden llevar a cabo una acción pro-ambiental específica, que proporcionar información general, y que entre más cercanos se encuentren esos mensajes al lugar donde se lleva a cabo la conducta, tienen mayor probabilidad de resultar eficaces. En este caso las etiquetas se colocaron junto al orificio por donde se introducen los residuos en los contenedores de PET, y quizá por eso parecen haber resultado </w:t>
      </w:r>
      <w:r w:rsidR="00B73A07">
        <w:rPr>
          <w:rFonts w:ascii="Arial" w:hAnsi="Arial" w:cs="Arial"/>
        </w:rPr>
        <w:t xml:space="preserve">tan </w:t>
      </w:r>
      <w:r w:rsidRPr="007B5D5E">
        <w:rPr>
          <w:rFonts w:ascii="Arial" w:hAnsi="Arial" w:cs="Arial"/>
        </w:rPr>
        <w:t xml:space="preserve">efectivas. </w:t>
      </w:r>
    </w:p>
    <w:p w14:paraId="4F40425E" w14:textId="77777777" w:rsidR="00A6493F" w:rsidRPr="007B5D5E" w:rsidRDefault="00A6493F" w:rsidP="00A94036">
      <w:pPr>
        <w:ind w:firstLine="708"/>
        <w:jc w:val="both"/>
        <w:rPr>
          <w:rFonts w:ascii="Arial" w:hAnsi="Arial" w:cs="Arial"/>
        </w:rPr>
      </w:pPr>
    </w:p>
    <w:p w14:paraId="24D60F04" w14:textId="35F310A7" w:rsidR="00501ABA" w:rsidRDefault="00A6493F" w:rsidP="00A94036">
      <w:pPr>
        <w:ind w:firstLine="708"/>
        <w:jc w:val="both"/>
        <w:rPr>
          <w:rFonts w:ascii="Arial" w:hAnsi="Arial" w:cs="Arial"/>
        </w:rPr>
      </w:pPr>
      <w:r w:rsidRPr="007B5D5E">
        <w:rPr>
          <w:rFonts w:ascii="Arial" w:hAnsi="Arial" w:cs="Arial"/>
        </w:rPr>
        <w:t>El involucramiento estudiantil resultó de gran valor en el presente pro</w:t>
      </w:r>
      <w:r w:rsidR="00B73A07">
        <w:rPr>
          <w:rFonts w:ascii="Arial" w:hAnsi="Arial" w:cs="Arial"/>
        </w:rPr>
        <w:t>grama</w:t>
      </w:r>
      <w:r w:rsidRPr="007B5D5E">
        <w:rPr>
          <w:rFonts w:ascii="Arial" w:hAnsi="Arial" w:cs="Arial"/>
        </w:rPr>
        <w:t xml:space="preserve">, ya que </w:t>
      </w:r>
      <w:r w:rsidR="006A2EC0">
        <w:rPr>
          <w:rFonts w:ascii="Arial" w:hAnsi="Arial" w:cs="Arial"/>
        </w:rPr>
        <w:t>varias</w:t>
      </w:r>
      <w:r w:rsidRPr="007B5D5E">
        <w:rPr>
          <w:rFonts w:ascii="Arial" w:hAnsi="Arial" w:cs="Arial"/>
        </w:rPr>
        <w:t xml:space="preserve"> de las estrategias fueron idea de </w:t>
      </w:r>
      <w:r w:rsidR="00B905D6">
        <w:rPr>
          <w:rFonts w:ascii="Arial" w:hAnsi="Arial" w:cs="Arial"/>
        </w:rPr>
        <w:t>los estudiantes o incluso implementadas por ellos</w:t>
      </w:r>
      <w:r w:rsidRPr="007B5D5E">
        <w:rPr>
          <w:rFonts w:ascii="Arial" w:hAnsi="Arial" w:cs="Arial"/>
        </w:rPr>
        <w:t>, y esto pudo haber hecho que se apropiaran del proyecto y que por lo tanto separaran sus residuos y motivaran a otros a hacer lo mismo.</w:t>
      </w:r>
    </w:p>
    <w:p w14:paraId="0D3A01E5" w14:textId="624F88B7" w:rsidR="00A43AAE" w:rsidRPr="008C1F7C" w:rsidRDefault="00501ABA" w:rsidP="00A94036">
      <w:pPr>
        <w:spacing w:before="100" w:beforeAutospacing="1" w:after="100" w:afterAutospacing="1"/>
        <w:ind w:firstLine="708"/>
        <w:jc w:val="both"/>
        <w:rPr>
          <w:rFonts w:ascii="Times New Roman" w:eastAsia="Times New Roman" w:hAnsi="Times New Roman" w:cs="Times New Roman"/>
          <w:lang w:val="es-MX" w:eastAsia="es-ES_tradnl"/>
        </w:rPr>
      </w:pPr>
      <w:r w:rsidRPr="00501ABA">
        <w:rPr>
          <w:rFonts w:ascii="ArialMT" w:eastAsia="Times New Roman" w:hAnsi="ArialMT" w:cs="Times New Roman"/>
          <w:lang w:val="es-MX" w:eastAsia="es-ES_tradnl"/>
        </w:rPr>
        <w:t>Por todo lo anterior, se puede concluir que en</w:t>
      </w:r>
      <w:r w:rsidR="006A2EC0">
        <w:rPr>
          <w:rFonts w:ascii="ArialMT" w:eastAsia="Times New Roman" w:hAnsi="ArialMT" w:cs="Times New Roman"/>
          <w:lang w:val="es-MX" w:eastAsia="es-ES_tradnl"/>
        </w:rPr>
        <w:t xml:space="preserve"> el presente estudio</w:t>
      </w:r>
      <w:r w:rsidRPr="00501ABA">
        <w:rPr>
          <w:rFonts w:ascii="ArialMT" w:eastAsia="Times New Roman" w:hAnsi="ArialMT" w:cs="Times New Roman"/>
          <w:lang w:val="es-MX" w:eastAsia="es-ES_tradnl"/>
        </w:rPr>
        <w:t xml:space="preserve"> se realizaron hallazgos relevantes con implicaciones teóricas y prácticas, principalmente la importancia de que las estaciones de separación de residuos cuenten con imágenes claras y llamativas, el potencial de involucrar a los estudiantes en los programas de reciclaje </w:t>
      </w:r>
      <w:r w:rsidR="00A670C1">
        <w:rPr>
          <w:rFonts w:ascii="ArialMT" w:eastAsia="Times New Roman" w:hAnsi="ArialMT" w:cs="Times New Roman"/>
          <w:lang w:val="es-MX" w:eastAsia="es-ES_tradnl"/>
        </w:rPr>
        <w:t>universitarios</w:t>
      </w:r>
      <w:r w:rsidRPr="00501ABA">
        <w:rPr>
          <w:rFonts w:ascii="ArialMT" w:eastAsia="Times New Roman" w:hAnsi="ArialMT" w:cs="Times New Roman"/>
          <w:lang w:val="es-MX" w:eastAsia="es-ES_tradnl"/>
        </w:rPr>
        <w:t xml:space="preserve">, la efectividad de los recordatorios para fomentar la conducta de separación de residuos </w:t>
      </w:r>
      <w:r w:rsidR="006A2EC0">
        <w:rPr>
          <w:rFonts w:ascii="ArialMT" w:eastAsia="Times New Roman" w:hAnsi="ArialMT" w:cs="Times New Roman"/>
          <w:lang w:val="es-MX" w:eastAsia="es-ES_tradnl"/>
        </w:rPr>
        <w:t>así como</w:t>
      </w:r>
      <w:r w:rsidRPr="00501ABA">
        <w:rPr>
          <w:rFonts w:ascii="ArialMT" w:eastAsia="Times New Roman" w:hAnsi="ArialMT" w:cs="Times New Roman"/>
          <w:lang w:val="es-MX" w:eastAsia="es-ES_tradnl"/>
        </w:rPr>
        <w:t xml:space="preserve"> la adaptación y validación del instrumento de medición. Estos aspectos pueden servir para otros estudios e intervenciones, siempre tomando en cuenta el contexto donde se lleven a cabo. </w:t>
      </w:r>
    </w:p>
    <w:p w14:paraId="5259E9B3" w14:textId="77777777" w:rsidR="00446D25" w:rsidRDefault="00446D25" w:rsidP="00A94036">
      <w:pPr>
        <w:jc w:val="center"/>
        <w:rPr>
          <w:rFonts w:ascii="Arial" w:hAnsi="Arial" w:cs="Arial"/>
          <w:b/>
          <w:color w:val="000000"/>
          <w:lang w:eastAsia="es-ES_tradnl"/>
        </w:rPr>
      </w:pPr>
    </w:p>
    <w:p w14:paraId="3B3874C8" w14:textId="77777777" w:rsidR="00446D25" w:rsidRDefault="00446D25" w:rsidP="00A94036">
      <w:pPr>
        <w:jc w:val="center"/>
        <w:rPr>
          <w:rFonts w:ascii="Arial" w:hAnsi="Arial" w:cs="Arial"/>
          <w:b/>
          <w:color w:val="000000"/>
          <w:lang w:eastAsia="es-ES_tradnl"/>
        </w:rPr>
      </w:pPr>
    </w:p>
    <w:p w14:paraId="0AE2F991" w14:textId="77777777" w:rsidR="00446D25" w:rsidRDefault="00446D25" w:rsidP="00A94036">
      <w:pPr>
        <w:jc w:val="center"/>
        <w:rPr>
          <w:rFonts w:ascii="Arial" w:hAnsi="Arial" w:cs="Arial"/>
          <w:b/>
          <w:color w:val="000000"/>
          <w:lang w:eastAsia="es-ES_tradnl"/>
        </w:rPr>
      </w:pPr>
    </w:p>
    <w:p w14:paraId="781B5F07" w14:textId="77777777" w:rsidR="00446D25" w:rsidRDefault="00446D25" w:rsidP="00A94036">
      <w:pPr>
        <w:jc w:val="center"/>
        <w:rPr>
          <w:rFonts w:ascii="Arial" w:hAnsi="Arial" w:cs="Arial"/>
          <w:b/>
          <w:color w:val="000000"/>
          <w:lang w:eastAsia="es-ES_tradnl"/>
        </w:rPr>
      </w:pPr>
    </w:p>
    <w:p w14:paraId="05675DA0" w14:textId="408CE433" w:rsidR="00A43AAE" w:rsidRPr="00532BB5" w:rsidRDefault="00A43AAE" w:rsidP="00A94036">
      <w:pPr>
        <w:jc w:val="center"/>
        <w:rPr>
          <w:rFonts w:ascii="Arial" w:hAnsi="Arial" w:cs="Arial"/>
          <w:b/>
          <w:color w:val="000000"/>
          <w:lang w:eastAsia="es-ES_tradnl"/>
        </w:rPr>
      </w:pPr>
      <w:r w:rsidRPr="00532BB5">
        <w:rPr>
          <w:rFonts w:ascii="Arial" w:hAnsi="Arial" w:cs="Arial"/>
          <w:b/>
          <w:color w:val="000000"/>
          <w:lang w:eastAsia="es-ES_tradnl"/>
        </w:rPr>
        <w:lastRenderedPageBreak/>
        <w:t>Referencias</w:t>
      </w:r>
    </w:p>
    <w:p w14:paraId="3AD124FE" w14:textId="65B58646" w:rsidR="00EC06C5" w:rsidRPr="008514F7" w:rsidRDefault="00EC06C5" w:rsidP="00A94036">
      <w:pPr>
        <w:spacing w:before="100" w:beforeAutospacing="1" w:after="100" w:afterAutospacing="1"/>
        <w:jc w:val="both"/>
        <w:rPr>
          <w:rFonts w:ascii="Arial" w:eastAsia="Times New Roman" w:hAnsi="Arial" w:cs="Arial"/>
          <w:lang w:val="en-US" w:eastAsia="es-ES_tradnl"/>
        </w:rPr>
      </w:pPr>
      <w:r w:rsidRPr="00EC06C5">
        <w:rPr>
          <w:rFonts w:ascii="Arial" w:eastAsia="Times New Roman" w:hAnsi="Arial" w:cs="Arial"/>
          <w:lang w:val="es-MX" w:eastAsia="es-ES_tradnl"/>
        </w:rPr>
        <w:t xml:space="preserve">Armijo, C., Ojeda, S. &amp; Ramírez, E. (2008). </w:t>
      </w:r>
      <w:r w:rsidRPr="00EC06C5">
        <w:rPr>
          <w:rFonts w:ascii="Arial" w:eastAsia="Times New Roman" w:hAnsi="Arial" w:cs="Arial"/>
          <w:lang w:val="en-US" w:eastAsia="es-ES_tradnl"/>
        </w:rPr>
        <w:t xml:space="preserve">Solid waste characterization and recycling </w:t>
      </w:r>
      <w:r w:rsidR="008514F7">
        <w:rPr>
          <w:rFonts w:ascii="Arial" w:eastAsia="Times New Roman" w:hAnsi="Arial" w:cs="Arial"/>
          <w:lang w:val="en-US" w:eastAsia="es-ES_tradnl"/>
        </w:rPr>
        <w:t xml:space="preserve"> </w:t>
      </w:r>
      <w:r w:rsidRPr="00EC06C5">
        <w:rPr>
          <w:rFonts w:ascii="Arial" w:eastAsia="Times New Roman" w:hAnsi="Arial" w:cs="Arial"/>
          <w:lang w:val="en-US" w:eastAsia="es-ES_tradnl"/>
        </w:rPr>
        <w:t xml:space="preserve">potential for a university campus. </w:t>
      </w:r>
      <w:r w:rsidRPr="00EC06C5">
        <w:rPr>
          <w:rFonts w:ascii="Arial" w:eastAsia="Times New Roman" w:hAnsi="Arial" w:cs="Arial"/>
          <w:i/>
          <w:iCs/>
          <w:lang w:val="en-US" w:eastAsia="es-ES_tradnl"/>
        </w:rPr>
        <w:t xml:space="preserve">Waste Management, </w:t>
      </w:r>
      <w:r w:rsidRPr="00EC06C5">
        <w:rPr>
          <w:rFonts w:ascii="Arial" w:eastAsia="Times New Roman" w:hAnsi="Arial" w:cs="Arial"/>
          <w:lang w:val="en-US" w:eastAsia="es-ES_tradnl"/>
        </w:rPr>
        <w:t xml:space="preserve">28, 21-26. </w:t>
      </w:r>
      <w:r w:rsidR="00446D25">
        <w:rPr>
          <w:rFonts w:ascii="Arial" w:eastAsia="Times New Roman" w:hAnsi="Arial" w:cs="Arial"/>
          <w:lang w:val="en-US" w:eastAsia="es-ES_tradnl"/>
        </w:rPr>
        <w:t>D</w:t>
      </w:r>
      <w:r w:rsidRPr="00EC06C5">
        <w:rPr>
          <w:rFonts w:ascii="Arial" w:eastAsia="Times New Roman" w:hAnsi="Arial" w:cs="Arial"/>
          <w:lang w:val="en-US" w:eastAsia="es-ES_tradnl"/>
        </w:rPr>
        <w:t xml:space="preserve">oi:10.1016/j.wasman.2008.03.022 </w:t>
      </w:r>
    </w:p>
    <w:p w14:paraId="3508CB41" w14:textId="00CC7575" w:rsidR="00F20C96" w:rsidRPr="008514F7" w:rsidRDefault="00F20C96" w:rsidP="00A94036">
      <w:pPr>
        <w:spacing w:before="100" w:beforeAutospacing="1" w:after="100" w:afterAutospacing="1"/>
        <w:jc w:val="both"/>
        <w:rPr>
          <w:rFonts w:ascii="Arial" w:eastAsia="Times New Roman" w:hAnsi="Arial" w:cs="Arial"/>
          <w:lang w:val="en-US" w:eastAsia="es-ES_tradnl"/>
        </w:rPr>
      </w:pPr>
      <w:r w:rsidRPr="00F20C96">
        <w:rPr>
          <w:rFonts w:ascii="Arial" w:eastAsia="Times New Roman" w:hAnsi="Arial" w:cs="Arial"/>
          <w:lang w:val="en-US" w:eastAsia="es-ES_tradnl"/>
        </w:rPr>
        <w:t xml:space="preserve">Bamberg, S. &amp; </w:t>
      </w:r>
      <w:proofErr w:type="spellStart"/>
      <w:r w:rsidRPr="00F20C96">
        <w:rPr>
          <w:rFonts w:ascii="Arial" w:eastAsia="Times New Roman" w:hAnsi="Arial" w:cs="Arial"/>
          <w:lang w:val="en-US" w:eastAsia="es-ES_tradnl"/>
        </w:rPr>
        <w:t>Möser</w:t>
      </w:r>
      <w:proofErr w:type="spellEnd"/>
      <w:r w:rsidRPr="00F20C96">
        <w:rPr>
          <w:rFonts w:ascii="Arial" w:eastAsia="Times New Roman" w:hAnsi="Arial" w:cs="Arial"/>
          <w:lang w:val="en-US" w:eastAsia="es-ES_tradnl"/>
        </w:rPr>
        <w:t xml:space="preserve">, G. (2007). Twenty years after Hines, Hungerford, and </w:t>
      </w:r>
      <w:proofErr w:type="spellStart"/>
      <w:r w:rsidRPr="00F20C96">
        <w:rPr>
          <w:rFonts w:ascii="Arial" w:eastAsia="Times New Roman" w:hAnsi="Arial" w:cs="Arial"/>
          <w:lang w:val="en-US" w:eastAsia="es-ES_tradnl"/>
        </w:rPr>
        <w:t>Tomera</w:t>
      </w:r>
      <w:proofErr w:type="spellEnd"/>
      <w:r w:rsidRPr="00F20C96">
        <w:rPr>
          <w:rFonts w:ascii="Arial" w:eastAsia="Times New Roman" w:hAnsi="Arial" w:cs="Arial"/>
          <w:lang w:val="en-US" w:eastAsia="es-ES_tradnl"/>
        </w:rPr>
        <w:t xml:space="preserve">: A new meta-analysis of psycho-social determinants of pro-environmental behavior. </w:t>
      </w:r>
      <w:r w:rsidRPr="00F20C96">
        <w:rPr>
          <w:rFonts w:ascii="Arial" w:eastAsia="Times New Roman" w:hAnsi="Arial" w:cs="Arial"/>
          <w:i/>
          <w:iCs/>
          <w:lang w:val="en-US" w:eastAsia="es-ES_tradnl"/>
        </w:rPr>
        <w:t>Journal of Environmental Psychology</w:t>
      </w:r>
      <w:r w:rsidRPr="00F20C96">
        <w:rPr>
          <w:rFonts w:ascii="Arial" w:eastAsia="Times New Roman" w:hAnsi="Arial" w:cs="Arial"/>
          <w:lang w:val="en-US" w:eastAsia="es-ES_tradnl"/>
        </w:rPr>
        <w:t xml:space="preserve">, 27(1), 14-25. </w:t>
      </w:r>
      <w:proofErr w:type="spellStart"/>
      <w:r w:rsidRPr="00F20C96">
        <w:rPr>
          <w:rFonts w:ascii="Arial" w:eastAsia="Times New Roman" w:hAnsi="Arial" w:cs="Arial"/>
          <w:lang w:val="en-US" w:eastAsia="es-ES_tradnl"/>
        </w:rPr>
        <w:t>Doi</w:t>
      </w:r>
      <w:proofErr w:type="spellEnd"/>
      <w:r w:rsidRPr="00F20C96">
        <w:rPr>
          <w:rFonts w:ascii="Arial" w:eastAsia="Times New Roman" w:hAnsi="Arial" w:cs="Arial"/>
          <w:lang w:val="en-US" w:eastAsia="es-ES_tradnl"/>
        </w:rPr>
        <w:t xml:space="preserve">: 10.1016/j.jenvp.2006.12.002 </w:t>
      </w:r>
    </w:p>
    <w:p w14:paraId="118141AA" w14:textId="7247515A" w:rsidR="00BD7CAF" w:rsidRPr="008514F7" w:rsidRDefault="00BD7CAF" w:rsidP="00A94036">
      <w:pPr>
        <w:spacing w:before="100" w:beforeAutospacing="1" w:after="100" w:afterAutospacing="1"/>
        <w:jc w:val="both"/>
        <w:rPr>
          <w:rFonts w:ascii="Arial" w:eastAsia="Times New Roman" w:hAnsi="Arial" w:cs="Arial"/>
          <w:lang w:val="es-MX" w:eastAsia="es-ES_tradnl"/>
        </w:rPr>
      </w:pPr>
      <w:proofErr w:type="spellStart"/>
      <w:r w:rsidRPr="008514F7">
        <w:rPr>
          <w:rFonts w:ascii="Arial" w:eastAsia="Times New Roman" w:hAnsi="Arial" w:cs="Arial"/>
          <w:lang w:val="en-US" w:eastAsia="es-ES_tradnl"/>
        </w:rPr>
        <w:t>Bonfanti</w:t>
      </w:r>
      <w:proofErr w:type="spellEnd"/>
      <w:r w:rsidRPr="008514F7">
        <w:rPr>
          <w:rFonts w:ascii="Arial" w:eastAsia="Times New Roman" w:hAnsi="Arial" w:cs="Arial"/>
          <w:lang w:val="en-US" w:eastAsia="es-ES_tradnl"/>
        </w:rPr>
        <w:t xml:space="preserve">, F. A. (2004). </w:t>
      </w:r>
      <w:r w:rsidRPr="008514F7">
        <w:rPr>
          <w:rFonts w:ascii="Arial" w:eastAsia="Times New Roman" w:hAnsi="Arial" w:cs="Arial"/>
          <w:lang w:val="es-MX" w:eastAsia="es-ES_tradnl"/>
        </w:rPr>
        <w:t xml:space="preserve">La incorrecta gestión de los residuos sólidos urbanos y su incidencia en la calidad de vida de la población de Resistencia. </w:t>
      </w:r>
      <w:r w:rsidRPr="008514F7">
        <w:rPr>
          <w:rFonts w:ascii="Arial" w:eastAsia="Times New Roman" w:hAnsi="Arial" w:cs="Arial"/>
          <w:i/>
          <w:iCs/>
          <w:lang w:val="es-MX" w:eastAsia="es-ES_tradnl"/>
        </w:rPr>
        <w:t>Comunicaciones Científicas y Tecnológicas</w:t>
      </w:r>
      <w:r w:rsidRPr="008514F7">
        <w:rPr>
          <w:rFonts w:ascii="Arial" w:eastAsia="Times New Roman" w:hAnsi="Arial" w:cs="Arial"/>
          <w:lang w:val="es-MX" w:eastAsia="es-ES_tradnl"/>
        </w:rPr>
        <w:t xml:space="preserve">. Recuperado de http://www.unne.edu.ar </w:t>
      </w:r>
    </w:p>
    <w:p w14:paraId="611007F8" w14:textId="64472A78" w:rsidR="001424FF" w:rsidRPr="008514F7" w:rsidRDefault="001424FF" w:rsidP="00A94036">
      <w:pPr>
        <w:spacing w:before="100" w:beforeAutospacing="1" w:after="100" w:afterAutospacing="1"/>
        <w:jc w:val="both"/>
        <w:rPr>
          <w:rFonts w:ascii="Arial" w:eastAsia="Times New Roman" w:hAnsi="Arial" w:cs="Arial"/>
          <w:lang w:val="es-MX" w:eastAsia="es-ES_tradnl"/>
        </w:rPr>
      </w:pPr>
      <w:r w:rsidRPr="008514F7">
        <w:rPr>
          <w:rFonts w:ascii="Arial" w:eastAsia="Times New Roman" w:hAnsi="Arial" w:cs="Arial"/>
          <w:lang w:val="es-MX" w:eastAsia="es-ES_tradnl"/>
        </w:rPr>
        <w:t xml:space="preserve">Bustos-Aguayo, J. M., Montero, M. y Flores-Herrera, L. M. (2002). Tres diseños de intervención antecedente para promover conducta protectora del ambiente. </w:t>
      </w:r>
      <w:r w:rsidRPr="008514F7">
        <w:rPr>
          <w:rFonts w:ascii="Arial" w:eastAsia="Times New Roman" w:hAnsi="Arial" w:cs="Arial"/>
          <w:i/>
          <w:iCs/>
          <w:lang w:val="es-MX" w:eastAsia="es-ES_tradnl"/>
        </w:rPr>
        <w:t>Medio Ambiente y Comportamiento Humano</w:t>
      </w:r>
      <w:r w:rsidRPr="008514F7">
        <w:rPr>
          <w:rFonts w:ascii="Arial" w:eastAsia="Times New Roman" w:hAnsi="Arial" w:cs="Arial"/>
          <w:lang w:val="es-MX" w:eastAsia="es-ES_tradnl"/>
        </w:rPr>
        <w:t xml:space="preserve">, 3(1), 63-88. </w:t>
      </w:r>
    </w:p>
    <w:p w14:paraId="19352E83" w14:textId="03F7A21C" w:rsidR="002A7DE7" w:rsidRPr="0029401D" w:rsidRDefault="002A7DE7" w:rsidP="00A94036">
      <w:pPr>
        <w:spacing w:before="100" w:beforeAutospacing="1" w:after="100" w:afterAutospacing="1"/>
        <w:jc w:val="both"/>
        <w:rPr>
          <w:rFonts w:ascii="Arial" w:eastAsia="Times New Roman" w:hAnsi="Arial" w:cs="Arial"/>
          <w:lang w:val="en-US" w:eastAsia="es-ES_tradnl"/>
        </w:rPr>
      </w:pPr>
      <w:r w:rsidRPr="008514F7">
        <w:rPr>
          <w:rFonts w:ascii="Arial" w:eastAsia="Times New Roman" w:hAnsi="Arial" w:cs="Arial"/>
          <w:lang w:val="es-MX" w:eastAsia="es-ES_tradnl"/>
        </w:rPr>
        <w:t xml:space="preserve">Chase, N. L., Dominick, G. M., Trepal, A., Bailey, l. S. &amp; Friedman, D. B. (2009). </w:t>
      </w:r>
      <w:r w:rsidRPr="008514F7">
        <w:rPr>
          <w:rFonts w:ascii="Arial" w:eastAsia="Times New Roman" w:hAnsi="Arial" w:cs="Arial"/>
          <w:lang w:val="en-US" w:eastAsia="es-ES_tradnl"/>
        </w:rPr>
        <w:t xml:space="preserve">“This is public health: Recycling counts!” Description of a pilot health communications campaign. </w:t>
      </w:r>
      <w:r w:rsidRPr="008514F7">
        <w:rPr>
          <w:rFonts w:ascii="Arial" w:eastAsia="Times New Roman" w:hAnsi="Arial" w:cs="Arial"/>
          <w:i/>
          <w:iCs/>
          <w:lang w:val="en-US" w:eastAsia="es-ES_tradnl"/>
        </w:rPr>
        <w:t>International Journal of Environmental Research and Public Health</w:t>
      </w:r>
      <w:r w:rsidRPr="008514F7">
        <w:rPr>
          <w:rFonts w:ascii="Arial" w:eastAsia="Times New Roman" w:hAnsi="Arial" w:cs="Arial"/>
          <w:lang w:val="en-US" w:eastAsia="es-ES_tradnl"/>
        </w:rPr>
        <w:t xml:space="preserve">, 6, 2980-2991. </w:t>
      </w:r>
      <w:proofErr w:type="spellStart"/>
      <w:r w:rsidRPr="008514F7">
        <w:rPr>
          <w:rFonts w:ascii="Arial" w:eastAsia="Times New Roman" w:hAnsi="Arial" w:cs="Arial"/>
          <w:lang w:val="en-US" w:eastAsia="es-ES_tradnl"/>
        </w:rPr>
        <w:t>Doi</w:t>
      </w:r>
      <w:proofErr w:type="spellEnd"/>
      <w:r w:rsidRPr="008514F7">
        <w:rPr>
          <w:rFonts w:ascii="Arial" w:eastAsia="Times New Roman" w:hAnsi="Arial" w:cs="Arial"/>
          <w:lang w:val="en-US" w:eastAsia="es-ES_tradnl"/>
        </w:rPr>
        <w:t xml:space="preserve">: </w:t>
      </w:r>
      <w:r w:rsidRPr="0029401D">
        <w:rPr>
          <w:rFonts w:ascii="Arial" w:eastAsia="Times New Roman" w:hAnsi="Arial" w:cs="Arial"/>
          <w:lang w:val="en-US" w:eastAsia="es-ES_tradnl"/>
        </w:rPr>
        <w:t xml:space="preserve">10.3390/ijerph6122980 </w:t>
      </w:r>
    </w:p>
    <w:p w14:paraId="42EF7F4C" w14:textId="4A739FB5" w:rsidR="0029401D" w:rsidRPr="0029401D" w:rsidRDefault="0029401D" w:rsidP="00A94036">
      <w:pPr>
        <w:spacing w:before="100" w:beforeAutospacing="1" w:after="100" w:afterAutospacing="1"/>
        <w:jc w:val="both"/>
        <w:rPr>
          <w:rFonts w:ascii="Arial" w:eastAsia="Times New Roman" w:hAnsi="Arial" w:cs="Arial"/>
          <w:lang w:val="es-MX" w:eastAsia="es-ES_tradnl"/>
        </w:rPr>
      </w:pPr>
      <w:r w:rsidRPr="0029401D">
        <w:rPr>
          <w:rFonts w:ascii="Arial" w:eastAsia="Times New Roman" w:hAnsi="Arial" w:cs="Arial"/>
          <w:lang w:val="en-US" w:eastAsia="es-ES_tradnl"/>
        </w:rPr>
        <w:t xml:space="preserve">Chen, A. (2014, </w:t>
      </w:r>
      <w:proofErr w:type="spellStart"/>
      <w:r w:rsidRPr="0029401D">
        <w:rPr>
          <w:rFonts w:ascii="Arial" w:eastAsia="Times New Roman" w:hAnsi="Arial" w:cs="Arial"/>
          <w:lang w:val="en-US" w:eastAsia="es-ES_tradnl"/>
        </w:rPr>
        <w:t>junio</w:t>
      </w:r>
      <w:proofErr w:type="spellEnd"/>
      <w:r w:rsidRPr="0029401D">
        <w:rPr>
          <w:rFonts w:ascii="Arial" w:eastAsia="Times New Roman" w:hAnsi="Arial" w:cs="Arial"/>
          <w:lang w:val="en-US" w:eastAsia="es-ES_tradnl"/>
        </w:rPr>
        <w:t xml:space="preserve">). Ninety-nice percent of the ocean’s plastic is missing. </w:t>
      </w:r>
      <w:r w:rsidRPr="0029401D">
        <w:rPr>
          <w:rFonts w:ascii="Arial" w:eastAsia="Times New Roman" w:hAnsi="Arial" w:cs="Arial"/>
          <w:i/>
          <w:iCs/>
          <w:lang w:val="es-MX" w:eastAsia="es-ES_tradnl"/>
        </w:rPr>
        <w:t>Science</w:t>
      </w:r>
      <w:r w:rsidRPr="0029401D">
        <w:rPr>
          <w:rFonts w:ascii="Arial" w:eastAsia="Times New Roman" w:hAnsi="Arial" w:cs="Arial"/>
          <w:lang w:val="es-MX" w:eastAsia="es-ES_tradnl"/>
        </w:rPr>
        <w:t xml:space="preserve">. Recuperado de http://www.sciencemag.org/news </w:t>
      </w:r>
    </w:p>
    <w:p w14:paraId="48BBA361" w14:textId="6025497E" w:rsidR="001A0264" w:rsidRPr="008514F7" w:rsidRDefault="001A0264" w:rsidP="00A94036">
      <w:pPr>
        <w:jc w:val="both"/>
        <w:rPr>
          <w:rFonts w:ascii="Arial" w:hAnsi="Arial" w:cs="Arial"/>
          <w:iCs/>
          <w:lang w:val="es-MX"/>
        </w:rPr>
      </w:pPr>
      <w:r w:rsidRPr="0029401D">
        <w:rPr>
          <w:rFonts w:ascii="Arial" w:hAnsi="Arial" w:cs="Arial"/>
          <w:iCs/>
          <w:lang w:val="es-MX"/>
        </w:rPr>
        <w:t xml:space="preserve">Corral-Verdugo, V. y Pinheiro, J. Q. (2004). </w:t>
      </w:r>
      <w:r w:rsidRPr="008514F7">
        <w:rPr>
          <w:rFonts w:ascii="Arial" w:hAnsi="Arial" w:cs="Arial"/>
          <w:iCs/>
          <w:lang w:val="es-MX"/>
        </w:rPr>
        <w:t xml:space="preserve">Aproximaciones al estudio de la conducta sustentable. </w:t>
      </w:r>
      <w:r w:rsidRPr="008514F7">
        <w:rPr>
          <w:rFonts w:ascii="Arial" w:hAnsi="Arial" w:cs="Arial"/>
          <w:i/>
          <w:iCs/>
          <w:lang w:val="es-MX"/>
        </w:rPr>
        <w:t>Medio Ambiente y Comportamiento Humano</w:t>
      </w:r>
      <w:r w:rsidRPr="008514F7">
        <w:rPr>
          <w:rFonts w:ascii="Arial" w:hAnsi="Arial" w:cs="Arial"/>
          <w:iCs/>
          <w:lang w:val="es-MX"/>
        </w:rPr>
        <w:t>, 5, 1-26.</w:t>
      </w:r>
    </w:p>
    <w:p w14:paraId="5CB389E0" w14:textId="77777777" w:rsidR="008514F7" w:rsidRDefault="008514F7" w:rsidP="00A94036">
      <w:pPr>
        <w:jc w:val="both"/>
        <w:rPr>
          <w:rFonts w:ascii="Arial" w:hAnsi="Arial" w:cs="Arial"/>
          <w:color w:val="000000"/>
          <w:lang w:eastAsia="es-ES_tradnl"/>
        </w:rPr>
      </w:pPr>
    </w:p>
    <w:p w14:paraId="4EF96A60" w14:textId="3804845E" w:rsidR="00A43AAE" w:rsidRPr="00C97220" w:rsidRDefault="00A43AAE" w:rsidP="00A94036">
      <w:pPr>
        <w:jc w:val="both"/>
        <w:rPr>
          <w:rFonts w:ascii="Arial" w:hAnsi="Arial" w:cs="Arial"/>
          <w:color w:val="000000"/>
          <w:lang w:eastAsia="es-ES_tradnl"/>
        </w:rPr>
      </w:pPr>
      <w:r w:rsidRPr="008514F7">
        <w:rPr>
          <w:rFonts w:ascii="Arial" w:hAnsi="Arial" w:cs="Arial"/>
          <w:color w:val="000000"/>
          <w:lang w:eastAsia="es-ES_tradnl"/>
        </w:rPr>
        <w:t xml:space="preserve">Corral, V. (2001). </w:t>
      </w:r>
      <w:r w:rsidRPr="008514F7">
        <w:rPr>
          <w:rFonts w:ascii="Arial" w:hAnsi="Arial" w:cs="Arial"/>
          <w:i/>
          <w:iCs/>
          <w:color w:val="000000"/>
          <w:lang w:eastAsia="es-ES_tradnl"/>
        </w:rPr>
        <w:t xml:space="preserve">Comportamiento </w:t>
      </w:r>
      <w:proofErr w:type="spellStart"/>
      <w:r w:rsidRPr="008514F7">
        <w:rPr>
          <w:rFonts w:ascii="Arial" w:hAnsi="Arial" w:cs="Arial"/>
          <w:i/>
          <w:iCs/>
          <w:color w:val="000000"/>
          <w:lang w:eastAsia="es-ES_tradnl"/>
        </w:rPr>
        <w:t>proambiental</w:t>
      </w:r>
      <w:proofErr w:type="spellEnd"/>
      <w:r w:rsidRPr="008514F7">
        <w:rPr>
          <w:rFonts w:ascii="Arial" w:hAnsi="Arial" w:cs="Arial"/>
          <w:color w:val="000000"/>
          <w:lang w:eastAsia="es-ES_tradnl"/>
        </w:rPr>
        <w:t>. Santa Cruz de Tenerife, España:</w:t>
      </w:r>
      <w:r w:rsidR="00C97220">
        <w:rPr>
          <w:rFonts w:ascii="Arial" w:hAnsi="Arial" w:cs="Arial"/>
          <w:color w:val="000000"/>
          <w:lang w:eastAsia="es-ES_tradnl"/>
        </w:rPr>
        <w:t xml:space="preserve"> </w:t>
      </w:r>
      <w:r w:rsidR="00C9687F" w:rsidRPr="008514F7">
        <w:rPr>
          <w:rFonts w:ascii="Arial" w:hAnsi="Arial" w:cs="Arial"/>
          <w:color w:val="000000"/>
          <w:lang w:val="es-MX" w:eastAsia="es-ES_tradnl"/>
        </w:rPr>
        <w:t>Resma</w:t>
      </w:r>
      <w:r w:rsidRPr="008514F7">
        <w:rPr>
          <w:rFonts w:ascii="Arial" w:hAnsi="Arial" w:cs="Arial"/>
          <w:color w:val="000000"/>
          <w:lang w:val="es-MX" w:eastAsia="es-ES_tradnl"/>
        </w:rPr>
        <w:t>. </w:t>
      </w:r>
    </w:p>
    <w:p w14:paraId="6A9383CA" w14:textId="77777777" w:rsidR="008514F7" w:rsidRDefault="008514F7" w:rsidP="00A94036">
      <w:pPr>
        <w:jc w:val="both"/>
        <w:rPr>
          <w:rFonts w:ascii="Arial" w:hAnsi="Arial" w:cs="Arial"/>
          <w:iCs/>
          <w:lang w:val="es-ES"/>
        </w:rPr>
      </w:pPr>
    </w:p>
    <w:p w14:paraId="586070EA" w14:textId="6EBD2DD0" w:rsidR="007B5D5E" w:rsidRPr="001273FE" w:rsidRDefault="007B5D5E" w:rsidP="00A94036">
      <w:pPr>
        <w:jc w:val="both"/>
        <w:rPr>
          <w:rFonts w:ascii="Arial" w:hAnsi="Arial" w:cs="Arial"/>
          <w:iCs/>
          <w:lang w:val="en-US"/>
        </w:rPr>
      </w:pPr>
      <w:r w:rsidRPr="008514F7">
        <w:rPr>
          <w:rFonts w:ascii="Arial" w:hAnsi="Arial" w:cs="Arial"/>
          <w:iCs/>
          <w:lang w:val="es-ES"/>
        </w:rPr>
        <w:t xml:space="preserve">Corral, V., </w:t>
      </w:r>
      <w:proofErr w:type="spellStart"/>
      <w:r w:rsidRPr="008514F7">
        <w:rPr>
          <w:rFonts w:ascii="Arial" w:hAnsi="Arial" w:cs="Arial"/>
          <w:iCs/>
          <w:lang w:val="es-ES"/>
        </w:rPr>
        <w:t>Fraijo</w:t>
      </w:r>
      <w:proofErr w:type="spellEnd"/>
      <w:r w:rsidRPr="008514F7">
        <w:rPr>
          <w:rFonts w:ascii="Arial" w:hAnsi="Arial" w:cs="Arial"/>
          <w:iCs/>
          <w:lang w:val="es-ES"/>
        </w:rPr>
        <w:t>, B., Frías, M., González, D. y Varela, C. (2008)</w:t>
      </w:r>
      <w:r w:rsidR="009E6051" w:rsidRPr="008514F7">
        <w:rPr>
          <w:rFonts w:ascii="Arial" w:hAnsi="Arial" w:cs="Arial"/>
          <w:iCs/>
          <w:lang w:val="es-ES"/>
        </w:rPr>
        <w:t>.</w:t>
      </w:r>
      <w:r w:rsidRPr="008514F7">
        <w:rPr>
          <w:rFonts w:ascii="Arial" w:hAnsi="Arial" w:cs="Arial"/>
          <w:iCs/>
          <w:lang w:val="es-ES"/>
        </w:rPr>
        <w:t xml:space="preserve"> Psicología de la sustentabilidad. En </w:t>
      </w:r>
      <w:r w:rsidRPr="008514F7">
        <w:rPr>
          <w:rFonts w:ascii="Arial" w:hAnsi="Arial" w:cs="Arial"/>
          <w:i/>
          <w:iCs/>
          <w:lang w:val="es-ES"/>
        </w:rPr>
        <w:t xml:space="preserve">Perspectivas de la investigación en psicología social: 1990-2005. </w:t>
      </w:r>
      <w:r w:rsidRPr="001273FE">
        <w:rPr>
          <w:rFonts w:ascii="Arial" w:hAnsi="Arial" w:cs="Arial"/>
          <w:iCs/>
          <w:lang w:val="en-US"/>
        </w:rPr>
        <w:t>(pp. 51-76). México, D.F.: UNAM.</w:t>
      </w:r>
    </w:p>
    <w:p w14:paraId="355ADDEE" w14:textId="77777777" w:rsidR="008514F7" w:rsidRDefault="008514F7" w:rsidP="00A94036">
      <w:pPr>
        <w:jc w:val="both"/>
        <w:rPr>
          <w:rFonts w:ascii="Arial" w:hAnsi="Arial" w:cs="Arial"/>
          <w:lang w:val="en-US"/>
        </w:rPr>
      </w:pPr>
    </w:p>
    <w:p w14:paraId="5CB0F8D9" w14:textId="3833C6B5" w:rsidR="001A0264" w:rsidRPr="008514F7" w:rsidRDefault="001A0264" w:rsidP="00A94036">
      <w:pPr>
        <w:jc w:val="both"/>
        <w:rPr>
          <w:rFonts w:ascii="Arial" w:hAnsi="Arial" w:cs="Arial"/>
          <w:lang w:val="en-US"/>
        </w:rPr>
      </w:pPr>
      <w:r w:rsidRPr="008514F7">
        <w:rPr>
          <w:rFonts w:ascii="Arial" w:hAnsi="Arial" w:cs="Arial"/>
          <w:lang w:val="en-US"/>
        </w:rPr>
        <w:t xml:space="preserve">Duffy, S. &amp; Verges, M. (2009). It matters a hole lot, perceptual affordances of waste containers influence recycling compliance. </w:t>
      </w:r>
      <w:r w:rsidRPr="008514F7">
        <w:rPr>
          <w:rFonts w:ascii="Arial" w:hAnsi="Arial" w:cs="Arial"/>
          <w:i/>
          <w:lang w:val="en-US"/>
        </w:rPr>
        <w:t>Environment and Behavior</w:t>
      </w:r>
      <w:r w:rsidRPr="008514F7">
        <w:rPr>
          <w:rFonts w:ascii="Arial" w:hAnsi="Arial" w:cs="Arial"/>
          <w:lang w:val="en-US"/>
        </w:rPr>
        <w:t>, 41(5), 741-749.</w:t>
      </w:r>
    </w:p>
    <w:p w14:paraId="081C3F53" w14:textId="77777777" w:rsidR="008514F7" w:rsidRDefault="008514F7" w:rsidP="00A94036">
      <w:pPr>
        <w:jc w:val="both"/>
        <w:rPr>
          <w:rFonts w:ascii="Arial" w:hAnsi="Arial" w:cs="Arial"/>
          <w:color w:val="000000"/>
          <w:lang w:val="en-US" w:eastAsia="es-ES_tradnl"/>
        </w:rPr>
      </w:pPr>
    </w:p>
    <w:p w14:paraId="2B72E4A5" w14:textId="3F97DC8A" w:rsidR="00A43AAE" w:rsidRPr="008514F7" w:rsidRDefault="00A43AAE" w:rsidP="00A94036">
      <w:pPr>
        <w:jc w:val="both"/>
        <w:rPr>
          <w:rFonts w:ascii="Arial" w:hAnsi="Arial" w:cs="Arial"/>
          <w:color w:val="000000"/>
          <w:lang w:val="en-US" w:eastAsia="es-ES_tradnl"/>
        </w:rPr>
      </w:pPr>
      <w:r w:rsidRPr="008514F7">
        <w:rPr>
          <w:rFonts w:ascii="Arial" w:hAnsi="Arial" w:cs="Arial"/>
          <w:color w:val="000000"/>
          <w:lang w:val="en-US" w:eastAsia="es-ES_tradnl"/>
        </w:rPr>
        <w:t>Hopper, J. R. &amp; Nielsen, J. M. (1991). Recycling as altruistic behavior. Normative and</w:t>
      </w:r>
      <w:r w:rsidR="00C97220">
        <w:rPr>
          <w:rFonts w:ascii="Arial" w:hAnsi="Arial" w:cs="Arial"/>
          <w:color w:val="000000"/>
          <w:lang w:val="en-US" w:eastAsia="es-ES_tradnl"/>
        </w:rPr>
        <w:t xml:space="preserve"> </w:t>
      </w:r>
      <w:r w:rsidRPr="008514F7">
        <w:rPr>
          <w:rFonts w:ascii="Arial" w:hAnsi="Arial" w:cs="Arial"/>
          <w:color w:val="000000"/>
          <w:lang w:val="en-US" w:eastAsia="es-ES_tradnl"/>
        </w:rPr>
        <w:t>Behavioral Strategies to Expand Participation in a Community Recycling Program</w:t>
      </w:r>
      <w:r w:rsidR="006961F4" w:rsidRPr="008514F7">
        <w:rPr>
          <w:rFonts w:ascii="Arial" w:hAnsi="Arial" w:cs="Arial"/>
          <w:color w:val="000000"/>
          <w:lang w:val="en-US" w:eastAsia="es-ES_tradnl"/>
        </w:rPr>
        <w:t xml:space="preserve">. </w:t>
      </w:r>
      <w:r w:rsidRPr="008514F7">
        <w:rPr>
          <w:rFonts w:ascii="Arial" w:hAnsi="Arial" w:cs="Arial"/>
          <w:i/>
          <w:iCs/>
          <w:color w:val="000000"/>
          <w:lang w:val="en-US" w:eastAsia="es-ES_tradnl"/>
        </w:rPr>
        <w:t>Environment and Behavior</w:t>
      </w:r>
      <w:r w:rsidRPr="008514F7">
        <w:rPr>
          <w:rFonts w:ascii="Arial" w:hAnsi="Arial" w:cs="Arial"/>
          <w:color w:val="000000"/>
          <w:lang w:val="en-US" w:eastAsia="es-ES_tradnl"/>
        </w:rPr>
        <w:t>, 23(2), 195-220.</w:t>
      </w:r>
    </w:p>
    <w:p w14:paraId="6AAD0330" w14:textId="77777777" w:rsidR="008514F7" w:rsidRDefault="008514F7" w:rsidP="00A94036">
      <w:pPr>
        <w:jc w:val="both"/>
        <w:rPr>
          <w:rFonts w:ascii="Arial" w:hAnsi="Arial" w:cs="Arial"/>
          <w:lang w:val="en-US"/>
        </w:rPr>
      </w:pPr>
    </w:p>
    <w:p w14:paraId="21AB5E03" w14:textId="3EB6176A" w:rsidR="001A0264" w:rsidRPr="008514F7" w:rsidRDefault="001A0264" w:rsidP="00A94036">
      <w:pPr>
        <w:jc w:val="both"/>
        <w:rPr>
          <w:rFonts w:ascii="Arial" w:hAnsi="Arial" w:cs="Arial"/>
          <w:lang w:val="en-US"/>
        </w:rPr>
      </w:pPr>
      <w:proofErr w:type="spellStart"/>
      <w:r w:rsidRPr="001273FE">
        <w:rPr>
          <w:rFonts w:ascii="Arial" w:hAnsi="Arial" w:cs="Arial"/>
          <w:lang w:val="en-US"/>
        </w:rPr>
        <w:t>Izagirre-Olaizola</w:t>
      </w:r>
      <w:proofErr w:type="spellEnd"/>
      <w:r w:rsidRPr="001273FE">
        <w:rPr>
          <w:rFonts w:ascii="Arial" w:hAnsi="Arial" w:cs="Arial"/>
          <w:lang w:val="en-US"/>
        </w:rPr>
        <w:t>, J., Fernández-</w:t>
      </w:r>
      <w:proofErr w:type="spellStart"/>
      <w:r w:rsidRPr="001273FE">
        <w:rPr>
          <w:rFonts w:ascii="Arial" w:hAnsi="Arial" w:cs="Arial"/>
          <w:lang w:val="en-US"/>
        </w:rPr>
        <w:t>Sainz</w:t>
      </w:r>
      <w:proofErr w:type="spellEnd"/>
      <w:r w:rsidRPr="001273FE">
        <w:rPr>
          <w:rFonts w:ascii="Arial" w:hAnsi="Arial" w:cs="Arial"/>
          <w:lang w:val="en-US"/>
        </w:rPr>
        <w:t xml:space="preserve">, A. &amp; Vicente-Molina, M. A. (2015). </w:t>
      </w:r>
      <w:r w:rsidRPr="008514F7">
        <w:rPr>
          <w:rFonts w:ascii="Arial" w:hAnsi="Arial" w:cs="Arial"/>
          <w:lang w:val="en-US"/>
        </w:rPr>
        <w:t xml:space="preserve">Internal determinants of recycling </w:t>
      </w:r>
      <w:proofErr w:type="spellStart"/>
      <w:r w:rsidRPr="008514F7">
        <w:rPr>
          <w:rFonts w:ascii="Arial" w:hAnsi="Arial" w:cs="Arial"/>
          <w:lang w:val="en-US"/>
        </w:rPr>
        <w:t>behaviour</w:t>
      </w:r>
      <w:proofErr w:type="spellEnd"/>
      <w:r w:rsidRPr="008514F7">
        <w:rPr>
          <w:rFonts w:ascii="Arial" w:hAnsi="Arial" w:cs="Arial"/>
          <w:lang w:val="en-US"/>
        </w:rPr>
        <w:t xml:space="preserve"> by university students: a cross-country comparative analysis. </w:t>
      </w:r>
      <w:r w:rsidRPr="008514F7">
        <w:rPr>
          <w:rFonts w:ascii="Arial" w:hAnsi="Arial" w:cs="Arial"/>
          <w:i/>
          <w:lang w:val="en-US"/>
        </w:rPr>
        <w:t>International Journal of Consumer Studies</w:t>
      </w:r>
      <w:r w:rsidRPr="008514F7">
        <w:rPr>
          <w:rFonts w:ascii="Arial" w:hAnsi="Arial" w:cs="Arial"/>
          <w:lang w:val="en-US"/>
        </w:rPr>
        <w:t xml:space="preserve">, 39, 25-34. </w:t>
      </w:r>
      <w:proofErr w:type="spellStart"/>
      <w:r w:rsidRPr="008514F7">
        <w:rPr>
          <w:rFonts w:ascii="Arial" w:hAnsi="Arial" w:cs="Arial"/>
          <w:lang w:val="en-US"/>
        </w:rPr>
        <w:t>Doi</w:t>
      </w:r>
      <w:proofErr w:type="spellEnd"/>
      <w:r w:rsidRPr="008514F7">
        <w:rPr>
          <w:rFonts w:ascii="Arial" w:hAnsi="Arial" w:cs="Arial"/>
          <w:lang w:val="en-US"/>
        </w:rPr>
        <w:t>: 10.1111/ijcs.12147</w:t>
      </w:r>
    </w:p>
    <w:p w14:paraId="2A62522A" w14:textId="77777777" w:rsidR="008514F7" w:rsidRDefault="008514F7" w:rsidP="00A94036">
      <w:pPr>
        <w:jc w:val="both"/>
        <w:rPr>
          <w:rFonts w:ascii="Arial" w:hAnsi="Arial" w:cs="Arial"/>
          <w:color w:val="000000"/>
          <w:lang w:val="en-US" w:eastAsia="es-ES_tradnl"/>
        </w:rPr>
      </w:pPr>
    </w:p>
    <w:p w14:paraId="23FBC450" w14:textId="3FF47DF0" w:rsidR="00A43AAE" w:rsidRPr="00C97220" w:rsidRDefault="00A43AAE" w:rsidP="00A94036">
      <w:pPr>
        <w:jc w:val="both"/>
        <w:rPr>
          <w:rFonts w:ascii="Arial" w:hAnsi="Arial" w:cs="Arial"/>
          <w:i/>
          <w:iCs/>
          <w:color w:val="000000"/>
          <w:lang w:val="en-US" w:eastAsia="es-ES_tradnl"/>
        </w:rPr>
      </w:pPr>
      <w:r w:rsidRPr="008514F7">
        <w:rPr>
          <w:rFonts w:ascii="Arial" w:hAnsi="Arial" w:cs="Arial"/>
          <w:color w:val="000000"/>
          <w:lang w:val="en-US" w:eastAsia="es-ES_tradnl"/>
        </w:rPr>
        <w:lastRenderedPageBreak/>
        <w:t xml:space="preserve">Koger, S. M. &amp; Winter, D. D. (2010). </w:t>
      </w:r>
      <w:r w:rsidRPr="008514F7">
        <w:rPr>
          <w:rFonts w:ascii="Arial" w:hAnsi="Arial" w:cs="Arial"/>
          <w:i/>
          <w:iCs/>
          <w:color w:val="000000"/>
          <w:lang w:val="en-US" w:eastAsia="es-ES_tradnl"/>
        </w:rPr>
        <w:t>The psychology of environmental problems:</w:t>
      </w:r>
      <w:r w:rsidR="006961F4" w:rsidRPr="008514F7">
        <w:rPr>
          <w:rFonts w:ascii="Arial" w:hAnsi="Arial" w:cs="Arial"/>
          <w:i/>
          <w:iCs/>
          <w:color w:val="000000"/>
          <w:lang w:val="en-US" w:eastAsia="es-ES_tradnl"/>
        </w:rPr>
        <w:t xml:space="preserve"> </w:t>
      </w:r>
      <w:r w:rsidRPr="008514F7">
        <w:rPr>
          <w:rFonts w:ascii="Arial" w:hAnsi="Arial" w:cs="Arial"/>
          <w:i/>
          <w:iCs/>
          <w:color w:val="000000"/>
          <w:lang w:val="en-US" w:eastAsia="es-ES_tradnl"/>
        </w:rPr>
        <w:t>psychology for sustainability</w:t>
      </w:r>
      <w:r w:rsidRPr="008514F7">
        <w:rPr>
          <w:rFonts w:ascii="Arial" w:hAnsi="Arial" w:cs="Arial"/>
          <w:color w:val="000000"/>
          <w:lang w:val="en-US" w:eastAsia="es-ES_tradnl"/>
        </w:rPr>
        <w:t>. Nueva York, E.U.A.: Taylor and Francis Group. </w:t>
      </w:r>
    </w:p>
    <w:p w14:paraId="3F049C47" w14:textId="6336E261" w:rsidR="008C36BE" w:rsidRPr="008514F7" w:rsidRDefault="008C36BE" w:rsidP="00A94036">
      <w:pPr>
        <w:spacing w:before="100" w:beforeAutospacing="1" w:after="100" w:afterAutospacing="1"/>
        <w:jc w:val="both"/>
        <w:rPr>
          <w:rFonts w:ascii="Arial" w:eastAsia="Times New Roman" w:hAnsi="Arial" w:cs="Arial"/>
          <w:lang w:val="en-US" w:eastAsia="es-ES_tradnl"/>
        </w:rPr>
      </w:pPr>
      <w:r w:rsidRPr="008514F7">
        <w:rPr>
          <w:rFonts w:ascii="Arial" w:eastAsia="Times New Roman" w:hAnsi="Arial" w:cs="Arial"/>
          <w:lang w:val="en-US" w:eastAsia="es-ES_tradnl"/>
        </w:rPr>
        <w:t xml:space="preserve">Long, J., </w:t>
      </w:r>
      <w:proofErr w:type="spellStart"/>
      <w:r w:rsidRPr="008514F7">
        <w:rPr>
          <w:rFonts w:ascii="Arial" w:eastAsia="Times New Roman" w:hAnsi="Arial" w:cs="Arial"/>
          <w:lang w:val="en-US" w:eastAsia="es-ES_tradnl"/>
        </w:rPr>
        <w:t>Harre</w:t>
      </w:r>
      <w:proofErr w:type="spellEnd"/>
      <w:r w:rsidRPr="008514F7">
        <w:rPr>
          <w:rFonts w:ascii="Arial" w:eastAsia="Times New Roman" w:hAnsi="Arial" w:cs="Arial"/>
          <w:lang w:val="en-US" w:eastAsia="es-ES_tradnl"/>
        </w:rPr>
        <w:t xml:space="preserve">́, N. &amp; Atkinson, Q. D. (2014). Understanding change in recycling and littering behavior across a school social network. </w:t>
      </w:r>
      <w:r w:rsidRPr="008514F7">
        <w:rPr>
          <w:rFonts w:ascii="Arial" w:eastAsia="Times New Roman" w:hAnsi="Arial" w:cs="Arial"/>
          <w:i/>
          <w:iCs/>
          <w:lang w:val="en-US" w:eastAsia="es-ES_tradnl"/>
        </w:rPr>
        <w:t>American Journal of Community Psychology</w:t>
      </w:r>
      <w:r w:rsidRPr="008514F7">
        <w:rPr>
          <w:rFonts w:ascii="Arial" w:eastAsia="Times New Roman" w:hAnsi="Arial" w:cs="Arial"/>
          <w:lang w:val="en-US" w:eastAsia="es-ES_tradnl"/>
        </w:rPr>
        <w:t xml:space="preserve">, 53, 462-474. </w:t>
      </w:r>
      <w:proofErr w:type="spellStart"/>
      <w:r w:rsidRPr="008514F7">
        <w:rPr>
          <w:rFonts w:ascii="Arial" w:eastAsia="Times New Roman" w:hAnsi="Arial" w:cs="Arial"/>
          <w:lang w:val="en-US" w:eastAsia="es-ES_tradnl"/>
        </w:rPr>
        <w:t>Doi</w:t>
      </w:r>
      <w:proofErr w:type="spellEnd"/>
      <w:r w:rsidRPr="008514F7">
        <w:rPr>
          <w:rFonts w:ascii="Arial" w:eastAsia="Times New Roman" w:hAnsi="Arial" w:cs="Arial"/>
          <w:lang w:val="en-US" w:eastAsia="es-ES_tradnl"/>
        </w:rPr>
        <w:t xml:space="preserve">: 10.1007/s10464-013-9613-3 </w:t>
      </w:r>
    </w:p>
    <w:p w14:paraId="36253B87" w14:textId="77777777" w:rsidR="00C9687F" w:rsidRPr="008514F7" w:rsidRDefault="00A43AAE" w:rsidP="00A94036">
      <w:pPr>
        <w:jc w:val="both"/>
        <w:rPr>
          <w:rFonts w:ascii="Arial" w:hAnsi="Arial" w:cs="Arial"/>
          <w:color w:val="000000"/>
          <w:lang w:val="en-US" w:eastAsia="es-ES_tradnl"/>
        </w:rPr>
      </w:pPr>
      <w:proofErr w:type="spellStart"/>
      <w:r w:rsidRPr="008514F7">
        <w:rPr>
          <w:rFonts w:ascii="Arial" w:hAnsi="Arial" w:cs="Arial"/>
          <w:color w:val="000000"/>
          <w:lang w:val="en-US" w:eastAsia="es-ES_tradnl"/>
        </w:rPr>
        <w:t>Osbaldiston</w:t>
      </w:r>
      <w:proofErr w:type="spellEnd"/>
      <w:r w:rsidRPr="008514F7">
        <w:rPr>
          <w:rFonts w:ascii="Arial" w:hAnsi="Arial" w:cs="Arial"/>
          <w:color w:val="000000"/>
          <w:lang w:val="en-US" w:eastAsia="es-ES_tradnl"/>
        </w:rPr>
        <w:t>, R. &amp; Schott, J. (2012). Environmental sustain</w:t>
      </w:r>
      <w:r w:rsidR="00C9687F" w:rsidRPr="008514F7">
        <w:rPr>
          <w:rFonts w:ascii="Arial" w:hAnsi="Arial" w:cs="Arial"/>
          <w:color w:val="000000"/>
          <w:lang w:val="en-US" w:eastAsia="es-ES_tradnl"/>
        </w:rPr>
        <w:t>ability and behavioral science:</w:t>
      </w:r>
    </w:p>
    <w:p w14:paraId="7E969A61" w14:textId="219037EE" w:rsidR="00A43AAE" w:rsidRPr="00C97220" w:rsidRDefault="00A43AAE" w:rsidP="00A94036">
      <w:pPr>
        <w:jc w:val="both"/>
        <w:rPr>
          <w:rFonts w:ascii="Arial" w:hAnsi="Arial" w:cs="Arial"/>
          <w:i/>
          <w:iCs/>
          <w:color w:val="000000"/>
          <w:lang w:eastAsia="es-ES_tradnl"/>
        </w:rPr>
      </w:pPr>
      <w:r w:rsidRPr="008514F7">
        <w:rPr>
          <w:rFonts w:ascii="Arial" w:hAnsi="Arial" w:cs="Arial"/>
          <w:color w:val="000000"/>
          <w:lang w:val="en-US" w:eastAsia="es-ES_tradnl"/>
        </w:rPr>
        <w:t xml:space="preserve">meta-analysis of </w:t>
      </w:r>
      <w:proofErr w:type="spellStart"/>
      <w:r w:rsidRPr="008514F7">
        <w:rPr>
          <w:rFonts w:ascii="Arial" w:hAnsi="Arial" w:cs="Arial"/>
          <w:color w:val="000000"/>
          <w:lang w:val="en-US" w:eastAsia="es-ES_tradnl"/>
        </w:rPr>
        <w:t>proenvironmental</w:t>
      </w:r>
      <w:proofErr w:type="spellEnd"/>
      <w:r w:rsidRPr="008514F7">
        <w:rPr>
          <w:rFonts w:ascii="Arial" w:hAnsi="Arial" w:cs="Arial"/>
          <w:color w:val="000000"/>
          <w:lang w:val="en-US" w:eastAsia="es-ES_tradnl"/>
        </w:rPr>
        <w:t xml:space="preserve"> behavior experiments. </w:t>
      </w:r>
      <w:proofErr w:type="spellStart"/>
      <w:r w:rsidRPr="008514F7">
        <w:rPr>
          <w:rFonts w:ascii="Arial" w:hAnsi="Arial" w:cs="Arial"/>
          <w:i/>
          <w:iCs/>
          <w:color w:val="000000"/>
          <w:lang w:eastAsia="es-ES_tradnl"/>
        </w:rPr>
        <w:t>Environment</w:t>
      </w:r>
      <w:proofErr w:type="spellEnd"/>
      <w:r w:rsidRPr="008514F7">
        <w:rPr>
          <w:rFonts w:ascii="Arial" w:hAnsi="Arial" w:cs="Arial"/>
          <w:i/>
          <w:iCs/>
          <w:color w:val="000000"/>
          <w:lang w:eastAsia="es-ES_tradnl"/>
        </w:rPr>
        <w:t xml:space="preserve"> and </w:t>
      </w:r>
      <w:proofErr w:type="spellStart"/>
      <w:r w:rsidRPr="008514F7">
        <w:rPr>
          <w:rFonts w:ascii="Arial" w:hAnsi="Arial" w:cs="Arial"/>
          <w:i/>
          <w:iCs/>
          <w:color w:val="000000"/>
          <w:lang w:eastAsia="es-ES_tradnl"/>
        </w:rPr>
        <w:t>Behavior</w:t>
      </w:r>
      <w:proofErr w:type="spellEnd"/>
      <w:r w:rsidRPr="008514F7">
        <w:rPr>
          <w:rFonts w:ascii="Arial" w:hAnsi="Arial" w:cs="Arial"/>
          <w:color w:val="000000"/>
          <w:lang w:eastAsia="es-ES_tradnl"/>
        </w:rPr>
        <w:t xml:space="preserve">, 44(2) 257-299. </w:t>
      </w:r>
      <w:proofErr w:type="spellStart"/>
      <w:r w:rsidRPr="008514F7">
        <w:rPr>
          <w:rFonts w:ascii="Arial" w:hAnsi="Arial" w:cs="Arial"/>
          <w:color w:val="000000"/>
          <w:lang w:eastAsia="es-ES_tradnl"/>
        </w:rPr>
        <w:t>Doi</w:t>
      </w:r>
      <w:proofErr w:type="spellEnd"/>
      <w:r w:rsidRPr="008514F7">
        <w:rPr>
          <w:rFonts w:ascii="Arial" w:hAnsi="Arial" w:cs="Arial"/>
          <w:color w:val="000000"/>
          <w:lang w:eastAsia="es-ES_tradnl"/>
        </w:rPr>
        <w:t>: 10.1177/0013916511402673</w:t>
      </w:r>
      <w:r w:rsidR="006961F4" w:rsidRPr="008514F7">
        <w:rPr>
          <w:rFonts w:ascii="Arial" w:hAnsi="Arial" w:cs="Arial"/>
          <w:color w:val="000000"/>
          <w:lang w:eastAsia="es-ES_tradnl"/>
        </w:rPr>
        <w:t xml:space="preserve"> </w:t>
      </w:r>
    </w:p>
    <w:p w14:paraId="5BED13DB" w14:textId="77777777" w:rsidR="00C97220" w:rsidRDefault="00C97220" w:rsidP="00A94036">
      <w:pPr>
        <w:jc w:val="both"/>
        <w:rPr>
          <w:rFonts w:ascii="Arial" w:hAnsi="Arial" w:cs="Arial"/>
          <w:color w:val="000000"/>
          <w:lang w:eastAsia="es-ES_tradnl"/>
        </w:rPr>
      </w:pPr>
    </w:p>
    <w:p w14:paraId="06149C67" w14:textId="096EB26F" w:rsidR="00A43AAE" w:rsidRPr="008514F7" w:rsidRDefault="00A43AAE" w:rsidP="00A94036">
      <w:pPr>
        <w:jc w:val="both"/>
        <w:rPr>
          <w:rFonts w:ascii="Arial" w:hAnsi="Arial" w:cs="Arial"/>
          <w:color w:val="000000"/>
          <w:lang w:eastAsia="es-ES_tradnl"/>
        </w:rPr>
      </w:pPr>
      <w:proofErr w:type="spellStart"/>
      <w:r w:rsidRPr="008514F7">
        <w:rPr>
          <w:rFonts w:ascii="Arial" w:hAnsi="Arial" w:cs="Arial"/>
          <w:color w:val="000000"/>
          <w:lang w:eastAsia="es-ES_tradnl"/>
        </w:rPr>
        <w:t>Remplaso</w:t>
      </w:r>
      <w:proofErr w:type="spellEnd"/>
      <w:r w:rsidRPr="008514F7">
        <w:rPr>
          <w:rFonts w:ascii="Arial" w:hAnsi="Arial" w:cs="Arial"/>
          <w:color w:val="000000"/>
          <w:lang w:eastAsia="es-ES_tradnl"/>
        </w:rPr>
        <w:t xml:space="preserve">: Recuperadora de Metales y Plásticos de Orizaba (2016). Reporte de retiro </w:t>
      </w:r>
      <w:r w:rsidR="00C97220">
        <w:rPr>
          <w:rFonts w:ascii="Arial" w:hAnsi="Arial" w:cs="Arial"/>
          <w:color w:val="000000"/>
          <w:lang w:eastAsia="es-ES_tradnl"/>
        </w:rPr>
        <w:t xml:space="preserve"> </w:t>
      </w:r>
      <w:r w:rsidRPr="008514F7">
        <w:rPr>
          <w:rFonts w:ascii="Arial" w:hAnsi="Arial" w:cs="Arial"/>
          <w:color w:val="000000"/>
          <w:lang w:eastAsia="es-ES_tradnl"/>
        </w:rPr>
        <w:t>de materiales reciclables. Documento interno. Ciudad de México.</w:t>
      </w:r>
    </w:p>
    <w:p w14:paraId="23F53C95" w14:textId="77777777" w:rsidR="00C97220" w:rsidRPr="001273FE" w:rsidRDefault="00C97220" w:rsidP="00A94036">
      <w:pPr>
        <w:jc w:val="both"/>
        <w:rPr>
          <w:rFonts w:ascii="Arial" w:hAnsi="Arial" w:cs="Arial"/>
          <w:color w:val="000000"/>
          <w:lang w:val="es-MX" w:eastAsia="es-ES_tradnl"/>
        </w:rPr>
      </w:pPr>
    </w:p>
    <w:p w14:paraId="0F5BC1A8" w14:textId="4134F115" w:rsidR="00C01D23" w:rsidRPr="008514F7" w:rsidRDefault="00A43AAE" w:rsidP="00A94036">
      <w:pPr>
        <w:jc w:val="both"/>
        <w:rPr>
          <w:rFonts w:ascii="Arial" w:hAnsi="Arial" w:cs="Arial"/>
          <w:color w:val="000000"/>
          <w:lang w:val="en-US" w:eastAsia="es-ES_tradnl"/>
        </w:rPr>
      </w:pPr>
      <w:r w:rsidRPr="008514F7">
        <w:rPr>
          <w:rFonts w:ascii="Arial" w:hAnsi="Arial" w:cs="Arial"/>
          <w:color w:val="000000"/>
          <w:lang w:val="en-US" w:eastAsia="es-ES_tradnl"/>
        </w:rPr>
        <w:t xml:space="preserve">Schwartz, S. H. (1977). Normative influences on altruism. En Berkowitz, L. (ed.) </w:t>
      </w:r>
      <w:r w:rsidRPr="008514F7">
        <w:rPr>
          <w:rFonts w:ascii="Arial" w:hAnsi="Arial" w:cs="Arial"/>
          <w:i/>
          <w:iCs/>
          <w:color w:val="000000"/>
          <w:lang w:val="en-US" w:eastAsia="es-ES_tradnl"/>
        </w:rPr>
        <w:t xml:space="preserve">Advances in experimental social psychology </w:t>
      </w:r>
      <w:r w:rsidRPr="008514F7">
        <w:rPr>
          <w:rFonts w:ascii="Arial" w:hAnsi="Arial" w:cs="Arial"/>
          <w:color w:val="000000"/>
          <w:lang w:val="en-US" w:eastAsia="es-ES_tradnl"/>
        </w:rPr>
        <w:t xml:space="preserve">(pp. 221-279). </w:t>
      </w:r>
      <w:r w:rsidRPr="00C97220">
        <w:rPr>
          <w:rFonts w:ascii="Arial" w:hAnsi="Arial" w:cs="Arial"/>
          <w:color w:val="000000"/>
          <w:lang w:val="en-US" w:eastAsia="es-ES_tradnl"/>
        </w:rPr>
        <w:t xml:space="preserve">Nueva York, E.U.A.: </w:t>
      </w:r>
      <w:r w:rsidRPr="008514F7">
        <w:rPr>
          <w:rFonts w:ascii="Arial" w:hAnsi="Arial" w:cs="Arial"/>
          <w:color w:val="000000"/>
          <w:lang w:val="en-US" w:eastAsia="es-ES_tradnl"/>
        </w:rPr>
        <w:t>Academic Press. </w:t>
      </w:r>
    </w:p>
    <w:p w14:paraId="6365247E" w14:textId="2650EEA3" w:rsidR="00C01D23" w:rsidRPr="008514F7" w:rsidRDefault="00C01D23" w:rsidP="00A94036">
      <w:pPr>
        <w:spacing w:before="100" w:beforeAutospacing="1" w:after="100" w:afterAutospacing="1"/>
        <w:jc w:val="both"/>
        <w:rPr>
          <w:rFonts w:ascii="Arial" w:eastAsia="Times New Roman" w:hAnsi="Arial" w:cs="Arial"/>
          <w:lang w:val="en-US" w:eastAsia="es-ES_tradnl"/>
        </w:rPr>
      </w:pPr>
      <w:proofErr w:type="spellStart"/>
      <w:r w:rsidRPr="008514F7">
        <w:rPr>
          <w:rFonts w:ascii="Arial" w:eastAsia="Times New Roman" w:hAnsi="Arial" w:cs="Arial"/>
          <w:lang w:val="en-US" w:eastAsia="es-ES_tradnl"/>
        </w:rPr>
        <w:t>Seltenrich</w:t>
      </w:r>
      <w:proofErr w:type="spellEnd"/>
      <w:r w:rsidRPr="008514F7">
        <w:rPr>
          <w:rFonts w:ascii="Arial" w:eastAsia="Times New Roman" w:hAnsi="Arial" w:cs="Arial"/>
          <w:lang w:val="en-US" w:eastAsia="es-ES_tradnl"/>
        </w:rPr>
        <w:t xml:space="preserve">, N. (2015). New link in the food chain? Marine plastic pollution and seafood safety. </w:t>
      </w:r>
      <w:r w:rsidRPr="008514F7">
        <w:rPr>
          <w:rFonts w:ascii="Arial" w:eastAsia="Times New Roman" w:hAnsi="Arial" w:cs="Arial"/>
          <w:i/>
          <w:iCs/>
          <w:lang w:val="en-US" w:eastAsia="es-ES_tradnl"/>
        </w:rPr>
        <w:t xml:space="preserve">Environmental health perspectives, </w:t>
      </w:r>
      <w:r w:rsidRPr="008514F7">
        <w:rPr>
          <w:rFonts w:ascii="Arial" w:eastAsia="Times New Roman" w:hAnsi="Arial" w:cs="Arial"/>
          <w:lang w:val="en-US" w:eastAsia="es-ES_tradnl"/>
        </w:rPr>
        <w:t xml:space="preserve">123(2), A34-A41. </w:t>
      </w:r>
      <w:proofErr w:type="spellStart"/>
      <w:r w:rsidRPr="008514F7">
        <w:rPr>
          <w:rFonts w:ascii="Arial" w:eastAsia="Times New Roman" w:hAnsi="Arial" w:cs="Arial"/>
          <w:lang w:val="en-US" w:eastAsia="es-ES_tradnl"/>
        </w:rPr>
        <w:t>Doi</w:t>
      </w:r>
      <w:proofErr w:type="spellEnd"/>
      <w:r w:rsidRPr="008514F7">
        <w:rPr>
          <w:rFonts w:ascii="Arial" w:eastAsia="Times New Roman" w:hAnsi="Arial" w:cs="Arial"/>
          <w:lang w:val="en-US" w:eastAsia="es-ES_tradnl"/>
        </w:rPr>
        <w:t xml:space="preserve">: 10.1289%2Fehp.123-A34 </w:t>
      </w:r>
    </w:p>
    <w:p w14:paraId="501DE8DF" w14:textId="7C159BA1" w:rsidR="002A7DE7" w:rsidRPr="008514F7" w:rsidRDefault="002A7DE7" w:rsidP="00A94036">
      <w:pPr>
        <w:spacing w:before="100" w:beforeAutospacing="1" w:after="100" w:afterAutospacing="1"/>
        <w:jc w:val="both"/>
        <w:rPr>
          <w:rFonts w:ascii="Arial" w:eastAsia="Times New Roman" w:hAnsi="Arial" w:cs="Arial"/>
          <w:lang w:val="en-US" w:eastAsia="es-ES_tradnl"/>
        </w:rPr>
      </w:pPr>
      <w:proofErr w:type="spellStart"/>
      <w:r w:rsidRPr="008514F7">
        <w:rPr>
          <w:rFonts w:ascii="Arial" w:eastAsia="Times New Roman" w:hAnsi="Arial" w:cs="Arial"/>
          <w:lang w:val="en-US" w:eastAsia="es-ES_tradnl"/>
        </w:rPr>
        <w:t>Senbel</w:t>
      </w:r>
      <w:proofErr w:type="spellEnd"/>
      <w:r w:rsidRPr="008514F7">
        <w:rPr>
          <w:rFonts w:ascii="Arial" w:eastAsia="Times New Roman" w:hAnsi="Arial" w:cs="Arial"/>
          <w:lang w:val="en-US" w:eastAsia="es-ES_tradnl"/>
        </w:rPr>
        <w:t xml:space="preserve">, M., Douglas, V. &amp; Blair, E. (2014). Social mobilization of climate change: University students conserving energy through multiple pathways for peer engagement. </w:t>
      </w:r>
      <w:r w:rsidRPr="008514F7">
        <w:rPr>
          <w:rFonts w:ascii="Arial" w:eastAsia="Times New Roman" w:hAnsi="Arial" w:cs="Arial"/>
          <w:i/>
          <w:iCs/>
          <w:lang w:val="en-US" w:eastAsia="es-ES_tradnl"/>
        </w:rPr>
        <w:t>Journal of Environmental Psychology</w:t>
      </w:r>
      <w:r w:rsidRPr="008514F7">
        <w:rPr>
          <w:rFonts w:ascii="Arial" w:eastAsia="Times New Roman" w:hAnsi="Arial" w:cs="Arial"/>
          <w:lang w:val="en-US" w:eastAsia="es-ES_tradnl"/>
        </w:rPr>
        <w:t xml:space="preserve">, 38, 84-93. </w:t>
      </w:r>
      <w:proofErr w:type="spellStart"/>
      <w:r w:rsidRPr="008514F7">
        <w:rPr>
          <w:rFonts w:ascii="Arial" w:eastAsia="Times New Roman" w:hAnsi="Arial" w:cs="Arial"/>
          <w:lang w:val="en-US" w:eastAsia="es-ES_tradnl"/>
        </w:rPr>
        <w:t>Doi</w:t>
      </w:r>
      <w:proofErr w:type="spellEnd"/>
      <w:r w:rsidRPr="008514F7">
        <w:rPr>
          <w:rFonts w:ascii="Arial" w:eastAsia="Times New Roman" w:hAnsi="Arial" w:cs="Arial"/>
          <w:lang w:val="en-US" w:eastAsia="es-ES_tradnl"/>
        </w:rPr>
        <w:t xml:space="preserve">: 10.1016/j.jenvp.2014.01.001 </w:t>
      </w:r>
    </w:p>
    <w:p w14:paraId="5B58AF52" w14:textId="77777777" w:rsidR="006961F4" w:rsidRPr="008514F7" w:rsidRDefault="00A43AAE" w:rsidP="00A94036">
      <w:pPr>
        <w:jc w:val="both"/>
        <w:rPr>
          <w:rFonts w:ascii="Arial" w:hAnsi="Arial" w:cs="Arial"/>
          <w:color w:val="000000"/>
          <w:lang w:val="en-US" w:eastAsia="es-ES_tradnl"/>
        </w:rPr>
      </w:pPr>
      <w:r w:rsidRPr="008514F7">
        <w:rPr>
          <w:rFonts w:ascii="Arial" w:hAnsi="Arial" w:cs="Arial"/>
          <w:color w:val="000000"/>
          <w:lang w:val="en-US" w:eastAsia="es-ES_tradnl"/>
        </w:rPr>
        <w:t xml:space="preserve">Sussman, R., </w:t>
      </w:r>
      <w:proofErr w:type="spellStart"/>
      <w:r w:rsidRPr="008514F7">
        <w:rPr>
          <w:rFonts w:ascii="Arial" w:hAnsi="Arial" w:cs="Arial"/>
          <w:color w:val="000000"/>
          <w:lang w:val="en-US" w:eastAsia="es-ES_tradnl"/>
        </w:rPr>
        <w:t>Greeno</w:t>
      </w:r>
      <w:proofErr w:type="spellEnd"/>
      <w:r w:rsidRPr="008514F7">
        <w:rPr>
          <w:rFonts w:ascii="Arial" w:hAnsi="Arial" w:cs="Arial"/>
          <w:color w:val="000000"/>
          <w:lang w:val="en-US" w:eastAsia="es-ES_tradnl"/>
        </w:rPr>
        <w:t xml:space="preserve">, M., Gifford, R. &amp; Scannell, L. (2013). The effectiveness of models </w:t>
      </w:r>
    </w:p>
    <w:p w14:paraId="7C449428" w14:textId="744ACC34" w:rsidR="00A43AAE" w:rsidRPr="008514F7" w:rsidRDefault="00A43AAE" w:rsidP="00A94036">
      <w:pPr>
        <w:jc w:val="both"/>
        <w:rPr>
          <w:rFonts w:ascii="Arial" w:hAnsi="Arial" w:cs="Arial"/>
          <w:color w:val="000000"/>
          <w:lang w:val="en-US" w:eastAsia="es-ES_tradnl"/>
        </w:rPr>
      </w:pPr>
      <w:r w:rsidRPr="008514F7">
        <w:rPr>
          <w:rFonts w:ascii="Arial" w:hAnsi="Arial" w:cs="Arial"/>
          <w:color w:val="000000"/>
          <w:lang w:val="en-US" w:eastAsia="es-ES_tradnl"/>
        </w:rPr>
        <w:t xml:space="preserve">and prompts on waste diversion: a field experiment on composting by cafeteria patrons. </w:t>
      </w:r>
      <w:r w:rsidRPr="008514F7">
        <w:rPr>
          <w:rFonts w:ascii="Arial" w:hAnsi="Arial" w:cs="Arial"/>
          <w:i/>
          <w:iCs/>
          <w:color w:val="000000"/>
          <w:lang w:val="en-US" w:eastAsia="es-ES_tradnl"/>
        </w:rPr>
        <w:t>Journal of Applied Social Psychology</w:t>
      </w:r>
      <w:r w:rsidRPr="008514F7">
        <w:rPr>
          <w:rFonts w:ascii="Arial" w:hAnsi="Arial" w:cs="Arial"/>
          <w:color w:val="000000"/>
          <w:lang w:val="en-US" w:eastAsia="es-ES_tradnl"/>
        </w:rPr>
        <w:t xml:space="preserve">, 43, 24-34. </w:t>
      </w:r>
      <w:proofErr w:type="spellStart"/>
      <w:r w:rsidRPr="008514F7">
        <w:rPr>
          <w:rFonts w:ascii="Arial" w:hAnsi="Arial" w:cs="Arial"/>
          <w:color w:val="000000"/>
          <w:lang w:val="en-US" w:eastAsia="es-ES_tradnl"/>
        </w:rPr>
        <w:t>Doi</w:t>
      </w:r>
      <w:proofErr w:type="spellEnd"/>
      <w:r w:rsidRPr="008514F7">
        <w:rPr>
          <w:rFonts w:ascii="Arial" w:hAnsi="Arial" w:cs="Arial"/>
          <w:color w:val="000000"/>
          <w:lang w:val="en-US" w:eastAsia="es-ES_tradnl"/>
        </w:rPr>
        <w:t>: 10.1111/j.1559-1816.2012.00978.x </w:t>
      </w:r>
    </w:p>
    <w:p w14:paraId="656F3E79" w14:textId="77777777" w:rsidR="00C97220" w:rsidRDefault="00C97220" w:rsidP="00A94036">
      <w:pPr>
        <w:jc w:val="both"/>
        <w:rPr>
          <w:rFonts w:ascii="Arial" w:hAnsi="Arial" w:cs="Arial"/>
          <w:color w:val="000000"/>
          <w:lang w:val="en-US" w:eastAsia="es-ES_tradnl"/>
        </w:rPr>
      </w:pPr>
    </w:p>
    <w:p w14:paraId="6DF4AEBA" w14:textId="77BC9905" w:rsidR="00A43AAE" w:rsidRPr="00C97220" w:rsidRDefault="00A43AAE" w:rsidP="00A94036">
      <w:pPr>
        <w:jc w:val="both"/>
        <w:rPr>
          <w:rFonts w:ascii="Arial" w:hAnsi="Arial" w:cs="Arial"/>
          <w:color w:val="000000"/>
          <w:lang w:val="en-US" w:eastAsia="es-ES_tradnl"/>
        </w:rPr>
      </w:pPr>
      <w:proofErr w:type="spellStart"/>
      <w:r w:rsidRPr="001273FE">
        <w:rPr>
          <w:rFonts w:ascii="Arial" w:hAnsi="Arial" w:cs="Arial"/>
          <w:color w:val="000000"/>
          <w:lang w:val="en-US" w:eastAsia="es-ES_tradnl"/>
        </w:rPr>
        <w:t>Trudel</w:t>
      </w:r>
      <w:proofErr w:type="spellEnd"/>
      <w:r w:rsidRPr="001273FE">
        <w:rPr>
          <w:rFonts w:ascii="Arial" w:hAnsi="Arial" w:cs="Arial"/>
          <w:color w:val="000000"/>
          <w:lang w:val="en-US" w:eastAsia="es-ES_tradnl"/>
        </w:rPr>
        <w:t xml:space="preserve">, R., Argo, J. J. &amp; Meng, M. D. (2016). </w:t>
      </w:r>
      <w:r w:rsidRPr="008514F7">
        <w:rPr>
          <w:rFonts w:ascii="Arial" w:hAnsi="Arial" w:cs="Arial"/>
          <w:color w:val="000000"/>
          <w:lang w:val="en-US" w:eastAsia="es-ES_tradnl"/>
        </w:rPr>
        <w:t xml:space="preserve">Trash or recycle? How product distortion leads to categorization error during disposal. </w:t>
      </w:r>
      <w:r w:rsidRPr="00C97220">
        <w:rPr>
          <w:rFonts w:ascii="Arial" w:hAnsi="Arial" w:cs="Arial"/>
          <w:i/>
          <w:iCs/>
          <w:color w:val="000000"/>
          <w:lang w:val="en-US" w:eastAsia="es-ES_tradnl"/>
        </w:rPr>
        <w:t>Environment and Behavior</w:t>
      </w:r>
      <w:r w:rsidRPr="00C97220">
        <w:rPr>
          <w:rFonts w:ascii="Arial" w:hAnsi="Arial" w:cs="Arial"/>
          <w:color w:val="000000"/>
          <w:lang w:val="en-US" w:eastAsia="es-ES_tradnl"/>
        </w:rPr>
        <w:t xml:space="preserve">, 48(7), 966-985. </w:t>
      </w:r>
      <w:proofErr w:type="spellStart"/>
      <w:r w:rsidRPr="00C97220">
        <w:rPr>
          <w:rFonts w:ascii="Arial" w:hAnsi="Arial" w:cs="Arial"/>
          <w:color w:val="000000"/>
          <w:lang w:val="en-US" w:eastAsia="es-ES_tradnl"/>
        </w:rPr>
        <w:t>Doi</w:t>
      </w:r>
      <w:proofErr w:type="spellEnd"/>
      <w:r w:rsidRPr="00C97220">
        <w:rPr>
          <w:rFonts w:ascii="Arial" w:hAnsi="Arial" w:cs="Arial"/>
          <w:color w:val="000000"/>
          <w:lang w:val="en-US" w:eastAsia="es-ES_tradnl"/>
        </w:rPr>
        <w:t>: 10.1177/0013916515577635 </w:t>
      </w:r>
    </w:p>
    <w:p w14:paraId="3189274C" w14:textId="554CEA64" w:rsidR="00A25965" w:rsidRPr="00C97220" w:rsidRDefault="00A25965" w:rsidP="00A94036">
      <w:pPr>
        <w:jc w:val="both"/>
        <w:rPr>
          <w:rFonts w:ascii="Arial" w:hAnsi="Arial" w:cs="Arial"/>
          <w:lang w:val="en-US"/>
        </w:rPr>
      </w:pPr>
    </w:p>
    <w:sectPr w:rsidR="00A25965" w:rsidRPr="00C97220" w:rsidSect="00C22653">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webkit-standard">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83F"/>
    <w:multiLevelType w:val="hybridMultilevel"/>
    <w:tmpl w:val="D9C03B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CE16F7"/>
    <w:multiLevelType w:val="hybridMultilevel"/>
    <w:tmpl w:val="639264BE"/>
    <w:lvl w:ilvl="0" w:tplc="3BBAD5B6">
      <w:start w:val="1"/>
      <w:numFmt w:val="bullet"/>
      <w:lvlText w:val="•"/>
      <w:lvlJc w:val="left"/>
      <w:pPr>
        <w:tabs>
          <w:tab w:val="num" w:pos="720"/>
        </w:tabs>
        <w:ind w:left="720" w:hanging="360"/>
      </w:pPr>
      <w:rPr>
        <w:rFonts w:ascii="Arial" w:hAnsi="Arial" w:hint="default"/>
      </w:rPr>
    </w:lvl>
    <w:lvl w:ilvl="1" w:tplc="4CBE6FEC" w:tentative="1">
      <w:start w:val="1"/>
      <w:numFmt w:val="bullet"/>
      <w:lvlText w:val="•"/>
      <w:lvlJc w:val="left"/>
      <w:pPr>
        <w:tabs>
          <w:tab w:val="num" w:pos="1440"/>
        </w:tabs>
        <w:ind w:left="1440" w:hanging="360"/>
      </w:pPr>
      <w:rPr>
        <w:rFonts w:ascii="Arial" w:hAnsi="Arial" w:hint="default"/>
      </w:rPr>
    </w:lvl>
    <w:lvl w:ilvl="2" w:tplc="0988E794" w:tentative="1">
      <w:start w:val="1"/>
      <w:numFmt w:val="bullet"/>
      <w:lvlText w:val="•"/>
      <w:lvlJc w:val="left"/>
      <w:pPr>
        <w:tabs>
          <w:tab w:val="num" w:pos="2160"/>
        </w:tabs>
        <w:ind w:left="2160" w:hanging="360"/>
      </w:pPr>
      <w:rPr>
        <w:rFonts w:ascii="Arial" w:hAnsi="Arial" w:hint="default"/>
      </w:rPr>
    </w:lvl>
    <w:lvl w:ilvl="3" w:tplc="C91CEA20" w:tentative="1">
      <w:start w:val="1"/>
      <w:numFmt w:val="bullet"/>
      <w:lvlText w:val="•"/>
      <w:lvlJc w:val="left"/>
      <w:pPr>
        <w:tabs>
          <w:tab w:val="num" w:pos="2880"/>
        </w:tabs>
        <w:ind w:left="2880" w:hanging="360"/>
      </w:pPr>
      <w:rPr>
        <w:rFonts w:ascii="Arial" w:hAnsi="Arial" w:hint="default"/>
      </w:rPr>
    </w:lvl>
    <w:lvl w:ilvl="4" w:tplc="6600A59A" w:tentative="1">
      <w:start w:val="1"/>
      <w:numFmt w:val="bullet"/>
      <w:lvlText w:val="•"/>
      <w:lvlJc w:val="left"/>
      <w:pPr>
        <w:tabs>
          <w:tab w:val="num" w:pos="3600"/>
        </w:tabs>
        <w:ind w:left="3600" w:hanging="360"/>
      </w:pPr>
      <w:rPr>
        <w:rFonts w:ascii="Arial" w:hAnsi="Arial" w:hint="default"/>
      </w:rPr>
    </w:lvl>
    <w:lvl w:ilvl="5" w:tplc="7494F30A" w:tentative="1">
      <w:start w:val="1"/>
      <w:numFmt w:val="bullet"/>
      <w:lvlText w:val="•"/>
      <w:lvlJc w:val="left"/>
      <w:pPr>
        <w:tabs>
          <w:tab w:val="num" w:pos="4320"/>
        </w:tabs>
        <w:ind w:left="4320" w:hanging="360"/>
      </w:pPr>
      <w:rPr>
        <w:rFonts w:ascii="Arial" w:hAnsi="Arial" w:hint="default"/>
      </w:rPr>
    </w:lvl>
    <w:lvl w:ilvl="6" w:tplc="50ECDE88" w:tentative="1">
      <w:start w:val="1"/>
      <w:numFmt w:val="bullet"/>
      <w:lvlText w:val="•"/>
      <w:lvlJc w:val="left"/>
      <w:pPr>
        <w:tabs>
          <w:tab w:val="num" w:pos="5040"/>
        </w:tabs>
        <w:ind w:left="5040" w:hanging="360"/>
      </w:pPr>
      <w:rPr>
        <w:rFonts w:ascii="Arial" w:hAnsi="Arial" w:hint="default"/>
      </w:rPr>
    </w:lvl>
    <w:lvl w:ilvl="7" w:tplc="CACEC610" w:tentative="1">
      <w:start w:val="1"/>
      <w:numFmt w:val="bullet"/>
      <w:lvlText w:val="•"/>
      <w:lvlJc w:val="left"/>
      <w:pPr>
        <w:tabs>
          <w:tab w:val="num" w:pos="5760"/>
        </w:tabs>
        <w:ind w:left="5760" w:hanging="360"/>
      </w:pPr>
      <w:rPr>
        <w:rFonts w:ascii="Arial" w:hAnsi="Arial" w:hint="default"/>
      </w:rPr>
    </w:lvl>
    <w:lvl w:ilvl="8" w:tplc="DED89F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A86461"/>
    <w:multiLevelType w:val="hybridMultilevel"/>
    <w:tmpl w:val="3DD6C260"/>
    <w:lvl w:ilvl="0" w:tplc="4F46C7E6">
      <w:start w:val="1"/>
      <w:numFmt w:val="bullet"/>
      <w:lvlText w:val="•"/>
      <w:lvlJc w:val="left"/>
      <w:pPr>
        <w:tabs>
          <w:tab w:val="num" w:pos="720"/>
        </w:tabs>
        <w:ind w:left="720" w:hanging="360"/>
      </w:pPr>
      <w:rPr>
        <w:rFonts w:ascii="Arial" w:hAnsi="Arial" w:hint="default"/>
      </w:rPr>
    </w:lvl>
    <w:lvl w:ilvl="1" w:tplc="5D96A0EC" w:tentative="1">
      <w:start w:val="1"/>
      <w:numFmt w:val="bullet"/>
      <w:lvlText w:val="•"/>
      <w:lvlJc w:val="left"/>
      <w:pPr>
        <w:tabs>
          <w:tab w:val="num" w:pos="1440"/>
        </w:tabs>
        <w:ind w:left="1440" w:hanging="360"/>
      </w:pPr>
      <w:rPr>
        <w:rFonts w:ascii="Arial" w:hAnsi="Arial" w:hint="default"/>
      </w:rPr>
    </w:lvl>
    <w:lvl w:ilvl="2" w:tplc="249497CC" w:tentative="1">
      <w:start w:val="1"/>
      <w:numFmt w:val="bullet"/>
      <w:lvlText w:val="•"/>
      <w:lvlJc w:val="left"/>
      <w:pPr>
        <w:tabs>
          <w:tab w:val="num" w:pos="2160"/>
        </w:tabs>
        <w:ind w:left="2160" w:hanging="360"/>
      </w:pPr>
      <w:rPr>
        <w:rFonts w:ascii="Arial" w:hAnsi="Arial" w:hint="default"/>
      </w:rPr>
    </w:lvl>
    <w:lvl w:ilvl="3" w:tplc="D776501A" w:tentative="1">
      <w:start w:val="1"/>
      <w:numFmt w:val="bullet"/>
      <w:lvlText w:val="•"/>
      <w:lvlJc w:val="left"/>
      <w:pPr>
        <w:tabs>
          <w:tab w:val="num" w:pos="2880"/>
        </w:tabs>
        <w:ind w:left="2880" w:hanging="360"/>
      </w:pPr>
      <w:rPr>
        <w:rFonts w:ascii="Arial" w:hAnsi="Arial" w:hint="default"/>
      </w:rPr>
    </w:lvl>
    <w:lvl w:ilvl="4" w:tplc="636E0E7C" w:tentative="1">
      <w:start w:val="1"/>
      <w:numFmt w:val="bullet"/>
      <w:lvlText w:val="•"/>
      <w:lvlJc w:val="left"/>
      <w:pPr>
        <w:tabs>
          <w:tab w:val="num" w:pos="3600"/>
        </w:tabs>
        <w:ind w:left="3600" w:hanging="360"/>
      </w:pPr>
      <w:rPr>
        <w:rFonts w:ascii="Arial" w:hAnsi="Arial" w:hint="default"/>
      </w:rPr>
    </w:lvl>
    <w:lvl w:ilvl="5" w:tplc="F724E5C6" w:tentative="1">
      <w:start w:val="1"/>
      <w:numFmt w:val="bullet"/>
      <w:lvlText w:val="•"/>
      <w:lvlJc w:val="left"/>
      <w:pPr>
        <w:tabs>
          <w:tab w:val="num" w:pos="4320"/>
        </w:tabs>
        <w:ind w:left="4320" w:hanging="360"/>
      </w:pPr>
      <w:rPr>
        <w:rFonts w:ascii="Arial" w:hAnsi="Arial" w:hint="default"/>
      </w:rPr>
    </w:lvl>
    <w:lvl w:ilvl="6" w:tplc="82B6EA80" w:tentative="1">
      <w:start w:val="1"/>
      <w:numFmt w:val="bullet"/>
      <w:lvlText w:val="•"/>
      <w:lvlJc w:val="left"/>
      <w:pPr>
        <w:tabs>
          <w:tab w:val="num" w:pos="5040"/>
        </w:tabs>
        <w:ind w:left="5040" w:hanging="360"/>
      </w:pPr>
      <w:rPr>
        <w:rFonts w:ascii="Arial" w:hAnsi="Arial" w:hint="default"/>
      </w:rPr>
    </w:lvl>
    <w:lvl w:ilvl="7" w:tplc="F34AE764" w:tentative="1">
      <w:start w:val="1"/>
      <w:numFmt w:val="bullet"/>
      <w:lvlText w:val="•"/>
      <w:lvlJc w:val="left"/>
      <w:pPr>
        <w:tabs>
          <w:tab w:val="num" w:pos="5760"/>
        </w:tabs>
        <w:ind w:left="5760" w:hanging="360"/>
      </w:pPr>
      <w:rPr>
        <w:rFonts w:ascii="Arial" w:hAnsi="Arial" w:hint="default"/>
      </w:rPr>
    </w:lvl>
    <w:lvl w:ilvl="8" w:tplc="9B1E7B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E241F9"/>
    <w:multiLevelType w:val="hybridMultilevel"/>
    <w:tmpl w:val="E722C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1E7D0A"/>
    <w:multiLevelType w:val="hybridMultilevel"/>
    <w:tmpl w:val="867CEDBE"/>
    <w:lvl w:ilvl="0" w:tplc="00000001">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D12481"/>
    <w:multiLevelType w:val="hybridMultilevel"/>
    <w:tmpl w:val="B540E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AAA2083"/>
    <w:multiLevelType w:val="hybridMultilevel"/>
    <w:tmpl w:val="E722C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74A7443"/>
    <w:multiLevelType w:val="hybridMultilevel"/>
    <w:tmpl w:val="2A6E0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8D52D58"/>
    <w:multiLevelType w:val="hybridMultilevel"/>
    <w:tmpl w:val="F5DA32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484"/>
    <w:rsid w:val="00014484"/>
    <w:rsid w:val="000255B6"/>
    <w:rsid w:val="000265F1"/>
    <w:rsid w:val="00026AD7"/>
    <w:rsid w:val="0003187F"/>
    <w:rsid w:val="00031A70"/>
    <w:rsid w:val="00035740"/>
    <w:rsid w:val="00053001"/>
    <w:rsid w:val="00056F94"/>
    <w:rsid w:val="00062AA1"/>
    <w:rsid w:val="000707F2"/>
    <w:rsid w:val="000738BE"/>
    <w:rsid w:val="00076C4E"/>
    <w:rsid w:val="000840EE"/>
    <w:rsid w:val="0008667E"/>
    <w:rsid w:val="00090742"/>
    <w:rsid w:val="0009604B"/>
    <w:rsid w:val="000A45D4"/>
    <w:rsid w:val="000B23F5"/>
    <w:rsid w:val="000C04CD"/>
    <w:rsid w:val="000C358A"/>
    <w:rsid w:val="000D0904"/>
    <w:rsid w:val="000D30F1"/>
    <w:rsid w:val="000F5F6D"/>
    <w:rsid w:val="00123289"/>
    <w:rsid w:val="001273FE"/>
    <w:rsid w:val="0013032F"/>
    <w:rsid w:val="001424FF"/>
    <w:rsid w:val="001448A0"/>
    <w:rsid w:val="001455C3"/>
    <w:rsid w:val="00157707"/>
    <w:rsid w:val="0016135E"/>
    <w:rsid w:val="00163D98"/>
    <w:rsid w:val="001712D7"/>
    <w:rsid w:val="00172070"/>
    <w:rsid w:val="001835DA"/>
    <w:rsid w:val="00197684"/>
    <w:rsid w:val="001A0264"/>
    <w:rsid w:val="001A15BF"/>
    <w:rsid w:val="001A33D8"/>
    <w:rsid w:val="001A38E1"/>
    <w:rsid w:val="001B79CB"/>
    <w:rsid w:val="001D5D16"/>
    <w:rsid w:val="001D77DE"/>
    <w:rsid w:val="001E2288"/>
    <w:rsid w:val="001E38B6"/>
    <w:rsid w:val="001E4476"/>
    <w:rsid w:val="001E536D"/>
    <w:rsid w:val="001E607E"/>
    <w:rsid w:val="001F1101"/>
    <w:rsid w:val="00203F48"/>
    <w:rsid w:val="00206A55"/>
    <w:rsid w:val="0021181B"/>
    <w:rsid w:val="00213708"/>
    <w:rsid w:val="002230E3"/>
    <w:rsid w:val="00240C30"/>
    <w:rsid w:val="0024702C"/>
    <w:rsid w:val="00266452"/>
    <w:rsid w:val="002714FE"/>
    <w:rsid w:val="00276C42"/>
    <w:rsid w:val="00276F6A"/>
    <w:rsid w:val="0027707D"/>
    <w:rsid w:val="00286DD2"/>
    <w:rsid w:val="0029401D"/>
    <w:rsid w:val="00296D41"/>
    <w:rsid w:val="002A416F"/>
    <w:rsid w:val="002A7DE7"/>
    <w:rsid w:val="002B2B57"/>
    <w:rsid w:val="002D2F84"/>
    <w:rsid w:val="002D62CA"/>
    <w:rsid w:val="002D6995"/>
    <w:rsid w:val="002E1655"/>
    <w:rsid w:val="002E1846"/>
    <w:rsid w:val="003301B2"/>
    <w:rsid w:val="00331862"/>
    <w:rsid w:val="003412F3"/>
    <w:rsid w:val="00343ECB"/>
    <w:rsid w:val="00350C6A"/>
    <w:rsid w:val="0035375B"/>
    <w:rsid w:val="00372312"/>
    <w:rsid w:val="00387D07"/>
    <w:rsid w:val="003952AD"/>
    <w:rsid w:val="003A0316"/>
    <w:rsid w:val="003B2BC5"/>
    <w:rsid w:val="003B5A11"/>
    <w:rsid w:val="003B790A"/>
    <w:rsid w:val="003D3AED"/>
    <w:rsid w:val="003F2D2E"/>
    <w:rsid w:val="00404A48"/>
    <w:rsid w:val="00412B90"/>
    <w:rsid w:val="00434861"/>
    <w:rsid w:val="00435A8F"/>
    <w:rsid w:val="00446D25"/>
    <w:rsid w:val="0045097C"/>
    <w:rsid w:val="004722BE"/>
    <w:rsid w:val="00476B57"/>
    <w:rsid w:val="0048659C"/>
    <w:rsid w:val="004A033C"/>
    <w:rsid w:val="004C052A"/>
    <w:rsid w:val="004C4676"/>
    <w:rsid w:val="004C73D8"/>
    <w:rsid w:val="004E24C9"/>
    <w:rsid w:val="00500C14"/>
    <w:rsid w:val="00501ABA"/>
    <w:rsid w:val="00511335"/>
    <w:rsid w:val="00520FF9"/>
    <w:rsid w:val="00522546"/>
    <w:rsid w:val="00523B04"/>
    <w:rsid w:val="00524DFA"/>
    <w:rsid w:val="00527C26"/>
    <w:rsid w:val="00532BB5"/>
    <w:rsid w:val="00547DB3"/>
    <w:rsid w:val="0055222A"/>
    <w:rsid w:val="00563502"/>
    <w:rsid w:val="00567C34"/>
    <w:rsid w:val="005829A7"/>
    <w:rsid w:val="005870CF"/>
    <w:rsid w:val="0059230A"/>
    <w:rsid w:val="005A12E2"/>
    <w:rsid w:val="005A30B6"/>
    <w:rsid w:val="005A570A"/>
    <w:rsid w:val="005B5A22"/>
    <w:rsid w:val="005B6016"/>
    <w:rsid w:val="005C3247"/>
    <w:rsid w:val="005E6642"/>
    <w:rsid w:val="00600C24"/>
    <w:rsid w:val="00601143"/>
    <w:rsid w:val="00604BAB"/>
    <w:rsid w:val="00606E69"/>
    <w:rsid w:val="006152A0"/>
    <w:rsid w:val="006234C3"/>
    <w:rsid w:val="0062393E"/>
    <w:rsid w:val="006264B9"/>
    <w:rsid w:val="006268BF"/>
    <w:rsid w:val="0062744F"/>
    <w:rsid w:val="00627E8D"/>
    <w:rsid w:val="006571A2"/>
    <w:rsid w:val="006740C1"/>
    <w:rsid w:val="006768AB"/>
    <w:rsid w:val="00686519"/>
    <w:rsid w:val="006961F4"/>
    <w:rsid w:val="006A2EC0"/>
    <w:rsid w:val="006B7417"/>
    <w:rsid w:val="006C6DBF"/>
    <w:rsid w:val="006E3386"/>
    <w:rsid w:val="006E6422"/>
    <w:rsid w:val="00704342"/>
    <w:rsid w:val="007047EA"/>
    <w:rsid w:val="00720AF7"/>
    <w:rsid w:val="00735D68"/>
    <w:rsid w:val="00737EB8"/>
    <w:rsid w:val="00743E44"/>
    <w:rsid w:val="00750176"/>
    <w:rsid w:val="00756F0E"/>
    <w:rsid w:val="00762C9E"/>
    <w:rsid w:val="00766F19"/>
    <w:rsid w:val="0078204D"/>
    <w:rsid w:val="007A5B11"/>
    <w:rsid w:val="007A626C"/>
    <w:rsid w:val="007B5D5E"/>
    <w:rsid w:val="007C120A"/>
    <w:rsid w:val="007C24B7"/>
    <w:rsid w:val="007C76CA"/>
    <w:rsid w:val="007D336F"/>
    <w:rsid w:val="007D62B2"/>
    <w:rsid w:val="007E7259"/>
    <w:rsid w:val="00806FD0"/>
    <w:rsid w:val="00807E32"/>
    <w:rsid w:val="00814509"/>
    <w:rsid w:val="00815120"/>
    <w:rsid w:val="008275E7"/>
    <w:rsid w:val="00843500"/>
    <w:rsid w:val="008465BC"/>
    <w:rsid w:val="008514F7"/>
    <w:rsid w:val="00870A42"/>
    <w:rsid w:val="008763C4"/>
    <w:rsid w:val="008802D6"/>
    <w:rsid w:val="008B32DB"/>
    <w:rsid w:val="008C1F7C"/>
    <w:rsid w:val="008C36BE"/>
    <w:rsid w:val="008C5FEF"/>
    <w:rsid w:val="008D7A3D"/>
    <w:rsid w:val="008E0330"/>
    <w:rsid w:val="008E1F8C"/>
    <w:rsid w:val="008E3E57"/>
    <w:rsid w:val="0090014B"/>
    <w:rsid w:val="00900703"/>
    <w:rsid w:val="00922C8F"/>
    <w:rsid w:val="009251D5"/>
    <w:rsid w:val="0092593E"/>
    <w:rsid w:val="00925B39"/>
    <w:rsid w:val="0092769D"/>
    <w:rsid w:val="00941CAF"/>
    <w:rsid w:val="009472E8"/>
    <w:rsid w:val="009564E7"/>
    <w:rsid w:val="00957232"/>
    <w:rsid w:val="009641F1"/>
    <w:rsid w:val="00973A5E"/>
    <w:rsid w:val="00996DEC"/>
    <w:rsid w:val="009A04A4"/>
    <w:rsid w:val="009A2DD7"/>
    <w:rsid w:val="009B5CEB"/>
    <w:rsid w:val="009B74D6"/>
    <w:rsid w:val="009C0031"/>
    <w:rsid w:val="009D7F20"/>
    <w:rsid w:val="009E2300"/>
    <w:rsid w:val="009E6051"/>
    <w:rsid w:val="00A25965"/>
    <w:rsid w:val="00A4062F"/>
    <w:rsid w:val="00A43AAE"/>
    <w:rsid w:val="00A555EA"/>
    <w:rsid w:val="00A55A5D"/>
    <w:rsid w:val="00A6493F"/>
    <w:rsid w:val="00A66B96"/>
    <w:rsid w:val="00A670C1"/>
    <w:rsid w:val="00A8311F"/>
    <w:rsid w:val="00A864FD"/>
    <w:rsid w:val="00A86E2F"/>
    <w:rsid w:val="00A94036"/>
    <w:rsid w:val="00AA2D9C"/>
    <w:rsid w:val="00AB0CE2"/>
    <w:rsid w:val="00AB1E18"/>
    <w:rsid w:val="00AB2782"/>
    <w:rsid w:val="00AD0D9D"/>
    <w:rsid w:val="00B054E3"/>
    <w:rsid w:val="00B05C34"/>
    <w:rsid w:val="00B07917"/>
    <w:rsid w:val="00B10DBF"/>
    <w:rsid w:val="00B35B92"/>
    <w:rsid w:val="00B53EC1"/>
    <w:rsid w:val="00B73A07"/>
    <w:rsid w:val="00B905D6"/>
    <w:rsid w:val="00B96A22"/>
    <w:rsid w:val="00BA0745"/>
    <w:rsid w:val="00BA6CE2"/>
    <w:rsid w:val="00BB4134"/>
    <w:rsid w:val="00BD5B63"/>
    <w:rsid w:val="00BD7CAF"/>
    <w:rsid w:val="00BE36E6"/>
    <w:rsid w:val="00BF0C6E"/>
    <w:rsid w:val="00C01D23"/>
    <w:rsid w:val="00C053BA"/>
    <w:rsid w:val="00C165D6"/>
    <w:rsid w:val="00C22653"/>
    <w:rsid w:val="00C329D8"/>
    <w:rsid w:val="00C57AF4"/>
    <w:rsid w:val="00C7353A"/>
    <w:rsid w:val="00C76762"/>
    <w:rsid w:val="00C86424"/>
    <w:rsid w:val="00C8676D"/>
    <w:rsid w:val="00C905E8"/>
    <w:rsid w:val="00C9687F"/>
    <w:rsid w:val="00C97220"/>
    <w:rsid w:val="00C97C80"/>
    <w:rsid w:val="00CB4584"/>
    <w:rsid w:val="00CE24D3"/>
    <w:rsid w:val="00D02F0D"/>
    <w:rsid w:val="00D25A29"/>
    <w:rsid w:val="00D27C6B"/>
    <w:rsid w:val="00D30B6F"/>
    <w:rsid w:val="00D31F7C"/>
    <w:rsid w:val="00D414F0"/>
    <w:rsid w:val="00D45A53"/>
    <w:rsid w:val="00D6054B"/>
    <w:rsid w:val="00D742AF"/>
    <w:rsid w:val="00D87FDA"/>
    <w:rsid w:val="00D922BE"/>
    <w:rsid w:val="00D93099"/>
    <w:rsid w:val="00DA58C4"/>
    <w:rsid w:val="00DE33DC"/>
    <w:rsid w:val="00DE7918"/>
    <w:rsid w:val="00DF3541"/>
    <w:rsid w:val="00DF4685"/>
    <w:rsid w:val="00E00626"/>
    <w:rsid w:val="00E15AA3"/>
    <w:rsid w:val="00E171DB"/>
    <w:rsid w:val="00E20973"/>
    <w:rsid w:val="00E20B86"/>
    <w:rsid w:val="00E243D6"/>
    <w:rsid w:val="00E26E36"/>
    <w:rsid w:val="00E35336"/>
    <w:rsid w:val="00E3693B"/>
    <w:rsid w:val="00E4293D"/>
    <w:rsid w:val="00E55064"/>
    <w:rsid w:val="00E70CF1"/>
    <w:rsid w:val="00E8000E"/>
    <w:rsid w:val="00E807DF"/>
    <w:rsid w:val="00EA0413"/>
    <w:rsid w:val="00EA3D36"/>
    <w:rsid w:val="00EB4520"/>
    <w:rsid w:val="00EC011A"/>
    <w:rsid w:val="00EC06C5"/>
    <w:rsid w:val="00EC2B9D"/>
    <w:rsid w:val="00ED195E"/>
    <w:rsid w:val="00F06F75"/>
    <w:rsid w:val="00F11E9D"/>
    <w:rsid w:val="00F17D58"/>
    <w:rsid w:val="00F20250"/>
    <w:rsid w:val="00F20C96"/>
    <w:rsid w:val="00F24873"/>
    <w:rsid w:val="00F30EA1"/>
    <w:rsid w:val="00F36AFA"/>
    <w:rsid w:val="00F56082"/>
    <w:rsid w:val="00F630BA"/>
    <w:rsid w:val="00F63A50"/>
    <w:rsid w:val="00F65FB4"/>
    <w:rsid w:val="00F74403"/>
    <w:rsid w:val="00F74C69"/>
    <w:rsid w:val="00F751DB"/>
    <w:rsid w:val="00F84F1B"/>
    <w:rsid w:val="00FA7DAB"/>
    <w:rsid w:val="00FB5C21"/>
    <w:rsid w:val="00FB7F4E"/>
    <w:rsid w:val="00FC6D74"/>
    <w:rsid w:val="00FD1A01"/>
    <w:rsid w:val="00FD295D"/>
    <w:rsid w:val="00FD7436"/>
    <w:rsid w:val="00FE27A6"/>
    <w:rsid w:val="00FE2B10"/>
    <w:rsid w:val="00FF55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980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353A"/>
    <w:pPr>
      <w:ind w:left="720"/>
      <w:contextualSpacing/>
    </w:pPr>
  </w:style>
  <w:style w:type="paragraph" w:styleId="Textonotapie">
    <w:name w:val="footnote text"/>
    <w:basedOn w:val="Normal"/>
    <w:link w:val="TextonotapieCar"/>
    <w:uiPriority w:val="99"/>
    <w:unhideWhenUsed/>
    <w:rsid w:val="005E6642"/>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5E6642"/>
    <w:rPr>
      <w:rFonts w:ascii="Times New Roman" w:eastAsia="Times New Roman" w:hAnsi="Times New Roman" w:cs="Times New Roman"/>
      <w:sz w:val="20"/>
      <w:szCs w:val="20"/>
      <w:lang w:val="es-ES"/>
    </w:rPr>
  </w:style>
  <w:style w:type="table" w:styleId="Tablaconcuadrcula">
    <w:name w:val="Table Grid"/>
    <w:basedOn w:val="Tablanormal"/>
    <w:uiPriority w:val="59"/>
    <w:rsid w:val="00F30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35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835DA"/>
    <w:rPr>
      <w:rFonts w:ascii="Lucida Grande" w:hAnsi="Lucida Grande" w:cs="Lucida Grande"/>
      <w:sz w:val="18"/>
      <w:szCs w:val="18"/>
    </w:rPr>
  </w:style>
  <w:style w:type="paragraph" w:styleId="Textoindependiente">
    <w:name w:val="Body Text"/>
    <w:basedOn w:val="Normal"/>
    <w:link w:val="TextoindependienteCar"/>
    <w:semiHidden/>
    <w:rsid w:val="00922C8F"/>
    <w:pPr>
      <w:jc w:val="center"/>
    </w:pPr>
    <w:rPr>
      <w:rFonts w:ascii="Arial" w:eastAsia="Times New Roman" w:hAnsi="Arial" w:cs="Arial"/>
      <w:sz w:val="36"/>
      <w:lang w:val="es-MX"/>
    </w:rPr>
  </w:style>
  <w:style w:type="character" w:customStyle="1" w:styleId="TextoindependienteCar">
    <w:name w:val="Texto independiente Car"/>
    <w:basedOn w:val="Fuentedeprrafopredeter"/>
    <w:link w:val="Textoindependiente"/>
    <w:semiHidden/>
    <w:rsid w:val="00922C8F"/>
    <w:rPr>
      <w:rFonts w:ascii="Arial" w:eastAsia="Times New Roman" w:hAnsi="Arial" w:cs="Arial"/>
      <w:sz w:val="36"/>
      <w:lang w:val="es-MX"/>
    </w:rPr>
  </w:style>
  <w:style w:type="character" w:styleId="Hipervnculo">
    <w:name w:val="Hyperlink"/>
    <w:basedOn w:val="Fuentedeprrafopredeter"/>
    <w:uiPriority w:val="99"/>
    <w:unhideWhenUsed/>
    <w:rsid w:val="00062AA1"/>
    <w:rPr>
      <w:color w:val="0000FF" w:themeColor="hyperlink"/>
      <w:u w:val="single"/>
    </w:rPr>
  </w:style>
  <w:style w:type="paragraph" w:styleId="NormalWeb">
    <w:name w:val="Normal (Web)"/>
    <w:basedOn w:val="Normal"/>
    <w:uiPriority w:val="99"/>
    <w:unhideWhenUsed/>
    <w:rsid w:val="00A43AAE"/>
    <w:pPr>
      <w:spacing w:before="100" w:beforeAutospacing="1" w:after="100" w:afterAutospacing="1"/>
    </w:pPr>
    <w:rPr>
      <w:rFonts w:ascii="Times New Roman" w:hAnsi="Times New Roman" w:cs="Times New Roman"/>
      <w:lang w:eastAsia="es-ES_tradnl"/>
    </w:rPr>
  </w:style>
  <w:style w:type="character" w:customStyle="1" w:styleId="apple-tab-span">
    <w:name w:val="apple-tab-span"/>
    <w:basedOn w:val="Fuentedeprrafopredeter"/>
    <w:rsid w:val="00A43AAE"/>
  </w:style>
  <w:style w:type="character" w:styleId="Refdecomentario">
    <w:name w:val="annotation reference"/>
    <w:basedOn w:val="Fuentedeprrafopredeter"/>
    <w:uiPriority w:val="99"/>
    <w:semiHidden/>
    <w:unhideWhenUsed/>
    <w:rsid w:val="00A6493F"/>
    <w:rPr>
      <w:sz w:val="18"/>
      <w:szCs w:val="18"/>
    </w:rPr>
  </w:style>
  <w:style w:type="paragraph" w:styleId="Textocomentario">
    <w:name w:val="annotation text"/>
    <w:basedOn w:val="Normal"/>
    <w:link w:val="TextocomentarioCar"/>
    <w:uiPriority w:val="99"/>
    <w:semiHidden/>
    <w:unhideWhenUsed/>
    <w:rsid w:val="00A6493F"/>
  </w:style>
  <w:style w:type="character" w:customStyle="1" w:styleId="TextocomentarioCar">
    <w:name w:val="Texto comentario Car"/>
    <w:basedOn w:val="Fuentedeprrafopredeter"/>
    <w:link w:val="Textocomentario"/>
    <w:uiPriority w:val="99"/>
    <w:semiHidden/>
    <w:rsid w:val="00A6493F"/>
  </w:style>
  <w:style w:type="character" w:customStyle="1" w:styleId="Mencinsinresolver1">
    <w:name w:val="Mención sin resolver1"/>
    <w:basedOn w:val="Fuentedeprrafopredeter"/>
    <w:uiPriority w:val="99"/>
    <w:semiHidden/>
    <w:unhideWhenUsed/>
    <w:rsid w:val="0014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21">
      <w:bodyDiv w:val="1"/>
      <w:marLeft w:val="0"/>
      <w:marRight w:val="0"/>
      <w:marTop w:val="0"/>
      <w:marBottom w:val="0"/>
      <w:divBdr>
        <w:top w:val="none" w:sz="0" w:space="0" w:color="auto"/>
        <w:left w:val="none" w:sz="0" w:space="0" w:color="auto"/>
        <w:bottom w:val="none" w:sz="0" w:space="0" w:color="auto"/>
        <w:right w:val="none" w:sz="0" w:space="0" w:color="auto"/>
      </w:divBdr>
      <w:divsChild>
        <w:div w:id="1044408746">
          <w:marLeft w:val="0"/>
          <w:marRight w:val="0"/>
          <w:marTop w:val="0"/>
          <w:marBottom w:val="0"/>
          <w:divBdr>
            <w:top w:val="none" w:sz="0" w:space="0" w:color="auto"/>
            <w:left w:val="none" w:sz="0" w:space="0" w:color="auto"/>
            <w:bottom w:val="none" w:sz="0" w:space="0" w:color="auto"/>
            <w:right w:val="none" w:sz="0" w:space="0" w:color="auto"/>
          </w:divBdr>
          <w:divsChild>
            <w:div w:id="1195657015">
              <w:marLeft w:val="0"/>
              <w:marRight w:val="0"/>
              <w:marTop w:val="0"/>
              <w:marBottom w:val="0"/>
              <w:divBdr>
                <w:top w:val="none" w:sz="0" w:space="0" w:color="auto"/>
                <w:left w:val="none" w:sz="0" w:space="0" w:color="auto"/>
                <w:bottom w:val="none" w:sz="0" w:space="0" w:color="auto"/>
                <w:right w:val="none" w:sz="0" w:space="0" w:color="auto"/>
              </w:divBdr>
              <w:divsChild>
                <w:div w:id="602030600">
                  <w:marLeft w:val="0"/>
                  <w:marRight w:val="0"/>
                  <w:marTop w:val="0"/>
                  <w:marBottom w:val="0"/>
                  <w:divBdr>
                    <w:top w:val="none" w:sz="0" w:space="0" w:color="auto"/>
                    <w:left w:val="none" w:sz="0" w:space="0" w:color="auto"/>
                    <w:bottom w:val="none" w:sz="0" w:space="0" w:color="auto"/>
                    <w:right w:val="none" w:sz="0" w:space="0" w:color="auto"/>
                  </w:divBdr>
                </w:div>
              </w:divsChild>
            </w:div>
            <w:div w:id="1713656282">
              <w:marLeft w:val="0"/>
              <w:marRight w:val="0"/>
              <w:marTop w:val="0"/>
              <w:marBottom w:val="0"/>
              <w:divBdr>
                <w:top w:val="none" w:sz="0" w:space="0" w:color="auto"/>
                <w:left w:val="none" w:sz="0" w:space="0" w:color="auto"/>
                <w:bottom w:val="none" w:sz="0" w:space="0" w:color="auto"/>
                <w:right w:val="none" w:sz="0" w:space="0" w:color="auto"/>
              </w:divBdr>
              <w:divsChild>
                <w:div w:id="642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6287">
          <w:marLeft w:val="0"/>
          <w:marRight w:val="0"/>
          <w:marTop w:val="0"/>
          <w:marBottom w:val="0"/>
          <w:divBdr>
            <w:top w:val="none" w:sz="0" w:space="0" w:color="auto"/>
            <w:left w:val="none" w:sz="0" w:space="0" w:color="auto"/>
            <w:bottom w:val="none" w:sz="0" w:space="0" w:color="auto"/>
            <w:right w:val="none" w:sz="0" w:space="0" w:color="auto"/>
          </w:divBdr>
          <w:divsChild>
            <w:div w:id="1272082954">
              <w:marLeft w:val="0"/>
              <w:marRight w:val="0"/>
              <w:marTop w:val="0"/>
              <w:marBottom w:val="0"/>
              <w:divBdr>
                <w:top w:val="none" w:sz="0" w:space="0" w:color="auto"/>
                <w:left w:val="none" w:sz="0" w:space="0" w:color="auto"/>
                <w:bottom w:val="none" w:sz="0" w:space="0" w:color="auto"/>
                <w:right w:val="none" w:sz="0" w:space="0" w:color="auto"/>
              </w:divBdr>
              <w:divsChild>
                <w:div w:id="13804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2118">
      <w:bodyDiv w:val="1"/>
      <w:marLeft w:val="0"/>
      <w:marRight w:val="0"/>
      <w:marTop w:val="0"/>
      <w:marBottom w:val="0"/>
      <w:divBdr>
        <w:top w:val="none" w:sz="0" w:space="0" w:color="auto"/>
        <w:left w:val="none" w:sz="0" w:space="0" w:color="auto"/>
        <w:bottom w:val="none" w:sz="0" w:space="0" w:color="auto"/>
        <w:right w:val="none" w:sz="0" w:space="0" w:color="auto"/>
      </w:divBdr>
      <w:divsChild>
        <w:div w:id="1456487338">
          <w:marLeft w:val="0"/>
          <w:marRight w:val="0"/>
          <w:marTop w:val="0"/>
          <w:marBottom w:val="0"/>
          <w:divBdr>
            <w:top w:val="none" w:sz="0" w:space="0" w:color="auto"/>
            <w:left w:val="none" w:sz="0" w:space="0" w:color="auto"/>
            <w:bottom w:val="none" w:sz="0" w:space="0" w:color="auto"/>
            <w:right w:val="none" w:sz="0" w:space="0" w:color="auto"/>
          </w:divBdr>
          <w:divsChild>
            <w:div w:id="2054499523">
              <w:marLeft w:val="0"/>
              <w:marRight w:val="0"/>
              <w:marTop w:val="0"/>
              <w:marBottom w:val="0"/>
              <w:divBdr>
                <w:top w:val="none" w:sz="0" w:space="0" w:color="auto"/>
                <w:left w:val="none" w:sz="0" w:space="0" w:color="auto"/>
                <w:bottom w:val="none" w:sz="0" w:space="0" w:color="auto"/>
                <w:right w:val="none" w:sz="0" w:space="0" w:color="auto"/>
              </w:divBdr>
              <w:divsChild>
                <w:div w:id="19438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1487">
      <w:bodyDiv w:val="1"/>
      <w:marLeft w:val="0"/>
      <w:marRight w:val="0"/>
      <w:marTop w:val="0"/>
      <w:marBottom w:val="0"/>
      <w:divBdr>
        <w:top w:val="none" w:sz="0" w:space="0" w:color="auto"/>
        <w:left w:val="none" w:sz="0" w:space="0" w:color="auto"/>
        <w:bottom w:val="none" w:sz="0" w:space="0" w:color="auto"/>
        <w:right w:val="none" w:sz="0" w:space="0" w:color="auto"/>
      </w:divBdr>
      <w:divsChild>
        <w:div w:id="1003363537">
          <w:marLeft w:val="0"/>
          <w:marRight w:val="0"/>
          <w:marTop w:val="0"/>
          <w:marBottom w:val="0"/>
          <w:divBdr>
            <w:top w:val="none" w:sz="0" w:space="0" w:color="auto"/>
            <w:left w:val="none" w:sz="0" w:space="0" w:color="auto"/>
            <w:bottom w:val="none" w:sz="0" w:space="0" w:color="auto"/>
            <w:right w:val="none" w:sz="0" w:space="0" w:color="auto"/>
          </w:divBdr>
          <w:divsChild>
            <w:div w:id="155341681">
              <w:marLeft w:val="0"/>
              <w:marRight w:val="0"/>
              <w:marTop w:val="0"/>
              <w:marBottom w:val="0"/>
              <w:divBdr>
                <w:top w:val="none" w:sz="0" w:space="0" w:color="auto"/>
                <w:left w:val="none" w:sz="0" w:space="0" w:color="auto"/>
                <w:bottom w:val="none" w:sz="0" w:space="0" w:color="auto"/>
                <w:right w:val="none" w:sz="0" w:space="0" w:color="auto"/>
              </w:divBdr>
              <w:divsChild>
                <w:div w:id="9722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0151">
      <w:bodyDiv w:val="1"/>
      <w:marLeft w:val="0"/>
      <w:marRight w:val="0"/>
      <w:marTop w:val="0"/>
      <w:marBottom w:val="0"/>
      <w:divBdr>
        <w:top w:val="none" w:sz="0" w:space="0" w:color="auto"/>
        <w:left w:val="none" w:sz="0" w:space="0" w:color="auto"/>
        <w:bottom w:val="none" w:sz="0" w:space="0" w:color="auto"/>
        <w:right w:val="none" w:sz="0" w:space="0" w:color="auto"/>
      </w:divBdr>
      <w:divsChild>
        <w:div w:id="524177431">
          <w:marLeft w:val="0"/>
          <w:marRight w:val="0"/>
          <w:marTop w:val="0"/>
          <w:marBottom w:val="0"/>
          <w:divBdr>
            <w:top w:val="none" w:sz="0" w:space="0" w:color="auto"/>
            <w:left w:val="none" w:sz="0" w:space="0" w:color="auto"/>
            <w:bottom w:val="none" w:sz="0" w:space="0" w:color="auto"/>
            <w:right w:val="none" w:sz="0" w:space="0" w:color="auto"/>
          </w:divBdr>
          <w:divsChild>
            <w:div w:id="340201410">
              <w:marLeft w:val="0"/>
              <w:marRight w:val="0"/>
              <w:marTop w:val="0"/>
              <w:marBottom w:val="0"/>
              <w:divBdr>
                <w:top w:val="none" w:sz="0" w:space="0" w:color="auto"/>
                <w:left w:val="none" w:sz="0" w:space="0" w:color="auto"/>
                <w:bottom w:val="none" w:sz="0" w:space="0" w:color="auto"/>
                <w:right w:val="none" w:sz="0" w:space="0" w:color="auto"/>
              </w:divBdr>
              <w:divsChild>
                <w:div w:id="8654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37007">
      <w:bodyDiv w:val="1"/>
      <w:marLeft w:val="0"/>
      <w:marRight w:val="0"/>
      <w:marTop w:val="0"/>
      <w:marBottom w:val="0"/>
      <w:divBdr>
        <w:top w:val="none" w:sz="0" w:space="0" w:color="auto"/>
        <w:left w:val="none" w:sz="0" w:space="0" w:color="auto"/>
        <w:bottom w:val="none" w:sz="0" w:space="0" w:color="auto"/>
        <w:right w:val="none" w:sz="0" w:space="0" w:color="auto"/>
      </w:divBdr>
      <w:divsChild>
        <w:div w:id="179324426">
          <w:marLeft w:val="0"/>
          <w:marRight w:val="0"/>
          <w:marTop w:val="0"/>
          <w:marBottom w:val="0"/>
          <w:divBdr>
            <w:top w:val="none" w:sz="0" w:space="0" w:color="auto"/>
            <w:left w:val="none" w:sz="0" w:space="0" w:color="auto"/>
            <w:bottom w:val="none" w:sz="0" w:space="0" w:color="auto"/>
            <w:right w:val="none" w:sz="0" w:space="0" w:color="auto"/>
          </w:divBdr>
          <w:divsChild>
            <w:div w:id="965695277">
              <w:marLeft w:val="0"/>
              <w:marRight w:val="0"/>
              <w:marTop w:val="0"/>
              <w:marBottom w:val="0"/>
              <w:divBdr>
                <w:top w:val="none" w:sz="0" w:space="0" w:color="auto"/>
                <w:left w:val="none" w:sz="0" w:space="0" w:color="auto"/>
                <w:bottom w:val="none" w:sz="0" w:space="0" w:color="auto"/>
                <w:right w:val="none" w:sz="0" w:space="0" w:color="auto"/>
              </w:divBdr>
              <w:divsChild>
                <w:div w:id="18491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1303">
      <w:bodyDiv w:val="1"/>
      <w:marLeft w:val="0"/>
      <w:marRight w:val="0"/>
      <w:marTop w:val="0"/>
      <w:marBottom w:val="0"/>
      <w:divBdr>
        <w:top w:val="none" w:sz="0" w:space="0" w:color="auto"/>
        <w:left w:val="none" w:sz="0" w:space="0" w:color="auto"/>
        <w:bottom w:val="none" w:sz="0" w:space="0" w:color="auto"/>
        <w:right w:val="none" w:sz="0" w:space="0" w:color="auto"/>
      </w:divBdr>
      <w:divsChild>
        <w:div w:id="645932932">
          <w:marLeft w:val="0"/>
          <w:marRight w:val="0"/>
          <w:marTop w:val="0"/>
          <w:marBottom w:val="0"/>
          <w:divBdr>
            <w:top w:val="none" w:sz="0" w:space="0" w:color="auto"/>
            <w:left w:val="none" w:sz="0" w:space="0" w:color="auto"/>
            <w:bottom w:val="none" w:sz="0" w:space="0" w:color="auto"/>
            <w:right w:val="none" w:sz="0" w:space="0" w:color="auto"/>
          </w:divBdr>
          <w:divsChild>
            <w:div w:id="1739135963">
              <w:marLeft w:val="0"/>
              <w:marRight w:val="0"/>
              <w:marTop w:val="0"/>
              <w:marBottom w:val="0"/>
              <w:divBdr>
                <w:top w:val="none" w:sz="0" w:space="0" w:color="auto"/>
                <w:left w:val="none" w:sz="0" w:space="0" w:color="auto"/>
                <w:bottom w:val="none" w:sz="0" w:space="0" w:color="auto"/>
                <w:right w:val="none" w:sz="0" w:space="0" w:color="auto"/>
              </w:divBdr>
              <w:divsChild>
                <w:div w:id="9963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99600">
      <w:bodyDiv w:val="1"/>
      <w:marLeft w:val="0"/>
      <w:marRight w:val="0"/>
      <w:marTop w:val="0"/>
      <w:marBottom w:val="0"/>
      <w:divBdr>
        <w:top w:val="none" w:sz="0" w:space="0" w:color="auto"/>
        <w:left w:val="none" w:sz="0" w:space="0" w:color="auto"/>
        <w:bottom w:val="none" w:sz="0" w:space="0" w:color="auto"/>
        <w:right w:val="none" w:sz="0" w:space="0" w:color="auto"/>
      </w:divBdr>
      <w:divsChild>
        <w:div w:id="317195757">
          <w:marLeft w:val="547"/>
          <w:marRight w:val="0"/>
          <w:marTop w:val="0"/>
          <w:marBottom w:val="0"/>
          <w:divBdr>
            <w:top w:val="none" w:sz="0" w:space="0" w:color="auto"/>
            <w:left w:val="none" w:sz="0" w:space="0" w:color="auto"/>
            <w:bottom w:val="none" w:sz="0" w:space="0" w:color="auto"/>
            <w:right w:val="none" w:sz="0" w:space="0" w:color="auto"/>
          </w:divBdr>
        </w:div>
        <w:div w:id="2020037131">
          <w:marLeft w:val="547"/>
          <w:marRight w:val="0"/>
          <w:marTop w:val="0"/>
          <w:marBottom w:val="0"/>
          <w:divBdr>
            <w:top w:val="none" w:sz="0" w:space="0" w:color="auto"/>
            <w:left w:val="none" w:sz="0" w:space="0" w:color="auto"/>
            <w:bottom w:val="none" w:sz="0" w:space="0" w:color="auto"/>
            <w:right w:val="none" w:sz="0" w:space="0" w:color="auto"/>
          </w:divBdr>
        </w:div>
        <w:div w:id="1632782832">
          <w:marLeft w:val="547"/>
          <w:marRight w:val="0"/>
          <w:marTop w:val="0"/>
          <w:marBottom w:val="0"/>
          <w:divBdr>
            <w:top w:val="none" w:sz="0" w:space="0" w:color="auto"/>
            <w:left w:val="none" w:sz="0" w:space="0" w:color="auto"/>
            <w:bottom w:val="none" w:sz="0" w:space="0" w:color="auto"/>
            <w:right w:val="none" w:sz="0" w:space="0" w:color="auto"/>
          </w:divBdr>
        </w:div>
        <w:div w:id="1337152011">
          <w:marLeft w:val="547"/>
          <w:marRight w:val="0"/>
          <w:marTop w:val="0"/>
          <w:marBottom w:val="0"/>
          <w:divBdr>
            <w:top w:val="none" w:sz="0" w:space="0" w:color="auto"/>
            <w:left w:val="none" w:sz="0" w:space="0" w:color="auto"/>
            <w:bottom w:val="none" w:sz="0" w:space="0" w:color="auto"/>
            <w:right w:val="none" w:sz="0" w:space="0" w:color="auto"/>
          </w:divBdr>
        </w:div>
        <w:div w:id="1875842319">
          <w:marLeft w:val="547"/>
          <w:marRight w:val="0"/>
          <w:marTop w:val="0"/>
          <w:marBottom w:val="0"/>
          <w:divBdr>
            <w:top w:val="none" w:sz="0" w:space="0" w:color="auto"/>
            <w:left w:val="none" w:sz="0" w:space="0" w:color="auto"/>
            <w:bottom w:val="none" w:sz="0" w:space="0" w:color="auto"/>
            <w:right w:val="none" w:sz="0" w:space="0" w:color="auto"/>
          </w:divBdr>
        </w:div>
        <w:div w:id="1804733892">
          <w:marLeft w:val="547"/>
          <w:marRight w:val="0"/>
          <w:marTop w:val="0"/>
          <w:marBottom w:val="0"/>
          <w:divBdr>
            <w:top w:val="none" w:sz="0" w:space="0" w:color="auto"/>
            <w:left w:val="none" w:sz="0" w:space="0" w:color="auto"/>
            <w:bottom w:val="none" w:sz="0" w:space="0" w:color="auto"/>
            <w:right w:val="none" w:sz="0" w:space="0" w:color="auto"/>
          </w:divBdr>
        </w:div>
      </w:divsChild>
    </w:div>
    <w:div w:id="517080802">
      <w:bodyDiv w:val="1"/>
      <w:marLeft w:val="0"/>
      <w:marRight w:val="0"/>
      <w:marTop w:val="0"/>
      <w:marBottom w:val="0"/>
      <w:divBdr>
        <w:top w:val="none" w:sz="0" w:space="0" w:color="auto"/>
        <w:left w:val="none" w:sz="0" w:space="0" w:color="auto"/>
        <w:bottom w:val="none" w:sz="0" w:space="0" w:color="auto"/>
        <w:right w:val="none" w:sz="0" w:space="0" w:color="auto"/>
      </w:divBdr>
      <w:divsChild>
        <w:div w:id="746263764">
          <w:marLeft w:val="0"/>
          <w:marRight w:val="0"/>
          <w:marTop w:val="0"/>
          <w:marBottom w:val="0"/>
          <w:divBdr>
            <w:top w:val="none" w:sz="0" w:space="0" w:color="auto"/>
            <w:left w:val="none" w:sz="0" w:space="0" w:color="auto"/>
            <w:bottom w:val="none" w:sz="0" w:space="0" w:color="auto"/>
            <w:right w:val="none" w:sz="0" w:space="0" w:color="auto"/>
          </w:divBdr>
          <w:divsChild>
            <w:div w:id="1594557498">
              <w:marLeft w:val="0"/>
              <w:marRight w:val="0"/>
              <w:marTop w:val="0"/>
              <w:marBottom w:val="0"/>
              <w:divBdr>
                <w:top w:val="none" w:sz="0" w:space="0" w:color="auto"/>
                <w:left w:val="none" w:sz="0" w:space="0" w:color="auto"/>
                <w:bottom w:val="none" w:sz="0" w:space="0" w:color="auto"/>
                <w:right w:val="none" w:sz="0" w:space="0" w:color="auto"/>
              </w:divBdr>
              <w:divsChild>
                <w:div w:id="21261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3455">
      <w:bodyDiv w:val="1"/>
      <w:marLeft w:val="0"/>
      <w:marRight w:val="0"/>
      <w:marTop w:val="0"/>
      <w:marBottom w:val="0"/>
      <w:divBdr>
        <w:top w:val="none" w:sz="0" w:space="0" w:color="auto"/>
        <w:left w:val="none" w:sz="0" w:space="0" w:color="auto"/>
        <w:bottom w:val="none" w:sz="0" w:space="0" w:color="auto"/>
        <w:right w:val="none" w:sz="0" w:space="0" w:color="auto"/>
      </w:divBdr>
      <w:divsChild>
        <w:div w:id="262344602">
          <w:marLeft w:val="0"/>
          <w:marRight w:val="0"/>
          <w:marTop w:val="0"/>
          <w:marBottom w:val="0"/>
          <w:divBdr>
            <w:top w:val="none" w:sz="0" w:space="0" w:color="auto"/>
            <w:left w:val="none" w:sz="0" w:space="0" w:color="auto"/>
            <w:bottom w:val="none" w:sz="0" w:space="0" w:color="auto"/>
            <w:right w:val="none" w:sz="0" w:space="0" w:color="auto"/>
          </w:divBdr>
          <w:divsChild>
            <w:div w:id="2030451573">
              <w:marLeft w:val="0"/>
              <w:marRight w:val="0"/>
              <w:marTop w:val="0"/>
              <w:marBottom w:val="0"/>
              <w:divBdr>
                <w:top w:val="none" w:sz="0" w:space="0" w:color="auto"/>
                <w:left w:val="none" w:sz="0" w:space="0" w:color="auto"/>
                <w:bottom w:val="none" w:sz="0" w:space="0" w:color="auto"/>
                <w:right w:val="none" w:sz="0" w:space="0" w:color="auto"/>
              </w:divBdr>
              <w:divsChild>
                <w:div w:id="7261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10844">
      <w:bodyDiv w:val="1"/>
      <w:marLeft w:val="0"/>
      <w:marRight w:val="0"/>
      <w:marTop w:val="0"/>
      <w:marBottom w:val="0"/>
      <w:divBdr>
        <w:top w:val="none" w:sz="0" w:space="0" w:color="auto"/>
        <w:left w:val="none" w:sz="0" w:space="0" w:color="auto"/>
        <w:bottom w:val="none" w:sz="0" w:space="0" w:color="auto"/>
        <w:right w:val="none" w:sz="0" w:space="0" w:color="auto"/>
      </w:divBdr>
      <w:divsChild>
        <w:div w:id="1026440707">
          <w:marLeft w:val="0"/>
          <w:marRight w:val="0"/>
          <w:marTop w:val="0"/>
          <w:marBottom w:val="0"/>
          <w:divBdr>
            <w:top w:val="none" w:sz="0" w:space="0" w:color="auto"/>
            <w:left w:val="none" w:sz="0" w:space="0" w:color="auto"/>
            <w:bottom w:val="none" w:sz="0" w:space="0" w:color="auto"/>
            <w:right w:val="none" w:sz="0" w:space="0" w:color="auto"/>
          </w:divBdr>
          <w:divsChild>
            <w:div w:id="1765178068">
              <w:marLeft w:val="0"/>
              <w:marRight w:val="0"/>
              <w:marTop w:val="0"/>
              <w:marBottom w:val="0"/>
              <w:divBdr>
                <w:top w:val="none" w:sz="0" w:space="0" w:color="auto"/>
                <w:left w:val="none" w:sz="0" w:space="0" w:color="auto"/>
                <w:bottom w:val="none" w:sz="0" w:space="0" w:color="auto"/>
                <w:right w:val="none" w:sz="0" w:space="0" w:color="auto"/>
              </w:divBdr>
              <w:divsChild>
                <w:div w:id="6180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71465">
      <w:bodyDiv w:val="1"/>
      <w:marLeft w:val="0"/>
      <w:marRight w:val="0"/>
      <w:marTop w:val="0"/>
      <w:marBottom w:val="0"/>
      <w:divBdr>
        <w:top w:val="none" w:sz="0" w:space="0" w:color="auto"/>
        <w:left w:val="none" w:sz="0" w:space="0" w:color="auto"/>
        <w:bottom w:val="none" w:sz="0" w:space="0" w:color="auto"/>
        <w:right w:val="none" w:sz="0" w:space="0" w:color="auto"/>
      </w:divBdr>
      <w:divsChild>
        <w:div w:id="689721551">
          <w:marLeft w:val="0"/>
          <w:marRight w:val="0"/>
          <w:marTop w:val="0"/>
          <w:marBottom w:val="0"/>
          <w:divBdr>
            <w:top w:val="none" w:sz="0" w:space="0" w:color="auto"/>
            <w:left w:val="none" w:sz="0" w:space="0" w:color="auto"/>
            <w:bottom w:val="none" w:sz="0" w:space="0" w:color="auto"/>
            <w:right w:val="none" w:sz="0" w:space="0" w:color="auto"/>
          </w:divBdr>
          <w:divsChild>
            <w:div w:id="986009256">
              <w:marLeft w:val="0"/>
              <w:marRight w:val="0"/>
              <w:marTop w:val="0"/>
              <w:marBottom w:val="0"/>
              <w:divBdr>
                <w:top w:val="none" w:sz="0" w:space="0" w:color="auto"/>
                <w:left w:val="none" w:sz="0" w:space="0" w:color="auto"/>
                <w:bottom w:val="none" w:sz="0" w:space="0" w:color="auto"/>
                <w:right w:val="none" w:sz="0" w:space="0" w:color="auto"/>
              </w:divBdr>
              <w:divsChild>
                <w:div w:id="1941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44969">
      <w:bodyDiv w:val="1"/>
      <w:marLeft w:val="0"/>
      <w:marRight w:val="0"/>
      <w:marTop w:val="0"/>
      <w:marBottom w:val="0"/>
      <w:divBdr>
        <w:top w:val="none" w:sz="0" w:space="0" w:color="auto"/>
        <w:left w:val="none" w:sz="0" w:space="0" w:color="auto"/>
        <w:bottom w:val="none" w:sz="0" w:space="0" w:color="auto"/>
        <w:right w:val="none" w:sz="0" w:space="0" w:color="auto"/>
      </w:divBdr>
      <w:divsChild>
        <w:div w:id="265701772">
          <w:marLeft w:val="0"/>
          <w:marRight w:val="0"/>
          <w:marTop w:val="0"/>
          <w:marBottom w:val="0"/>
          <w:divBdr>
            <w:top w:val="none" w:sz="0" w:space="0" w:color="auto"/>
            <w:left w:val="none" w:sz="0" w:space="0" w:color="auto"/>
            <w:bottom w:val="none" w:sz="0" w:space="0" w:color="auto"/>
            <w:right w:val="none" w:sz="0" w:space="0" w:color="auto"/>
          </w:divBdr>
          <w:divsChild>
            <w:div w:id="1802532215">
              <w:marLeft w:val="0"/>
              <w:marRight w:val="0"/>
              <w:marTop w:val="0"/>
              <w:marBottom w:val="0"/>
              <w:divBdr>
                <w:top w:val="none" w:sz="0" w:space="0" w:color="auto"/>
                <w:left w:val="none" w:sz="0" w:space="0" w:color="auto"/>
                <w:bottom w:val="none" w:sz="0" w:space="0" w:color="auto"/>
                <w:right w:val="none" w:sz="0" w:space="0" w:color="auto"/>
              </w:divBdr>
              <w:divsChild>
                <w:div w:id="12609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2054">
      <w:bodyDiv w:val="1"/>
      <w:marLeft w:val="0"/>
      <w:marRight w:val="0"/>
      <w:marTop w:val="0"/>
      <w:marBottom w:val="0"/>
      <w:divBdr>
        <w:top w:val="none" w:sz="0" w:space="0" w:color="auto"/>
        <w:left w:val="none" w:sz="0" w:space="0" w:color="auto"/>
        <w:bottom w:val="none" w:sz="0" w:space="0" w:color="auto"/>
        <w:right w:val="none" w:sz="0" w:space="0" w:color="auto"/>
      </w:divBdr>
    </w:div>
    <w:div w:id="953709755">
      <w:bodyDiv w:val="1"/>
      <w:marLeft w:val="0"/>
      <w:marRight w:val="0"/>
      <w:marTop w:val="0"/>
      <w:marBottom w:val="0"/>
      <w:divBdr>
        <w:top w:val="none" w:sz="0" w:space="0" w:color="auto"/>
        <w:left w:val="none" w:sz="0" w:space="0" w:color="auto"/>
        <w:bottom w:val="none" w:sz="0" w:space="0" w:color="auto"/>
        <w:right w:val="none" w:sz="0" w:space="0" w:color="auto"/>
      </w:divBdr>
      <w:divsChild>
        <w:div w:id="1443571856">
          <w:marLeft w:val="0"/>
          <w:marRight w:val="0"/>
          <w:marTop w:val="0"/>
          <w:marBottom w:val="0"/>
          <w:divBdr>
            <w:top w:val="none" w:sz="0" w:space="0" w:color="auto"/>
            <w:left w:val="none" w:sz="0" w:space="0" w:color="auto"/>
            <w:bottom w:val="none" w:sz="0" w:space="0" w:color="auto"/>
            <w:right w:val="none" w:sz="0" w:space="0" w:color="auto"/>
          </w:divBdr>
          <w:divsChild>
            <w:div w:id="1860075171">
              <w:marLeft w:val="0"/>
              <w:marRight w:val="0"/>
              <w:marTop w:val="0"/>
              <w:marBottom w:val="0"/>
              <w:divBdr>
                <w:top w:val="none" w:sz="0" w:space="0" w:color="auto"/>
                <w:left w:val="none" w:sz="0" w:space="0" w:color="auto"/>
                <w:bottom w:val="none" w:sz="0" w:space="0" w:color="auto"/>
                <w:right w:val="none" w:sz="0" w:space="0" w:color="auto"/>
              </w:divBdr>
              <w:divsChild>
                <w:div w:id="17077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8941">
      <w:bodyDiv w:val="1"/>
      <w:marLeft w:val="0"/>
      <w:marRight w:val="0"/>
      <w:marTop w:val="0"/>
      <w:marBottom w:val="0"/>
      <w:divBdr>
        <w:top w:val="none" w:sz="0" w:space="0" w:color="auto"/>
        <w:left w:val="none" w:sz="0" w:space="0" w:color="auto"/>
        <w:bottom w:val="none" w:sz="0" w:space="0" w:color="auto"/>
        <w:right w:val="none" w:sz="0" w:space="0" w:color="auto"/>
      </w:divBdr>
      <w:divsChild>
        <w:div w:id="1990861581">
          <w:marLeft w:val="0"/>
          <w:marRight w:val="0"/>
          <w:marTop w:val="0"/>
          <w:marBottom w:val="0"/>
          <w:divBdr>
            <w:top w:val="none" w:sz="0" w:space="0" w:color="auto"/>
            <w:left w:val="none" w:sz="0" w:space="0" w:color="auto"/>
            <w:bottom w:val="none" w:sz="0" w:space="0" w:color="auto"/>
            <w:right w:val="none" w:sz="0" w:space="0" w:color="auto"/>
          </w:divBdr>
          <w:divsChild>
            <w:div w:id="610866182">
              <w:marLeft w:val="0"/>
              <w:marRight w:val="0"/>
              <w:marTop w:val="0"/>
              <w:marBottom w:val="0"/>
              <w:divBdr>
                <w:top w:val="none" w:sz="0" w:space="0" w:color="auto"/>
                <w:left w:val="none" w:sz="0" w:space="0" w:color="auto"/>
                <w:bottom w:val="none" w:sz="0" w:space="0" w:color="auto"/>
                <w:right w:val="none" w:sz="0" w:space="0" w:color="auto"/>
              </w:divBdr>
              <w:divsChild>
                <w:div w:id="946306638">
                  <w:marLeft w:val="0"/>
                  <w:marRight w:val="0"/>
                  <w:marTop w:val="0"/>
                  <w:marBottom w:val="0"/>
                  <w:divBdr>
                    <w:top w:val="none" w:sz="0" w:space="0" w:color="auto"/>
                    <w:left w:val="none" w:sz="0" w:space="0" w:color="auto"/>
                    <w:bottom w:val="none" w:sz="0" w:space="0" w:color="auto"/>
                    <w:right w:val="none" w:sz="0" w:space="0" w:color="auto"/>
                  </w:divBdr>
                </w:div>
              </w:divsChild>
            </w:div>
            <w:div w:id="1703432941">
              <w:marLeft w:val="0"/>
              <w:marRight w:val="0"/>
              <w:marTop w:val="0"/>
              <w:marBottom w:val="0"/>
              <w:divBdr>
                <w:top w:val="none" w:sz="0" w:space="0" w:color="auto"/>
                <w:left w:val="none" w:sz="0" w:space="0" w:color="auto"/>
                <w:bottom w:val="none" w:sz="0" w:space="0" w:color="auto"/>
                <w:right w:val="none" w:sz="0" w:space="0" w:color="auto"/>
              </w:divBdr>
              <w:divsChild>
                <w:div w:id="8743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2386">
          <w:marLeft w:val="0"/>
          <w:marRight w:val="0"/>
          <w:marTop w:val="0"/>
          <w:marBottom w:val="0"/>
          <w:divBdr>
            <w:top w:val="none" w:sz="0" w:space="0" w:color="auto"/>
            <w:left w:val="none" w:sz="0" w:space="0" w:color="auto"/>
            <w:bottom w:val="none" w:sz="0" w:space="0" w:color="auto"/>
            <w:right w:val="none" w:sz="0" w:space="0" w:color="auto"/>
          </w:divBdr>
          <w:divsChild>
            <w:div w:id="2074083341">
              <w:marLeft w:val="0"/>
              <w:marRight w:val="0"/>
              <w:marTop w:val="0"/>
              <w:marBottom w:val="0"/>
              <w:divBdr>
                <w:top w:val="none" w:sz="0" w:space="0" w:color="auto"/>
                <w:left w:val="none" w:sz="0" w:space="0" w:color="auto"/>
                <w:bottom w:val="none" w:sz="0" w:space="0" w:color="auto"/>
                <w:right w:val="none" w:sz="0" w:space="0" w:color="auto"/>
              </w:divBdr>
              <w:divsChild>
                <w:div w:id="12333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2234">
      <w:bodyDiv w:val="1"/>
      <w:marLeft w:val="0"/>
      <w:marRight w:val="0"/>
      <w:marTop w:val="0"/>
      <w:marBottom w:val="0"/>
      <w:divBdr>
        <w:top w:val="none" w:sz="0" w:space="0" w:color="auto"/>
        <w:left w:val="none" w:sz="0" w:space="0" w:color="auto"/>
        <w:bottom w:val="none" w:sz="0" w:space="0" w:color="auto"/>
        <w:right w:val="none" w:sz="0" w:space="0" w:color="auto"/>
      </w:divBdr>
      <w:divsChild>
        <w:div w:id="283999669">
          <w:marLeft w:val="0"/>
          <w:marRight w:val="0"/>
          <w:marTop w:val="0"/>
          <w:marBottom w:val="0"/>
          <w:divBdr>
            <w:top w:val="none" w:sz="0" w:space="0" w:color="auto"/>
            <w:left w:val="none" w:sz="0" w:space="0" w:color="auto"/>
            <w:bottom w:val="none" w:sz="0" w:space="0" w:color="auto"/>
            <w:right w:val="none" w:sz="0" w:space="0" w:color="auto"/>
          </w:divBdr>
          <w:divsChild>
            <w:div w:id="2128771868">
              <w:marLeft w:val="0"/>
              <w:marRight w:val="0"/>
              <w:marTop w:val="0"/>
              <w:marBottom w:val="0"/>
              <w:divBdr>
                <w:top w:val="none" w:sz="0" w:space="0" w:color="auto"/>
                <w:left w:val="none" w:sz="0" w:space="0" w:color="auto"/>
                <w:bottom w:val="none" w:sz="0" w:space="0" w:color="auto"/>
                <w:right w:val="none" w:sz="0" w:space="0" w:color="auto"/>
              </w:divBdr>
              <w:divsChild>
                <w:div w:id="721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726747">
      <w:bodyDiv w:val="1"/>
      <w:marLeft w:val="0"/>
      <w:marRight w:val="0"/>
      <w:marTop w:val="0"/>
      <w:marBottom w:val="0"/>
      <w:divBdr>
        <w:top w:val="none" w:sz="0" w:space="0" w:color="auto"/>
        <w:left w:val="none" w:sz="0" w:space="0" w:color="auto"/>
        <w:bottom w:val="none" w:sz="0" w:space="0" w:color="auto"/>
        <w:right w:val="none" w:sz="0" w:space="0" w:color="auto"/>
      </w:divBdr>
      <w:divsChild>
        <w:div w:id="130952006">
          <w:marLeft w:val="0"/>
          <w:marRight w:val="0"/>
          <w:marTop w:val="0"/>
          <w:marBottom w:val="0"/>
          <w:divBdr>
            <w:top w:val="none" w:sz="0" w:space="0" w:color="auto"/>
            <w:left w:val="none" w:sz="0" w:space="0" w:color="auto"/>
            <w:bottom w:val="none" w:sz="0" w:space="0" w:color="auto"/>
            <w:right w:val="none" w:sz="0" w:space="0" w:color="auto"/>
          </w:divBdr>
          <w:divsChild>
            <w:div w:id="1779330349">
              <w:marLeft w:val="0"/>
              <w:marRight w:val="0"/>
              <w:marTop w:val="0"/>
              <w:marBottom w:val="0"/>
              <w:divBdr>
                <w:top w:val="none" w:sz="0" w:space="0" w:color="auto"/>
                <w:left w:val="none" w:sz="0" w:space="0" w:color="auto"/>
                <w:bottom w:val="none" w:sz="0" w:space="0" w:color="auto"/>
                <w:right w:val="none" w:sz="0" w:space="0" w:color="auto"/>
              </w:divBdr>
              <w:divsChild>
                <w:div w:id="262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10755">
      <w:bodyDiv w:val="1"/>
      <w:marLeft w:val="0"/>
      <w:marRight w:val="0"/>
      <w:marTop w:val="0"/>
      <w:marBottom w:val="0"/>
      <w:divBdr>
        <w:top w:val="none" w:sz="0" w:space="0" w:color="auto"/>
        <w:left w:val="none" w:sz="0" w:space="0" w:color="auto"/>
        <w:bottom w:val="none" w:sz="0" w:space="0" w:color="auto"/>
        <w:right w:val="none" w:sz="0" w:space="0" w:color="auto"/>
      </w:divBdr>
      <w:divsChild>
        <w:div w:id="1477262515">
          <w:marLeft w:val="0"/>
          <w:marRight w:val="0"/>
          <w:marTop w:val="0"/>
          <w:marBottom w:val="0"/>
          <w:divBdr>
            <w:top w:val="none" w:sz="0" w:space="0" w:color="auto"/>
            <w:left w:val="none" w:sz="0" w:space="0" w:color="auto"/>
            <w:bottom w:val="none" w:sz="0" w:space="0" w:color="auto"/>
            <w:right w:val="none" w:sz="0" w:space="0" w:color="auto"/>
          </w:divBdr>
          <w:divsChild>
            <w:div w:id="918952827">
              <w:marLeft w:val="0"/>
              <w:marRight w:val="0"/>
              <w:marTop w:val="0"/>
              <w:marBottom w:val="0"/>
              <w:divBdr>
                <w:top w:val="none" w:sz="0" w:space="0" w:color="auto"/>
                <w:left w:val="none" w:sz="0" w:space="0" w:color="auto"/>
                <w:bottom w:val="none" w:sz="0" w:space="0" w:color="auto"/>
                <w:right w:val="none" w:sz="0" w:space="0" w:color="auto"/>
              </w:divBdr>
              <w:divsChild>
                <w:div w:id="2273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6004">
      <w:bodyDiv w:val="1"/>
      <w:marLeft w:val="0"/>
      <w:marRight w:val="0"/>
      <w:marTop w:val="0"/>
      <w:marBottom w:val="0"/>
      <w:divBdr>
        <w:top w:val="none" w:sz="0" w:space="0" w:color="auto"/>
        <w:left w:val="none" w:sz="0" w:space="0" w:color="auto"/>
        <w:bottom w:val="none" w:sz="0" w:space="0" w:color="auto"/>
        <w:right w:val="none" w:sz="0" w:space="0" w:color="auto"/>
      </w:divBdr>
      <w:divsChild>
        <w:div w:id="159853956">
          <w:marLeft w:val="0"/>
          <w:marRight w:val="0"/>
          <w:marTop w:val="0"/>
          <w:marBottom w:val="0"/>
          <w:divBdr>
            <w:top w:val="none" w:sz="0" w:space="0" w:color="auto"/>
            <w:left w:val="none" w:sz="0" w:space="0" w:color="auto"/>
            <w:bottom w:val="none" w:sz="0" w:space="0" w:color="auto"/>
            <w:right w:val="none" w:sz="0" w:space="0" w:color="auto"/>
          </w:divBdr>
          <w:divsChild>
            <w:div w:id="780877155">
              <w:marLeft w:val="0"/>
              <w:marRight w:val="0"/>
              <w:marTop w:val="0"/>
              <w:marBottom w:val="0"/>
              <w:divBdr>
                <w:top w:val="none" w:sz="0" w:space="0" w:color="auto"/>
                <w:left w:val="none" w:sz="0" w:space="0" w:color="auto"/>
                <w:bottom w:val="none" w:sz="0" w:space="0" w:color="auto"/>
                <w:right w:val="none" w:sz="0" w:space="0" w:color="auto"/>
              </w:divBdr>
              <w:divsChild>
                <w:div w:id="16167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60468">
      <w:bodyDiv w:val="1"/>
      <w:marLeft w:val="0"/>
      <w:marRight w:val="0"/>
      <w:marTop w:val="0"/>
      <w:marBottom w:val="0"/>
      <w:divBdr>
        <w:top w:val="none" w:sz="0" w:space="0" w:color="auto"/>
        <w:left w:val="none" w:sz="0" w:space="0" w:color="auto"/>
        <w:bottom w:val="none" w:sz="0" w:space="0" w:color="auto"/>
        <w:right w:val="none" w:sz="0" w:space="0" w:color="auto"/>
      </w:divBdr>
      <w:divsChild>
        <w:div w:id="259653637">
          <w:marLeft w:val="0"/>
          <w:marRight w:val="0"/>
          <w:marTop w:val="0"/>
          <w:marBottom w:val="0"/>
          <w:divBdr>
            <w:top w:val="none" w:sz="0" w:space="0" w:color="auto"/>
            <w:left w:val="none" w:sz="0" w:space="0" w:color="auto"/>
            <w:bottom w:val="none" w:sz="0" w:space="0" w:color="auto"/>
            <w:right w:val="none" w:sz="0" w:space="0" w:color="auto"/>
          </w:divBdr>
          <w:divsChild>
            <w:div w:id="1453206244">
              <w:marLeft w:val="0"/>
              <w:marRight w:val="0"/>
              <w:marTop w:val="0"/>
              <w:marBottom w:val="0"/>
              <w:divBdr>
                <w:top w:val="none" w:sz="0" w:space="0" w:color="auto"/>
                <w:left w:val="none" w:sz="0" w:space="0" w:color="auto"/>
                <w:bottom w:val="none" w:sz="0" w:space="0" w:color="auto"/>
                <w:right w:val="none" w:sz="0" w:space="0" w:color="auto"/>
              </w:divBdr>
              <w:divsChild>
                <w:div w:id="18176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6426">
      <w:bodyDiv w:val="1"/>
      <w:marLeft w:val="0"/>
      <w:marRight w:val="0"/>
      <w:marTop w:val="0"/>
      <w:marBottom w:val="0"/>
      <w:divBdr>
        <w:top w:val="none" w:sz="0" w:space="0" w:color="auto"/>
        <w:left w:val="none" w:sz="0" w:space="0" w:color="auto"/>
        <w:bottom w:val="none" w:sz="0" w:space="0" w:color="auto"/>
        <w:right w:val="none" w:sz="0" w:space="0" w:color="auto"/>
      </w:divBdr>
      <w:divsChild>
        <w:div w:id="970549384">
          <w:marLeft w:val="0"/>
          <w:marRight w:val="0"/>
          <w:marTop w:val="0"/>
          <w:marBottom w:val="0"/>
          <w:divBdr>
            <w:top w:val="none" w:sz="0" w:space="0" w:color="auto"/>
            <w:left w:val="none" w:sz="0" w:space="0" w:color="auto"/>
            <w:bottom w:val="none" w:sz="0" w:space="0" w:color="auto"/>
            <w:right w:val="none" w:sz="0" w:space="0" w:color="auto"/>
          </w:divBdr>
          <w:divsChild>
            <w:div w:id="393695963">
              <w:marLeft w:val="0"/>
              <w:marRight w:val="0"/>
              <w:marTop w:val="0"/>
              <w:marBottom w:val="0"/>
              <w:divBdr>
                <w:top w:val="none" w:sz="0" w:space="0" w:color="auto"/>
                <w:left w:val="none" w:sz="0" w:space="0" w:color="auto"/>
                <w:bottom w:val="none" w:sz="0" w:space="0" w:color="auto"/>
                <w:right w:val="none" w:sz="0" w:space="0" w:color="auto"/>
              </w:divBdr>
              <w:divsChild>
                <w:div w:id="17673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76450">
      <w:bodyDiv w:val="1"/>
      <w:marLeft w:val="0"/>
      <w:marRight w:val="0"/>
      <w:marTop w:val="0"/>
      <w:marBottom w:val="0"/>
      <w:divBdr>
        <w:top w:val="none" w:sz="0" w:space="0" w:color="auto"/>
        <w:left w:val="none" w:sz="0" w:space="0" w:color="auto"/>
        <w:bottom w:val="none" w:sz="0" w:space="0" w:color="auto"/>
        <w:right w:val="none" w:sz="0" w:space="0" w:color="auto"/>
      </w:divBdr>
      <w:divsChild>
        <w:div w:id="2089812504">
          <w:marLeft w:val="0"/>
          <w:marRight w:val="0"/>
          <w:marTop w:val="0"/>
          <w:marBottom w:val="0"/>
          <w:divBdr>
            <w:top w:val="none" w:sz="0" w:space="0" w:color="auto"/>
            <w:left w:val="none" w:sz="0" w:space="0" w:color="auto"/>
            <w:bottom w:val="none" w:sz="0" w:space="0" w:color="auto"/>
            <w:right w:val="none" w:sz="0" w:space="0" w:color="auto"/>
          </w:divBdr>
          <w:divsChild>
            <w:div w:id="149296269">
              <w:marLeft w:val="0"/>
              <w:marRight w:val="0"/>
              <w:marTop w:val="0"/>
              <w:marBottom w:val="0"/>
              <w:divBdr>
                <w:top w:val="none" w:sz="0" w:space="0" w:color="auto"/>
                <w:left w:val="none" w:sz="0" w:space="0" w:color="auto"/>
                <w:bottom w:val="none" w:sz="0" w:space="0" w:color="auto"/>
                <w:right w:val="none" w:sz="0" w:space="0" w:color="auto"/>
              </w:divBdr>
              <w:divsChild>
                <w:div w:id="18137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29785">
      <w:bodyDiv w:val="1"/>
      <w:marLeft w:val="0"/>
      <w:marRight w:val="0"/>
      <w:marTop w:val="0"/>
      <w:marBottom w:val="0"/>
      <w:divBdr>
        <w:top w:val="none" w:sz="0" w:space="0" w:color="auto"/>
        <w:left w:val="none" w:sz="0" w:space="0" w:color="auto"/>
        <w:bottom w:val="none" w:sz="0" w:space="0" w:color="auto"/>
        <w:right w:val="none" w:sz="0" w:space="0" w:color="auto"/>
      </w:divBdr>
      <w:divsChild>
        <w:div w:id="148138017">
          <w:marLeft w:val="0"/>
          <w:marRight w:val="0"/>
          <w:marTop w:val="0"/>
          <w:marBottom w:val="0"/>
          <w:divBdr>
            <w:top w:val="none" w:sz="0" w:space="0" w:color="auto"/>
            <w:left w:val="none" w:sz="0" w:space="0" w:color="auto"/>
            <w:bottom w:val="none" w:sz="0" w:space="0" w:color="auto"/>
            <w:right w:val="none" w:sz="0" w:space="0" w:color="auto"/>
          </w:divBdr>
          <w:divsChild>
            <w:div w:id="1147625789">
              <w:marLeft w:val="0"/>
              <w:marRight w:val="0"/>
              <w:marTop w:val="0"/>
              <w:marBottom w:val="0"/>
              <w:divBdr>
                <w:top w:val="none" w:sz="0" w:space="0" w:color="auto"/>
                <w:left w:val="none" w:sz="0" w:space="0" w:color="auto"/>
                <w:bottom w:val="none" w:sz="0" w:space="0" w:color="auto"/>
                <w:right w:val="none" w:sz="0" w:space="0" w:color="auto"/>
              </w:divBdr>
              <w:divsChild>
                <w:div w:id="2566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3611">
      <w:bodyDiv w:val="1"/>
      <w:marLeft w:val="0"/>
      <w:marRight w:val="0"/>
      <w:marTop w:val="0"/>
      <w:marBottom w:val="0"/>
      <w:divBdr>
        <w:top w:val="none" w:sz="0" w:space="0" w:color="auto"/>
        <w:left w:val="none" w:sz="0" w:space="0" w:color="auto"/>
        <w:bottom w:val="none" w:sz="0" w:space="0" w:color="auto"/>
        <w:right w:val="none" w:sz="0" w:space="0" w:color="auto"/>
      </w:divBdr>
      <w:divsChild>
        <w:div w:id="1162964815">
          <w:marLeft w:val="0"/>
          <w:marRight w:val="0"/>
          <w:marTop w:val="0"/>
          <w:marBottom w:val="0"/>
          <w:divBdr>
            <w:top w:val="none" w:sz="0" w:space="0" w:color="auto"/>
            <w:left w:val="none" w:sz="0" w:space="0" w:color="auto"/>
            <w:bottom w:val="none" w:sz="0" w:space="0" w:color="auto"/>
            <w:right w:val="none" w:sz="0" w:space="0" w:color="auto"/>
          </w:divBdr>
          <w:divsChild>
            <w:div w:id="703217890">
              <w:marLeft w:val="0"/>
              <w:marRight w:val="0"/>
              <w:marTop w:val="0"/>
              <w:marBottom w:val="0"/>
              <w:divBdr>
                <w:top w:val="none" w:sz="0" w:space="0" w:color="auto"/>
                <w:left w:val="none" w:sz="0" w:space="0" w:color="auto"/>
                <w:bottom w:val="none" w:sz="0" w:space="0" w:color="auto"/>
                <w:right w:val="none" w:sz="0" w:space="0" w:color="auto"/>
              </w:divBdr>
              <w:divsChild>
                <w:div w:id="6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55974">
      <w:bodyDiv w:val="1"/>
      <w:marLeft w:val="0"/>
      <w:marRight w:val="0"/>
      <w:marTop w:val="0"/>
      <w:marBottom w:val="0"/>
      <w:divBdr>
        <w:top w:val="none" w:sz="0" w:space="0" w:color="auto"/>
        <w:left w:val="none" w:sz="0" w:space="0" w:color="auto"/>
        <w:bottom w:val="none" w:sz="0" w:space="0" w:color="auto"/>
        <w:right w:val="none" w:sz="0" w:space="0" w:color="auto"/>
      </w:divBdr>
      <w:divsChild>
        <w:div w:id="1187065161">
          <w:marLeft w:val="0"/>
          <w:marRight w:val="0"/>
          <w:marTop w:val="0"/>
          <w:marBottom w:val="0"/>
          <w:divBdr>
            <w:top w:val="none" w:sz="0" w:space="0" w:color="auto"/>
            <w:left w:val="none" w:sz="0" w:space="0" w:color="auto"/>
            <w:bottom w:val="none" w:sz="0" w:space="0" w:color="auto"/>
            <w:right w:val="none" w:sz="0" w:space="0" w:color="auto"/>
          </w:divBdr>
          <w:divsChild>
            <w:div w:id="1005016705">
              <w:marLeft w:val="0"/>
              <w:marRight w:val="0"/>
              <w:marTop w:val="0"/>
              <w:marBottom w:val="0"/>
              <w:divBdr>
                <w:top w:val="none" w:sz="0" w:space="0" w:color="auto"/>
                <w:left w:val="none" w:sz="0" w:space="0" w:color="auto"/>
                <w:bottom w:val="none" w:sz="0" w:space="0" w:color="auto"/>
                <w:right w:val="none" w:sz="0" w:space="0" w:color="auto"/>
              </w:divBdr>
              <w:divsChild>
                <w:div w:id="2125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9417">
      <w:bodyDiv w:val="1"/>
      <w:marLeft w:val="0"/>
      <w:marRight w:val="0"/>
      <w:marTop w:val="0"/>
      <w:marBottom w:val="0"/>
      <w:divBdr>
        <w:top w:val="none" w:sz="0" w:space="0" w:color="auto"/>
        <w:left w:val="none" w:sz="0" w:space="0" w:color="auto"/>
        <w:bottom w:val="none" w:sz="0" w:space="0" w:color="auto"/>
        <w:right w:val="none" w:sz="0" w:space="0" w:color="auto"/>
      </w:divBdr>
      <w:divsChild>
        <w:div w:id="171459261">
          <w:marLeft w:val="0"/>
          <w:marRight w:val="0"/>
          <w:marTop w:val="0"/>
          <w:marBottom w:val="0"/>
          <w:divBdr>
            <w:top w:val="none" w:sz="0" w:space="0" w:color="auto"/>
            <w:left w:val="none" w:sz="0" w:space="0" w:color="auto"/>
            <w:bottom w:val="none" w:sz="0" w:space="0" w:color="auto"/>
            <w:right w:val="none" w:sz="0" w:space="0" w:color="auto"/>
          </w:divBdr>
          <w:divsChild>
            <w:div w:id="1298560872">
              <w:marLeft w:val="0"/>
              <w:marRight w:val="0"/>
              <w:marTop w:val="0"/>
              <w:marBottom w:val="0"/>
              <w:divBdr>
                <w:top w:val="none" w:sz="0" w:space="0" w:color="auto"/>
                <w:left w:val="none" w:sz="0" w:space="0" w:color="auto"/>
                <w:bottom w:val="none" w:sz="0" w:space="0" w:color="auto"/>
                <w:right w:val="none" w:sz="0" w:space="0" w:color="auto"/>
              </w:divBdr>
              <w:divsChild>
                <w:div w:id="9977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2470">
      <w:bodyDiv w:val="1"/>
      <w:marLeft w:val="0"/>
      <w:marRight w:val="0"/>
      <w:marTop w:val="0"/>
      <w:marBottom w:val="0"/>
      <w:divBdr>
        <w:top w:val="none" w:sz="0" w:space="0" w:color="auto"/>
        <w:left w:val="none" w:sz="0" w:space="0" w:color="auto"/>
        <w:bottom w:val="none" w:sz="0" w:space="0" w:color="auto"/>
        <w:right w:val="none" w:sz="0" w:space="0" w:color="auto"/>
      </w:divBdr>
      <w:divsChild>
        <w:div w:id="177427074">
          <w:marLeft w:val="0"/>
          <w:marRight w:val="0"/>
          <w:marTop w:val="0"/>
          <w:marBottom w:val="0"/>
          <w:divBdr>
            <w:top w:val="none" w:sz="0" w:space="0" w:color="auto"/>
            <w:left w:val="none" w:sz="0" w:space="0" w:color="auto"/>
            <w:bottom w:val="none" w:sz="0" w:space="0" w:color="auto"/>
            <w:right w:val="none" w:sz="0" w:space="0" w:color="auto"/>
          </w:divBdr>
          <w:divsChild>
            <w:div w:id="107702563">
              <w:marLeft w:val="0"/>
              <w:marRight w:val="0"/>
              <w:marTop w:val="0"/>
              <w:marBottom w:val="0"/>
              <w:divBdr>
                <w:top w:val="none" w:sz="0" w:space="0" w:color="auto"/>
                <w:left w:val="none" w:sz="0" w:space="0" w:color="auto"/>
                <w:bottom w:val="none" w:sz="0" w:space="0" w:color="auto"/>
                <w:right w:val="none" w:sz="0" w:space="0" w:color="auto"/>
              </w:divBdr>
              <w:divsChild>
                <w:div w:id="387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672804">
      <w:bodyDiv w:val="1"/>
      <w:marLeft w:val="0"/>
      <w:marRight w:val="0"/>
      <w:marTop w:val="0"/>
      <w:marBottom w:val="0"/>
      <w:divBdr>
        <w:top w:val="none" w:sz="0" w:space="0" w:color="auto"/>
        <w:left w:val="none" w:sz="0" w:space="0" w:color="auto"/>
        <w:bottom w:val="none" w:sz="0" w:space="0" w:color="auto"/>
        <w:right w:val="none" w:sz="0" w:space="0" w:color="auto"/>
      </w:divBdr>
      <w:divsChild>
        <w:div w:id="1083457623">
          <w:marLeft w:val="0"/>
          <w:marRight w:val="0"/>
          <w:marTop w:val="0"/>
          <w:marBottom w:val="0"/>
          <w:divBdr>
            <w:top w:val="none" w:sz="0" w:space="0" w:color="auto"/>
            <w:left w:val="none" w:sz="0" w:space="0" w:color="auto"/>
            <w:bottom w:val="none" w:sz="0" w:space="0" w:color="auto"/>
            <w:right w:val="none" w:sz="0" w:space="0" w:color="auto"/>
          </w:divBdr>
          <w:divsChild>
            <w:div w:id="1937205380">
              <w:marLeft w:val="0"/>
              <w:marRight w:val="0"/>
              <w:marTop w:val="0"/>
              <w:marBottom w:val="0"/>
              <w:divBdr>
                <w:top w:val="none" w:sz="0" w:space="0" w:color="auto"/>
                <w:left w:val="none" w:sz="0" w:space="0" w:color="auto"/>
                <w:bottom w:val="none" w:sz="0" w:space="0" w:color="auto"/>
                <w:right w:val="none" w:sz="0" w:space="0" w:color="auto"/>
              </w:divBdr>
              <w:divsChild>
                <w:div w:id="12024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6484">
      <w:bodyDiv w:val="1"/>
      <w:marLeft w:val="0"/>
      <w:marRight w:val="0"/>
      <w:marTop w:val="0"/>
      <w:marBottom w:val="0"/>
      <w:divBdr>
        <w:top w:val="none" w:sz="0" w:space="0" w:color="auto"/>
        <w:left w:val="none" w:sz="0" w:space="0" w:color="auto"/>
        <w:bottom w:val="none" w:sz="0" w:space="0" w:color="auto"/>
        <w:right w:val="none" w:sz="0" w:space="0" w:color="auto"/>
      </w:divBdr>
      <w:divsChild>
        <w:div w:id="1617373116">
          <w:marLeft w:val="0"/>
          <w:marRight w:val="0"/>
          <w:marTop w:val="0"/>
          <w:marBottom w:val="0"/>
          <w:divBdr>
            <w:top w:val="none" w:sz="0" w:space="0" w:color="auto"/>
            <w:left w:val="none" w:sz="0" w:space="0" w:color="auto"/>
            <w:bottom w:val="none" w:sz="0" w:space="0" w:color="auto"/>
            <w:right w:val="none" w:sz="0" w:space="0" w:color="auto"/>
          </w:divBdr>
          <w:divsChild>
            <w:div w:id="895554183">
              <w:marLeft w:val="0"/>
              <w:marRight w:val="0"/>
              <w:marTop w:val="0"/>
              <w:marBottom w:val="0"/>
              <w:divBdr>
                <w:top w:val="none" w:sz="0" w:space="0" w:color="auto"/>
                <w:left w:val="none" w:sz="0" w:space="0" w:color="auto"/>
                <w:bottom w:val="none" w:sz="0" w:space="0" w:color="auto"/>
                <w:right w:val="none" w:sz="0" w:space="0" w:color="auto"/>
              </w:divBdr>
              <w:divsChild>
                <w:div w:id="1652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6110">
      <w:bodyDiv w:val="1"/>
      <w:marLeft w:val="0"/>
      <w:marRight w:val="0"/>
      <w:marTop w:val="0"/>
      <w:marBottom w:val="0"/>
      <w:divBdr>
        <w:top w:val="none" w:sz="0" w:space="0" w:color="auto"/>
        <w:left w:val="none" w:sz="0" w:space="0" w:color="auto"/>
        <w:bottom w:val="none" w:sz="0" w:space="0" w:color="auto"/>
        <w:right w:val="none" w:sz="0" w:space="0" w:color="auto"/>
      </w:divBdr>
    </w:div>
    <w:div w:id="1936328024">
      <w:bodyDiv w:val="1"/>
      <w:marLeft w:val="0"/>
      <w:marRight w:val="0"/>
      <w:marTop w:val="0"/>
      <w:marBottom w:val="0"/>
      <w:divBdr>
        <w:top w:val="none" w:sz="0" w:space="0" w:color="auto"/>
        <w:left w:val="none" w:sz="0" w:space="0" w:color="auto"/>
        <w:bottom w:val="none" w:sz="0" w:space="0" w:color="auto"/>
        <w:right w:val="none" w:sz="0" w:space="0" w:color="auto"/>
      </w:divBdr>
      <w:divsChild>
        <w:div w:id="451050127">
          <w:marLeft w:val="0"/>
          <w:marRight w:val="0"/>
          <w:marTop w:val="0"/>
          <w:marBottom w:val="0"/>
          <w:divBdr>
            <w:top w:val="none" w:sz="0" w:space="0" w:color="auto"/>
            <w:left w:val="none" w:sz="0" w:space="0" w:color="auto"/>
            <w:bottom w:val="none" w:sz="0" w:space="0" w:color="auto"/>
            <w:right w:val="none" w:sz="0" w:space="0" w:color="auto"/>
          </w:divBdr>
          <w:divsChild>
            <w:div w:id="1748073134">
              <w:marLeft w:val="0"/>
              <w:marRight w:val="0"/>
              <w:marTop w:val="0"/>
              <w:marBottom w:val="0"/>
              <w:divBdr>
                <w:top w:val="none" w:sz="0" w:space="0" w:color="auto"/>
                <w:left w:val="none" w:sz="0" w:space="0" w:color="auto"/>
                <w:bottom w:val="none" w:sz="0" w:space="0" w:color="auto"/>
                <w:right w:val="none" w:sz="0" w:space="0" w:color="auto"/>
              </w:divBdr>
              <w:divsChild>
                <w:div w:id="12552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7887">
      <w:bodyDiv w:val="1"/>
      <w:marLeft w:val="0"/>
      <w:marRight w:val="0"/>
      <w:marTop w:val="0"/>
      <w:marBottom w:val="0"/>
      <w:divBdr>
        <w:top w:val="none" w:sz="0" w:space="0" w:color="auto"/>
        <w:left w:val="none" w:sz="0" w:space="0" w:color="auto"/>
        <w:bottom w:val="none" w:sz="0" w:space="0" w:color="auto"/>
        <w:right w:val="none" w:sz="0" w:space="0" w:color="auto"/>
      </w:divBdr>
      <w:divsChild>
        <w:div w:id="1190601386">
          <w:marLeft w:val="0"/>
          <w:marRight w:val="0"/>
          <w:marTop w:val="0"/>
          <w:marBottom w:val="0"/>
          <w:divBdr>
            <w:top w:val="none" w:sz="0" w:space="0" w:color="auto"/>
            <w:left w:val="none" w:sz="0" w:space="0" w:color="auto"/>
            <w:bottom w:val="none" w:sz="0" w:space="0" w:color="auto"/>
            <w:right w:val="none" w:sz="0" w:space="0" w:color="auto"/>
          </w:divBdr>
          <w:divsChild>
            <w:div w:id="1150636256">
              <w:marLeft w:val="0"/>
              <w:marRight w:val="0"/>
              <w:marTop w:val="0"/>
              <w:marBottom w:val="0"/>
              <w:divBdr>
                <w:top w:val="none" w:sz="0" w:space="0" w:color="auto"/>
                <w:left w:val="none" w:sz="0" w:space="0" w:color="auto"/>
                <w:bottom w:val="none" w:sz="0" w:space="0" w:color="auto"/>
                <w:right w:val="none" w:sz="0" w:space="0" w:color="auto"/>
              </w:divBdr>
              <w:divsChild>
                <w:div w:id="21185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70720">
      <w:bodyDiv w:val="1"/>
      <w:marLeft w:val="0"/>
      <w:marRight w:val="0"/>
      <w:marTop w:val="0"/>
      <w:marBottom w:val="0"/>
      <w:divBdr>
        <w:top w:val="none" w:sz="0" w:space="0" w:color="auto"/>
        <w:left w:val="none" w:sz="0" w:space="0" w:color="auto"/>
        <w:bottom w:val="none" w:sz="0" w:space="0" w:color="auto"/>
        <w:right w:val="none" w:sz="0" w:space="0" w:color="auto"/>
      </w:divBdr>
      <w:divsChild>
        <w:div w:id="2059237474">
          <w:marLeft w:val="0"/>
          <w:marRight w:val="0"/>
          <w:marTop w:val="0"/>
          <w:marBottom w:val="0"/>
          <w:divBdr>
            <w:top w:val="none" w:sz="0" w:space="0" w:color="auto"/>
            <w:left w:val="none" w:sz="0" w:space="0" w:color="auto"/>
            <w:bottom w:val="none" w:sz="0" w:space="0" w:color="auto"/>
            <w:right w:val="none" w:sz="0" w:space="0" w:color="auto"/>
          </w:divBdr>
          <w:divsChild>
            <w:div w:id="1074813271">
              <w:marLeft w:val="0"/>
              <w:marRight w:val="0"/>
              <w:marTop w:val="0"/>
              <w:marBottom w:val="0"/>
              <w:divBdr>
                <w:top w:val="none" w:sz="0" w:space="0" w:color="auto"/>
                <w:left w:val="none" w:sz="0" w:space="0" w:color="auto"/>
                <w:bottom w:val="none" w:sz="0" w:space="0" w:color="auto"/>
                <w:right w:val="none" w:sz="0" w:space="0" w:color="auto"/>
              </w:divBdr>
              <w:divsChild>
                <w:div w:id="11561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Hoja1!$B$1</c:f>
              <c:strCache>
                <c:ptCount val="1"/>
                <c:pt idx="0">
                  <c:v>Número de contenedores de PET con separación correcta (de 18)</c:v>
                </c:pt>
              </c:strCache>
            </c:strRef>
          </c:tx>
          <c:marker>
            <c:symbol val="none"/>
          </c:marker>
          <c:cat>
            <c:strRef>
              <c:f>Hoja1!$A$2:$A$8</c:f>
              <c:strCache>
                <c:ptCount val="7"/>
                <c:pt idx="0">
                  <c:v>11 de agosto (línea base)</c:v>
                </c:pt>
                <c:pt idx="1">
                  <c:v>18 de agosto (línea base)</c:v>
                </c:pt>
                <c:pt idx="2">
                  <c:v>8 de septiembre</c:v>
                </c:pt>
                <c:pt idx="3">
                  <c:v>29 de septiembre</c:v>
                </c:pt>
                <c:pt idx="4">
                  <c:v>20 de octubre</c:v>
                </c:pt>
                <c:pt idx="5">
                  <c:v>10 de noviembre</c:v>
                </c:pt>
                <c:pt idx="6">
                  <c:v>24 de noviembre</c:v>
                </c:pt>
              </c:strCache>
            </c:strRef>
          </c:cat>
          <c:val>
            <c:numRef>
              <c:f>Hoja1!$B$2:$B$8</c:f>
              <c:numCache>
                <c:formatCode>General</c:formatCode>
                <c:ptCount val="7"/>
                <c:pt idx="0">
                  <c:v>6</c:v>
                </c:pt>
                <c:pt idx="1">
                  <c:v>5</c:v>
                </c:pt>
                <c:pt idx="2">
                  <c:v>6</c:v>
                </c:pt>
                <c:pt idx="3">
                  <c:v>7</c:v>
                </c:pt>
                <c:pt idx="4">
                  <c:v>9</c:v>
                </c:pt>
                <c:pt idx="5">
                  <c:v>9</c:v>
                </c:pt>
                <c:pt idx="6">
                  <c:v>10</c:v>
                </c:pt>
              </c:numCache>
            </c:numRef>
          </c:val>
          <c:smooth val="0"/>
          <c:extLst>
            <c:ext xmlns:c16="http://schemas.microsoft.com/office/drawing/2014/chart" uri="{C3380CC4-5D6E-409C-BE32-E72D297353CC}">
              <c16:uniqueId val="{00000000-F81C-5143-A4AA-A9832A6C77F7}"/>
            </c:ext>
          </c:extLst>
        </c:ser>
        <c:dLbls>
          <c:showLegendKey val="0"/>
          <c:showVal val="0"/>
          <c:showCatName val="0"/>
          <c:showSerName val="0"/>
          <c:showPercent val="0"/>
          <c:showBubbleSize val="0"/>
        </c:dLbls>
        <c:smooth val="0"/>
        <c:axId val="2102817480"/>
        <c:axId val="2104411240"/>
      </c:lineChart>
      <c:catAx>
        <c:axId val="2102817480"/>
        <c:scaling>
          <c:orientation val="minMax"/>
        </c:scaling>
        <c:delete val="0"/>
        <c:axPos val="b"/>
        <c:numFmt formatCode="General" sourceLinked="0"/>
        <c:majorTickMark val="out"/>
        <c:minorTickMark val="none"/>
        <c:tickLblPos val="nextTo"/>
        <c:crossAx val="2104411240"/>
        <c:crosses val="autoZero"/>
        <c:auto val="1"/>
        <c:lblAlgn val="ctr"/>
        <c:lblOffset val="100"/>
        <c:noMultiLvlLbl val="0"/>
      </c:catAx>
      <c:valAx>
        <c:axId val="2104411240"/>
        <c:scaling>
          <c:orientation val="minMax"/>
          <c:max val="12"/>
        </c:scaling>
        <c:delete val="0"/>
        <c:axPos val="l"/>
        <c:majorGridlines/>
        <c:numFmt formatCode="General" sourceLinked="1"/>
        <c:majorTickMark val="out"/>
        <c:minorTickMark val="none"/>
        <c:tickLblPos val="nextTo"/>
        <c:crossAx val="2102817480"/>
        <c:crosses val="autoZero"/>
        <c:crossBetween val="between"/>
      </c:valAx>
    </c:plotArea>
    <c:plotVisOnly val="1"/>
    <c:dispBlanksAs val="gap"/>
    <c:showDLblsOverMax val="0"/>
  </c:chart>
  <c:txPr>
    <a:bodyPr/>
    <a:lstStyle/>
    <a:p>
      <a:pPr algn="just">
        <a:defRPr>
          <a:latin typeface="Arial" charset="0"/>
          <a:ea typeface="Arial" charset="0"/>
          <a:cs typeface="Arial"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Hoja1!$B$1</c:f>
              <c:strCache>
                <c:ptCount val="1"/>
                <c:pt idx="0">
                  <c:v>Columna1</c:v>
                </c:pt>
              </c:strCache>
            </c:strRef>
          </c:tx>
          <c:marker>
            <c:symbol val="none"/>
          </c:marker>
          <c:cat>
            <c:strRef>
              <c:f>Hoja1!$A$2:$A$10</c:f>
              <c:strCache>
                <c:ptCount val="9"/>
                <c:pt idx="0">
                  <c:v>24 de septiembre</c:v>
                </c:pt>
                <c:pt idx="1">
                  <c:v>29 de septiembre</c:v>
                </c:pt>
                <c:pt idx="2">
                  <c:v>4 de octubre</c:v>
                </c:pt>
                <c:pt idx="3">
                  <c:v>11 de octubre</c:v>
                </c:pt>
                <c:pt idx="4">
                  <c:v>18 de octubre</c:v>
                </c:pt>
                <c:pt idx="5">
                  <c:v>3 de noviembre</c:v>
                </c:pt>
                <c:pt idx="6">
                  <c:v>11 de noviembre</c:v>
                </c:pt>
                <c:pt idx="7">
                  <c:v>23 de noviembre</c:v>
                </c:pt>
                <c:pt idx="8">
                  <c:v>8 de diciembre</c:v>
                </c:pt>
              </c:strCache>
            </c:strRef>
          </c:cat>
          <c:val>
            <c:numRef>
              <c:f>Hoja1!$B$2:$B$10</c:f>
              <c:numCache>
                <c:formatCode>General</c:formatCode>
                <c:ptCount val="9"/>
                <c:pt idx="0">
                  <c:v>66</c:v>
                </c:pt>
                <c:pt idx="1">
                  <c:v>104</c:v>
                </c:pt>
                <c:pt idx="2">
                  <c:v>52</c:v>
                </c:pt>
                <c:pt idx="3">
                  <c:v>96</c:v>
                </c:pt>
                <c:pt idx="4">
                  <c:v>73</c:v>
                </c:pt>
                <c:pt idx="5">
                  <c:v>105</c:v>
                </c:pt>
                <c:pt idx="6">
                  <c:v>173</c:v>
                </c:pt>
                <c:pt idx="7">
                  <c:v>154</c:v>
                </c:pt>
                <c:pt idx="8">
                  <c:v>158</c:v>
                </c:pt>
              </c:numCache>
            </c:numRef>
          </c:val>
          <c:smooth val="0"/>
          <c:extLst>
            <c:ext xmlns:c16="http://schemas.microsoft.com/office/drawing/2014/chart" uri="{C3380CC4-5D6E-409C-BE32-E72D297353CC}">
              <c16:uniqueId val="{00000000-D126-5F40-9035-C64A3C286389}"/>
            </c:ext>
          </c:extLst>
        </c:ser>
        <c:dLbls>
          <c:showLegendKey val="0"/>
          <c:showVal val="0"/>
          <c:showCatName val="0"/>
          <c:showSerName val="0"/>
          <c:showPercent val="0"/>
          <c:showBubbleSize val="0"/>
        </c:dLbls>
        <c:smooth val="0"/>
        <c:axId val="2105300664"/>
        <c:axId val="2101356200"/>
      </c:lineChart>
      <c:catAx>
        <c:axId val="2105300664"/>
        <c:scaling>
          <c:orientation val="minMax"/>
        </c:scaling>
        <c:delete val="0"/>
        <c:axPos val="b"/>
        <c:numFmt formatCode="General" sourceLinked="0"/>
        <c:majorTickMark val="out"/>
        <c:minorTickMark val="none"/>
        <c:tickLblPos val="nextTo"/>
        <c:txPr>
          <a:bodyPr/>
          <a:lstStyle/>
          <a:p>
            <a:pPr>
              <a:defRPr>
                <a:latin typeface="Arial" charset="0"/>
                <a:ea typeface="Arial" charset="0"/>
                <a:cs typeface="Arial" charset="0"/>
              </a:defRPr>
            </a:pPr>
            <a:endParaRPr lang="es-MX"/>
          </a:p>
        </c:txPr>
        <c:crossAx val="2101356200"/>
        <c:crosses val="autoZero"/>
        <c:auto val="1"/>
        <c:lblAlgn val="ctr"/>
        <c:lblOffset val="100"/>
        <c:noMultiLvlLbl val="0"/>
      </c:catAx>
      <c:valAx>
        <c:axId val="2101356200"/>
        <c:scaling>
          <c:orientation val="minMax"/>
        </c:scaling>
        <c:delete val="0"/>
        <c:axPos val="l"/>
        <c:majorGridlines/>
        <c:numFmt formatCode="General" sourceLinked="1"/>
        <c:majorTickMark val="out"/>
        <c:minorTickMark val="none"/>
        <c:tickLblPos val="nextTo"/>
        <c:crossAx val="2105300664"/>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Hoja1!$B$1</c:f>
              <c:strCache>
                <c:ptCount val="1"/>
                <c:pt idx="0">
                  <c:v>Columna3</c:v>
                </c:pt>
              </c:strCache>
            </c:strRef>
          </c:tx>
          <c:marker>
            <c:symbol val="none"/>
          </c:marker>
          <c:cat>
            <c:strRef>
              <c:f>Hoja1!$A$2:$A$7</c:f>
              <c:strCache>
                <c:ptCount val="6"/>
                <c:pt idx="0">
                  <c:v>23 de febrero (línea base)</c:v>
                </c:pt>
                <c:pt idx="1">
                  <c:v>9 de marzo</c:v>
                </c:pt>
                <c:pt idx="2">
                  <c:v>23 de marzo</c:v>
                </c:pt>
                <c:pt idx="3">
                  <c:v>6 de abril</c:v>
                </c:pt>
                <c:pt idx="4">
                  <c:v>27 de abril</c:v>
                </c:pt>
                <c:pt idx="5">
                  <c:v>16 de mayo</c:v>
                </c:pt>
              </c:strCache>
            </c:strRef>
          </c:cat>
          <c:val>
            <c:numRef>
              <c:f>Hoja1!$B$2:$B$7</c:f>
              <c:numCache>
                <c:formatCode>General</c:formatCode>
                <c:ptCount val="6"/>
                <c:pt idx="0">
                  <c:v>10</c:v>
                </c:pt>
                <c:pt idx="1">
                  <c:v>11</c:v>
                </c:pt>
                <c:pt idx="2">
                  <c:v>12</c:v>
                </c:pt>
                <c:pt idx="3">
                  <c:v>10</c:v>
                </c:pt>
                <c:pt idx="4">
                  <c:v>11</c:v>
                </c:pt>
                <c:pt idx="5">
                  <c:v>13</c:v>
                </c:pt>
              </c:numCache>
            </c:numRef>
          </c:val>
          <c:smooth val="0"/>
          <c:extLst>
            <c:ext xmlns:c16="http://schemas.microsoft.com/office/drawing/2014/chart" uri="{C3380CC4-5D6E-409C-BE32-E72D297353CC}">
              <c16:uniqueId val="{00000000-4B36-5C46-AE86-B014A34C9877}"/>
            </c:ext>
          </c:extLst>
        </c:ser>
        <c:ser>
          <c:idx val="1"/>
          <c:order val="1"/>
          <c:tx>
            <c:strRef>
              <c:f>Hoja1!$C$1</c:f>
              <c:strCache>
                <c:ptCount val="1"/>
                <c:pt idx="0">
                  <c:v>Columna1</c:v>
                </c:pt>
              </c:strCache>
            </c:strRef>
          </c:tx>
          <c:marker>
            <c:symbol val="none"/>
          </c:marker>
          <c:cat>
            <c:strRef>
              <c:f>Hoja1!$A$2:$A$7</c:f>
              <c:strCache>
                <c:ptCount val="6"/>
                <c:pt idx="0">
                  <c:v>23 de febrero (línea base)</c:v>
                </c:pt>
                <c:pt idx="1">
                  <c:v>9 de marzo</c:v>
                </c:pt>
                <c:pt idx="2">
                  <c:v>23 de marzo</c:v>
                </c:pt>
                <c:pt idx="3">
                  <c:v>6 de abril</c:v>
                </c:pt>
                <c:pt idx="4">
                  <c:v>27 de abril</c:v>
                </c:pt>
                <c:pt idx="5">
                  <c:v>16 de mayo</c:v>
                </c:pt>
              </c:strCache>
            </c:strRef>
          </c:cat>
          <c:val>
            <c:numRef>
              <c:f>Hoja1!$C$2:$C$7</c:f>
              <c:numCache>
                <c:formatCode>General</c:formatCode>
                <c:ptCount val="6"/>
              </c:numCache>
            </c:numRef>
          </c:val>
          <c:smooth val="0"/>
          <c:extLst>
            <c:ext xmlns:c16="http://schemas.microsoft.com/office/drawing/2014/chart" uri="{C3380CC4-5D6E-409C-BE32-E72D297353CC}">
              <c16:uniqueId val="{00000001-4B36-5C46-AE86-B014A34C9877}"/>
            </c:ext>
          </c:extLst>
        </c:ser>
        <c:ser>
          <c:idx val="2"/>
          <c:order val="2"/>
          <c:tx>
            <c:strRef>
              <c:f>Hoja1!$D$1</c:f>
              <c:strCache>
                <c:ptCount val="1"/>
                <c:pt idx="0">
                  <c:v>Columna2</c:v>
                </c:pt>
              </c:strCache>
            </c:strRef>
          </c:tx>
          <c:marker>
            <c:symbol val="none"/>
          </c:marker>
          <c:cat>
            <c:strRef>
              <c:f>Hoja1!$A$2:$A$7</c:f>
              <c:strCache>
                <c:ptCount val="6"/>
                <c:pt idx="0">
                  <c:v>23 de febrero (línea base)</c:v>
                </c:pt>
                <c:pt idx="1">
                  <c:v>9 de marzo</c:v>
                </c:pt>
                <c:pt idx="2">
                  <c:v>23 de marzo</c:v>
                </c:pt>
                <c:pt idx="3">
                  <c:v>6 de abril</c:v>
                </c:pt>
                <c:pt idx="4">
                  <c:v>27 de abril</c:v>
                </c:pt>
                <c:pt idx="5">
                  <c:v>16 de mayo</c:v>
                </c:pt>
              </c:strCache>
            </c:strRef>
          </c:cat>
          <c:val>
            <c:numRef>
              <c:f>Hoja1!$D$2:$D$7</c:f>
              <c:numCache>
                <c:formatCode>General</c:formatCode>
                <c:ptCount val="6"/>
              </c:numCache>
            </c:numRef>
          </c:val>
          <c:smooth val="0"/>
          <c:extLst>
            <c:ext xmlns:c16="http://schemas.microsoft.com/office/drawing/2014/chart" uri="{C3380CC4-5D6E-409C-BE32-E72D297353CC}">
              <c16:uniqueId val="{00000002-4B36-5C46-AE86-B014A34C9877}"/>
            </c:ext>
          </c:extLst>
        </c:ser>
        <c:dLbls>
          <c:showLegendKey val="0"/>
          <c:showVal val="0"/>
          <c:showCatName val="0"/>
          <c:showSerName val="0"/>
          <c:showPercent val="0"/>
          <c:showBubbleSize val="0"/>
        </c:dLbls>
        <c:smooth val="0"/>
        <c:axId val="2101381016"/>
        <c:axId val="2101767576"/>
      </c:lineChart>
      <c:catAx>
        <c:axId val="2101381016"/>
        <c:scaling>
          <c:orientation val="minMax"/>
        </c:scaling>
        <c:delete val="0"/>
        <c:axPos val="b"/>
        <c:numFmt formatCode="General" sourceLinked="0"/>
        <c:majorTickMark val="out"/>
        <c:minorTickMark val="none"/>
        <c:tickLblPos val="nextTo"/>
        <c:txPr>
          <a:bodyPr/>
          <a:lstStyle/>
          <a:p>
            <a:pPr>
              <a:defRPr>
                <a:latin typeface="Arial" charset="0"/>
                <a:ea typeface="Arial" charset="0"/>
                <a:cs typeface="Arial" charset="0"/>
              </a:defRPr>
            </a:pPr>
            <a:endParaRPr lang="es-MX"/>
          </a:p>
        </c:txPr>
        <c:crossAx val="2101767576"/>
        <c:crosses val="autoZero"/>
        <c:auto val="1"/>
        <c:lblAlgn val="ctr"/>
        <c:lblOffset val="100"/>
        <c:noMultiLvlLbl val="0"/>
      </c:catAx>
      <c:valAx>
        <c:axId val="2101767576"/>
        <c:scaling>
          <c:orientation val="minMax"/>
        </c:scaling>
        <c:delete val="0"/>
        <c:axPos val="l"/>
        <c:majorGridlines/>
        <c:numFmt formatCode="General" sourceLinked="1"/>
        <c:majorTickMark val="out"/>
        <c:minorTickMark val="none"/>
        <c:tickLblPos val="nextTo"/>
        <c:crossAx val="21013810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93C1-B754-8344-B153-812361C7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2681</TotalTime>
  <Pages>15</Pages>
  <Words>5378</Words>
  <Characters>29579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163</cp:revision>
  <dcterms:created xsi:type="dcterms:W3CDTF">2017-10-12T01:21:00Z</dcterms:created>
  <dcterms:modified xsi:type="dcterms:W3CDTF">2020-06-07T22:11:00Z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84074</vt:lpwstr>
  </property>
  <property fmtid="{D5CDD505-2E9C-101B-9397-08002B2CF9AE}" pid="3" name="NXPowerLiteSettings">
    <vt:lpwstr>C7000400038000</vt:lpwstr>
  </property>
  <property fmtid="{D5CDD505-2E9C-101B-9397-08002B2CF9AE}" pid="4" name="NXPowerLiteVersion">
    <vt:lpwstr>S9.0.1</vt:lpwstr>
  </property>
</Properties>
</file>