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0C481174" w:rsidR="00742E4A" w:rsidRPr="002B04BE" w:rsidRDefault="00FA42C8" w:rsidP="00184153">
      <w:pPr>
        <w:pStyle w:val="Titulodeartculo"/>
      </w:pPr>
      <w:r w:rsidRPr="00333677">
        <w:rPr>
          <w:lang w:val="en-US" w:eastAsia="en-US"/>
        </w:rPr>
        <w:drawing>
          <wp:anchor distT="0" distB="0" distL="114300" distR="114300" simplePos="0" relativeHeight="251664384" behindDoc="0" locked="0" layoutInCell="1" allowOverlap="1" wp14:anchorId="4437BD97" wp14:editId="085FDC31">
            <wp:simplePos x="0" y="0"/>
            <wp:positionH relativeFrom="column">
              <wp:posOffset>4600787</wp:posOffset>
            </wp:positionH>
            <wp:positionV relativeFrom="paragraph">
              <wp:posOffset>585894</wp:posOffset>
            </wp:positionV>
            <wp:extent cx="168910" cy="168910"/>
            <wp:effectExtent l="0" t="0" r="0" b="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7"/>
                    </pic:cNvPr>
                    <pic:cNvPicPr/>
                  </pic:nvPicPr>
                  <pic:blipFill>
                    <a:blip r:embed="rId8"/>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r w:rsidR="00411586">
        <w:rPr>
          <w:bCs/>
          <w:lang w:val="es-CO"/>
        </w:rPr>
        <w:t>Método C</w:t>
      </w:r>
      <w:r w:rsidR="00411586" w:rsidRPr="00411586">
        <w:rPr>
          <w:bCs/>
          <w:lang w:val="es-CO"/>
        </w:rPr>
        <w:t xml:space="preserve">lúster – </w:t>
      </w:r>
      <w:r>
        <w:rPr>
          <w:bCs/>
          <w:lang w:val="es-CO"/>
        </w:rPr>
        <w:t>R</w:t>
      </w:r>
      <w:r w:rsidR="00411586" w:rsidRPr="00411586">
        <w:rPr>
          <w:bCs/>
          <w:lang w:val="es-CO"/>
        </w:rPr>
        <w:t xml:space="preserve">ed </w:t>
      </w:r>
      <w:r>
        <w:rPr>
          <w:bCs/>
          <w:lang w:val="es-CO"/>
        </w:rPr>
        <w:t>N</w:t>
      </w:r>
      <w:r w:rsidR="00411586" w:rsidRPr="00411586">
        <w:rPr>
          <w:bCs/>
          <w:lang w:val="es-CO"/>
        </w:rPr>
        <w:t xml:space="preserve">euronal </w:t>
      </w:r>
      <w:r>
        <w:rPr>
          <w:bCs/>
          <w:lang w:val="es-CO"/>
        </w:rPr>
        <w:t>A</w:t>
      </w:r>
      <w:r w:rsidR="00411586" w:rsidRPr="00411586">
        <w:rPr>
          <w:bCs/>
          <w:lang w:val="es-CO"/>
        </w:rPr>
        <w:t xml:space="preserve">rtificial para </w:t>
      </w:r>
      <w:r>
        <w:rPr>
          <w:bCs/>
          <w:lang w:val="es-CO"/>
        </w:rPr>
        <w:t>V</w:t>
      </w:r>
      <w:r w:rsidR="00411586" w:rsidRPr="00411586">
        <w:rPr>
          <w:bCs/>
          <w:lang w:val="es-CO"/>
        </w:rPr>
        <w:t xml:space="preserve">aloración y </w:t>
      </w:r>
      <w:r>
        <w:rPr>
          <w:bCs/>
          <w:lang w:val="es-CO"/>
        </w:rPr>
        <w:t>D</w:t>
      </w:r>
      <w:r w:rsidR="00411586" w:rsidRPr="00411586">
        <w:rPr>
          <w:bCs/>
          <w:lang w:val="es-CO"/>
        </w:rPr>
        <w:t xml:space="preserve">iagnóstico </w:t>
      </w:r>
      <w:r>
        <w:rPr>
          <w:bCs/>
          <w:lang w:val="es-CO"/>
        </w:rPr>
        <w:t>T</w:t>
      </w:r>
      <w:r w:rsidR="00411586" w:rsidRPr="00411586">
        <w:rPr>
          <w:bCs/>
          <w:lang w:val="es-CO"/>
        </w:rPr>
        <w:t xml:space="preserve">emprano de </w:t>
      </w:r>
      <w:r>
        <w:rPr>
          <w:bCs/>
          <w:lang w:val="es-CO"/>
        </w:rPr>
        <w:t>I</w:t>
      </w:r>
      <w:r w:rsidR="00411586" w:rsidRPr="00411586">
        <w:rPr>
          <w:bCs/>
          <w:lang w:val="es-CO"/>
        </w:rPr>
        <w:t xml:space="preserve">deación </w:t>
      </w:r>
      <w:r>
        <w:rPr>
          <w:bCs/>
          <w:lang w:val="es-CO"/>
        </w:rPr>
        <w:t>S</w:t>
      </w:r>
      <w:r w:rsidR="00411586" w:rsidRPr="00411586">
        <w:rPr>
          <w:bCs/>
          <w:lang w:val="es-CO"/>
        </w:rPr>
        <w:t xml:space="preserve">uicida en </w:t>
      </w:r>
      <w:r>
        <w:rPr>
          <w:bCs/>
          <w:lang w:val="es-CO"/>
        </w:rPr>
        <w:t>A</w:t>
      </w:r>
      <w:r w:rsidR="00411586" w:rsidRPr="00411586">
        <w:rPr>
          <w:bCs/>
          <w:lang w:val="es-CO"/>
        </w:rPr>
        <w:t xml:space="preserve">dolescentes </w:t>
      </w:r>
      <w:r>
        <w:rPr>
          <w:bCs/>
          <w:lang w:val="es-CO"/>
        </w:rPr>
        <w:t>E</w:t>
      </w:r>
      <w:r w:rsidR="00411586" w:rsidRPr="00411586">
        <w:rPr>
          <w:bCs/>
          <w:lang w:val="es-CO"/>
        </w:rPr>
        <w:t>scola</w:t>
      </w:r>
      <w:r w:rsidR="00411586">
        <w:rPr>
          <w:bCs/>
          <w:lang w:val="es-CO"/>
        </w:rPr>
        <w:t>rizados</w:t>
      </w:r>
    </w:p>
    <w:p w14:paraId="07B1149B" w14:textId="69BCD519" w:rsidR="008E17AF" w:rsidRDefault="008E17AF" w:rsidP="00184153">
      <w:pPr>
        <w:rPr>
          <w:b/>
        </w:rPr>
      </w:pPr>
      <w:bookmarkStart w:id="0" w:name="_Hlk90834151"/>
      <w:bookmarkEnd w:id="0"/>
    </w:p>
    <w:p w14:paraId="13F1FF83" w14:textId="77777777" w:rsidR="00FA42C8" w:rsidRPr="002B04BE" w:rsidRDefault="00FA42C8" w:rsidP="00184153">
      <w:pPr>
        <w:rPr>
          <w:b/>
        </w:rPr>
      </w:pPr>
    </w:p>
    <w:p w14:paraId="110A42C5" w14:textId="07CEAA91" w:rsidR="00CC7D22" w:rsidRPr="007A14D0" w:rsidRDefault="00043211" w:rsidP="00184153">
      <w:pPr>
        <w:pStyle w:val="Body"/>
        <w:jc w:val="both"/>
        <w:rPr>
          <w:b/>
          <w:bCs/>
          <w:color w:val="222222"/>
          <w:sz w:val="22"/>
          <w:szCs w:val="22"/>
          <w:u w:color="222222"/>
          <w:lang w:val="es-ES"/>
        </w:rPr>
      </w:pPr>
      <w:bookmarkStart w:id="1" w:name="_Hlk90835901"/>
      <w:r w:rsidRPr="00B300F9">
        <w:rPr>
          <w:b/>
          <w:bCs/>
          <w:color w:val="222222"/>
          <w:sz w:val="26"/>
          <w:szCs w:val="26"/>
          <w:u w:color="222222"/>
        </w:rPr>
        <w:t>Efraín Javier De la hoz-Granadillo</w:t>
      </w:r>
      <w:r w:rsidRPr="00EE0F35">
        <w:rPr>
          <w:b/>
          <w:bCs/>
          <w:color w:val="4472C4" w:themeColor="accent1"/>
          <w:sz w:val="26"/>
          <w:szCs w:val="26"/>
          <w:u w:color="222222"/>
          <w:vertAlign w:val="superscript"/>
        </w:rPr>
        <w:t xml:space="preserve"> </w:t>
      </w:r>
      <w:r w:rsidRPr="00886B3C">
        <w:rPr>
          <w:b/>
          <w:bCs/>
          <w:noProof/>
          <w:color w:val="222222"/>
          <w:sz w:val="26"/>
          <w:szCs w:val="26"/>
          <w:u w:color="222222"/>
          <w:lang w:val="en-US" w:eastAsia="en-US"/>
        </w:rPr>
        <w:drawing>
          <wp:inline distT="0" distB="0" distL="0" distR="0" wp14:anchorId="2AE71D0C" wp14:editId="7F520FF3">
            <wp:extent cx="133200" cy="133200"/>
            <wp:effectExtent l="0" t="0" r="0" b="0"/>
            <wp:docPr id="6" name="officeArt object" descr="Imagen 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r w:rsidR="00DA6EA5" w:rsidRPr="00B300F9">
        <w:rPr>
          <w:b/>
          <w:bCs/>
          <w:color w:val="222222"/>
          <w:sz w:val="26"/>
          <w:szCs w:val="26"/>
          <w:u w:color="222222"/>
          <w:lang w:val="es-ES"/>
        </w:rPr>
        <w:t xml:space="preserve">Lizeth Reyes-Ruiz </w:t>
      </w:r>
      <w:r w:rsidR="00444BAD" w:rsidRPr="00886B3C">
        <w:rPr>
          <w:b/>
          <w:bCs/>
          <w:noProof/>
          <w:color w:val="222222"/>
          <w:sz w:val="26"/>
          <w:szCs w:val="26"/>
          <w:u w:color="222222"/>
          <w:lang w:val="en-US" w:eastAsia="en-US"/>
        </w:rPr>
        <w:drawing>
          <wp:inline distT="0" distB="0" distL="0" distR="0" wp14:anchorId="1D8932D1" wp14:editId="57C0F241">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7D22" w:rsidRPr="00444BAD">
        <w:rPr>
          <w:b/>
          <w:bCs/>
          <w:color w:val="222222"/>
          <w:sz w:val="26"/>
          <w:szCs w:val="26"/>
          <w:u w:color="222222"/>
        </w:rPr>
        <w:t>&amp;</w:t>
      </w:r>
      <w:bookmarkEnd w:id="1"/>
      <w:r>
        <w:rPr>
          <w:b/>
          <w:bCs/>
          <w:color w:val="222222"/>
          <w:sz w:val="26"/>
          <w:szCs w:val="26"/>
          <w:u w:color="222222"/>
        </w:rPr>
        <w:t xml:space="preserve"> </w:t>
      </w:r>
      <w:proofErr w:type="spellStart"/>
      <w:r w:rsidRPr="00B300F9">
        <w:rPr>
          <w:b/>
          <w:bCs/>
          <w:color w:val="222222"/>
          <w:sz w:val="26"/>
          <w:szCs w:val="26"/>
          <w:u w:color="222222"/>
          <w:lang w:val="es-ES"/>
        </w:rPr>
        <w:t>Milgen</w:t>
      </w:r>
      <w:proofErr w:type="spellEnd"/>
      <w:r w:rsidRPr="00B300F9">
        <w:rPr>
          <w:b/>
          <w:bCs/>
          <w:color w:val="222222"/>
          <w:sz w:val="26"/>
          <w:szCs w:val="26"/>
          <w:u w:color="222222"/>
          <w:lang w:val="es-ES"/>
        </w:rPr>
        <w:t xml:space="preserve"> </w:t>
      </w:r>
      <w:proofErr w:type="spellStart"/>
      <w:r w:rsidRPr="00B300F9">
        <w:rPr>
          <w:b/>
          <w:bCs/>
          <w:color w:val="222222"/>
          <w:sz w:val="26"/>
          <w:szCs w:val="26"/>
          <w:u w:color="222222"/>
          <w:lang w:val="es-ES"/>
        </w:rPr>
        <w:t>Sanchez</w:t>
      </w:r>
      <w:proofErr w:type="spellEnd"/>
      <w:r w:rsidRPr="00B300F9">
        <w:rPr>
          <w:b/>
          <w:bCs/>
          <w:color w:val="222222"/>
          <w:sz w:val="26"/>
          <w:szCs w:val="26"/>
          <w:u w:color="222222"/>
          <w:lang w:val="es-ES"/>
        </w:rPr>
        <w:t xml:space="preserve">-Villegas </w:t>
      </w:r>
      <w:r w:rsidRPr="00886B3C">
        <w:rPr>
          <w:b/>
          <w:bCs/>
          <w:color w:val="222222"/>
          <w:sz w:val="26"/>
          <w:szCs w:val="26"/>
          <w:u w:color="222222"/>
          <w:vertAlign w:val="superscript"/>
          <w:lang w:val="en-GB"/>
        </w:rPr>
        <w:footnoteReference w:id="1"/>
      </w:r>
      <w:r w:rsidRPr="00886B3C">
        <w:rPr>
          <w:b/>
          <w:bCs/>
          <w:noProof/>
          <w:color w:val="222222"/>
          <w:sz w:val="26"/>
          <w:szCs w:val="26"/>
          <w:u w:color="222222"/>
          <w:lang w:val="en-US" w:eastAsia="en-US"/>
        </w:rPr>
        <w:drawing>
          <wp:inline distT="0" distB="0" distL="0" distR="0" wp14:anchorId="5020D397" wp14:editId="166235EE">
            <wp:extent cx="133200" cy="133200"/>
            <wp:effectExtent l="0" t="0" r="0" b="0"/>
            <wp:docPr id="1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FA42C8">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r w:rsidR="007A14D0">
        <w:rPr>
          <w:b/>
          <w:bCs/>
          <w:color w:val="222222"/>
          <w:sz w:val="26"/>
          <w:szCs w:val="26"/>
          <w:u w:color="222222"/>
          <w:lang w:val="es-ES"/>
        </w:rPr>
        <w:t xml:space="preserve"> </w:t>
      </w:r>
      <w:r w:rsidR="007A14D0" w:rsidRPr="007A14D0">
        <w:rPr>
          <w:b/>
          <w:bCs/>
          <w:color w:val="222222"/>
          <w:u w:color="222222"/>
          <w:vertAlign w:val="superscript"/>
          <w:lang w:val="es-ES"/>
        </w:rPr>
        <w:t>&amp;</w:t>
      </w:r>
      <w:r w:rsidR="007A14D0">
        <w:rPr>
          <w:b/>
          <w:bCs/>
          <w:color w:val="222222"/>
          <w:u w:color="222222"/>
          <w:vertAlign w:val="superscript"/>
          <w:lang w:val="es-ES"/>
        </w:rPr>
        <w:t xml:space="preserve"> </w:t>
      </w:r>
      <w:r w:rsidR="007A14D0">
        <w:rPr>
          <w:rStyle w:val="Refdenotaalpie"/>
          <w:b/>
          <w:bCs/>
          <w:color w:val="222222"/>
          <w:u w:color="222222"/>
          <w:lang w:val="es-ES"/>
        </w:rPr>
        <w:footnoteReference w:id="3"/>
      </w:r>
    </w:p>
    <w:p w14:paraId="7DE2414F" w14:textId="77777777" w:rsidR="004B2E6E" w:rsidRDefault="004B2E6E" w:rsidP="00184153">
      <w:pPr>
        <w:rPr>
          <w:i/>
          <w:sz w:val="28"/>
          <w:szCs w:val="28"/>
        </w:rPr>
      </w:pPr>
    </w:p>
    <w:p w14:paraId="55405AE4" w14:textId="77777777" w:rsidR="00FA42C8" w:rsidRPr="00444BAD" w:rsidRDefault="00FA42C8" w:rsidP="00184153">
      <w:pPr>
        <w:rPr>
          <w:i/>
          <w:sz w:val="28"/>
          <w:szCs w:val="28"/>
        </w:rPr>
      </w:pPr>
    </w:p>
    <w:p w14:paraId="52BD8014" w14:textId="5FB9BB2B" w:rsidR="00CC7D22" w:rsidRPr="00EE0F35" w:rsidRDefault="00043211" w:rsidP="00184153">
      <w:pPr>
        <w:tabs>
          <w:tab w:val="left" w:pos="7005"/>
        </w:tabs>
        <w:jc w:val="both"/>
        <w:rPr>
          <w:rFonts w:eastAsia="Arial Unicode MS" w:cs="Arial Unicode MS"/>
          <w:i/>
          <w:iCs/>
          <w:sz w:val="28"/>
          <w:szCs w:val="28"/>
        </w:rPr>
      </w:pPr>
      <w:r w:rsidRPr="00043211">
        <w:rPr>
          <w:rFonts w:eastAsia="Arial Unicode MS" w:cs="Arial Unicode MS"/>
          <w:bCs/>
          <w:i/>
          <w:iCs/>
          <w:sz w:val="28"/>
          <w:szCs w:val="28"/>
          <w:lang w:val="es-CO"/>
        </w:rPr>
        <w:t>Universidad Simón Bolívar, Barranquilla, Colombia</w:t>
      </w:r>
      <w:r w:rsidR="00FA42C8">
        <w:rPr>
          <w:rFonts w:eastAsia="Arial Unicode MS" w:cs="Arial Unicode MS"/>
          <w:bCs/>
          <w:i/>
          <w:iCs/>
          <w:sz w:val="28"/>
          <w:szCs w:val="28"/>
          <w:lang w:val="es-CO"/>
        </w:rPr>
        <w:t>.</w:t>
      </w:r>
      <w:r w:rsidR="007A14D0">
        <w:rPr>
          <w:rFonts w:eastAsia="Arial Unicode MS" w:cs="Arial Unicode MS"/>
          <w:bCs/>
          <w:i/>
          <w:iCs/>
          <w:sz w:val="28"/>
          <w:szCs w:val="28"/>
          <w:lang w:val="es-CO"/>
        </w:rPr>
        <w:t xml:space="preserve"> </w:t>
      </w:r>
      <w:r w:rsidR="007A14D0">
        <w:rPr>
          <w:rStyle w:val="Refdenotaalpie"/>
          <w:rFonts w:eastAsia="Arial Unicode MS" w:cs="Arial Unicode MS"/>
          <w:bCs/>
          <w:i/>
          <w:iCs/>
          <w:sz w:val="28"/>
          <w:szCs w:val="28"/>
          <w:lang w:val="es-CO"/>
        </w:rPr>
        <w:footnoteReference w:id="4"/>
      </w:r>
    </w:p>
    <w:p w14:paraId="540F2DB5" w14:textId="3394557E" w:rsidR="004E5581" w:rsidRPr="00EE0F35" w:rsidRDefault="004E5581" w:rsidP="00184153">
      <w:pPr>
        <w:tabs>
          <w:tab w:val="left" w:pos="7005"/>
        </w:tabs>
        <w:jc w:val="both"/>
        <w:rPr>
          <w:rFonts w:eastAsia="Arial Unicode MS" w:cs="Arial Unicode MS"/>
          <w:i/>
          <w:iCs/>
          <w:sz w:val="28"/>
          <w:szCs w:val="28"/>
        </w:rPr>
      </w:pPr>
    </w:p>
    <w:p w14:paraId="0F81A079" w14:textId="68E6A4D4" w:rsidR="000928CA" w:rsidRPr="00EE0F35" w:rsidRDefault="001C4E1C" w:rsidP="00184153">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184153">
      <w:pPr>
        <w:rPr>
          <w:bCs/>
          <w:iCs/>
          <w:sz w:val="20"/>
          <w:szCs w:val="20"/>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710775C4" w:rsidR="00C413D4" w:rsidRPr="00411586" w:rsidRDefault="00411586" w:rsidP="00184153">
      <w:pPr>
        <w:pStyle w:val="Resumen"/>
        <w:rPr>
          <w:bCs/>
          <w:iCs/>
          <w:lang w:val="es-CO"/>
        </w:rPr>
      </w:pPr>
      <w:r w:rsidRPr="00411586">
        <w:rPr>
          <w:bCs/>
          <w:iCs/>
          <w:lang w:val="es-CO"/>
        </w:rPr>
        <w:t xml:space="preserve">El suicidio es considerado un problema de salud donde los adolescentes presentan mayor riesgo. Este trabajo desarrolló un método de valoración y pronóstico para el diagnóstico temprano de la ideación suicida en adolescentes escolarizados a través de técnicas multivariadas análisis de clúster y redes neuronales artificiales. Se analizaron variables relacionadas con pensamientos, planes y manifestaciones suicidas en (n=638) adolescentes. El análisis de clúster permitió identificar el 73.2% de los adolescentes con ideación suicida baja, 18.5% ideación suicida media y 8,3% con alta ideación suicida. Se diseñó una red neuronal con capacidad de clasificación correcta del 95,5%. El método propuesto tiene capacidad de discriminar y diagnosticar la ideación suicida en adolescentes escolarizados. Estos resultados buscan aportar a la construcción y desarrollo de iniciativas enfocadas a la detección temprana e intervención desde la implementación de políticas educativas y públicas para la prevención del suicidio en la adolescencia.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2766BD74" w:rsidR="008547C7" w:rsidRDefault="00411586" w:rsidP="00184153">
      <w:pPr>
        <w:rPr>
          <w:bCs/>
          <w:iCs/>
          <w:sz w:val="20"/>
          <w:szCs w:val="20"/>
        </w:rPr>
      </w:pPr>
      <w:r w:rsidRPr="00411586">
        <w:rPr>
          <w:bCs/>
          <w:iCs/>
          <w:sz w:val="20"/>
          <w:szCs w:val="20"/>
        </w:rPr>
        <w:t>ideación suicida; ideas suicidas; riesgo suicida; suicidio; adolescentes; análisis multivariado</w:t>
      </w:r>
    </w:p>
    <w:p w14:paraId="2B7ECC68" w14:textId="77777777" w:rsidR="00411586" w:rsidRDefault="00411586" w:rsidP="00184153">
      <w:pPr>
        <w:rPr>
          <w:bCs/>
          <w:iCs/>
          <w:sz w:val="20"/>
          <w:szCs w:val="20"/>
        </w:rPr>
      </w:pPr>
    </w:p>
    <w:p w14:paraId="2128A026" w14:textId="77777777" w:rsidR="00FA42C8" w:rsidRPr="00411586" w:rsidRDefault="00FA42C8" w:rsidP="00184153">
      <w:pPr>
        <w:rPr>
          <w:bCs/>
          <w:iCs/>
          <w:sz w:val="20"/>
          <w:szCs w:val="20"/>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184153">
        <w:rPr>
          <w:bCs/>
          <w:iCs/>
          <w:lang w:val="en-US"/>
        </w:rPr>
        <w:t xml:space="preserve"> </w:t>
      </w:r>
      <w:r w:rsidR="00E272F5" w:rsidRPr="00E272F5">
        <w:rPr>
          <w:lang w:val="en-US"/>
        </w:rPr>
        <w:t>Abstract</w:t>
      </w:r>
    </w:p>
    <w:p w14:paraId="65E89737" w14:textId="20D3970A" w:rsidR="002D6B30" w:rsidRPr="00BF6737" w:rsidRDefault="00411586" w:rsidP="00184153">
      <w:pPr>
        <w:pStyle w:val="Resumen"/>
      </w:pPr>
      <w:r w:rsidRPr="00411586">
        <w:rPr>
          <w:bCs/>
          <w:iCs/>
        </w:rPr>
        <w:t xml:space="preserve">Worldwide, suicide is considered a health problem where adolescents are most at risk. This work developed a method to assess and predict an early diagnosis of suicidal ideation among school adolescents through multivariate techniques: cluster analysis and artificial neural networks. Variables related to suicidal thoughts, plans and manifestation were analyzed in (n=638) adolescents. Cluster analysis identified 73.2% of adolescents with low suicidal ideation, 18.5% with medium suicidal ideation and 8.3% with high suicidal ideation. A neural network was designed with a correct classification capacity of 95.5%. The proposed method can discriminate and diagnose suicidal ideation in school adolescents. These results seek to create and develop initiatives focused on early detection and intervention </w:t>
      </w:r>
      <w:r w:rsidR="00C9459A" w:rsidRPr="00411586">
        <w:rPr>
          <w:bCs/>
          <w:iCs/>
        </w:rPr>
        <w:t>to</w:t>
      </w:r>
      <w:r w:rsidRPr="00411586">
        <w:rPr>
          <w:bCs/>
          <w:iCs/>
        </w:rPr>
        <w:t xml:space="preserve"> implementing educational and public policies preventing suicide among adolescents</w:t>
      </w:r>
      <w:r w:rsidR="00BF6737" w:rsidRPr="00BF6737">
        <w:t>.</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468B977F" w14:textId="77C96CD7" w:rsidR="00411586" w:rsidRPr="00411586" w:rsidRDefault="00411586" w:rsidP="00184153">
      <w:pPr>
        <w:rPr>
          <w:bCs/>
          <w:iCs/>
          <w:sz w:val="20"/>
          <w:szCs w:val="20"/>
          <w:lang w:val="en-US"/>
        </w:rPr>
      </w:pPr>
      <w:r w:rsidRPr="00411586">
        <w:rPr>
          <w:bCs/>
          <w:iCs/>
          <w:sz w:val="20"/>
          <w:szCs w:val="20"/>
          <w:lang w:val="en-US"/>
        </w:rPr>
        <w:t>suicide ideation; suicide risk; suicide; adolescents; multivariate analysis</w:t>
      </w:r>
    </w:p>
    <w:p w14:paraId="3792DCB8" w14:textId="3C709832" w:rsidR="002D6B30" w:rsidRPr="00E976E9" w:rsidRDefault="002D6B30" w:rsidP="00184153">
      <w:pPr>
        <w:rPr>
          <w:bCs/>
          <w:iCs/>
          <w:sz w:val="20"/>
          <w:szCs w:val="20"/>
          <w:lang w:val="en-US"/>
        </w:rPr>
      </w:pPr>
      <w:r w:rsidRPr="00E976E9">
        <w:rPr>
          <w:bCs/>
          <w:iCs/>
          <w:sz w:val="20"/>
          <w:szCs w:val="20"/>
          <w:lang w:val="en-US"/>
        </w:rPr>
        <w:br w:type="page"/>
      </w:r>
    </w:p>
    <w:p w14:paraId="45D157E5" w14:textId="7B08CE01" w:rsidR="00333677" w:rsidRPr="00367B6E" w:rsidRDefault="00411586" w:rsidP="00184153">
      <w:pPr>
        <w:pStyle w:val="Prrafocomn"/>
        <w:ind w:firstLine="0"/>
        <w:jc w:val="center"/>
        <w:rPr>
          <w:bCs/>
        </w:rPr>
      </w:pPr>
      <w:r w:rsidRPr="00411586">
        <w:rPr>
          <w:bCs/>
          <w:lang w:val="en-GB"/>
        </w:rPr>
        <w:lastRenderedPageBreak/>
        <w:t xml:space="preserve">Cluster analysis and artificial neural networks to assess and diagnosis suicide ideation in school </w:t>
      </w:r>
      <w:proofErr w:type="gramStart"/>
      <w:r>
        <w:rPr>
          <w:bCs/>
          <w:lang w:val="en-GB"/>
        </w:rPr>
        <w:t>adolescents</w:t>
      </w:r>
      <w:proofErr w:type="gramEnd"/>
    </w:p>
    <w:p w14:paraId="512A04F3" w14:textId="244646AD" w:rsidR="00333677" w:rsidRPr="006E0173" w:rsidRDefault="0019293F" w:rsidP="00184153">
      <w:pPr>
        <w:pStyle w:val="Ttulosinternos"/>
        <w:rPr>
          <w:lang w:val="es-AR"/>
        </w:rPr>
      </w:pPr>
      <w:r w:rsidRPr="006E0173">
        <w:rPr>
          <w:lang w:val="es-AR"/>
        </w:rPr>
        <w:t>Introducción</w:t>
      </w:r>
    </w:p>
    <w:p w14:paraId="38DEC59B" w14:textId="26556C2B" w:rsidR="00847D06" w:rsidRPr="00847D06" w:rsidRDefault="00847D06" w:rsidP="00184153">
      <w:pPr>
        <w:pStyle w:val="Prrafocomn"/>
        <w:spacing w:line="400" w:lineRule="exact"/>
        <w:rPr>
          <w:lang w:val="es-CO"/>
        </w:rPr>
      </w:pPr>
      <w:r w:rsidRPr="00847D06">
        <w:rPr>
          <w:lang w:val="es-CO"/>
        </w:rPr>
        <w:t>Mundialmente, el suicidio es la decimoquinta causa de muerte y es un importante problema de salud pública asociado con una carga social y económica significativa (</w:t>
      </w:r>
      <w:proofErr w:type="spellStart"/>
      <w:r w:rsidRPr="00847D06">
        <w:rPr>
          <w:lang w:val="es-CO"/>
        </w:rPr>
        <w:t>World</w:t>
      </w:r>
      <w:proofErr w:type="spellEnd"/>
      <w:r w:rsidRPr="00847D06">
        <w:rPr>
          <w:lang w:val="es-CO"/>
        </w:rPr>
        <w:t xml:space="preserve"> </w:t>
      </w:r>
      <w:proofErr w:type="spellStart"/>
      <w:r w:rsidRPr="00847D06">
        <w:rPr>
          <w:lang w:val="es-CO"/>
        </w:rPr>
        <w:t>Health</w:t>
      </w:r>
      <w:proofErr w:type="spellEnd"/>
      <w:r w:rsidRPr="00847D06">
        <w:rPr>
          <w:lang w:val="es-CO"/>
        </w:rPr>
        <w:t xml:space="preserve"> </w:t>
      </w:r>
      <w:proofErr w:type="spellStart"/>
      <w:r w:rsidRPr="00847D06">
        <w:rPr>
          <w:lang w:val="es-CO"/>
        </w:rPr>
        <w:t>Organization</w:t>
      </w:r>
      <w:proofErr w:type="spellEnd"/>
      <w:r w:rsidRPr="00847D06">
        <w:rPr>
          <w:lang w:val="es-CO"/>
        </w:rPr>
        <w:t>, 2019). Cada año, 800,000 personas aproximadamente, mueren por suicidio en todo el mundo y hay muchas más que intentan suicidarse, representando una tasa de suicidio de 11.4 por 100,000 personas (</w:t>
      </w:r>
      <w:proofErr w:type="spellStart"/>
      <w:r w:rsidRPr="00847D06">
        <w:rPr>
          <w:lang w:val="es-CO"/>
        </w:rPr>
        <w:t>World</w:t>
      </w:r>
      <w:proofErr w:type="spellEnd"/>
      <w:r w:rsidRPr="00847D06">
        <w:rPr>
          <w:lang w:val="es-CO"/>
        </w:rPr>
        <w:t xml:space="preserve"> </w:t>
      </w:r>
      <w:proofErr w:type="spellStart"/>
      <w:r w:rsidRPr="00847D06">
        <w:rPr>
          <w:lang w:val="es-CO"/>
        </w:rPr>
        <w:t>Health</w:t>
      </w:r>
      <w:proofErr w:type="spellEnd"/>
      <w:r w:rsidRPr="00847D06">
        <w:rPr>
          <w:lang w:val="es-CO"/>
        </w:rPr>
        <w:t xml:space="preserve"> </w:t>
      </w:r>
      <w:proofErr w:type="spellStart"/>
      <w:r w:rsidRPr="00847D06">
        <w:rPr>
          <w:lang w:val="es-CO"/>
        </w:rPr>
        <w:t>Organization</w:t>
      </w:r>
      <w:proofErr w:type="spellEnd"/>
      <w:r w:rsidRPr="00847D06">
        <w:rPr>
          <w:lang w:val="es-CO"/>
        </w:rPr>
        <w:t xml:space="preserve">, 2018). Este fenómeno tiene una ocurrencia a lo largo de la vida, </w:t>
      </w:r>
      <w:proofErr w:type="spellStart"/>
      <w:r w:rsidRPr="00847D06">
        <w:rPr>
          <w:lang w:val="es-CO"/>
        </w:rPr>
        <w:t>constituyendose</w:t>
      </w:r>
      <w:proofErr w:type="spellEnd"/>
      <w:r w:rsidRPr="00847D06">
        <w:rPr>
          <w:lang w:val="es-CO"/>
        </w:rPr>
        <w:t xml:space="preserve"> como una de las principales causas de muerte en la adolescencia, y la segunda más común entre los jóvenes de 15 a 29 años (</w:t>
      </w:r>
      <w:proofErr w:type="spellStart"/>
      <w:r w:rsidRPr="00847D06">
        <w:rPr>
          <w:lang w:val="es-CO"/>
        </w:rPr>
        <w:t>Bilsen</w:t>
      </w:r>
      <w:proofErr w:type="spellEnd"/>
      <w:r w:rsidRPr="00847D06">
        <w:rPr>
          <w:lang w:val="es-CO"/>
        </w:rPr>
        <w:t xml:space="preserve">, 2018; Salvo, Ramírez, y Castro, 2019; Soares et al., 2020). </w:t>
      </w:r>
    </w:p>
    <w:p w14:paraId="554F9E1A" w14:textId="77777777" w:rsidR="00847D06" w:rsidRPr="00847D06" w:rsidRDefault="00847D06" w:rsidP="00184153">
      <w:pPr>
        <w:pStyle w:val="Prrafocomn"/>
        <w:spacing w:line="400" w:lineRule="exact"/>
        <w:rPr>
          <w:lang w:val="es-CO"/>
        </w:rPr>
      </w:pPr>
      <w:r w:rsidRPr="00847D06">
        <w:rPr>
          <w:lang w:val="es-CO"/>
        </w:rPr>
        <w:t>Cabe mencionar que, la adolescencia es un periodo de la vida marcado por una gran cantidad de cambios a nivel biopsicosocial (Silva et al., 2020), que suele estar cargado de conflictos y estrés (</w:t>
      </w:r>
      <w:proofErr w:type="spellStart"/>
      <w:r w:rsidRPr="00847D06">
        <w:rPr>
          <w:lang w:val="es-CO"/>
        </w:rPr>
        <w:t>Lachal</w:t>
      </w:r>
      <w:proofErr w:type="spellEnd"/>
      <w:r w:rsidRPr="00847D06">
        <w:rPr>
          <w:lang w:val="es-CO"/>
        </w:rPr>
        <w:t xml:space="preserve"> et al., 2015) por lo que el suicidio en esta población suele ser un problema importante de salud pública (</w:t>
      </w:r>
      <w:proofErr w:type="spellStart"/>
      <w:r w:rsidRPr="00847D06">
        <w:rPr>
          <w:lang w:val="es-CO"/>
        </w:rPr>
        <w:t>Baiden</w:t>
      </w:r>
      <w:proofErr w:type="spellEnd"/>
      <w:r w:rsidRPr="00847D06">
        <w:rPr>
          <w:lang w:val="es-CO"/>
        </w:rPr>
        <w:t xml:space="preserve"> et al., 2020). Actualmente el suicidio representa el 10,4 % de las muertes por causa externa, siendo mayor a la establecida para Suramérica (7,9 %) (Organización Panamericana de la Salud, 2014). </w:t>
      </w:r>
    </w:p>
    <w:p w14:paraId="6A7140A2" w14:textId="77777777" w:rsidR="00847D06" w:rsidRPr="00847D06" w:rsidRDefault="00847D06" w:rsidP="00184153">
      <w:pPr>
        <w:pStyle w:val="Prrafocomn"/>
        <w:spacing w:line="400" w:lineRule="exact"/>
        <w:rPr>
          <w:lang w:val="es-CO"/>
        </w:rPr>
      </w:pPr>
      <w:r w:rsidRPr="00847D06">
        <w:rPr>
          <w:lang w:val="es-CO"/>
        </w:rPr>
        <w:t xml:space="preserve">De acuerdo con los datos existentes de muertes por suicidio en Colombia registrados por el Sistema de Información Red de Desaparecidos y Cadáveres del Instituto Nacional de Medicina Legal y Ciencias Forenses (2019) desde el año 2009 al 2018 fallecieron por esta causa de muerte 20.832 personas, lo que corresponde a un promedio anual de 2.083 casos, con una tendencia al incremento, para el año 2009 la tasa fue de 4,53 suicidios por cada 100 mil habitantes y para 2018 la tasa se ha elevado a 5,93 suicidios por 100 mil habitantes. Los departamentos que presentaron el mayor número de casos fueron: Antioquia: 416, Bogotá: 387, y Valle del Cauca: 278, seguido de Cundinamarca 170, Santander 143, y Atlántico 107. A nivel municipal se presentó el mayor número de casos de suicidio en la ciudad de Bogotá: 387 casos, seguido de Medellín 172 casos, Cali 119 casos y Barranquilla 64 casos. Esta situación se convierte en un problema de salud pública que requiere de atención prioritaria y el cumplimiento de la Política Nacional de Salud Mental (Ministerio de Salud y protección social, 2018). </w:t>
      </w:r>
    </w:p>
    <w:p w14:paraId="15C963FE" w14:textId="77777777" w:rsidR="00847D06" w:rsidRPr="00847D06" w:rsidRDefault="00847D06" w:rsidP="00184153">
      <w:pPr>
        <w:pStyle w:val="Prrafocomn"/>
        <w:spacing w:line="400" w:lineRule="exact"/>
        <w:rPr>
          <w:lang w:val="es-CO"/>
        </w:rPr>
      </w:pPr>
      <w:proofErr w:type="spellStart"/>
      <w:r w:rsidRPr="00847D06">
        <w:rPr>
          <w:lang w:val="es-CO"/>
        </w:rPr>
        <w:t>Leenaars</w:t>
      </w:r>
      <w:proofErr w:type="spellEnd"/>
      <w:r w:rsidRPr="00847D06">
        <w:rPr>
          <w:lang w:val="es-CO"/>
        </w:rPr>
        <w:t xml:space="preserve"> et al., (2018), sugieren que el suicidio es una conducta multidimensional, producto de la interacción entre factores genéticos, biológicos, psiquiátricos, </w:t>
      </w:r>
      <w:r w:rsidRPr="00847D06">
        <w:rPr>
          <w:lang w:val="es-CO"/>
        </w:rPr>
        <w:lastRenderedPageBreak/>
        <w:t>psicológicos, sociales y culturales. Empero, no hay definiciones consensuadas sobre el comportamiento suicida (</w:t>
      </w:r>
      <w:proofErr w:type="spellStart"/>
      <w:r w:rsidRPr="00847D06">
        <w:rPr>
          <w:lang w:val="es-CO"/>
        </w:rPr>
        <w:t>Goldney</w:t>
      </w:r>
      <w:proofErr w:type="spellEnd"/>
      <w:r w:rsidRPr="00847D06">
        <w:rPr>
          <w:lang w:val="es-CO"/>
        </w:rPr>
        <w:t>, 2016). La ideación suicida, es definida como los pensamientos que pueden variar desde sentimientos de 'no vale la pena vivir' hasta planificación concreta de un acto suicida (Barbosa et al., 2014). Diversos autores conceptúan el factor desesperanza como la acumulación de expectativas negativas del futuro, las cuales vienen acompañadas de experiencias y eventos desalentadores (</w:t>
      </w:r>
      <w:proofErr w:type="spellStart"/>
      <w:r w:rsidRPr="00847D06">
        <w:rPr>
          <w:lang w:val="es-CO"/>
        </w:rPr>
        <w:t>Kamath</w:t>
      </w:r>
      <w:proofErr w:type="spellEnd"/>
      <w:r w:rsidRPr="00847D06">
        <w:rPr>
          <w:lang w:val="es-CO"/>
        </w:rPr>
        <w:t xml:space="preserve"> et al., 2007; </w:t>
      </w:r>
      <w:proofErr w:type="spellStart"/>
      <w:r w:rsidRPr="00847D06">
        <w:rPr>
          <w:lang w:val="es-CO"/>
        </w:rPr>
        <w:t>Kuo</w:t>
      </w:r>
      <w:proofErr w:type="spellEnd"/>
      <w:r w:rsidRPr="00847D06">
        <w:rPr>
          <w:lang w:val="es-CO"/>
        </w:rPr>
        <w:t xml:space="preserve"> et al., 2004; </w:t>
      </w:r>
      <w:proofErr w:type="spellStart"/>
      <w:r w:rsidRPr="00847D06">
        <w:rPr>
          <w:lang w:val="es-CO"/>
        </w:rPr>
        <w:t>Runeson</w:t>
      </w:r>
      <w:proofErr w:type="spellEnd"/>
      <w:r w:rsidRPr="00847D06">
        <w:rPr>
          <w:lang w:val="es-CO"/>
        </w:rPr>
        <w:t xml:space="preserve"> et al., 2010). En este sentido, la ideación suicida es uno de los principales factores de riesgo que predicen el suicidio (Chen et al., 2018), junto a los antecedentes de intentos de suicidio o trastornos psiquiátricos (</w:t>
      </w:r>
      <w:proofErr w:type="spellStart"/>
      <w:r w:rsidRPr="00847D06">
        <w:rPr>
          <w:lang w:val="es-CO"/>
        </w:rPr>
        <w:t>Haukka</w:t>
      </w:r>
      <w:proofErr w:type="spellEnd"/>
      <w:r w:rsidRPr="00847D06">
        <w:rPr>
          <w:lang w:val="es-CO"/>
        </w:rPr>
        <w:t xml:space="preserve"> et al., 2008), la edad (</w:t>
      </w:r>
      <w:proofErr w:type="spellStart"/>
      <w:r w:rsidRPr="00847D06">
        <w:rPr>
          <w:lang w:val="es-CO"/>
        </w:rPr>
        <w:t>Tidemalm</w:t>
      </w:r>
      <w:proofErr w:type="spellEnd"/>
      <w:r w:rsidRPr="00847D06">
        <w:rPr>
          <w:lang w:val="es-CO"/>
        </w:rPr>
        <w:t xml:space="preserve"> et al., 2008), género (de </w:t>
      </w:r>
      <w:proofErr w:type="spellStart"/>
      <w:r w:rsidRPr="00847D06">
        <w:rPr>
          <w:lang w:val="es-CO"/>
        </w:rPr>
        <w:t>Sá</w:t>
      </w:r>
      <w:proofErr w:type="spellEnd"/>
      <w:r w:rsidRPr="00847D06">
        <w:rPr>
          <w:lang w:val="es-CO"/>
        </w:rPr>
        <w:t xml:space="preserve"> Sousa et al., 2020; </w:t>
      </w:r>
      <w:proofErr w:type="spellStart"/>
      <w:r w:rsidRPr="00847D06">
        <w:rPr>
          <w:lang w:val="es-CO"/>
        </w:rPr>
        <w:t>Hoertel</w:t>
      </w:r>
      <w:proofErr w:type="spellEnd"/>
      <w:r w:rsidRPr="00847D06">
        <w:rPr>
          <w:lang w:val="es-CO"/>
        </w:rPr>
        <w:t xml:space="preserve"> et al., 2015). Otros factores incluyen el estado de salud (</w:t>
      </w:r>
      <w:proofErr w:type="spellStart"/>
      <w:r w:rsidRPr="00847D06">
        <w:rPr>
          <w:lang w:val="es-CO"/>
        </w:rPr>
        <w:t>Crump</w:t>
      </w:r>
      <w:proofErr w:type="spellEnd"/>
      <w:r w:rsidRPr="00847D06">
        <w:rPr>
          <w:lang w:val="es-CO"/>
        </w:rPr>
        <w:t xml:space="preserve"> et al., 2014), la desesperanza (Beck et al., 1993; </w:t>
      </w:r>
      <w:proofErr w:type="spellStart"/>
      <w:r w:rsidRPr="00847D06">
        <w:rPr>
          <w:lang w:val="es-CO"/>
        </w:rPr>
        <w:t>Primananda</w:t>
      </w:r>
      <w:proofErr w:type="spellEnd"/>
      <w:r w:rsidRPr="00847D06">
        <w:rPr>
          <w:lang w:val="es-CO"/>
        </w:rPr>
        <w:t xml:space="preserve"> y </w:t>
      </w:r>
      <w:proofErr w:type="spellStart"/>
      <w:r w:rsidRPr="00847D06">
        <w:rPr>
          <w:lang w:val="es-CO"/>
        </w:rPr>
        <w:t>Keliat</w:t>
      </w:r>
      <w:proofErr w:type="spellEnd"/>
      <w:r w:rsidRPr="00847D06">
        <w:rPr>
          <w:lang w:val="es-CO"/>
        </w:rPr>
        <w:t>, 2019), problemas de salud mental en la infancia (Sánchez-Villegas et al., 2021).</w:t>
      </w:r>
    </w:p>
    <w:p w14:paraId="45C9B3BA" w14:textId="6B627BC3" w:rsidR="00012352" w:rsidRDefault="00847D06" w:rsidP="00184153">
      <w:pPr>
        <w:pStyle w:val="Prrafocomn"/>
        <w:spacing w:line="400" w:lineRule="exact"/>
        <w:rPr>
          <w:lang w:val="es-CO"/>
        </w:rPr>
      </w:pPr>
      <w:r w:rsidRPr="00847D06">
        <w:rPr>
          <w:lang w:val="es-CO"/>
        </w:rPr>
        <w:t>De lo anterior, esta investigación tiene como objetivo desarrollar un método de valoración y pronóstico centrado en el diagnóstico del factor de ideación suicida en adolescentes escolarizados, de lo que se desprenden las siguientes preguntas problema: ¿Cómo valorar niveles de ideación suicida en adolescentes escolares?,  ¿Cómo valorar la capacidad de las variables para identificar perfiles de ideación suicida en adolescentes escolares?, ¿Cómo pronosticar el nivel de ideación suicida?; Llegados a este punto, es necesario recalcar la importancia de pronosticar la conducta suicida a través de métodos multivariados, ya que, permitirá la creación de lineamientos desde la escuela y la sociedad en aras que los actores que conforman el sistema educativo, los clínicos y los profesionales de la salud mental tengan herramientas que se enfoquen a la detección temprana y den pautas para llevar a cabo intervenciones encaminadas a la prevención del suicidio en esta etapa de la vida particular.</w:t>
      </w:r>
    </w:p>
    <w:p w14:paraId="573FA98D" w14:textId="01308A52" w:rsidR="0009689D" w:rsidRPr="0009689D" w:rsidRDefault="0009689D" w:rsidP="00184153">
      <w:pPr>
        <w:pStyle w:val="SubtituloInterno"/>
        <w:rPr>
          <w:lang w:val="es-CO"/>
        </w:rPr>
      </w:pPr>
      <w:r>
        <w:rPr>
          <w:lang w:val="es-CO"/>
        </w:rPr>
        <w:t>Análisis de Conglomerado</w:t>
      </w:r>
    </w:p>
    <w:p w14:paraId="2D6CF959" w14:textId="14600BCB" w:rsidR="0009689D" w:rsidRPr="0009689D" w:rsidRDefault="0009689D" w:rsidP="00184153">
      <w:pPr>
        <w:pStyle w:val="Prrafocomn"/>
        <w:spacing w:line="400" w:lineRule="exact"/>
        <w:rPr>
          <w:bCs/>
          <w:iCs/>
          <w:lang w:val="es-MX"/>
        </w:rPr>
      </w:pPr>
      <w:r w:rsidRPr="0009689D">
        <w:rPr>
          <w:bCs/>
          <w:iCs/>
          <w:lang w:val="es-CO"/>
        </w:rPr>
        <w:t xml:space="preserve">Esta técnica, hace parte de los métodos de análisis multivariados, permite reconocer patrones en un conjunto de datos, con el fin de clasificarlos en grupos con características similares (Peña, 2002). Según Arroyo López y Borja Medina (2018), esta técnica puede utilizarse en investigaciones en los que necesiten </w:t>
      </w:r>
      <w:r w:rsidRPr="0009689D">
        <w:rPr>
          <w:bCs/>
          <w:iCs/>
          <w:lang w:val="es-MX"/>
        </w:rPr>
        <w:t xml:space="preserve">definir taxonomías con las mismas características subyacentes, formulación de hipótesis que relaciones grupos de variables u observaciones y en análisis confirmatorios asociados a la agrupación teórica de observaciones. </w:t>
      </w:r>
    </w:p>
    <w:p w14:paraId="48A6A446" w14:textId="31F7F4C5" w:rsidR="0009689D" w:rsidRPr="0009689D" w:rsidRDefault="0009689D" w:rsidP="00184153">
      <w:pPr>
        <w:pStyle w:val="Prrafocomn"/>
        <w:spacing w:line="400" w:lineRule="exact"/>
        <w:rPr>
          <w:bCs/>
          <w:iCs/>
          <w:lang w:val="es-CO"/>
        </w:rPr>
      </w:pPr>
      <w:r w:rsidRPr="0009689D">
        <w:rPr>
          <w:bCs/>
          <w:iCs/>
          <w:lang w:val="es-CO"/>
        </w:rPr>
        <w:lastRenderedPageBreak/>
        <w:t xml:space="preserve">La técnica utiliza medidas de proximidad para determinar el nivel </w:t>
      </w:r>
      <w:proofErr w:type="spellStart"/>
      <w:r w:rsidRPr="0009689D">
        <w:rPr>
          <w:bCs/>
          <w:iCs/>
          <w:lang w:val="es-CO"/>
        </w:rPr>
        <w:t>similaridad</w:t>
      </w:r>
      <w:proofErr w:type="spellEnd"/>
      <w:r w:rsidRPr="0009689D">
        <w:rPr>
          <w:bCs/>
          <w:iCs/>
          <w:lang w:val="es-CO"/>
        </w:rPr>
        <w:t xml:space="preserve"> o </w:t>
      </w:r>
      <w:proofErr w:type="spellStart"/>
      <w:r w:rsidRPr="0009689D">
        <w:rPr>
          <w:bCs/>
          <w:iCs/>
          <w:lang w:val="es-CO"/>
        </w:rPr>
        <w:t>disimilaridad</w:t>
      </w:r>
      <w:proofErr w:type="spellEnd"/>
      <w:r w:rsidRPr="0009689D">
        <w:rPr>
          <w:bCs/>
          <w:iCs/>
          <w:lang w:val="es-CO"/>
        </w:rPr>
        <w:t xml:space="preserve"> de las unidades analizadas, así como criterios de eslabonamiento para la conformación de los grupos. Una medida de </w:t>
      </w:r>
      <w:proofErr w:type="spellStart"/>
      <w:r w:rsidRPr="0009689D">
        <w:rPr>
          <w:bCs/>
          <w:iCs/>
          <w:lang w:val="es-CO"/>
        </w:rPr>
        <w:t>similaridad</w:t>
      </w:r>
      <w:proofErr w:type="spellEnd"/>
      <w:r w:rsidRPr="0009689D">
        <w:rPr>
          <w:bCs/>
          <w:iCs/>
          <w:lang w:val="es-CO"/>
        </w:rPr>
        <w:t xml:space="preserve"> más utilizada es la distancia euclídea al cuadrado la cual puede ser calculada mediante la ecuación 1 con</w:t>
      </w:r>
      <m:oMath>
        <m:sSub>
          <m:sSubPr>
            <m:ctrlPr>
              <w:rPr>
                <w:rFonts w:ascii="Cambria Math" w:hAnsi="Cambria Math"/>
                <w:bCs/>
                <w:iCs/>
                <w:lang w:val="es-AR"/>
              </w:rPr>
            </m:ctrlPr>
          </m:sSubPr>
          <m:e>
            <m:sSup>
              <m:sSupPr>
                <m:ctrlPr>
                  <w:rPr>
                    <w:rFonts w:ascii="Cambria Math" w:hAnsi="Cambria Math"/>
                    <w:bCs/>
                    <w:iCs/>
                    <w:lang w:val="es-AR"/>
                  </w:rPr>
                </m:ctrlPr>
              </m:sSupPr>
              <m:e>
                <m:r>
                  <m:rPr>
                    <m:sty m:val="p"/>
                  </m:rPr>
                  <w:rPr>
                    <w:rFonts w:ascii="Cambria Math" w:hAnsi="Cambria Math"/>
                    <w:lang w:val="es-AR"/>
                  </w:rPr>
                  <m:t xml:space="preserve"> </m:t>
                </m:r>
                <m:r>
                  <w:rPr>
                    <w:rFonts w:ascii="Cambria Math" w:hAnsi="Cambria Math"/>
                    <w:lang w:val="es-AR"/>
                  </w:rPr>
                  <m:t>d</m:t>
                </m:r>
              </m:e>
              <m:sup>
                <m:r>
                  <m:rPr>
                    <m:sty m:val="p"/>
                  </m:rPr>
                  <w:rPr>
                    <w:rFonts w:ascii="Cambria Math" w:hAnsi="Cambria Math"/>
                    <w:lang w:val="es-AR"/>
                  </w:rPr>
                  <m:t>2</m:t>
                </m:r>
              </m:sup>
            </m:sSup>
          </m:e>
          <m:sub>
            <m:r>
              <w:rPr>
                <w:rFonts w:ascii="Cambria Math" w:hAnsi="Cambria Math"/>
                <w:lang w:val="es-AR"/>
              </w:rPr>
              <m:t>ij</m:t>
            </m:r>
          </m:sub>
        </m:sSub>
      </m:oMath>
      <w:r w:rsidRPr="0009689D">
        <w:rPr>
          <w:bCs/>
          <w:iCs/>
          <w:lang w:val="es-CO"/>
        </w:rPr>
        <w:t xml:space="preserve"> la distancia entre la muestra </w:t>
      </w:r>
      <m:oMath>
        <m:r>
          <w:rPr>
            <w:rFonts w:ascii="Cambria Math" w:hAnsi="Cambria Math"/>
            <w:lang w:val="es-AR"/>
          </w:rPr>
          <m:t>i</m:t>
        </m:r>
        <m:r>
          <m:rPr>
            <m:sty m:val="p"/>
          </m:rPr>
          <w:rPr>
            <w:rFonts w:ascii="Cambria Math" w:hAnsi="Cambria Math"/>
            <w:lang w:val="es-AR"/>
          </w:rPr>
          <m:t xml:space="preserve"> </m:t>
        </m:r>
      </m:oMath>
      <w:r w:rsidRPr="0009689D">
        <w:rPr>
          <w:bCs/>
          <w:iCs/>
          <w:lang w:val="es-CO"/>
        </w:rPr>
        <w:t xml:space="preserve">y la muestra </w:t>
      </w:r>
      <m:oMath>
        <m:r>
          <w:rPr>
            <w:rFonts w:ascii="Cambria Math" w:hAnsi="Cambria Math"/>
            <w:lang w:val="es-AR"/>
          </w:rPr>
          <m:t>j</m:t>
        </m:r>
      </m:oMath>
      <w:r w:rsidRPr="0009689D">
        <w:rPr>
          <w:bCs/>
          <w:iCs/>
          <w:lang w:val="es-CO"/>
        </w:rPr>
        <w:t xml:space="preserve">, </w:t>
      </w:r>
      <m:oMath>
        <m:sSub>
          <m:sSubPr>
            <m:ctrlPr>
              <w:rPr>
                <w:rFonts w:ascii="Cambria Math" w:hAnsi="Cambria Math"/>
                <w:bCs/>
                <w:iCs/>
                <w:lang w:val="es-AR"/>
              </w:rPr>
            </m:ctrlPr>
          </m:sSubPr>
          <m:e>
            <m:r>
              <w:rPr>
                <w:rFonts w:ascii="Cambria Math" w:hAnsi="Cambria Math"/>
                <w:lang w:val="es-AR"/>
              </w:rPr>
              <m:t>X</m:t>
            </m:r>
          </m:e>
          <m:sub>
            <m:r>
              <w:rPr>
                <w:rFonts w:ascii="Cambria Math" w:hAnsi="Cambria Math"/>
                <w:lang w:val="es-AR"/>
              </w:rPr>
              <m:t>jk</m:t>
            </m:r>
          </m:sub>
        </m:sSub>
      </m:oMath>
      <w:r w:rsidRPr="0009689D">
        <w:rPr>
          <w:bCs/>
          <w:iCs/>
          <w:lang w:val="es-CO"/>
        </w:rPr>
        <w:t xml:space="preserve"> el valor de la muestra </w:t>
      </w:r>
      <m:oMath>
        <m:r>
          <w:rPr>
            <w:rFonts w:ascii="Cambria Math" w:hAnsi="Cambria Math"/>
            <w:lang w:val="es-AR"/>
          </w:rPr>
          <m:t>j</m:t>
        </m:r>
      </m:oMath>
      <w:r w:rsidRPr="0009689D">
        <w:rPr>
          <w:bCs/>
          <w:iCs/>
          <w:lang w:val="es-CO"/>
        </w:rPr>
        <w:t xml:space="preserve"> en la variable </w:t>
      </w:r>
      <m:oMath>
        <m:r>
          <w:rPr>
            <w:rFonts w:ascii="Cambria Math" w:hAnsi="Cambria Math"/>
            <w:lang w:val="es-AR"/>
          </w:rPr>
          <m:t>k</m:t>
        </m:r>
      </m:oMath>
      <w:r w:rsidRPr="0009689D">
        <w:rPr>
          <w:bCs/>
          <w:iCs/>
          <w:lang w:val="es-CO"/>
        </w:rPr>
        <w:t xml:space="preserve"> y </w:t>
      </w:r>
      <m:oMath>
        <m:r>
          <w:rPr>
            <w:rFonts w:ascii="Cambria Math" w:hAnsi="Cambria Math"/>
            <w:lang w:val="es-AR"/>
          </w:rPr>
          <m:t>r</m:t>
        </m:r>
      </m:oMath>
      <w:r w:rsidRPr="0009689D">
        <w:rPr>
          <w:bCs/>
          <w:iCs/>
          <w:lang w:val="es-CO"/>
        </w:rPr>
        <w:t xml:space="preserve"> el número de variables y </w:t>
      </w:r>
      <m:oMath>
        <m:sSub>
          <m:sSubPr>
            <m:ctrlPr>
              <w:rPr>
                <w:rFonts w:ascii="Cambria Math" w:hAnsi="Cambria Math"/>
                <w:bCs/>
                <w:iCs/>
                <w:lang w:val="es-AR"/>
              </w:rPr>
            </m:ctrlPr>
          </m:sSubPr>
          <m:e>
            <m:r>
              <w:rPr>
                <w:rFonts w:ascii="Cambria Math" w:hAnsi="Cambria Math"/>
                <w:lang w:val="es-AR"/>
              </w:rPr>
              <m:t>X</m:t>
            </m:r>
          </m:e>
          <m:sub>
            <m:r>
              <w:rPr>
                <w:rFonts w:ascii="Cambria Math" w:hAnsi="Cambria Math"/>
                <w:lang w:val="es-AR"/>
              </w:rPr>
              <m:t>ik</m:t>
            </m:r>
          </m:sub>
        </m:sSub>
      </m:oMath>
      <w:r w:rsidRPr="0009689D">
        <w:rPr>
          <w:bCs/>
          <w:iCs/>
          <w:lang w:val="es-CO"/>
        </w:rPr>
        <w:t xml:space="preserve"> el valor de la muestra </w:t>
      </w:r>
      <m:oMath>
        <m:r>
          <w:rPr>
            <w:rFonts w:ascii="Cambria Math" w:hAnsi="Cambria Math"/>
            <w:lang w:val="es-AR"/>
          </w:rPr>
          <m:t>i</m:t>
        </m:r>
      </m:oMath>
      <w:r w:rsidRPr="0009689D">
        <w:rPr>
          <w:bCs/>
          <w:iCs/>
          <w:lang w:val="es-CO"/>
        </w:rPr>
        <w:t xml:space="preserve"> en la variable </w:t>
      </w:r>
      <m:oMath>
        <m:r>
          <w:rPr>
            <w:rFonts w:ascii="Cambria Math" w:hAnsi="Cambria Math"/>
            <w:lang w:val="es-AR"/>
          </w:rPr>
          <m:t xml:space="preserve">k </m:t>
        </m:r>
      </m:oMath>
      <w:r w:rsidRPr="0009689D">
        <w:rPr>
          <w:bCs/>
          <w:iCs/>
          <w:lang w:val="es-CO"/>
        </w:rPr>
        <w:t xml:space="preserve"> (De la Garza García et al., 2013).</w:t>
      </w:r>
    </w:p>
    <w:tbl>
      <w:tblPr>
        <w:tblW w:w="0" w:type="auto"/>
        <w:tblLook w:val="04A0" w:firstRow="1" w:lastRow="0" w:firstColumn="1" w:lastColumn="0" w:noHBand="0" w:noVBand="1"/>
      </w:tblPr>
      <w:tblGrid>
        <w:gridCol w:w="3912"/>
        <w:gridCol w:w="4592"/>
      </w:tblGrid>
      <w:tr w:rsidR="0009689D" w:rsidRPr="002A249C" w14:paraId="6EB06622" w14:textId="77777777" w:rsidTr="0009689D">
        <w:tc>
          <w:tcPr>
            <w:tcW w:w="3912" w:type="dxa"/>
            <w:shd w:val="clear" w:color="auto" w:fill="auto"/>
          </w:tcPr>
          <w:p w14:paraId="549E1044" w14:textId="3FD4DDEB" w:rsidR="0009689D" w:rsidRPr="002A249C" w:rsidRDefault="00000000" w:rsidP="00184153">
            <w:pPr>
              <w:spacing w:line="360" w:lineRule="auto"/>
              <w:rPr>
                <w:color w:val="000000"/>
              </w:rPr>
            </w:pPr>
            <m:oMath>
              <m:sSub>
                <m:sSubPr>
                  <m:ctrlPr>
                    <w:rPr>
                      <w:rFonts w:ascii="Cambria Math" w:hAnsi="Cambria Math"/>
                    </w:rPr>
                  </m:ctrlPr>
                </m:sSubPr>
                <m:e>
                  <m:sSup>
                    <m:sSupPr>
                      <m:ctrlPr>
                        <w:rPr>
                          <w:rFonts w:ascii="Cambria Math" w:hAnsi="Cambria Math"/>
                        </w:rPr>
                      </m:ctrlPr>
                    </m:sSupPr>
                    <m:e>
                      <m:r>
                        <m:rPr>
                          <m:sty m:val="p"/>
                        </m:rPr>
                        <w:rPr>
                          <w:rFonts w:ascii="Cambria Math" w:hAnsi="Cambria Math"/>
                        </w:rPr>
                        <m:t xml:space="preserve"> </m:t>
                      </m:r>
                      <m:r>
                        <w:rPr>
                          <w:rFonts w:ascii="Cambria Math" w:hAnsi="Cambria Math"/>
                        </w:rPr>
                        <m:t>d</m:t>
                      </m:r>
                    </m:e>
                    <m:sup>
                      <m:r>
                        <m:rPr>
                          <m:sty m:val="p"/>
                        </m:rPr>
                        <w:rPr>
                          <w:rFonts w:ascii="Cambria Math" w:hAnsi="Cambria Math"/>
                        </w:rPr>
                        <m:t>2</m:t>
                      </m:r>
                    </m:sup>
                  </m:sSup>
                </m:e>
                <m:sub>
                  <m:r>
                    <w:rPr>
                      <w:rFonts w:ascii="Cambria Math" w:hAnsi="Cambria Math"/>
                    </w:rPr>
                    <m:t>ij</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r</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jk</m:t>
                              </m:r>
                            </m:sub>
                          </m:sSub>
                        </m:e>
                      </m:d>
                    </m:e>
                    <m:sup>
                      <m:r>
                        <m:rPr>
                          <m:sty m:val="p"/>
                        </m:rPr>
                        <w:rPr>
                          <w:rFonts w:ascii="Cambria Math" w:hAnsi="Cambria Math"/>
                        </w:rPr>
                        <m:t>2</m:t>
                      </m:r>
                    </m:sup>
                  </m:sSup>
                </m:e>
              </m:nary>
            </m:oMath>
            <w:r w:rsidR="0009689D" w:rsidRPr="002A249C">
              <w:rPr>
                <w:color w:val="000000"/>
              </w:rPr>
              <w:t xml:space="preserve">   </w:t>
            </w:r>
            <w:r w:rsidR="0009689D" w:rsidRPr="002A249C">
              <w:rPr>
                <w:color w:val="000000"/>
              </w:rPr>
              <w:tab/>
            </w:r>
          </w:p>
        </w:tc>
        <w:tc>
          <w:tcPr>
            <w:tcW w:w="4592" w:type="dxa"/>
            <w:shd w:val="clear" w:color="auto" w:fill="auto"/>
          </w:tcPr>
          <w:p w14:paraId="4EE2D273" w14:textId="77777777" w:rsidR="0009689D" w:rsidRPr="002A249C" w:rsidRDefault="0009689D" w:rsidP="00184153">
            <w:pPr>
              <w:spacing w:line="360" w:lineRule="auto"/>
              <w:rPr>
                <w:color w:val="000000"/>
              </w:rPr>
            </w:pPr>
            <w:r w:rsidRPr="002A249C">
              <w:rPr>
                <w:color w:val="000000"/>
              </w:rPr>
              <w:t>(1)</w:t>
            </w:r>
          </w:p>
        </w:tc>
      </w:tr>
    </w:tbl>
    <w:p w14:paraId="2DEBF289" w14:textId="6EE02A43" w:rsidR="0009689D" w:rsidRPr="002A249C" w:rsidRDefault="0009689D" w:rsidP="00184153">
      <w:pPr>
        <w:spacing w:line="360" w:lineRule="auto"/>
        <w:ind w:firstLine="708"/>
        <w:rPr>
          <w:color w:val="000000"/>
        </w:rPr>
      </w:pPr>
      <w:r w:rsidRPr="002A249C">
        <w:rPr>
          <w:color w:val="000000"/>
        </w:rPr>
        <w:t xml:space="preserve">Respecto a los criterios de agrupamiento, se destaca el método de Ward o método de la varianza mínima que se caracteriza por minimizar la variación de la varianza en la conformación de conglomerados, con buenos resultados en el nivel de homogeneidad de los grupos </w:t>
      </w:r>
      <w:r w:rsidRPr="002A249C">
        <w:rPr>
          <w:noProof/>
          <w:color w:val="000000"/>
        </w:rPr>
        <w:t>(Catena</w:t>
      </w:r>
      <w:r>
        <w:rPr>
          <w:noProof/>
          <w:color w:val="000000"/>
        </w:rPr>
        <w:t xml:space="preserve"> et al., </w:t>
      </w:r>
      <w:r w:rsidRPr="002A249C">
        <w:rPr>
          <w:noProof/>
          <w:color w:val="000000"/>
        </w:rPr>
        <w:t>2003)</w:t>
      </w:r>
      <w:r w:rsidRPr="002A249C">
        <w:rPr>
          <w:color w:val="000000"/>
        </w:rPr>
        <w:t xml:space="preserve">. El indicador </w:t>
      </w:r>
      <m:oMath>
        <m:r>
          <w:rPr>
            <w:rFonts w:ascii="Cambria Math" w:hAnsi="Cambria Math"/>
          </w:rPr>
          <m:t>W</m:t>
        </m:r>
      </m:oMath>
      <w:r w:rsidRPr="002A249C">
        <w:rPr>
          <w:color w:val="000000"/>
        </w:rPr>
        <w:t xml:space="preserve"> se mide mediante la suma de cuadrados de la ecuación 2, con </w:t>
      </w:r>
      <m:oMath>
        <m:sSub>
          <m:sSubPr>
            <m:ctrlPr>
              <w:rPr>
                <w:rFonts w:ascii="Cambria Math" w:hAnsi="Cambria Math"/>
              </w:rPr>
            </m:ctrlPr>
          </m:sSubPr>
          <m:e>
            <m:r>
              <w:rPr>
                <w:rFonts w:ascii="Cambria Math" w:hAnsi="Cambria Math"/>
              </w:rPr>
              <m:t>X</m:t>
            </m:r>
          </m:e>
          <m:sub>
            <m:r>
              <w:rPr>
                <w:rFonts w:ascii="Cambria Math" w:hAnsi="Cambria Math"/>
              </w:rPr>
              <m:t>ig</m:t>
            </m:r>
          </m:sub>
        </m:sSub>
      </m:oMath>
      <w:r w:rsidRPr="002A249C">
        <w:rPr>
          <w:color w:val="000000"/>
        </w:rPr>
        <w:t xml:space="preserve"> valor de la variable del individuo </w:t>
      </w:r>
      <m:oMath>
        <m:r>
          <w:rPr>
            <w:rFonts w:ascii="Cambria Math" w:hAnsi="Cambria Math"/>
          </w:rPr>
          <m:t>i</m:t>
        </m:r>
      </m:oMath>
      <w:r w:rsidRPr="002A249C">
        <w:rPr>
          <w:color w:val="000000"/>
        </w:rPr>
        <w:t xml:space="preserve"> en el grupo </w:t>
      </w:r>
      <m:oMath>
        <m:r>
          <w:rPr>
            <w:rFonts w:ascii="Cambria Math" w:hAnsi="Cambria Math"/>
          </w:rPr>
          <m:t>g</m:t>
        </m:r>
      </m:oMath>
      <w:r w:rsidRPr="002A249C">
        <w:rPr>
          <w:color w:val="000000"/>
        </w:rPr>
        <w:t xml:space="preserve">,  </w:t>
      </w:r>
      <m:oMath>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w:rPr>
                    <w:rFonts w:ascii="Cambria Math" w:hAnsi="Cambria Math"/>
                  </w:rPr>
                  <m:t>g</m:t>
                </m:r>
              </m:sub>
            </m:sSub>
          </m:e>
        </m:acc>
      </m:oMath>
      <w:r w:rsidRPr="002A249C">
        <w:rPr>
          <w:color w:val="000000"/>
        </w:rPr>
        <w:t xml:space="preserve"> el valor promedio del grupo </w:t>
      </w:r>
      <m:oMath>
        <m:r>
          <w:rPr>
            <w:rFonts w:ascii="Cambria Math" w:hAnsi="Cambria Math"/>
          </w:rPr>
          <m:t>g</m:t>
        </m:r>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g</m:t>
            </m:r>
          </m:sub>
        </m:sSub>
      </m:oMath>
      <w:r w:rsidRPr="002A249C">
        <w:rPr>
          <w:color w:val="000000"/>
        </w:rPr>
        <w:t xml:space="preserve"> el número de individuos del grupo </w:t>
      </w:r>
      <m:oMath>
        <m:r>
          <w:rPr>
            <w:rFonts w:ascii="Cambria Math" w:hAnsi="Cambria Math"/>
          </w:rPr>
          <m:t>g</m:t>
        </m:r>
      </m:oMath>
      <w:r w:rsidRPr="002A249C">
        <w:rPr>
          <w:color w:val="000000"/>
        </w:rPr>
        <w:t xml:space="preserve"> y </w:t>
      </w:r>
      <m:oMath>
        <m:r>
          <w:rPr>
            <w:rFonts w:ascii="Cambria Math" w:hAnsi="Cambria Math"/>
          </w:rPr>
          <m:t>G</m:t>
        </m:r>
      </m:oMath>
      <w:r w:rsidRPr="002A249C">
        <w:rPr>
          <w:color w:val="000000"/>
        </w:rPr>
        <w:t xml:space="preserve"> el número total de grupos. </w:t>
      </w:r>
    </w:p>
    <w:tbl>
      <w:tblPr>
        <w:tblW w:w="0" w:type="auto"/>
        <w:tblLook w:val="04A0" w:firstRow="1" w:lastRow="0" w:firstColumn="1" w:lastColumn="0" w:noHBand="0" w:noVBand="1"/>
      </w:tblPr>
      <w:tblGrid>
        <w:gridCol w:w="4063"/>
        <w:gridCol w:w="4441"/>
      </w:tblGrid>
      <w:tr w:rsidR="0009689D" w:rsidRPr="002A249C" w14:paraId="7E5DF263" w14:textId="77777777" w:rsidTr="0009689D">
        <w:tc>
          <w:tcPr>
            <w:tcW w:w="4063" w:type="dxa"/>
            <w:shd w:val="clear" w:color="auto" w:fill="auto"/>
          </w:tcPr>
          <w:p w14:paraId="4FC42C10" w14:textId="3EF03F1E" w:rsidR="0009689D" w:rsidRPr="0009689D" w:rsidRDefault="0009689D" w:rsidP="00184153">
            <w:pPr>
              <w:spacing w:line="360" w:lineRule="auto"/>
              <w:rPr>
                <w:color w:val="000000"/>
              </w:rPr>
            </w:pPr>
            <m:oMathPara>
              <m:oMathParaPr>
                <m:jc m:val="left"/>
              </m:oMathParaPr>
              <m:oMath>
                <m:r>
                  <w:rPr>
                    <w:rFonts w:ascii="Cambria Math" w:hAnsi="Cambria Math"/>
                  </w:rPr>
                  <m:t>W</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g</m:t>
                    </m:r>
                    <m:r>
                      <m:rPr>
                        <m:sty m:val="p"/>
                      </m:rPr>
                      <w:rPr>
                        <w:rFonts w:ascii="Cambria Math" w:hAnsi="Cambria Math"/>
                      </w:rPr>
                      <m:t>=1</m:t>
                    </m:r>
                  </m:sub>
                  <m:sup>
                    <m:r>
                      <w:rPr>
                        <w:rFonts w:ascii="Cambria Math" w:hAnsi="Cambria Math"/>
                      </w:rPr>
                      <m:t>G</m:t>
                    </m:r>
                  </m:sup>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g</m:t>
                            </m:r>
                          </m:sub>
                        </m:sSub>
                      </m:sup>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ig</m:t>
                            </m:r>
                          </m:sub>
                        </m:sSub>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w:rPr>
                                    <w:rFonts w:ascii="Cambria Math" w:hAnsi="Cambria Math"/>
                                  </w:rPr>
                                  <m:t>g</m:t>
                                </m:r>
                              </m:sub>
                            </m:sSub>
                          </m:e>
                        </m:acc>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ig</m:t>
                            </m:r>
                          </m:sub>
                        </m:sSub>
                        <m:r>
                          <m:rPr>
                            <m:sty m:val="p"/>
                          </m:rPr>
                          <w:rPr>
                            <w:rFonts w:ascii="Cambria Math" w:hAnsi="Cambria Math"/>
                          </w:rPr>
                          <m:t>-</m:t>
                        </m:r>
                      </m:e>
                    </m:nary>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w:rPr>
                                <w:rFonts w:ascii="Cambria Math" w:hAnsi="Cambria Math"/>
                              </w:rPr>
                              <m:t>g</m:t>
                            </m:r>
                          </m:sub>
                        </m:sSub>
                      </m:e>
                    </m:acc>
                    <m:r>
                      <m:rPr>
                        <m:sty m:val="p"/>
                      </m:rPr>
                      <w:rPr>
                        <w:rFonts w:ascii="Cambria Math" w:hAnsi="Cambria Math"/>
                      </w:rPr>
                      <m:t>)'</m:t>
                    </m:r>
                  </m:e>
                </m:nary>
              </m:oMath>
            </m:oMathPara>
          </w:p>
        </w:tc>
        <w:tc>
          <w:tcPr>
            <w:tcW w:w="4441" w:type="dxa"/>
            <w:shd w:val="clear" w:color="auto" w:fill="auto"/>
          </w:tcPr>
          <w:p w14:paraId="33DB47CA" w14:textId="77777777" w:rsidR="0009689D" w:rsidRPr="002A249C" w:rsidRDefault="0009689D" w:rsidP="00184153">
            <w:pPr>
              <w:spacing w:line="360" w:lineRule="auto"/>
              <w:rPr>
                <w:color w:val="000000"/>
              </w:rPr>
            </w:pPr>
            <w:r w:rsidRPr="002A249C">
              <w:rPr>
                <w:color w:val="000000"/>
              </w:rPr>
              <w:t>(2)</w:t>
            </w:r>
          </w:p>
        </w:tc>
      </w:tr>
    </w:tbl>
    <w:p w14:paraId="19520C69" w14:textId="7401C3E5" w:rsidR="0009689D" w:rsidRPr="0009689D" w:rsidRDefault="0009689D" w:rsidP="00184153">
      <w:pPr>
        <w:pStyle w:val="SubtituloInterno"/>
        <w:rPr>
          <w:lang w:val="es-CO"/>
        </w:rPr>
      </w:pPr>
      <w:r w:rsidRPr="0009689D">
        <w:rPr>
          <w:lang w:val="es-CO"/>
        </w:rPr>
        <w:t>Redes Neuronales Artificiales</w:t>
      </w:r>
    </w:p>
    <w:p w14:paraId="6E5FAD3A" w14:textId="02D85A03" w:rsidR="0009689D" w:rsidRDefault="0009689D" w:rsidP="00184153">
      <w:pPr>
        <w:pStyle w:val="Prrafocomn"/>
        <w:spacing w:line="400" w:lineRule="exact"/>
        <w:rPr>
          <w:bCs/>
          <w:iCs/>
          <w:lang w:val="es-CO"/>
        </w:rPr>
      </w:pPr>
      <w:r w:rsidRPr="0009689D">
        <w:rPr>
          <w:bCs/>
          <w:iCs/>
          <w:lang w:val="es-CO"/>
        </w:rPr>
        <w:t>Esta técnica computacional se basa en el proceso de aprendizaje automático de un algoritmo basado en el proceso de aprendizaje de seres biológicos, con gran potencial de aplicación (</w:t>
      </w:r>
      <w:proofErr w:type="spellStart"/>
      <w:r w:rsidRPr="0009689D">
        <w:rPr>
          <w:bCs/>
          <w:iCs/>
          <w:lang w:val="es-CO"/>
        </w:rPr>
        <w:t>Alaka</w:t>
      </w:r>
      <w:proofErr w:type="spellEnd"/>
      <w:r w:rsidRPr="0009689D">
        <w:rPr>
          <w:bCs/>
          <w:iCs/>
          <w:lang w:val="es-CO"/>
        </w:rPr>
        <w:t xml:space="preserve"> et al., 2017). Por su parte, </w:t>
      </w:r>
      <w:proofErr w:type="spellStart"/>
      <w:r w:rsidRPr="0009689D">
        <w:rPr>
          <w:bCs/>
          <w:iCs/>
          <w:lang w:val="es-CO"/>
        </w:rPr>
        <w:t>McMillan</w:t>
      </w:r>
      <w:proofErr w:type="spellEnd"/>
      <w:r w:rsidRPr="0009689D">
        <w:rPr>
          <w:bCs/>
          <w:iCs/>
          <w:lang w:val="es-CO"/>
        </w:rPr>
        <w:t xml:space="preserve"> (2013) especifica la RNA como un sistema compuesto de nodos de cómputo no lineal que imitan el funcionamiento de las ne</w:t>
      </w:r>
      <w:r>
        <w:rPr>
          <w:bCs/>
          <w:iCs/>
          <w:lang w:val="es-CO"/>
        </w:rPr>
        <w:t>uronas biológicas. En la Figura</w:t>
      </w:r>
      <w:r w:rsidRPr="0009689D">
        <w:rPr>
          <w:bCs/>
          <w:iCs/>
          <w:lang w:val="es-CO"/>
        </w:rPr>
        <w:t xml:space="preserve"> 1, se representa la estructura típica de una RNA. </w:t>
      </w:r>
    </w:p>
    <w:p w14:paraId="4101DABD" w14:textId="3B024CAF" w:rsidR="0009689D" w:rsidRDefault="0009689D" w:rsidP="00184153">
      <w:pPr>
        <w:pStyle w:val="Prrafocomn"/>
        <w:spacing w:line="400" w:lineRule="exact"/>
        <w:rPr>
          <w:bCs/>
          <w:iCs/>
          <w:lang w:val="es-CO"/>
        </w:rPr>
      </w:pPr>
    </w:p>
    <w:p w14:paraId="6244B615" w14:textId="1C755AB8" w:rsidR="0009689D" w:rsidRDefault="0009689D" w:rsidP="00184153">
      <w:pPr>
        <w:pStyle w:val="Prrafocomn"/>
        <w:spacing w:line="400" w:lineRule="exact"/>
        <w:rPr>
          <w:bCs/>
          <w:iCs/>
          <w:lang w:val="es-CO"/>
        </w:rPr>
      </w:pPr>
    </w:p>
    <w:p w14:paraId="5D2615B1" w14:textId="625BF4AF" w:rsidR="0009689D" w:rsidRDefault="0009689D" w:rsidP="00184153">
      <w:pPr>
        <w:pStyle w:val="Prrafocomn"/>
        <w:spacing w:line="400" w:lineRule="exact"/>
        <w:rPr>
          <w:bCs/>
          <w:iCs/>
          <w:lang w:val="es-CO"/>
        </w:rPr>
      </w:pPr>
    </w:p>
    <w:p w14:paraId="7CC6D049" w14:textId="70B563CD" w:rsidR="0009689D" w:rsidRDefault="0009689D" w:rsidP="00184153">
      <w:pPr>
        <w:pStyle w:val="Prrafocomn"/>
        <w:spacing w:line="400" w:lineRule="exact"/>
        <w:rPr>
          <w:bCs/>
          <w:iCs/>
          <w:lang w:val="es-CO"/>
        </w:rPr>
      </w:pPr>
    </w:p>
    <w:p w14:paraId="79C2B478" w14:textId="792E28B7" w:rsidR="0009689D" w:rsidRDefault="0009689D" w:rsidP="00184153">
      <w:pPr>
        <w:pStyle w:val="Prrafocomn"/>
        <w:spacing w:line="400" w:lineRule="exact"/>
        <w:rPr>
          <w:bCs/>
          <w:iCs/>
          <w:lang w:val="es-CO"/>
        </w:rPr>
      </w:pPr>
    </w:p>
    <w:p w14:paraId="7ADCE7A4" w14:textId="6C4E817F" w:rsidR="0009689D" w:rsidRDefault="0009689D" w:rsidP="00184153">
      <w:pPr>
        <w:pStyle w:val="Prrafocomn"/>
        <w:spacing w:line="400" w:lineRule="exact"/>
        <w:rPr>
          <w:bCs/>
          <w:iCs/>
          <w:lang w:val="es-CO"/>
        </w:rPr>
      </w:pPr>
    </w:p>
    <w:p w14:paraId="1ACAD276" w14:textId="292C253F" w:rsidR="0009689D" w:rsidRDefault="0009689D" w:rsidP="00184153">
      <w:pPr>
        <w:pStyle w:val="Prrafocomn"/>
        <w:spacing w:line="400" w:lineRule="exact"/>
        <w:rPr>
          <w:bCs/>
          <w:iCs/>
          <w:lang w:val="es-CO"/>
        </w:rPr>
      </w:pPr>
    </w:p>
    <w:p w14:paraId="1D9D9AC2" w14:textId="2145AF4C" w:rsidR="0009689D" w:rsidRDefault="0009689D" w:rsidP="00184153">
      <w:pPr>
        <w:pStyle w:val="Prrafocomn"/>
        <w:spacing w:line="400" w:lineRule="exact"/>
        <w:rPr>
          <w:bCs/>
          <w:iCs/>
          <w:lang w:val="es-CO"/>
        </w:rPr>
      </w:pPr>
    </w:p>
    <w:p w14:paraId="1A3EA7FA" w14:textId="3F76B5E0" w:rsidR="0009689D" w:rsidRDefault="0009689D" w:rsidP="00184153">
      <w:pPr>
        <w:pStyle w:val="Prrafocomn"/>
        <w:spacing w:line="400" w:lineRule="exact"/>
        <w:rPr>
          <w:bCs/>
          <w:iCs/>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9689D" w14:paraId="63020CBF" w14:textId="77777777" w:rsidTr="0009689D">
        <w:trPr>
          <w:cantSplit/>
        </w:trPr>
        <w:tc>
          <w:tcPr>
            <w:tcW w:w="8494" w:type="dxa"/>
          </w:tcPr>
          <w:p w14:paraId="64D7F037" w14:textId="00E28C22" w:rsidR="0009689D" w:rsidRPr="0009689D" w:rsidRDefault="0009689D" w:rsidP="00184153">
            <w:pPr>
              <w:pStyle w:val="Prrafocomn"/>
              <w:spacing w:line="400" w:lineRule="exact"/>
              <w:ind w:firstLine="0"/>
              <w:rPr>
                <w:b/>
                <w:bCs/>
                <w:iCs/>
                <w:sz w:val="24"/>
                <w:lang w:val="es-CO"/>
              </w:rPr>
            </w:pPr>
            <w:bookmarkStart w:id="2" w:name="_Toc459994339"/>
            <w:r w:rsidRPr="0009689D">
              <w:rPr>
                <w:b/>
                <w:bCs/>
                <w:iCs/>
                <w:sz w:val="24"/>
                <w:lang w:val="es-CO"/>
              </w:rPr>
              <w:lastRenderedPageBreak/>
              <w:t>Figura 1</w:t>
            </w:r>
          </w:p>
          <w:p w14:paraId="43DBD187" w14:textId="22605635" w:rsidR="0009689D" w:rsidRPr="0009689D" w:rsidRDefault="0009689D" w:rsidP="00184153">
            <w:pPr>
              <w:pStyle w:val="Prrafocomn"/>
              <w:spacing w:line="400" w:lineRule="exact"/>
              <w:ind w:firstLine="0"/>
              <w:rPr>
                <w:bCs/>
                <w:i/>
                <w:iCs/>
                <w:lang w:val="es-CO"/>
              </w:rPr>
            </w:pPr>
            <w:r w:rsidRPr="0009689D">
              <w:rPr>
                <w:bCs/>
                <w:i/>
                <w:iCs/>
                <w:sz w:val="24"/>
                <w:lang w:val="es-CO"/>
              </w:rPr>
              <w:t>Red Neuronal Artificial</w:t>
            </w:r>
          </w:p>
        </w:tc>
      </w:tr>
      <w:tr w:rsidR="0009689D" w14:paraId="554BDB77" w14:textId="77777777" w:rsidTr="0009689D">
        <w:trPr>
          <w:cantSplit/>
        </w:trPr>
        <w:tc>
          <w:tcPr>
            <w:tcW w:w="8494" w:type="dxa"/>
          </w:tcPr>
          <w:p w14:paraId="60AFDA05" w14:textId="7695A975" w:rsidR="0009689D" w:rsidRDefault="0009689D" w:rsidP="00184153">
            <w:pPr>
              <w:pStyle w:val="Prrafocomn"/>
              <w:spacing w:line="400" w:lineRule="exact"/>
              <w:ind w:firstLine="0"/>
              <w:rPr>
                <w:b/>
                <w:bCs/>
                <w:iCs/>
                <w:lang w:val="es-CO"/>
              </w:rPr>
            </w:pPr>
            <w:r w:rsidRPr="0009689D">
              <w:rPr>
                <w:bCs/>
                <w:i/>
                <w:iCs/>
                <w:noProof/>
              </w:rPr>
              <w:drawing>
                <wp:anchor distT="0" distB="0" distL="114300" distR="114300" simplePos="0" relativeHeight="251669504" behindDoc="0" locked="0" layoutInCell="1" allowOverlap="1" wp14:anchorId="6692F07A" wp14:editId="5B699255">
                  <wp:simplePos x="0" y="0"/>
                  <wp:positionH relativeFrom="column">
                    <wp:posOffset>-65405</wp:posOffset>
                  </wp:positionH>
                  <wp:positionV relativeFrom="paragraph">
                    <wp:posOffset>254000</wp:posOffset>
                  </wp:positionV>
                  <wp:extent cx="5365750" cy="2569210"/>
                  <wp:effectExtent l="0" t="0" r="635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5750" cy="25692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9689D" w14:paraId="6213C2B5" w14:textId="77777777" w:rsidTr="0009689D">
        <w:trPr>
          <w:cantSplit/>
        </w:trPr>
        <w:tc>
          <w:tcPr>
            <w:tcW w:w="8494" w:type="dxa"/>
          </w:tcPr>
          <w:p w14:paraId="5A2F426A" w14:textId="36C4AE49" w:rsidR="0009689D" w:rsidRPr="0009689D" w:rsidRDefault="0009689D" w:rsidP="00184153">
            <w:pPr>
              <w:pStyle w:val="Prrafocomn"/>
              <w:spacing w:line="400" w:lineRule="exact"/>
              <w:ind w:firstLine="0"/>
              <w:rPr>
                <w:bCs/>
                <w:iCs/>
                <w:lang w:val="es-CO"/>
              </w:rPr>
            </w:pPr>
            <w:r w:rsidRPr="0009689D">
              <w:rPr>
                <w:bCs/>
                <w:i/>
                <w:iCs/>
                <w:sz w:val="24"/>
                <w:lang w:val="es-CO"/>
              </w:rPr>
              <w:t>Fuente</w:t>
            </w:r>
            <w:r w:rsidRPr="0009689D">
              <w:rPr>
                <w:bCs/>
                <w:iCs/>
                <w:sz w:val="24"/>
                <w:lang w:val="es-CO"/>
              </w:rPr>
              <w:t xml:space="preserve">: Adaptado de </w:t>
            </w:r>
            <w:r w:rsidR="00B072E2" w:rsidRPr="00B072E2">
              <w:rPr>
                <w:bCs/>
                <w:i/>
                <w:sz w:val="24"/>
                <w:lang w:val="es-CO"/>
              </w:rPr>
              <w:t>Modelo de Neurona Artificial</w:t>
            </w:r>
            <w:r w:rsidR="00B072E2">
              <w:rPr>
                <w:bCs/>
                <w:i/>
                <w:sz w:val="24"/>
                <w:lang w:val="es-CO"/>
              </w:rPr>
              <w:t xml:space="preserve"> </w:t>
            </w:r>
            <w:r w:rsidR="00B072E2">
              <w:rPr>
                <w:bCs/>
                <w:iCs/>
                <w:sz w:val="24"/>
                <w:lang w:val="es-CO"/>
              </w:rPr>
              <w:t>(p. 21)</w:t>
            </w:r>
            <w:r w:rsidR="00B072E2">
              <w:rPr>
                <w:bCs/>
                <w:i/>
                <w:sz w:val="24"/>
                <w:lang w:val="es-CO"/>
              </w:rPr>
              <w:t>,</w:t>
            </w:r>
            <w:r w:rsidR="00B072E2">
              <w:rPr>
                <w:bCs/>
                <w:iCs/>
                <w:sz w:val="24"/>
                <w:lang w:val="es-CO"/>
              </w:rPr>
              <w:t xml:space="preserve"> de E. </w:t>
            </w:r>
            <w:r w:rsidRPr="0009689D">
              <w:rPr>
                <w:bCs/>
                <w:iCs/>
                <w:sz w:val="24"/>
                <w:lang w:val="es-CO"/>
              </w:rPr>
              <w:t xml:space="preserve">Caicedo y </w:t>
            </w:r>
            <w:r w:rsidR="00B072E2">
              <w:rPr>
                <w:bCs/>
                <w:iCs/>
                <w:sz w:val="24"/>
                <w:lang w:val="es-CO"/>
              </w:rPr>
              <w:t xml:space="preserve">J. </w:t>
            </w:r>
            <w:r w:rsidRPr="0009689D">
              <w:rPr>
                <w:bCs/>
                <w:iCs/>
                <w:sz w:val="24"/>
                <w:lang w:val="es-CO"/>
              </w:rPr>
              <w:t>López</w:t>
            </w:r>
            <w:r w:rsidR="00B072E2">
              <w:rPr>
                <w:bCs/>
                <w:iCs/>
                <w:sz w:val="24"/>
                <w:lang w:val="es-CO"/>
              </w:rPr>
              <w:t xml:space="preserve">, </w:t>
            </w:r>
            <w:r w:rsidR="00184153" w:rsidRPr="00184153">
              <w:rPr>
                <w:bCs/>
                <w:iCs/>
                <w:sz w:val="24"/>
                <w:lang w:val="es-CO"/>
              </w:rPr>
              <w:t>2009</w:t>
            </w:r>
            <w:r w:rsidR="00B072E2">
              <w:rPr>
                <w:bCs/>
                <w:iCs/>
                <w:sz w:val="24"/>
                <w:lang w:val="es-CO"/>
              </w:rPr>
              <w:t>.</w:t>
            </w:r>
            <w:r w:rsidR="00184153" w:rsidRPr="00184153">
              <w:rPr>
                <w:bCs/>
                <w:iCs/>
                <w:sz w:val="24"/>
                <w:lang w:val="es-CO"/>
              </w:rPr>
              <w:t xml:space="preserve"> Programa Editorial </w:t>
            </w:r>
            <w:r w:rsidR="00B072E2" w:rsidRPr="00184153">
              <w:rPr>
                <w:bCs/>
                <w:iCs/>
                <w:sz w:val="24"/>
                <w:lang w:val="es-CO"/>
              </w:rPr>
              <w:t>Universidad</w:t>
            </w:r>
            <w:r w:rsidR="00184153" w:rsidRPr="00184153">
              <w:rPr>
                <w:bCs/>
                <w:iCs/>
                <w:sz w:val="24"/>
                <w:lang w:val="es-CO"/>
              </w:rPr>
              <w:t xml:space="preserve"> del Valle.</w:t>
            </w:r>
          </w:p>
        </w:tc>
      </w:tr>
    </w:tbl>
    <w:bookmarkEnd w:id="2"/>
    <w:p w14:paraId="262DFAF1" w14:textId="462B3DFE" w:rsidR="0009689D" w:rsidRPr="0009689D" w:rsidRDefault="0009689D" w:rsidP="00184153">
      <w:pPr>
        <w:pStyle w:val="Prrafocomn"/>
        <w:spacing w:line="400" w:lineRule="exact"/>
        <w:rPr>
          <w:bCs/>
          <w:iCs/>
          <w:lang w:val="es-CO"/>
        </w:rPr>
      </w:pPr>
      <w:r w:rsidRPr="0009689D">
        <w:rPr>
          <w:bCs/>
          <w:iCs/>
          <w:lang w:val="es-CO"/>
        </w:rPr>
        <w:t>En la Figura 1, la capa de entrada representa los nodos en los que ingresan datos de las variables independientes, en la capa oculta se procesan los datos de entrada y la capa de salida proporciona la salida de los resultados (variable dependiente). El algoritmo compara los resultados observados con los resultados esperados y dependiendo del nivel de error, se ajustan los pesos sinápticos para reducirlo (Caicedo y López, 2009</w:t>
      </w:r>
      <w:r w:rsidR="00ED0135">
        <w:rPr>
          <w:bCs/>
          <w:iCs/>
          <w:lang w:val="es-CO"/>
        </w:rPr>
        <w:t>, p.21</w:t>
      </w:r>
      <w:r w:rsidRPr="0009689D">
        <w:rPr>
          <w:bCs/>
          <w:iCs/>
          <w:lang w:val="es-CO"/>
        </w:rPr>
        <w:t>).</w:t>
      </w:r>
    </w:p>
    <w:p w14:paraId="3BEA5576" w14:textId="77777777" w:rsidR="00012352" w:rsidRPr="0019293F" w:rsidRDefault="00012352" w:rsidP="00184153">
      <w:pPr>
        <w:pStyle w:val="Ttulosinternos"/>
        <w:rPr>
          <w:lang w:val="es-AR"/>
        </w:rPr>
      </w:pPr>
      <w:r w:rsidRPr="0019293F">
        <w:rPr>
          <w:lang w:val="es-AR"/>
        </w:rPr>
        <w:t>Método</w:t>
      </w:r>
    </w:p>
    <w:p w14:paraId="2B9E7F36" w14:textId="77777777" w:rsidR="0009689D" w:rsidRPr="0009689D" w:rsidRDefault="0009689D" w:rsidP="00184153">
      <w:pPr>
        <w:pStyle w:val="Prrafocomn"/>
        <w:rPr>
          <w:bCs/>
          <w:lang w:val="es-CO"/>
        </w:rPr>
      </w:pPr>
      <w:r w:rsidRPr="0009689D">
        <w:rPr>
          <w:bCs/>
          <w:lang w:val="es-CO"/>
        </w:rPr>
        <w:t xml:space="preserve">En este trabajo de investigación se desarrolla un método de valoración y pronóstico de niveles de ideación suicida en adolescentes escolarizados mediante técnicas de análisis multivariado. Para lo anterior, revisó la literatura y estado del arte relacionado a la ideación suicida, las técnicas de análisis de clúster y redes neuronales artificiales, para a partir de un análisis racional y empírico definir y estructurar las variables pensamientos, planes y manifestaciones suicidas asociadas al problema objeto de estudio, para lo cual se estructuró un método que integra un análisis de conglomerados para identificar los perfiles de ideación suicida, un análisis de puntuación acumulativa por perfil para definir los niveles de ideación y un modelo de Red Neuronal Artificial -RNA para pronosticar la pertenencia de individuos a niveles de ideación suicida con propósito de diagnóstico. </w:t>
      </w:r>
    </w:p>
    <w:p w14:paraId="3131C138" w14:textId="77777777" w:rsidR="0009689D" w:rsidRDefault="0009689D" w:rsidP="00184153">
      <w:pPr>
        <w:pStyle w:val="SubtituloInterno"/>
        <w:rPr>
          <w:bCs/>
          <w:iCs/>
          <w:lang w:val="es-CO"/>
        </w:rPr>
      </w:pPr>
    </w:p>
    <w:p w14:paraId="13E8D865" w14:textId="1870D252" w:rsidR="00C672C3" w:rsidRPr="0009689D" w:rsidRDefault="0009689D" w:rsidP="00184153">
      <w:pPr>
        <w:pStyle w:val="SubtituloInterno"/>
        <w:rPr>
          <w:bCs/>
          <w:iCs/>
          <w:lang w:val="es-CO"/>
        </w:rPr>
      </w:pPr>
      <w:r w:rsidRPr="0009689D">
        <w:rPr>
          <w:bCs/>
          <w:iCs/>
          <w:lang w:val="es-CO"/>
        </w:rPr>
        <w:t>Participantes</w:t>
      </w:r>
    </w:p>
    <w:p w14:paraId="0FEA5CC0" w14:textId="5180823E" w:rsidR="00C672C3" w:rsidRPr="003839C1" w:rsidRDefault="0009689D" w:rsidP="00184153">
      <w:pPr>
        <w:pStyle w:val="Prrafocomn"/>
        <w:rPr>
          <w:bCs/>
          <w:iCs/>
          <w:lang w:val="es-AR"/>
        </w:rPr>
      </w:pPr>
      <w:r w:rsidRPr="0009689D">
        <w:rPr>
          <w:bCs/>
          <w:iCs/>
          <w:lang w:val="es-CO"/>
        </w:rPr>
        <w:t>La muestra estuvo constituida por 638 estudiantes (hombres y mujeres) entre los 13 y 17 años con una media de 15.2 (DE = 1.1) de edad que accedieron voluntariamente a participar del estudio, firmando su asentimiento y entregando a los investigadores el consentimiento informado de sus padres o quien hiciera las veces de su representante legal. El muestreo fue no probabilístico; el procedimiento para la detección de los participantes tuvo lugar en dos instituciones educativas públicas de la ciudad de Barranquilla y su área metropolitana, en el departamento del atlántico, Colombia. Se consideró como criterio de inclusión el ser colombiano, adolescente y estar escolarizado.</w:t>
      </w:r>
      <w:r w:rsidR="00714485" w:rsidRPr="003839C1">
        <w:rPr>
          <w:bCs/>
          <w:iCs/>
          <w:lang w:val="es-ES_tradnl"/>
        </w:rPr>
        <w:t>.</w:t>
      </w:r>
    </w:p>
    <w:p w14:paraId="0FCFE7B1" w14:textId="77777777" w:rsidR="0009689D" w:rsidRPr="0009689D" w:rsidRDefault="0009689D" w:rsidP="00184153">
      <w:pPr>
        <w:pStyle w:val="SubtituloInterno"/>
        <w:rPr>
          <w:bCs/>
          <w:iCs/>
          <w:lang w:val="es-CO"/>
        </w:rPr>
      </w:pPr>
      <w:r w:rsidRPr="0009689D">
        <w:rPr>
          <w:bCs/>
          <w:iCs/>
          <w:lang w:val="es-CO"/>
        </w:rPr>
        <w:t>Instrum</w:t>
      </w:r>
      <w:r>
        <w:rPr>
          <w:bCs/>
          <w:iCs/>
          <w:lang w:val="es-CO"/>
        </w:rPr>
        <w:t xml:space="preserve">ento: </w:t>
      </w:r>
      <w:r w:rsidRPr="0009689D">
        <w:rPr>
          <w:bCs/>
          <w:iCs/>
          <w:lang w:val="es-CO"/>
        </w:rPr>
        <w:t>Escala para la evaluación del riesgo suicida (ERS)</w:t>
      </w:r>
    </w:p>
    <w:p w14:paraId="364B62A4" w14:textId="41C6720A" w:rsidR="00714485" w:rsidRPr="0009689D" w:rsidRDefault="0009689D" w:rsidP="00184153">
      <w:pPr>
        <w:pStyle w:val="Prrafocomn"/>
        <w:rPr>
          <w:bCs/>
          <w:lang w:val="es-CO"/>
        </w:rPr>
      </w:pPr>
      <w:r w:rsidRPr="0009689D">
        <w:rPr>
          <w:bCs/>
          <w:lang w:val="es-CO"/>
        </w:rPr>
        <w:t>Se trata de una escala tipo Likert, diseñada por Bahamón Muñetón y Alarcón-Vásquez, (2018) y compuesta por 20 ítems con seis opciones de respuesta donde 1 es </w:t>
      </w:r>
      <w:r w:rsidRPr="0009689D">
        <w:rPr>
          <w:bCs/>
          <w:i/>
          <w:iCs/>
          <w:lang w:val="es-CO"/>
        </w:rPr>
        <w:t>totalmente en desacuerdo</w:t>
      </w:r>
      <w:r w:rsidRPr="0009689D">
        <w:rPr>
          <w:bCs/>
          <w:lang w:val="es-CO"/>
        </w:rPr>
        <w:t>, 2 = </w:t>
      </w:r>
      <w:r w:rsidRPr="0009689D">
        <w:rPr>
          <w:bCs/>
          <w:i/>
          <w:iCs/>
          <w:lang w:val="es-CO"/>
        </w:rPr>
        <w:t>en desacuerdo</w:t>
      </w:r>
      <w:r w:rsidRPr="0009689D">
        <w:rPr>
          <w:bCs/>
          <w:lang w:val="es-CO"/>
        </w:rPr>
        <w:t>, 3 = </w:t>
      </w:r>
      <w:r w:rsidRPr="0009689D">
        <w:rPr>
          <w:bCs/>
          <w:i/>
          <w:iCs/>
          <w:lang w:val="es-CO"/>
        </w:rPr>
        <w:t>parcialmente en desacuerdo</w:t>
      </w:r>
      <w:r w:rsidRPr="0009689D">
        <w:rPr>
          <w:bCs/>
          <w:lang w:val="es-CO"/>
        </w:rPr>
        <w:t>, 4 = </w:t>
      </w:r>
      <w:r w:rsidRPr="0009689D">
        <w:rPr>
          <w:bCs/>
          <w:i/>
          <w:iCs/>
          <w:lang w:val="es-CO"/>
        </w:rPr>
        <w:t>parcialmente de acuerdo</w:t>
      </w:r>
      <w:r w:rsidRPr="0009689D">
        <w:rPr>
          <w:bCs/>
          <w:lang w:val="es-CO"/>
        </w:rPr>
        <w:t>, 5 = </w:t>
      </w:r>
      <w:r w:rsidRPr="0009689D">
        <w:rPr>
          <w:bCs/>
          <w:i/>
          <w:iCs/>
          <w:lang w:val="es-CO"/>
        </w:rPr>
        <w:t>de acuerdo</w:t>
      </w:r>
      <w:r w:rsidRPr="0009689D">
        <w:rPr>
          <w:bCs/>
          <w:lang w:val="es-CO"/>
        </w:rPr>
        <w:t>, 6 = </w:t>
      </w:r>
      <w:r w:rsidRPr="0009689D">
        <w:rPr>
          <w:bCs/>
          <w:i/>
          <w:iCs/>
          <w:lang w:val="es-CO"/>
        </w:rPr>
        <w:t>totalmente de acuerdo</w:t>
      </w:r>
      <w:r w:rsidRPr="0009689D">
        <w:rPr>
          <w:bCs/>
          <w:lang w:val="es-CO"/>
        </w:rPr>
        <w:t>. Los ítems se refieren a afirmaciones pensando en lo ocurrido en los últimos seis meses. Evalúa los siguientes factores: 1) Depresión y desesperanza, 2) Ideación, planeación y autolesión, 3) Aislamiento/Soporte social, 4) Falta de apoyo familiar. La consistencia interna total del instrumento fue de 0.934; las escalas mostraron alfa de Cronbach entre 0.71 y 0.929. Constituyendo una medida válida y confiable para la evaluación del riesgo suicida en adolescentes colombianos.</w:t>
      </w:r>
    </w:p>
    <w:p w14:paraId="0513FB0F" w14:textId="0840B073" w:rsidR="00714485" w:rsidRPr="0009689D" w:rsidRDefault="0009689D" w:rsidP="00184153">
      <w:pPr>
        <w:pStyle w:val="SubtituloInterno"/>
        <w:rPr>
          <w:bCs/>
          <w:iCs/>
          <w:lang w:val="es-CO"/>
        </w:rPr>
      </w:pPr>
      <w:r w:rsidRPr="0009689D">
        <w:rPr>
          <w:bCs/>
          <w:iCs/>
          <w:lang w:val="es-CO"/>
        </w:rPr>
        <w:t>Aspectos éticos</w:t>
      </w:r>
    </w:p>
    <w:p w14:paraId="6A931AE1" w14:textId="63C801A2" w:rsidR="00714485" w:rsidRDefault="0009689D" w:rsidP="00184153">
      <w:pPr>
        <w:pStyle w:val="Prrafocomn"/>
        <w:rPr>
          <w:bCs/>
          <w:lang w:val="es-ES_tradnl"/>
        </w:rPr>
      </w:pPr>
      <w:r w:rsidRPr="0009689D">
        <w:rPr>
          <w:bCs/>
          <w:lang w:val="es-AR"/>
        </w:rPr>
        <w:t>Según la Resolución 8430 de 199329 (Ministerio de Salud, 1993), es una investigación con riesgo mínimo, ya que «se trataron aspectos sensibles del comportamiento, no representó un riesgo importante para la integridad de los participantes, en tanto no se realizó ninguna intervención física o psicológica». Además, se les indicó que la participación en el estudio no traería un beneficio directo. No obstante, tendrían información sobre los resultados del estudio.</w:t>
      </w:r>
      <w:r w:rsidR="00714485" w:rsidRPr="00714485">
        <w:rPr>
          <w:bCs/>
          <w:lang w:val="es-ES_tradnl"/>
        </w:rPr>
        <w:t xml:space="preserve"> </w:t>
      </w:r>
    </w:p>
    <w:p w14:paraId="0AF39D64" w14:textId="5996B97A" w:rsidR="0009689D" w:rsidRDefault="0009689D" w:rsidP="00184153">
      <w:pPr>
        <w:pStyle w:val="Prrafocomn"/>
        <w:rPr>
          <w:bCs/>
          <w:lang w:val="es-ES_tradnl"/>
        </w:rPr>
      </w:pPr>
    </w:p>
    <w:p w14:paraId="065675E2" w14:textId="77777777" w:rsidR="0009689D" w:rsidRPr="00714485" w:rsidRDefault="0009689D" w:rsidP="00184153">
      <w:pPr>
        <w:pStyle w:val="Prrafocomn"/>
        <w:rPr>
          <w:bCs/>
          <w:lang w:val="es-ES_tradnl"/>
        </w:rPr>
      </w:pPr>
    </w:p>
    <w:p w14:paraId="287B1EEE" w14:textId="2F83399A" w:rsidR="00714485" w:rsidRPr="0009689D" w:rsidRDefault="0009689D" w:rsidP="00184153">
      <w:pPr>
        <w:pStyle w:val="SubtituloInterno"/>
        <w:rPr>
          <w:bCs/>
          <w:iCs/>
          <w:lang w:val="es-CO"/>
        </w:rPr>
      </w:pPr>
      <w:r w:rsidRPr="0009689D">
        <w:rPr>
          <w:bCs/>
          <w:iCs/>
          <w:lang w:val="es-CO"/>
        </w:rPr>
        <w:lastRenderedPageBreak/>
        <w:t>Procedimiento</w:t>
      </w:r>
    </w:p>
    <w:p w14:paraId="02620EE9" w14:textId="5411C9C2" w:rsidR="00B668A6" w:rsidRPr="00B668A6" w:rsidRDefault="00B668A6" w:rsidP="00184153">
      <w:pPr>
        <w:pStyle w:val="Prrafocomn"/>
        <w:rPr>
          <w:bCs/>
          <w:lang w:val="es-CO"/>
        </w:rPr>
      </w:pPr>
      <w:r w:rsidRPr="00B668A6">
        <w:rPr>
          <w:bCs/>
          <w:lang w:val="es-CO"/>
        </w:rPr>
        <w:t xml:space="preserve">Como método de investigación en esta investigación, se siguieron las etapas indicadas en la Figura 1. Se tomó información registrada asociada a las variables objeto de esta investigación en una muestra de 638 estudiantes de secundaria en una institución educativa pública. Con los datos asociados a los factores  pensamientos, planes y manifestaciones suicidas, se aplicó la técnica análisis de conglomerado utilizando el software Minitab 18 con el cual se ensayaron y analizaron diferentes criterios de medida de similitud o distancia (Euclidiano, euclidiano cuadrado, Pearson, Pearson cuadrado y Manhattan) y agrupamiento (Ward, promedio, completo, centroide e Individual) lo que permitió identificar 3 grupos o perfiles característicos en el de ideación suicida, seleccionando la combinación con mejor nivel de homogeneidad intragrupo y heterogeneidad entre grupos. </w:t>
      </w:r>
    </w:p>
    <w:p w14:paraId="021DE593" w14:textId="5110B13A" w:rsidR="00B668A6" w:rsidRPr="00B668A6" w:rsidRDefault="00B668A6" w:rsidP="00184153">
      <w:pPr>
        <w:tabs>
          <w:tab w:val="left" w:pos="3245"/>
        </w:tabs>
        <w:spacing w:line="360" w:lineRule="auto"/>
        <w:rPr>
          <w:b/>
          <w:color w:val="000000"/>
        </w:rPr>
      </w:pPr>
      <w:r>
        <w:rPr>
          <w:b/>
          <w:color w:val="000000"/>
        </w:rPr>
        <w:t>Figura 2</w:t>
      </w:r>
    </w:p>
    <w:p w14:paraId="39B51651" w14:textId="275BA6E2" w:rsidR="00B668A6" w:rsidRPr="00B668A6" w:rsidRDefault="00B668A6" w:rsidP="00184153">
      <w:pPr>
        <w:tabs>
          <w:tab w:val="left" w:pos="3245"/>
        </w:tabs>
        <w:spacing w:line="360" w:lineRule="auto"/>
        <w:jc w:val="both"/>
        <w:rPr>
          <w:i/>
          <w:color w:val="000000"/>
        </w:rPr>
      </w:pPr>
      <w:r w:rsidRPr="00B668A6">
        <w:rPr>
          <w:i/>
          <w:color w:val="000000"/>
        </w:rPr>
        <w:t>Método para evaluar y pronosticar niveles de Riesgo Ideación Suicida (RIS) en Adolescentes escolarizados</w:t>
      </w:r>
    </w:p>
    <w:p w14:paraId="773330FC" w14:textId="01D487C6" w:rsidR="00B668A6" w:rsidRPr="002A249C" w:rsidRDefault="00B668A6" w:rsidP="00184153">
      <w:pPr>
        <w:spacing w:line="360" w:lineRule="auto"/>
        <w:rPr>
          <w:color w:val="000000"/>
        </w:rPr>
      </w:pPr>
      <w:r w:rsidRPr="002A249C">
        <w:rPr>
          <w:noProof/>
          <w:color w:val="000000"/>
          <w:lang w:val="en-US" w:eastAsia="en-US"/>
        </w:rPr>
        <w:drawing>
          <wp:inline distT="0" distB="0" distL="0" distR="0" wp14:anchorId="320073A3" wp14:editId="1AFFD84C">
            <wp:extent cx="4559300" cy="2736850"/>
            <wp:effectExtent l="0" t="12700" r="0" b="6350"/>
            <wp:docPr id="4" name="Diagrama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B4EA3EC" w14:textId="4BD7176E" w:rsidR="00B668A6" w:rsidRDefault="00B668A6" w:rsidP="00184153">
      <w:pPr>
        <w:spacing w:line="360" w:lineRule="auto"/>
        <w:rPr>
          <w:bCs/>
        </w:rPr>
      </w:pPr>
      <w:r w:rsidRPr="00B47AC4">
        <w:rPr>
          <w:noProof/>
          <w:color w:val="000000"/>
          <w:lang w:val="en-US" w:eastAsia="en-US"/>
        </w:rPr>
        <mc:AlternateContent>
          <mc:Choice Requires="wps">
            <w:drawing>
              <wp:anchor distT="4294967295" distB="4294967295" distL="114299" distR="114299" simplePos="0" relativeHeight="251671552" behindDoc="0" locked="0" layoutInCell="1" allowOverlap="1" wp14:anchorId="7477C654" wp14:editId="1416BCBF">
                <wp:simplePos x="0" y="0"/>
                <wp:positionH relativeFrom="column">
                  <wp:posOffset>1530984</wp:posOffset>
                </wp:positionH>
                <wp:positionV relativeFrom="paragraph">
                  <wp:posOffset>143509</wp:posOffset>
                </wp:positionV>
                <wp:extent cx="0" cy="0"/>
                <wp:effectExtent l="0" t="0" r="0" b="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46C12CFD" id="_x0000_t32" coordsize="21600,21600" o:spt="32" o:oned="t" path="m,l21600,21600e" filled="f">
                <v:path arrowok="t" fillok="f" o:connecttype="none"/>
                <o:lock v:ext="edit" shapetype="t"/>
              </v:shapetype>
              <v:shape id="Conector recto de flecha 5" o:spid="_x0000_s1026" type="#_x0000_t32" style="position:absolute;margin-left:120.55pt;margin-top:11.3pt;width:0;height:0;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" strokecolor="#4472c4" strokeweight=".5pt">
                <v:stroke endarrow="open" joinstyle="miter"/>
                <o:lock v:ext="edit" shapetype="f"/>
              </v:shape>
            </w:pict>
          </mc:Fallback>
        </mc:AlternateContent>
      </w:r>
      <w:r w:rsidRPr="00B47AC4">
        <w:rPr>
          <w:bCs/>
          <w:i/>
        </w:rPr>
        <w:t>Fuente</w:t>
      </w:r>
      <w:r w:rsidRPr="00B47AC4">
        <w:rPr>
          <w:bCs/>
        </w:rPr>
        <w:t>: elaboración propia, 2023.</w:t>
      </w:r>
    </w:p>
    <w:p w14:paraId="15AAA4E4" w14:textId="0E161DFE" w:rsidR="00B668A6" w:rsidRPr="00B668A6" w:rsidRDefault="00B668A6" w:rsidP="00184153">
      <w:pPr>
        <w:spacing w:line="360" w:lineRule="auto"/>
        <w:ind w:firstLine="720"/>
        <w:jc w:val="both"/>
        <w:rPr>
          <w:bCs/>
          <w:lang w:eastAsia="es-ES_tradnl"/>
        </w:rPr>
      </w:pPr>
      <w:r w:rsidRPr="00B668A6">
        <w:rPr>
          <w:bCs/>
          <w:lang w:val="es-CO" w:eastAsia="es-ES_tradnl"/>
        </w:rPr>
        <w:t xml:space="preserve">Seguidamente a partir de un análisis por perfil, se calcularon las puntuaciones acumulativas de valoración de las variables por individuo para a partir de estos resultados determinar su puntuación promedio acumulativo con lo cual se determinó los niveles bajo, medio y alto para el diagnóstico de ideación suicida en adolescentes escolares. Es importante anotar que la escala de los ítems asociados a las variables analizadas desarrolla el nivel de desacuerdo o acuerdo con el ítem o afirmación con 1 totalmente en desacuerdo </w:t>
      </w:r>
      <w:r w:rsidRPr="00B668A6">
        <w:rPr>
          <w:bCs/>
          <w:lang w:val="es-CO" w:eastAsia="es-ES_tradnl"/>
        </w:rPr>
        <w:lastRenderedPageBreak/>
        <w:t xml:space="preserve">y 6 totalmente de acuerdo. Se desarrolló un modelo de Red Neuronal Artificial-RNA utilizando el software IBM SPSS </w:t>
      </w:r>
      <w:proofErr w:type="spellStart"/>
      <w:r w:rsidRPr="00B668A6">
        <w:rPr>
          <w:bCs/>
          <w:lang w:val="es-CO" w:eastAsia="es-ES_tradnl"/>
        </w:rPr>
        <w:t>Statistics</w:t>
      </w:r>
      <w:proofErr w:type="spellEnd"/>
      <w:r w:rsidRPr="00B668A6">
        <w:rPr>
          <w:bCs/>
          <w:lang w:val="es-CO" w:eastAsia="es-ES_tradnl"/>
        </w:rPr>
        <w:t xml:space="preserve"> 25. En la estructuración de la red, se tomó como variables de entrada 6 ítems relacionados con los factores pensamientos, planes y manifestaciones suicidas, 2 capas ocultas, con función de activación tangente hiperbólica en las capas ocultas, función Sigmoide en la capa de salida y variable de salida o dependiente los niveles de riesgo de ideación suicida. </w:t>
      </w:r>
      <w:r>
        <w:rPr>
          <w:bCs/>
          <w:lang w:val="es-CO"/>
        </w:rPr>
        <w:t>En la figura 2</w:t>
      </w:r>
      <w:r w:rsidRPr="00B668A6">
        <w:rPr>
          <w:bCs/>
          <w:lang w:val="es-CO" w:eastAsia="es-ES_tradnl"/>
        </w:rPr>
        <w:t>, se muestra esquemáticamente el método para evaluar y pronosticar niveles de riesgo suicida en adolescentes escolarizados con fines diagnósticos.</w:t>
      </w:r>
    </w:p>
    <w:p w14:paraId="7E2F2AF5" w14:textId="1700D5E2" w:rsidR="00001354" w:rsidRPr="00001354" w:rsidRDefault="00001354" w:rsidP="00184153">
      <w:pPr>
        <w:pStyle w:val="Ttulosinternos"/>
        <w:rPr>
          <w:lang w:val="es-AR"/>
        </w:rPr>
      </w:pPr>
      <w:r w:rsidRPr="00001354">
        <w:rPr>
          <w:lang w:val="es-AR"/>
        </w:rPr>
        <w:t>Resultados</w:t>
      </w:r>
      <w:r w:rsidR="00B668A6">
        <w:rPr>
          <w:lang w:val="es-AR"/>
        </w:rPr>
        <w:t xml:space="preserve"> </w:t>
      </w:r>
    </w:p>
    <w:p w14:paraId="724EA849" w14:textId="66A7A7D0" w:rsidR="00B668A6" w:rsidRDefault="00B668A6" w:rsidP="00184153">
      <w:pPr>
        <w:pStyle w:val="Prrafocomn"/>
        <w:rPr>
          <w:bCs/>
          <w:lang w:val="es-CO"/>
        </w:rPr>
      </w:pPr>
      <w:r w:rsidRPr="00B668A6">
        <w:rPr>
          <w:bCs/>
          <w:lang w:val="es-CO"/>
        </w:rPr>
        <w:t xml:space="preserve">En el análisis de conglomerado, fueron evaluados diferentes criterios de agrupamiento y medidas de </w:t>
      </w:r>
      <w:proofErr w:type="spellStart"/>
      <w:r w:rsidRPr="00B668A6">
        <w:rPr>
          <w:bCs/>
          <w:lang w:val="es-CO"/>
        </w:rPr>
        <w:t>similaridad</w:t>
      </w:r>
      <w:proofErr w:type="spellEnd"/>
      <w:r w:rsidRPr="00B668A6">
        <w:rPr>
          <w:bCs/>
          <w:lang w:val="es-CO"/>
        </w:rPr>
        <w:t xml:space="preserve"> disponibles en el aplicativo de del software Minitab 18, observando los mejores resultados de niveles de homogeneidad intragrupo y heterogeneidad </w:t>
      </w:r>
      <w:proofErr w:type="spellStart"/>
      <w:r w:rsidRPr="00B668A6">
        <w:rPr>
          <w:bCs/>
          <w:lang w:val="es-CO"/>
        </w:rPr>
        <w:t>extragrupo</w:t>
      </w:r>
      <w:proofErr w:type="spellEnd"/>
      <w:r w:rsidRPr="00B668A6">
        <w:rPr>
          <w:bCs/>
          <w:lang w:val="es-CO"/>
        </w:rPr>
        <w:t xml:space="preserve"> con el criterio de agrupamiento Ward y medida de similitud la distancia euclidiana cuadrada con 3 conglomerados, como se puede observar en el </w:t>
      </w:r>
      <w:proofErr w:type="spellStart"/>
      <w:r w:rsidRPr="00B668A6">
        <w:rPr>
          <w:bCs/>
          <w:lang w:val="es-CO"/>
        </w:rPr>
        <w:t>dendograma</w:t>
      </w:r>
      <w:proofErr w:type="spellEnd"/>
      <w:r w:rsidRPr="00B668A6">
        <w:rPr>
          <w:bCs/>
          <w:lang w:val="es-CO"/>
        </w:rPr>
        <w:t xml:space="preserve"> de riesgo suicida en adolescentes escolarizado</w:t>
      </w:r>
      <w:r>
        <w:rPr>
          <w:bCs/>
          <w:lang w:val="es-CO"/>
        </w:rPr>
        <w:t>s de la figura 3</w:t>
      </w:r>
      <w:r w:rsidRPr="00B668A6">
        <w:rPr>
          <w:bCs/>
          <w:lang w:val="es-CO"/>
        </w:rPr>
        <w:t>.</w:t>
      </w:r>
    </w:p>
    <w:p w14:paraId="2B2B9865" w14:textId="1A1D4877" w:rsidR="00B668A6" w:rsidRPr="00B668A6" w:rsidRDefault="00B668A6" w:rsidP="00184153">
      <w:pPr>
        <w:pStyle w:val="Prrafocomn"/>
        <w:ind w:firstLine="0"/>
        <w:jc w:val="left"/>
        <w:rPr>
          <w:bCs/>
          <w:lang w:val="es-CO"/>
        </w:rPr>
      </w:pPr>
      <w:r w:rsidRPr="00B668A6">
        <w:rPr>
          <w:b/>
          <w:lang w:val="es-CO"/>
        </w:rPr>
        <w:t>Figura 4</w:t>
      </w:r>
      <w:r>
        <w:rPr>
          <w:lang w:val="es-CO"/>
        </w:rPr>
        <w:br/>
      </w:r>
      <w:proofErr w:type="spellStart"/>
      <w:r w:rsidRPr="00B668A6">
        <w:rPr>
          <w:i/>
          <w:color w:val="000000"/>
        </w:rPr>
        <w:t>Dendograma</w:t>
      </w:r>
      <w:proofErr w:type="spellEnd"/>
      <w:r w:rsidRPr="00B668A6">
        <w:rPr>
          <w:i/>
          <w:color w:val="000000"/>
        </w:rPr>
        <w:t xml:space="preserve"> de </w:t>
      </w:r>
      <w:proofErr w:type="spellStart"/>
      <w:r w:rsidRPr="00B668A6">
        <w:rPr>
          <w:i/>
          <w:color w:val="000000"/>
        </w:rPr>
        <w:t>ideación</w:t>
      </w:r>
      <w:proofErr w:type="spellEnd"/>
      <w:r w:rsidRPr="00B668A6">
        <w:rPr>
          <w:i/>
          <w:color w:val="000000"/>
        </w:rPr>
        <w:t xml:space="preserve"> </w:t>
      </w:r>
      <w:proofErr w:type="spellStart"/>
      <w:r w:rsidRPr="00B668A6">
        <w:rPr>
          <w:i/>
          <w:color w:val="000000"/>
        </w:rPr>
        <w:t>suicida</w:t>
      </w:r>
      <w:proofErr w:type="spellEnd"/>
      <w:r w:rsidRPr="00B668A6">
        <w:rPr>
          <w:i/>
          <w:color w:val="000000"/>
        </w:rPr>
        <w:t xml:space="preserve"> </w:t>
      </w:r>
      <w:proofErr w:type="spellStart"/>
      <w:r w:rsidRPr="00B668A6">
        <w:rPr>
          <w:i/>
          <w:color w:val="000000"/>
        </w:rPr>
        <w:t>en</w:t>
      </w:r>
      <w:proofErr w:type="spellEnd"/>
      <w:r w:rsidRPr="00B668A6">
        <w:rPr>
          <w:i/>
          <w:color w:val="000000"/>
        </w:rPr>
        <w:t xml:space="preserve"> </w:t>
      </w:r>
      <w:proofErr w:type="spellStart"/>
      <w:r w:rsidRPr="00B668A6">
        <w:rPr>
          <w:i/>
          <w:color w:val="000000"/>
        </w:rPr>
        <w:t>adolescentes</w:t>
      </w:r>
      <w:proofErr w:type="spellEnd"/>
      <w:r w:rsidRPr="00B668A6">
        <w:rPr>
          <w:i/>
          <w:color w:val="000000"/>
        </w:rPr>
        <w:t xml:space="preserve"> </w:t>
      </w:r>
      <w:proofErr w:type="spellStart"/>
      <w:r w:rsidRPr="00B668A6">
        <w:rPr>
          <w:i/>
          <w:color w:val="000000"/>
        </w:rPr>
        <w:t>escolarizado</w:t>
      </w:r>
      <w:proofErr w:type="spellEnd"/>
    </w:p>
    <w:p w14:paraId="25576F10" w14:textId="791B5F4E" w:rsidR="00B668A6" w:rsidRDefault="00B668A6" w:rsidP="00184153">
      <w:pPr>
        <w:pStyle w:val="Prrafocomn"/>
        <w:ind w:firstLine="0"/>
        <w:rPr>
          <w:bCs/>
          <w:lang w:val="es-ES_tradnl"/>
        </w:rPr>
      </w:pPr>
      <w:r w:rsidRPr="00B668A6">
        <w:rPr>
          <w:bCs/>
          <w:noProof/>
          <w:lang w:val="es-AR"/>
        </w:rPr>
        <w:drawing>
          <wp:inline distT="0" distB="0" distL="0" distR="0" wp14:anchorId="5612D4AF" wp14:editId="009DEF13">
            <wp:extent cx="5340953" cy="30416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5">
                      <a:extLst>
                        <a:ext uri="{28A0092B-C50C-407E-A947-70E740481C1C}">
                          <a14:useLocalDpi xmlns:a14="http://schemas.microsoft.com/office/drawing/2010/main" val="0"/>
                        </a:ext>
                      </a:extLst>
                    </a:blip>
                    <a:srcRect t="11111"/>
                    <a:stretch>
                      <a:fillRect/>
                    </a:stretch>
                  </pic:blipFill>
                  <pic:spPr bwMode="auto">
                    <a:xfrm>
                      <a:off x="0" y="0"/>
                      <a:ext cx="5388890" cy="3068950"/>
                    </a:xfrm>
                    <a:prstGeom prst="rect">
                      <a:avLst/>
                    </a:prstGeom>
                    <a:noFill/>
                    <a:ln>
                      <a:noFill/>
                    </a:ln>
                  </pic:spPr>
                </pic:pic>
              </a:graphicData>
            </a:graphic>
          </wp:inline>
        </w:drawing>
      </w:r>
    </w:p>
    <w:p w14:paraId="46672841" w14:textId="77777777" w:rsidR="00B668A6" w:rsidRPr="00B668A6" w:rsidRDefault="00B668A6" w:rsidP="00184153">
      <w:pPr>
        <w:pStyle w:val="Prrafocomn"/>
        <w:ind w:firstLine="0"/>
        <w:rPr>
          <w:bCs/>
          <w:lang w:val="es-AR"/>
        </w:rPr>
      </w:pPr>
      <w:r w:rsidRPr="00B47AC4">
        <w:rPr>
          <w:bCs/>
          <w:i/>
          <w:lang w:val="es-AR"/>
        </w:rPr>
        <w:t>Fuente</w:t>
      </w:r>
      <w:r w:rsidRPr="00B47AC4">
        <w:rPr>
          <w:bCs/>
          <w:lang w:val="es-AR"/>
        </w:rPr>
        <w:t>: elaboración propia, 2023.</w:t>
      </w:r>
    </w:p>
    <w:p w14:paraId="2A24327E" w14:textId="77777777" w:rsidR="00B668A6" w:rsidRDefault="00B668A6" w:rsidP="00184153">
      <w:pPr>
        <w:pStyle w:val="Prrafocomn"/>
        <w:ind w:firstLine="0"/>
        <w:rPr>
          <w:bCs/>
          <w:lang w:val="es-ES_tradnl"/>
        </w:rPr>
      </w:pPr>
    </w:p>
    <w:p w14:paraId="433404DE" w14:textId="73BC6995" w:rsidR="00B668A6" w:rsidRDefault="00B668A6" w:rsidP="00184153">
      <w:pPr>
        <w:pStyle w:val="Prrafocomn"/>
        <w:ind w:firstLine="0"/>
        <w:rPr>
          <w:bCs/>
          <w:lang w:val="es-ES_tradnl"/>
        </w:rPr>
      </w:pPr>
    </w:p>
    <w:p w14:paraId="014C4DAA" w14:textId="77777777" w:rsidR="00471F54" w:rsidRDefault="00471F54" w:rsidP="00184153">
      <w:pPr>
        <w:pStyle w:val="Prrafocomn"/>
        <w:rPr>
          <w:bCs/>
          <w:lang w:val="es-ES_tradnl"/>
        </w:rPr>
      </w:pPr>
    </w:p>
    <w:p w14:paraId="6DF0CE27" w14:textId="77777777" w:rsidR="00471F54" w:rsidRDefault="00471F54" w:rsidP="00184153">
      <w:pPr>
        <w:pStyle w:val="Prrafocomn"/>
        <w:rPr>
          <w:bCs/>
          <w:lang w:val="es-ES_tradnl"/>
        </w:rPr>
      </w:pPr>
    </w:p>
    <w:p w14:paraId="610431C3" w14:textId="020BF754" w:rsidR="008565A0" w:rsidRDefault="00B668A6" w:rsidP="00184153">
      <w:pPr>
        <w:pStyle w:val="Prrafocomn"/>
        <w:rPr>
          <w:bCs/>
          <w:lang w:val="es-CO"/>
        </w:rPr>
      </w:pPr>
      <w:r w:rsidRPr="00B668A6">
        <w:rPr>
          <w:bCs/>
          <w:lang w:val="es-CO"/>
        </w:rPr>
        <w:t>En la Tabla 1 se muestran los resultados de partición final del análisis de conglomerados con 467 observaciones que caracterizan el perfil 1, 118 observaciones en el perfil 2 y 53 observaciones en el perfil 3. La distancia promedio desde el centroide muestra un valor de 2,32 representativa del nivel de homogeneidad intragrupo.</w:t>
      </w:r>
    </w:p>
    <w:tbl>
      <w:tblPr>
        <w:tblW w:w="0" w:type="auto"/>
        <w:jc w:val="center"/>
        <w:tblCellMar>
          <w:top w:w="15" w:type="dxa"/>
          <w:left w:w="15" w:type="dxa"/>
          <w:bottom w:w="15" w:type="dxa"/>
          <w:right w:w="15" w:type="dxa"/>
        </w:tblCellMar>
        <w:tblLook w:val="04A0" w:firstRow="1" w:lastRow="0" w:firstColumn="1" w:lastColumn="0" w:noHBand="0" w:noVBand="1"/>
      </w:tblPr>
      <w:tblGrid>
        <w:gridCol w:w="1013"/>
        <w:gridCol w:w="830"/>
        <w:gridCol w:w="2293"/>
        <w:gridCol w:w="2167"/>
        <w:gridCol w:w="2201"/>
      </w:tblGrid>
      <w:tr w:rsidR="00B668A6" w:rsidRPr="000C1CC0" w14:paraId="661358F5" w14:textId="77777777" w:rsidTr="00A80311">
        <w:trPr>
          <w:trHeight w:val="398"/>
          <w:jc w:val="center"/>
        </w:trPr>
        <w:tc>
          <w:tcPr>
            <w:tcW w:w="9428" w:type="dxa"/>
            <w:gridSpan w:val="5"/>
            <w:shd w:val="clear" w:color="auto" w:fill="FFFFFF"/>
            <w:noWrap/>
            <w:tcMar>
              <w:top w:w="15" w:type="dxa"/>
              <w:left w:w="105" w:type="dxa"/>
              <w:bottom w:w="15" w:type="dxa"/>
              <w:right w:w="105" w:type="dxa"/>
            </w:tcMar>
            <w:vAlign w:val="center"/>
          </w:tcPr>
          <w:p w14:paraId="1F4CF302" w14:textId="77777777" w:rsidR="00B668A6" w:rsidRPr="000C1CC0" w:rsidRDefault="00B668A6" w:rsidP="00184153">
            <w:pPr>
              <w:spacing w:before="90" w:line="360" w:lineRule="auto"/>
              <w:rPr>
                <w:b/>
                <w:bCs/>
                <w:color w:val="000000"/>
              </w:rPr>
            </w:pPr>
            <w:r w:rsidRPr="000C1CC0">
              <w:rPr>
                <w:b/>
                <w:bCs/>
                <w:color w:val="000000"/>
              </w:rPr>
              <w:t>Tabla 1</w:t>
            </w:r>
          </w:p>
        </w:tc>
      </w:tr>
      <w:tr w:rsidR="00B668A6" w:rsidRPr="000C1CC0" w14:paraId="7184E0C9" w14:textId="77777777" w:rsidTr="00A80311">
        <w:trPr>
          <w:trHeight w:val="705"/>
          <w:jc w:val="center"/>
        </w:trPr>
        <w:tc>
          <w:tcPr>
            <w:tcW w:w="9428" w:type="dxa"/>
            <w:gridSpan w:val="5"/>
            <w:tcBorders>
              <w:bottom w:val="single" w:sz="4" w:space="0" w:color="auto"/>
            </w:tcBorders>
            <w:shd w:val="clear" w:color="auto" w:fill="FFFFFF"/>
            <w:noWrap/>
            <w:tcMar>
              <w:top w:w="15" w:type="dxa"/>
              <w:left w:w="105" w:type="dxa"/>
              <w:bottom w:w="15" w:type="dxa"/>
              <w:right w:w="105" w:type="dxa"/>
            </w:tcMar>
            <w:vAlign w:val="center"/>
          </w:tcPr>
          <w:p w14:paraId="0F48A8EA" w14:textId="77777777" w:rsidR="00B668A6" w:rsidRPr="000C1CC0" w:rsidRDefault="00B668A6" w:rsidP="00184153">
            <w:pPr>
              <w:spacing w:before="90" w:line="360" w:lineRule="auto"/>
              <w:rPr>
                <w:i/>
                <w:iCs/>
                <w:color w:val="000000"/>
              </w:rPr>
            </w:pPr>
            <w:r w:rsidRPr="000C1CC0">
              <w:rPr>
                <w:i/>
                <w:iCs/>
                <w:color w:val="000000"/>
              </w:rPr>
              <w:t xml:space="preserve">Distancia promedio y máxima desde centroide de los perfiles de </w:t>
            </w:r>
            <w:r>
              <w:rPr>
                <w:i/>
                <w:iCs/>
                <w:color w:val="000000"/>
              </w:rPr>
              <w:t>ideación</w:t>
            </w:r>
            <w:r w:rsidRPr="000C1CC0">
              <w:rPr>
                <w:i/>
                <w:iCs/>
                <w:color w:val="000000"/>
              </w:rPr>
              <w:t xml:space="preserve"> suicida en adolescentes escolarizados</w:t>
            </w:r>
          </w:p>
        </w:tc>
      </w:tr>
      <w:tr w:rsidR="00B668A6" w:rsidRPr="000C1CC0" w14:paraId="05F40196" w14:textId="77777777" w:rsidTr="00A80311">
        <w:trPr>
          <w:trHeight w:val="126"/>
          <w:jc w:val="center"/>
        </w:trPr>
        <w:tc>
          <w:tcPr>
            <w:tcW w:w="1112"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14:paraId="11B07FAD" w14:textId="77777777" w:rsidR="00B668A6" w:rsidRPr="005F46CA" w:rsidRDefault="00B668A6" w:rsidP="00184153">
            <w:pPr>
              <w:spacing w:line="360" w:lineRule="auto"/>
              <w:rPr>
                <w:b/>
                <w:bCs/>
                <w:color w:val="000000"/>
              </w:rPr>
            </w:pPr>
            <w:r w:rsidRPr="005F46CA">
              <w:rPr>
                <w:b/>
                <w:bCs/>
                <w:color w:val="000000"/>
              </w:rPr>
              <w:t>Perfil</w:t>
            </w:r>
          </w:p>
        </w:tc>
        <w:tc>
          <w:tcPr>
            <w:tcW w:w="907"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14:paraId="3B1EBEAE" w14:textId="77777777" w:rsidR="00B668A6" w:rsidRPr="006F6572" w:rsidRDefault="00B668A6" w:rsidP="00184153">
            <w:pPr>
              <w:spacing w:before="90" w:line="360" w:lineRule="auto"/>
              <w:rPr>
                <w:b/>
                <w:bCs/>
                <w:color w:val="000000"/>
              </w:rPr>
            </w:pPr>
            <w:r w:rsidRPr="006F6572">
              <w:rPr>
                <w:b/>
                <w:bCs/>
                <w:color w:val="000000"/>
              </w:rPr>
              <w:t>Casos</w:t>
            </w:r>
          </w:p>
        </w:tc>
        <w:tc>
          <w:tcPr>
            <w:tcW w:w="2551"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14:paraId="2585E0D8" w14:textId="77777777" w:rsidR="00B668A6" w:rsidRPr="006F6572" w:rsidRDefault="00B668A6" w:rsidP="00184153">
            <w:pPr>
              <w:spacing w:before="90" w:line="360" w:lineRule="auto"/>
              <w:rPr>
                <w:b/>
                <w:bCs/>
                <w:color w:val="000000"/>
              </w:rPr>
            </w:pPr>
            <w:r w:rsidRPr="006F6572">
              <w:rPr>
                <w:b/>
                <w:bCs/>
                <w:color w:val="000000"/>
              </w:rPr>
              <w:t>Dentro de la suma de</w:t>
            </w:r>
            <w:r w:rsidRPr="006F6572">
              <w:rPr>
                <w:b/>
                <w:bCs/>
                <w:color w:val="000000"/>
              </w:rPr>
              <w:br/>
              <w:t>cuadrados del clúster</w:t>
            </w:r>
          </w:p>
        </w:tc>
        <w:tc>
          <w:tcPr>
            <w:tcW w:w="2410"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14:paraId="1C0F8AD3" w14:textId="77777777" w:rsidR="00B668A6" w:rsidRPr="006F6572" w:rsidRDefault="00B668A6" w:rsidP="00184153">
            <w:pPr>
              <w:spacing w:before="90" w:line="360" w:lineRule="auto"/>
              <w:rPr>
                <w:b/>
                <w:bCs/>
                <w:color w:val="000000"/>
              </w:rPr>
            </w:pPr>
            <w:r w:rsidRPr="006F6572">
              <w:rPr>
                <w:b/>
                <w:bCs/>
                <w:color w:val="000000"/>
              </w:rPr>
              <w:t>Distancia promedio</w:t>
            </w:r>
            <w:r w:rsidRPr="006F6572">
              <w:rPr>
                <w:b/>
                <w:bCs/>
                <w:color w:val="000000"/>
              </w:rPr>
              <w:br/>
              <w:t>desde el centroide</w:t>
            </w:r>
          </w:p>
        </w:tc>
        <w:tc>
          <w:tcPr>
            <w:tcW w:w="2448" w:type="dxa"/>
            <w:tcBorders>
              <w:top w:val="single" w:sz="4" w:space="0" w:color="auto"/>
              <w:bottom w:val="single" w:sz="4" w:space="0" w:color="auto"/>
            </w:tcBorders>
            <w:shd w:val="clear" w:color="auto" w:fill="FFFFFF"/>
            <w:noWrap/>
            <w:tcMar>
              <w:top w:w="15" w:type="dxa"/>
              <w:left w:w="105" w:type="dxa"/>
              <w:bottom w:w="15" w:type="dxa"/>
              <w:right w:w="105" w:type="dxa"/>
            </w:tcMar>
            <w:vAlign w:val="center"/>
            <w:hideMark/>
          </w:tcPr>
          <w:p w14:paraId="1B4D77A7" w14:textId="77777777" w:rsidR="00B668A6" w:rsidRPr="006F6572" w:rsidRDefault="00B668A6" w:rsidP="00184153">
            <w:pPr>
              <w:spacing w:before="90" w:line="360" w:lineRule="auto"/>
              <w:rPr>
                <w:b/>
                <w:bCs/>
                <w:color w:val="000000"/>
              </w:rPr>
            </w:pPr>
            <w:r w:rsidRPr="006F6572">
              <w:rPr>
                <w:b/>
                <w:bCs/>
                <w:color w:val="000000"/>
              </w:rPr>
              <w:t>Distancia máxima desde centroide</w:t>
            </w:r>
          </w:p>
        </w:tc>
      </w:tr>
      <w:tr w:rsidR="00B668A6" w:rsidRPr="000C1CC0" w14:paraId="22D3B272" w14:textId="77777777" w:rsidTr="00A80311">
        <w:trPr>
          <w:trHeight w:val="154"/>
          <w:jc w:val="center"/>
        </w:trPr>
        <w:tc>
          <w:tcPr>
            <w:tcW w:w="1112" w:type="dxa"/>
            <w:tcBorders>
              <w:top w:val="single" w:sz="4" w:space="0" w:color="auto"/>
            </w:tcBorders>
            <w:shd w:val="clear" w:color="auto" w:fill="FFFFFF"/>
            <w:noWrap/>
            <w:tcMar>
              <w:top w:w="15" w:type="dxa"/>
              <w:left w:w="105" w:type="dxa"/>
              <w:bottom w:w="15" w:type="dxa"/>
              <w:right w:w="105" w:type="dxa"/>
            </w:tcMar>
            <w:vAlign w:val="center"/>
            <w:hideMark/>
          </w:tcPr>
          <w:p w14:paraId="7CED88A4" w14:textId="77777777" w:rsidR="00B668A6" w:rsidRPr="000C1CC0" w:rsidRDefault="00B668A6" w:rsidP="00184153">
            <w:pPr>
              <w:spacing w:before="90" w:line="360" w:lineRule="auto"/>
              <w:rPr>
                <w:color w:val="000000"/>
              </w:rPr>
            </w:pPr>
            <w:r w:rsidRPr="000C1CC0">
              <w:rPr>
                <w:color w:val="000000"/>
              </w:rPr>
              <w:t>1</w:t>
            </w:r>
          </w:p>
        </w:tc>
        <w:tc>
          <w:tcPr>
            <w:tcW w:w="907" w:type="dxa"/>
            <w:tcBorders>
              <w:top w:val="single" w:sz="4" w:space="0" w:color="auto"/>
            </w:tcBorders>
            <w:shd w:val="clear" w:color="auto" w:fill="FFFFFF"/>
            <w:noWrap/>
            <w:tcMar>
              <w:top w:w="15" w:type="dxa"/>
              <w:left w:w="105" w:type="dxa"/>
              <w:bottom w:w="15" w:type="dxa"/>
              <w:right w:w="105" w:type="dxa"/>
            </w:tcMar>
            <w:vAlign w:val="center"/>
            <w:hideMark/>
          </w:tcPr>
          <w:p w14:paraId="3FA001C6" w14:textId="77777777" w:rsidR="00B668A6" w:rsidRPr="000C1CC0" w:rsidRDefault="00B668A6" w:rsidP="00184153">
            <w:pPr>
              <w:spacing w:before="90" w:line="360" w:lineRule="auto"/>
              <w:rPr>
                <w:color w:val="000000"/>
              </w:rPr>
            </w:pPr>
            <w:r w:rsidRPr="000C1CC0">
              <w:rPr>
                <w:color w:val="000000"/>
              </w:rPr>
              <w:t>467</w:t>
            </w:r>
          </w:p>
        </w:tc>
        <w:tc>
          <w:tcPr>
            <w:tcW w:w="2551" w:type="dxa"/>
            <w:tcBorders>
              <w:top w:val="single" w:sz="4" w:space="0" w:color="auto"/>
            </w:tcBorders>
            <w:shd w:val="clear" w:color="auto" w:fill="FFFFFF"/>
            <w:noWrap/>
            <w:tcMar>
              <w:top w:w="15" w:type="dxa"/>
              <w:left w:w="105" w:type="dxa"/>
              <w:bottom w:w="15" w:type="dxa"/>
              <w:right w:w="105" w:type="dxa"/>
            </w:tcMar>
            <w:vAlign w:val="center"/>
            <w:hideMark/>
          </w:tcPr>
          <w:p w14:paraId="7870EF0E" w14:textId="77777777" w:rsidR="00B668A6" w:rsidRPr="000C1CC0" w:rsidRDefault="00B668A6" w:rsidP="00184153">
            <w:pPr>
              <w:spacing w:before="90" w:line="360" w:lineRule="auto"/>
              <w:rPr>
                <w:color w:val="000000"/>
              </w:rPr>
            </w:pPr>
            <w:r w:rsidRPr="000C1CC0">
              <w:rPr>
                <w:color w:val="000000"/>
              </w:rPr>
              <w:t>390,25</w:t>
            </w:r>
          </w:p>
        </w:tc>
        <w:tc>
          <w:tcPr>
            <w:tcW w:w="2410" w:type="dxa"/>
            <w:tcBorders>
              <w:top w:val="single" w:sz="4" w:space="0" w:color="auto"/>
            </w:tcBorders>
            <w:shd w:val="clear" w:color="auto" w:fill="FFFFFF"/>
            <w:noWrap/>
            <w:tcMar>
              <w:top w:w="15" w:type="dxa"/>
              <w:left w:w="105" w:type="dxa"/>
              <w:bottom w:w="15" w:type="dxa"/>
              <w:right w:w="105" w:type="dxa"/>
            </w:tcMar>
            <w:vAlign w:val="center"/>
            <w:hideMark/>
          </w:tcPr>
          <w:p w14:paraId="1F8FDC08" w14:textId="77777777" w:rsidR="00B668A6" w:rsidRPr="000C1CC0" w:rsidRDefault="00B668A6" w:rsidP="00184153">
            <w:pPr>
              <w:spacing w:before="90" w:line="360" w:lineRule="auto"/>
              <w:rPr>
                <w:color w:val="000000"/>
              </w:rPr>
            </w:pPr>
            <w:r w:rsidRPr="000C1CC0">
              <w:rPr>
                <w:color w:val="000000"/>
              </w:rPr>
              <w:t>0,56</w:t>
            </w:r>
          </w:p>
        </w:tc>
        <w:tc>
          <w:tcPr>
            <w:tcW w:w="2448" w:type="dxa"/>
            <w:tcBorders>
              <w:top w:val="single" w:sz="4" w:space="0" w:color="auto"/>
            </w:tcBorders>
            <w:shd w:val="clear" w:color="auto" w:fill="FFFFFF"/>
            <w:noWrap/>
            <w:tcMar>
              <w:top w:w="15" w:type="dxa"/>
              <w:left w:w="105" w:type="dxa"/>
              <w:bottom w:w="15" w:type="dxa"/>
              <w:right w:w="105" w:type="dxa"/>
            </w:tcMar>
            <w:vAlign w:val="center"/>
            <w:hideMark/>
          </w:tcPr>
          <w:p w14:paraId="6CF8E0C4" w14:textId="77777777" w:rsidR="00B668A6" w:rsidRPr="000C1CC0" w:rsidRDefault="00B668A6" w:rsidP="00184153">
            <w:pPr>
              <w:spacing w:before="90" w:line="360" w:lineRule="auto"/>
              <w:rPr>
                <w:color w:val="000000"/>
              </w:rPr>
            </w:pPr>
            <w:r w:rsidRPr="000C1CC0">
              <w:rPr>
                <w:color w:val="000000"/>
              </w:rPr>
              <w:t>3,08</w:t>
            </w:r>
          </w:p>
        </w:tc>
      </w:tr>
      <w:tr w:rsidR="00B668A6" w:rsidRPr="000C1CC0" w14:paraId="52D3E47E" w14:textId="77777777" w:rsidTr="00A80311">
        <w:trPr>
          <w:trHeight w:val="398"/>
          <w:jc w:val="center"/>
        </w:trPr>
        <w:tc>
          <w:tcPr>
            <w:tcW w:w="1112" w:type="dxa"/>
            <w:shd w:val="clear" w:color="auto" w:fill="FFFFFF"/>
            <w:noWrap/>
            <w:tcMar>
              <w:top w:w="15" w:type="dxa"/>
              <w:left w:w="105" w:type="dxa"/>
              <w:bottom w:w="15" w:type="dxa"/>
              <w:right w:w="105" w:type="dxa"/>
            </w:tcMar>
            <w:vAlign w:val="center"/>
            <w:hideMark/>
          </w:tcPr>
          <w:p w14:paraId="2E7180FA" w14:textId="77777777" w:rsidR="00B668A6" w:rsidRPr="000C1CC0" w:rsidRDefault="00B668A6" w:rsidP="00184153">
            <w:pPr>
              <w:spacing w:before="90" w:line="360" w:lineRule="auto"/>
              <w:rPr>
                <w:color w:val="000000"/>
              </w:rPr>
            </w:pPr>
            <w:r w:rsidRPr="000C1CC0">
              <w:rPr>
                <w:color w:val="000000"/>
              </w:rPr>
              <w:t>2</w:t>
            </w:r>
          </w:p>
        </w:tc>
        <w:tc>
          <w:tcPr>
            <w:tcW w:w="907" w:type="dxa"/>
            <w:shd w:val="clear" w:color="auto" w:fill="FFFFFF"/>
            <w:noWrap/>
            <w:tcMar>
              <w:top w:w="15" w:type="dxa"/>
              <w:left w:w="105" w:type="dxa"/>
              <w:bottom w:w="15" w:type="dxa"/>
              <w:right w:w="105" w:type="dxa"/>
            </w:tcMar>
            <w:vAlign w:val="center"/>
            <w:hideMark/>
          </w:tcPr>
          <w:p w14:paraId="536DCE30" w14:textId="77777777" w:rsidR="00B668A6" w:rsidRPr="000C1CC0" w:rsidRDefault="00B668A6" w:rsidP="00184153">
            <w:pPr>
              <w:spacing w:before="90" w:line="360" w:lineRule="auto"/>
              <w:rPr>
                <w:color w:val="000000"/>
              </w:rPr>
            </w:pPr>
            <w:r w:rsidRPr="000C1CC0">
              <w:rPr>
                <w:color w:val="000000"/>
              </w:rPr>
              <w:t>118</w:t>
            </w:r>
          </w:p>
        </w:tc>
        <w:tc>
          <w:tcPr>
            <w:tcW w:w="2551" w:type="dxa"/>
            <w:shd w:val="clear" w:color="auto" w:fill="FFFFFF"/>
            <w:noWrap/>
            <w:tcMar>
              <w:top w:w="15" w:type="dxa"/>
              <w:left w:w="105" w:type="dxa"/>
              <w:bottom w:w="15" w:type="dxa"/>
              <w:right w:w="105" w:type="dxa"/>
            </w:tcMar>
            <w:vAlign w:val="center"/>
            <w:hideMark/>
          </w:tcPr>
          <w:p w14:paraId="368BD956" w14:textId="77777777" w:rsidR="00B668A6" w:rsidRPr="000C1CC0" w:rsidRDefault="00B668A6" w:rsidP="00184153">
            <w:pPr>
              <w:spacing w:before="90" w:line="360" w:lineRule="auto"/>
              <w:rPr>
                <w:color w:val="000000"/>
              </w:rPr>
            </w:pPr>
            <w:r w:rsidRPr="000C1CC0">
              <w:rPr>
                <w:color w:val="000000"/>
              </w:rPr>
              <w:t>1163,52</w:t>
            </w:r>
          </w:p>
        </w:tc>
        <w:tc>
          <w:tcPr>
            <w:tcW w:w="2410" w:type="dxa"/>
            <w:shd w:val="clear" w:color="auto" w:fill="FFFFFF"/>
            <w:noWrap/>
            <w:tcMar>
              <w:top w:w="15" w:type="dxa"/>
              <w:left w:w="105" w:type="dxa"/>
              <w:bottom w:w="15" w:type="dxa"/>
              <w:right w:w="105" w:type="dxa"/>
            </w:tcMar>
            <w:vAlign w:val="center"/>
            <w:hideMark/>
          </w:tcPr>
          <w:p w14:paraId="2E1D802D" w14:textId="77777777" w:rsidR="00B668A6" w:rsidRPr="000C1CC0" w:rsidRDefault="00B668A6" w:rsidP="00184153">
            <w:pPr>
              <w:spacing w:before="90" w:line="360" w:lineRule="auto"/>
              <w:rPr>
                <w:color w:val="000000"/>
              </w:rPr>
            </w:pPr>
            <w:r w:rsidRPr="000C1CC0">
              <w:rPr>
                <w:color w:val="000000"/>
              </w:rPr>
              <w:t>2,88</w:t>
            </w:r>
          </w:p>
        </w:tc>
        <w:tc>
          <w:tcPr>
            <w:tcW w:w="2448" w:type="dxa"/>
            <w:shd w:val="clear" w:color="auto" w:fill="FFFFFF"/>
            <w:noWrap/>
            <w:tcMar>
              <w:top w:w="15" w:type="dxa"/>
              <w:left w:w="105" w:type="dxa"/>
              <w:bottom w:w="15" w:type="dxa"/>
              <w:right w:w="105" w:type="dxa"/>
            </w:tcMar>
            <w:vAlign w:val="center"/>
            <w:hideMark/>
          </w:tcPr>
          <w:p w14:paraId="3CCB0036" w14:textId="77777777" w:rsidR="00B668A6" w:rsidRPr="000C1CC0" w:rsidRDefault="00B668A6" w:rsidP="00184153">
            <w:pPr>
              <w:spacing w:before="90" w:line="360" w:lineRule="auto"/>
              <w:rPr>
                <w:color w:val="000000"/>
              </w:rPr>
            </w:pPr>
            <w:r w:rsidRPr="000C1CC0">
              <w:rPr>
                <w:color w:val="000000"/>
              </w:rPr>
              <w:t>6,03</w:t>
            </w:r>
          </w:p>
        </w:tc>
      </w:tr>
      <w:tr w:rsidR="00B668A6" w:rsidRPr="000C1CC0" w14:paraId="7777D206" w14:textId="77777777" w:rsidTr="00A80311">
        <w:trPr>
          <w:trHeight w:val="385"/>
          <w:jc w:val="center"/>
        </w:trPr>
        <w:tc>
          <w:tcPr>
            <w:tcW w:w="1112" w:type="dxa"/>
            <w:shd w:val="clear" w:color="auto" w:fill="FFFFFF"/>
            <w:noWrap/>
            <w:tcMar>
              <w:top w:w="15" w:type="dxa"/>
              <w:left w:w="105" w:type="dxa"/>
              <w:bottom w:w="15" w:type="dxa"/>
              <w:right w:w="105" w:type="dxa"/>
            </w:tcMar>
            <w:vAlign w:val="center"/>
            <w:hideMark/>
          </w:tcPr>
          <w:p w14:paraId="25F19D8D" w14:textId="77777777" w:rsidR="00B668A6" w:rsidRPr="000C1CC0" w:rsidRDefault="00B668A6" w:rsidP="00184153">
            <w:pPr>
              <w:spacing w:before="90" w:line="360" w:lineRule="auto"/>
              <w:rPr>
                <w:color w:val="000000"/>
              </w:rPr>
            </w:pPr>
            <w:r w:rsidRPr="000C1CC0">
              <w:rPr>
                <w:color w:val="000000"/>
              </w:rPr>
              <w:t>3</w:t>
            </w:r>
          </w:p>
        </w:tc>
        <w:tc>
          <w:tcPr>
            <w:tcW w:w="907" w:type="dxa"/>
            <w:shd w:val="clear" w:color="auto" w:fill="FFFFFF"/>
            <w:noWrap/>
            <w:tcMar>
              <w:top w:w="15" w:type="dxa"/>
              <w:left w:w="105" w:type="dxa"/>
              <w:bottom w:w="15" w:type="dxa"/>
              <w:right w:w="105" w:type="dxa"/>
            </w:tcMar>
            <w:vAlign w:val="center"/>
            <w:hideMark/>
          </w:tcPr>
          <w:p w14:paraId="4135F3A7" w14:textId="77777777" w:rsidR="00B668A6" w:rsidRPr="000C1CC0" w:rsidRDefault="00B668A6" w:rsidP="00184153">
            <w:pPr>
              <w:spacing w:before="90" w:line="360" w:lineRule="auto"/>
              <w:rPr>
                <w:color w:val="000000"/>
              </w:rPr>
            </w:pPr>
            <w:r w:rsidRPr="000C1CC0">
              <w:rPr>
                <w:color w:val="000000"/>
              </w:rPr>
              <w:t>53</w:t>
            </w:r>
          </w:p>
        </w:tc>
        <w:tc>
          <w:tcPr>
            <w:tcW w:w="2551" w:type="dxa"/>
            <w:shd w:val="clear" w:color="auto" w:fill="FFFFFF"/>
            <w:noWrap/>
            <w:tcMar>
              <w:top w:w="15" w:type="dxa"/>
              <w:left w:w="105" w:type="dxa"/>
              <w:bottom w:w="15" w:type="dxa"/>
              <w:right w:w="105" w:type="dxa"/>
            </w:tcMar>
            <w:vAlign w:val="center"/>
            <w:hideMark/>
          </w:tcPr>
          <w:p w14:paraId="4DD127CE" w14:textId="77777777" w:rsidR="00B668A6" w:rsidRPr="000C1CC0" w:rsidRDefault="00B668A6" w:rsidP="00184153">
            <w:pPr>
              <w:spacing w:before="90" w:line="360" w:lineRule="auto"/>
              <w:rPr>
                <w:color w:val="000000"/>
              </w:rPr>
            </w:pPr>
            <w:r w:rsidRPr="000C1CC0">
              <w:rPr>
                <w:color w:val="000000"/>
              </w:rPr>
              <w:t>732,49</w:t>
            </w:r>
          </w:p>
        </w:tc>
        <w:tc>
          <w:tcPr>
            <w:tcW w:w="2410" w:type="dxa"/>
            <w:shd w:val="clear" w:color="auto" w:fill="FFFFFF"/>
            <w:noWrap/>
            <w:tcMar>
              <w:top w:w="15" w:type="dxa"/>
              <w:left w:w="105" w:type="dxa"/>
              <w:bottom w:w="15" w:type="dxa"/>
              <w:right w:w="105" w:type="dxa"/>
            </w:tcMar>
            <w:vAlign w:val="center"/>
            <w:hideMark/>
          </w:tcPr>
          <w:p w14:paraId="6BF0F761" w14:textId="77777777" w:rsidR="00B668A6" w:rsidRPr="000C1CC0" w:rsidRDefault="00B668A6" w:rsidP="00184153">
            <w:pPr>
              <w:spacing w:before="90" w:line="360" w:lineRule="auto"/>
              <w:rPr>
                <w:color w:val="000000"/>
              </w:rPr>
            </w:pPr>
            <w:r w:rsidRPr="000C1CC0">
              <w:rPr>
                <w:color w:val="000000"/>
              </w:rPr>
              <w:t>3,50</w:t>
            </w:r>
          </w:p>
        </w:tc>
        <w:tc>
          <w:tcPr>
            <w:tcW w:w="2448" w:type="dxa"/>
            <w:shd w:val="clear" w:color="auto" w:fill="FFFFFF"/>
            <w:noWrap/>
            <w:tcMar>
              <w:top w:w="15" w:type="dxa"/>
              <w:left w:w="105" w:type="dxa"/>
              <w:bottom w:w="15" w:type="dxa"/>
              <w:right w:w="105" w:type="dxa"/>
            </w:tcMar>
            <w:vAlign w:val="center"/>
            <w:hideMark/>
          </w:tcPr>
          <w:p w14:paraId="164F3382" w14:textId="77777777" w:rsidR="00B668A6" w:rsidRPr="000C1CC0" w:rsidRDefault="00B668A6" w:rsidP="00184153">
            <w:pPr>
              <w:spacing w:before="90" w:line="360" w:lineRule="auto"/>
              <w:rPr>
                <w:color w:val="000000"/>
              </w:rPr>
            </w:pPr>
            <w:r w:rsidRPr="000C1CC0">
              <w:rPr>
                <w:color w:val="000000"/>
              </w:rPr>
              <w:t>6,54</w:t>
            </w:r>
          </w:p>
        </w:tc>
      </w:tr>
      <w:tr w:rsidR="00B668A6" w:rsidRPr="000C1CC0" w14:paraId="0D291449" w14:textId="77777777" w:rsidTr="00A80311">
        <w:trPr>
          <w:trHeight w:val="55"/>
          <w:jc w:val="center"/>
        </w:trPr>
        <w:tc>
          <w:tcPr>
            <w:tcW w:w="4570" w:type="dxa"/>
            <w:gridSpan w:val="3"/>
            <w:tcBorders>
              <w:bottom w:val="single" w:sz="4" w:space="0" w:color="auto"/>
            </w:tcBorders>
            <w:shd w:val="clear" w:color="auto" w:fill="FFFFFF"/>
            <w:noWrap/>
            <w:tcMar>
              <w:top w:w="15" w:type="dxa"/>
              <w:left w:w="105" w:type="dxa"/>
              <w:bottom w:w="15" w:type="dxa"/>
              <w:right w:w="105" w:type="dxa"/>
            </w:tcMar>
            <w:vAlign w:val="center"/>
          </w:tcPr>
          <w:p w14:paraId="4AC11B2D" w14:textId="77777777" w:rsidR="00B668A6" w:rsidRPr="000C1CC0" w:rsidRDefault="00B668A6" w:rsidP="00184153">
            <w:pPr>
              <w:spacing w:before="90" w:line="360" w:lineRule="auto"/>
              <w:rPr>
                <w:color w:val="000000"/>
              </w:rPr>
            </w:pPr>
            <w:r w:rsidRPr="000C1CC0">
              <w:rPr>
                <w:color w:val="000000"/>
              </w:rPr>
              <w:t>Promedio</w:t>
            </w:r>
            <w:r>
              <w:rPr>
                <w:color w:val="000000"/>
              </w:rPr>
              <w:t xml:space="preserve"> Global</w:t>
            </w:r>
          </w:p>
        </w:tc>
        <w:tc>
          <w:tcPr>
            <w:tcW w:w="2410" w:type="dxa"/>
            <w:tcBorders>
              <w:bottom w:val="single" w:sz="4" w:space="0" w:color="auto"/>
            </w:tcBorders>
            <w:shd w:val="clear" w:color="auto" w:fill="FFFFFF"/>
            <w:noWrap/>
            <w:tcMar>
              <w:top w:w="15" w:type="dxa"/>
              <w:left w:w="105" w:type="dxa"/>
              <w:bottom w:w="15" w:type="dxa"/>
              <w:right w:w="105" w:type="dxa"/>
            </w:tcMar>
            <w:vAlign w:val="center"/>
          </w:tcPr>
          <w:p w14:paraId="6D3C75DF" w14:textId="77777777" w:rsidR="00B668A6" w:rsidRPr="000C1CC0" w:rsidRDefault="00B668A6" w:rsidP="00184153">
            <w:pPr>
              <w:spacing w:line="360" w:lineRule="auto"/>
              <w:rPr>
                <w:color w:val="000000"/>
              </w:rPr>
            </w:pPr>
            <w:r w:rsidRPr="000C1CC0">
              <w:rPr>
                <w:color w:val="000000"/>
              </w:rPr>
              <w:t>2,3</w:t>
            </w:r>
            <w:r>
              <w:rPr>
                <w:color w:val="000000"/>
              </w:rPr>
              <w:t>2</w:t>
            </w:r>
          </w:p>
        </w:tc>
        <w:tc>
          <w:tcPr>
            <w:tcW w:w="2448" w:type="dxa"/>
            <w:tcBorders>
              <w:bottom w:val="single" w:sz="4" w:space="0" w:color="auto"/>
            </w:tcBorders>
            <w:shd w:val="clear" w:color="auto" w:fill="FFFFFF"/>
            <w:noWrap/>
            <w:tcMar>
              <w:top w:w="15" w:type="dxa"/>
              <w:left w:w="105" w:type="dxa"/>
              <w:bottom w:w="15" w:type="dxa"/>
              <w:right w:w="105" w:type="dxa"/>
            </w:tcMar>
            <w:vAlign w:val="center"/>
          </w:tcPr>
          <w:p w14:paraId="4382D4C3" w14:textId="77777777" w:rsidR="00B668A6" w:rsidRPr="000C1CC0" w:rsidRDefault="00B668A6" w:rsidP="00184153">
            <w:pPr>
              <w:spacing w:line="360" w:lineRule="auto"/>
              <w:rPr>
                <w:color w:val="000000"/>
              </w:rPr>
            </w:pPr>
            <w:r w:rsidRPr="000C1CC0">
              <w:rPr>
                <w:color w:val="000000"/>
              </w:rPr>
              <w:t>5,22</w:t>
            </w:r>
          </w:p>
        </w:tc>
      </w:tr>
    </w:tbl>
    <w:p w14:paraId="7BFBE705" w14:textId="77777777" w:rsidR="00B668A6" w:rsidRDefault="00B668A6" w:rsidP="00184153">
      <w:pPr>
        <w:spacing w:line="360" w:lineRule="auto"/>
        <w:ind w:firstLine="708"/>
        <w:rPr>
          <w:color w:val="000000"/>
        </w:rPr>
      </w:pPr>
    </w:p>
    <w:p w14:paraId="0F80BEBB" w14:textId="62CC6B3C" w:rsidR="00256492" w:rsidRDefault="00B668A6" w:rsidP="00184153">
      <w:pPr>
        <w:pStyle w:val="Prrafocomn"/>
        <w:spacing w:after="120" w:line="440" w:lineRule="exact"/>
        <w:ind w:firstLine="709"/>
        <w:rPr>
          <w:lang w:val="es-CO"/>
        </w:rPr>
      </w:pPr>
      <w:r w:rsidRPr="00B668A6">
        <w:rPr>
          <w:lang w:val="es-CO"/>
        </w:rPr>
        <w:t xml:space="preserve">En la Tabla 2 se presentan los resultados en el promedio de puntuación acumulada de las variables por perfil, así como el nivel varianza y resultados de las distancias entre centroides, con nivel de distancia promedio de 5,56 lo cual es representativo del nivel de heterogeneidad </w:t>
      </w:r>
      <w:proofErr w:type="spellStart"/>
      <w:r w:rsidRPr="00B668A6">
        <w:rPr>
          <w:lang w:val="es-CO"/>
        </w:rPr>
        <w:t>extragrupo</w:t>
      </w:r>
      <w:proofErr w:type="spellEnd"/>
      <w:r w:rsidRPr="00B668A6">
        <w:rPr>
          <w:lang w:val="es-CO"/>
        </w:rPr>
        <w:t xml:space="preserve"> de los perfiles. Lo anterior permitió clasificar la ideación suicida en nivel bajo, medio y alto en función de la puntuación promedio obtenida por los 3 perfiles, siendo mayor la ideación suicida tanto mayor sea su puntuación. </w:t>
      </w:r>
    </w:p>
    <w:tbl>
      <w:tblPr>
        <w:tblW w:w="8593" w:type="dxa"/>
        <w:tblLook w:val="04A0" w:firstRow="1" w:lastRow="0" w:firstColumn="1" w:lastColumn="0" w:noHBand="0" w:noVBand="1"/>
      </w:tblPr>
      <w:tblGrid>
        <w:gridCol w:w="709"/>
        <w:gridCol w:w="576"/>
        <w:gridCol w:w="636"/>
        <w:gridCol w:w="1356"/>
        <w:gridCol w:w="1259"/>
        <w:gridCol w:w="1134"/>
        <w:gridCol w:w="993"/>
        <w:gridCol w:w="982"/>
        <w:gridCol w:w="948"/>
      </w:tblGrid>
      <w:tr w:rsidR="00B668A6" w:rsidRPr="002A249C" w14:paraId="11717A9E" w14:textId="77777777" w:rsidTr="00030148">
        <w:trPr>
          <w:trHeight w:val="290"/>
        </w:trPr>
        <w:tc>
          <w:tcPr>
            <w:tcW w:w="8591" w:type="dxa"/>
            <w:gridSpan w:val="9"/>
            <w:shd w:val="clear" w:color="auto" w:fill="auto"/>
            <w:noWrap/>
            <w:vAlign w:val="center"/>
          </w:tcPr>
          <w:p w14:paraId="2FEC25C3" w14:textId="77777777" w:rsidR="00B668A6" w:rsidRPr="00B668A6" w:rsidRDefault="00B668A6" w:rsidP="00184153">
            <w:pPr>
              <w:spacing w:line="360" w:lineRule="auto"/>
              <w:rPr>
                <w:b/>
                <w:color w:val="000000"/>
              </w:rPr>
            </w:pPr>
            <w:r w:rsidRPr="00B668A6">
              <w:rPr>
                <w:b/>
                <w:color w:val="000000"/>
              </w:rPr>
              <w:t>Tabla 2</w:t>
            </w:r>
          </w:p>
        </w:tc>
      </w:tr>
      <w:tr w:rsidR="00B668A6" w:rsidRPr="002A249C" w14:paraId="5BB659B8" w14:textId="77777777" w:rsidTr="00030148">
        <w:trPr>
          <w:trHeight w:val="290"/>
        </w:trPr>
        <w:tc>
          <w:tcPr>
            <w:tcW w:w="8591" w:type="dxa"/>
            <w:gridSpan w:val="9"/>
            <w:tcBorders>
              <w:bottom w:val="single" w:sz="4" w:space="0" w:color="auto"/>
            </w:tcBorders>
            <w:shd w:val="clear" w:color="auto" w:fill="auto"/>
            <w:noWrap/>
            <w:vAlign w:val="center"/>
          </w:tcPr>
          <w:p w14:paraId="4979AB88" w14:textId="77777777" w:rsidR="00B668A6" w:rsidRPr="002A249C" w:rsidRDefault="00B668A6" w:rsidP="00184153">
            <w:pPr>
              <w:spacing w:line="360" w:lineRule="auto"/>
              <w:rPr>
                <w:i/>
                <w:iCs/>
                <w:color w:val="000000"/>
              </w:rPr>
            </w:pPr>
            <w:r w:rsidRPr="002A249C">
              <w:rPr>
                <w:i/>
                <w:iCs/>
                <w:color w:val="000000"/>
              </w:rPr>
              <w:t xml:space="preserve">Caracterización de perfiles de </w:t>
            </w:r>
            <w:r>
              <w:rPr>
                <w:i/>
                <w:iCs/>
                <w:color w:val="000000"/>
              </w:rPr>
              <w:t>ideación</w:t>
            </w:r>
            <w:r w:rsidRPr="002A249C">
              <w:rPr>
                <w:i/>
                <w:iCs/>
                <w:color w:val="000000"/>
              </w:rPr>
              <w:t xml:space="preserve"> suicida en adolescentes escolarizados</w:t>
            </w:r>
          </w:p>
        </w:tc>
      </w:tr>
      <w:tr w:rsidR="00B668A6" w:rsidRPr="002A249C" w14:paraId="4D4E552A" w14:textId="77777777" w:rsidTr="00030148">
        <w:trPr>
          <w:trHeight w:val="290"/>
        </w:trPr>
        <w:tc>
          <w:tcPr>
            <w:tcW w:w="709" w:type="dxa"/>
            <w:vMerge w:val="restart"/>
            <w:tcBorders>
              <w:top w:val="single" w:sz="4" w:space="0" w:color="auto"/>
            </w:tcBorders>
            <w:shd w:val="clear" w:color="auto" w:fill="auto"/>
            <w:noWrap/>
            <w:vAlign w:val="center"/>
            <w:hideMark/>
          </w:tcPr>
          <w:p w14:paraId="7D9CD576" w14:textId="77777777" w:rsidR="00B668A6" w:rsidRPr="000C1CC0" w:rsidRDefault="00B668A6" w:rsidP="00184153">
            <w:pPr>
              <w:spacing w:line="360" w:lineRule="auto"/>
              <w:ind w:left="-110"/>
              <w:rPr>
                <w:b/>
                <w:bCs/>
                <w:color w:val="000000"/>
                <w:lang w:val="en-US"/>
              </w:rPr>
            </w:pPr>
            <w:proofErr w:type="spellStart"/>
            <w:r w:rsidRPr="000C1CC0">
              <w:rPr>
                <w:b/>
                <w:bCs/>
                <w:color w:val="000000"/>
                <w:lang w:val="en-US"/>
              </w:rPr>
              <w:t>Perfil</w:t>
            </w:r>
            <w:proofErr w:type="spellEnd"/>
          </w:p>
        </w:tc>
        <w:tc>
          <w:tcPr>
            <w:tcW w:w="576" w:type="dxa"/>
            <w:vMerge w:val="restart"/>
            <w:tcBorders>
              <w:top w:val="single" w:sz="4" w:space="0" w:color="auto"/>
            </w:tcBorders>
            <w:shd w:val="clear" w:color="auto" w:fill="auto"/>
            <w:noWrap/>
            <w:vAlign w:val="center"/>
            <w:hideMark/>
          </w:tcPr>
          <w:p w14:paraId="04B6061C" w14:textId="77777777" w:rsidR="00B668A6" w:rsidRPr="000C1CC0" w:rsidRDefault="00B668A6" w:rsidP="00184153">
            <w:pPr>
              <w:spacing w:line="360" w:lineRule="auto"/>
              <w:rPr>
                <w:b/>
                <w:bCs/>
                <w:color w:val="000000"/>
                <w:lang w:val="en-US"/>
              </w:rPr>
            </w:pPr>
            <w:r w:rsidRPr="000C1CC0">
              <w:rPr>
                <w:b/>
                <w:bCs/>
                <w:color w:val="000000"/>
                <w:lang w:val="en-US"/>
              </w:rPr>
              <w:t>N</w:t>
            </w:r>
          </w:p>
        </w:tc>
        <w:tc>
          <w:tcPr>
            <w:tcW w:w="636" w:type="dxa"/>
            <w:vMerge w:val="restart"/>
            <w:tcBorders>
              <w:top w:val="single" w:sz="4" w:space="0" w:color="auto"/>
            </w:tcBorders>
            <w:vAlign w:val="center"/>
          </w:tcPr>
          <w:p w14:paraId="5615058F" w14:textId="77777777" w:rsidR="00B668A6" w:rsidRPr="000C1CC0" w:rsidRDefault="00B668A6" w:rsidP="00184153">
            <w:pPr>
              <w:spacing w:line="360" w:lineRule="auto"/>
              <w:rPr>
                <w:b/>
                <w:bCs/>
                <w:color w:val="000000"/>
                <w:lang w:val="en-US"/>
              </w:rPr>
            </w:pPr>
            <w:r w:rsidRPr="000C1CC0">
              <w:rPr>
                <w:b/>
                <w:bCs/>
                <w:color w:val="000000"/>
                <w:lang w:val="en-US"/>
              </w:rPr>
              <w:t>%</w:t>
            </w:r>
          </w:p>
        </w:tc>
        <w:tc>
          <w:tcPr>
            <w:tcW w:w="1356" w:type="dxa"/>
            <w:vMerge w:val="restart"/>
            <w:tcBorders>
              <w:top w:val="single" w:sz="4" w:space="0" w:color="auto"/>
            </w:tcBorders>
            <w:shd w:val="clear" w:color="auto" w:fill="auto"/>
            <w:noWrap/>
            <w:vAlign w:val="center"/>
            <w:hideMark/>
          </w:tcPr>
          <w:p w14:paraId="7F833149" w14:textId="77777777" w:rsidR="00B668A6" w:rsidRPr="000C1CC0" w:rsidRDefault="00B668A6" w:rsidP="00184153">
            <w:pPr>
              <w:spacing w:line="360" w:lineRule="auto"/>
              <w:rPr>
                <w:b/>
                <w:bCs/>
                <w:color w:val="000000"/>
                <w:lang w:val="en-US"/>
              </w:rPr>
            </w:pPr>
            <w:proofErr w:type="spellStart"/>
            <w:r>
              <w:rPr>
                <w:b/>
                <w:bCs/>
                <w:color w:val="000000"/>
                <w:lang w:val="en-US"/>
              </w:rPr>
              <w:t>Valoración</w:t>
            </w:r>
            <w:proofErr w:type="spellEnd"/>
            <w:r>
              <w:rPr>
                <w:b/>
                <w:bCs/>
                <w:color w:val="000000"/>
                <w:lang w:val="en-US"/>
              </w:rPr>
              <w:t xml:space="preserve"> </w:t>
            </w:r>
            <w:proofErr w:type="spellStart"/>
            <w:r>
              <w:rPr>
                <w:b/>
                <w:bCs/>
                <w:color w:val="000000"/>
                <w:lang w:val="en-US"/>
              </w:rPr>
              <w:t>promedio</w:t>
            </w:r>
            <w:proofErr w:type="spellEnd"/>
          </w:p>
        </w:tc>
        <w:tc>
          <w:tcPr>
            <w:tcW w:w="1259" w:type="dxa"/>
            <w:vMerge w:val="restart"/>
            <w:tcBorders>
              <w:top w:val="single" w:sz="4" w:space="0" w:color="auto"/>
            </w:tcBorders>
            <w:shd w:val="clear" w:color="auto" w:fill="auto"/>
            <w:noWrap/>
            <w:vAlign w:val="center"/>
            <w:hideMark/>
          </w:tcPr>
          <w:p w14:paraId="6706C4C3" w14:textId="77777777" w:rsidR="00B668A6" w:rsidRPr="000C1CC0" w:rsidRDefault="00B668A6" w:rsidP="00184153">
            <w:pPr>
              <w:spacing w:line="360" w:lineRule="auto"/>
              <w:rPr>
                <w:b/>
                <w:bCs/>
                <w:color w:val="000000"/>
                <w:lang w:val="en-US"/>
              </w:rPr>
            </w:pPr>
            <w:r w:rsidRPr="000C1CC0">
              <w:rPr>
                <w:b/>
                <w:bCs/>
                <w:color w:val="000000"/>
                <w:lang w:val="en-US"/>
              </w:rPr>
              <w:t>Varianza</w:t>
            </w:r>
          </w:p>
        </w:tc>
        <w:tc>
          <w:tcPr>
            <w:tcW w:w="1134" w:type="dxa"/>
            <w:vMerge w:val="restart"/>
            <w:tcBorders>
              <w:top w:val="single" w:sz="4" w:space="0" w:color="auto"/>
            </w:tcBorders>
            <w:shd w:val="clear" w:color="auto" w:fill="auto"/>
            <w:noWrap/>
            <w:vAlign w:val="center"/>
            <w:hideMark/>
          </w:tcPr>
          <w:p w14:paraId="09B767CD" w14:textId="77777777" w:rsidR="00B668A6" w:rsidRPr="000C1CC0" w:rsidRDefault="00B668A6" w:rsidP="00184153">
            <w:pPr>
              <w:spacing w:line="360" w:lineRule="auto"/>
              <w:rPr>
                <w:b/>
                <w:bCs/>
                <w:color w:val="000000"/>
                <w:lang w:val="en-US"/>
              </w:rPr>
            </w:pPr>
            <w:r w:rsidRPr="000C1CC0">
              <w:rPr>
                <w:b/>
                <w:bCs/>
                <w:color w:val="000000"/>
                <w:lang w:val="en-US"/>
              </w:rPr>
              <w:t xml:space="preserve">Nivel de </w:t>
            </w:r>
            <w:proofErr w:type="spellStart"/>
            <w:r w:rsidRPr="000C1CC0">
              <w:rPr>
                <w:b/>
                <w:bCs/>
                <w:color w:val="000000"/>
                <w:lang w:val="en-US"/>
              </w:rPr>
              <w:t>riesgo</w:t>
            </w:r>
            <w:proofErr w:type="spellEnd"/>
          </w:p>
        </w:tc>
        <w:tc>
          <w:tcPr>
            <w:tcW w:w="2921" w:type="dxa"/>
            <w:gridSpan w:val="3"/>
            <w:tcBorders>
              <w:top w:val="single" w:sz="4" w:space="0" w:color="auto"/>
            </w:tcBorders>
          </w:tcPr>
          <w:p w14:paraId="5C15D9B8" w14:textId="77777777" w:rsidR="00B668A6" w:rsidRPr="000C1CC0" w:rsidRDefault="00B668A6" w:rsidP="00184153">
            <w:pPr>
              <w:spacing w:line="360" w:lineRule="auto"/>
              <w:ind w:left="-110"/>
              <w:rPr>
                <w:b/>
                <w:bCs/>
                <w:color w:val="000000"/>
                <w:lang w:val="en-US"/>
              </w:rPr>
            </w:pPr>
            <w:r w:rsidRPr="000C1CC0">
              <w:rPr>
                <w:b/>
                <w:bCs/>
                <w:color w:val="000000"/>
              </w:rPr>
              <w:t>Distancia entre centroides</w:t>
            </w:r>
          </w:p>
        </w:tc>
      </w:tr>
      <w:tr w:rsidR="00B668A6" w:rsidRPr="002A249C" w14:paraId="019A7A64" w14:textId="77777777" w:rsidTr="00030148">
        <w:trPr>
          <w:trHeight w:val="290"/>
        </w:trPr>
        <w:tc>
          <w:tcPr>
            <w:tcW w:w="709" w:type="dxa"/>
            <w:vMerge/>
            <w:tcBorders>
              <w:bottom w:val="single" w:sz="4" w:space="0" w:color="auto"/>
            </w:tcBorders>
            <w:shd w:val="clear" w:color="auto" w:fill="auto"/>
            <w:noWrap/>
            <w:vAlign w:val="center"/>
          </w:tcPr>
          <w:p w14:paraId="5126069F" w14:textId="77777777" w:rsidR="00B668A6" w:rsidRPr="002A249C" w:rsidRDefault="00B668A6" w:rsidP="00184153">
            <w:pPr>
              <w:spacing w:line="360" w:lineRule="auto"/>
              <w:rPr>
                <w:color w:val="000000"/>
                <w:lang w:val="en-US"/>
              </w:rPr>
            </w:pPr>
          </w:p>
        </w:tc>
        <w:tc>
          <w:tcPr>
            <w:tcW w:w="576" w:type="dxa"/>
            <w:vMerge/>
            <w:tcBorders>
              <w:bottom w:val="single" w:sz="4" w:space="0" w:color="auto"/>
            </w:tcBorders>
            <w:shd w:val="clear" w:color="auto" w:fill="auto"/>
            <w:noWrap/>
            <w:vAlign w:val="center"/>
          </w:tcPr>
          <w:p w14:paraId="3AD8DDD9" w14:textId="77777777" w:rsidR="00B668A6" w:rsidRPr="002A249C" w:rsidRDefault="00B668A6" w:rsidP="00184153">
            <w:pPr>
              <w:spacing w:line="360" w:lineRule="auto"/>
              <w:rPr>
                <w:color w:val="000000"/>
                <w:lang w:val="en-US"/>
              </w:rPr>
            </w:pPr>
          </w:p>
        </w:tc>
        <w:tc>
          <w:tcPr>
            <w:tcW w:w="636" w:type="dxa"/>
            <w:vMerge/>
            <w:tcBorders>
              <w:bottom w:val="single" w:sz="4" w:space="0" w:color="auto"/>
            </w:tcBorders>
            <w:vAlign w:val="center"/>
          </w:tcPr>
          <w:p w14:paraId="2CC3B0BD" w14:textId="77777777" w:rsidR="00B668A6" w:rsidRPr="002A249C" w:rsidRDefault="00B668A6" w:rsidP="00184153">
            <w:pPr>
              <w:spacing w:line="360" w:lineRule="auto"/>
              <w:rPr>
                <w:color w:val="000000"/>
                <w:lang w:val="en-US"/>
              </w:rPr>
            </w:pPr>
          </w:p>
        </w:tc>
        <w:tc>
          <w:tcPr>
            <w:tcW w:w="1356" w:type="dxa"/>
            <w:vMerge/>
            <w:tcBorders>
              <w:bottom w:val="single" w:sz="4" w:space="0" w:color="auto"/>
            </w:tcBorders>
            <w:shd w:val="clear" w:color="auto" w:fill="auto"/>
            <w:noWrap/>
            <w:vAlign w:val="center"/>
          </w:tcPr>
          <w:p w14:paraId="6A601381" w14:textId="77777777" w:rsidR="00B668A6" w:rsidRPr="002A249C" w:rsidRDefault="00B668A6" w:rsidP="00184153">
            <w:pPr>
              <w:spacing w:line="360" w:lineRule="auto"/>
              <w:rPr>
                <w:color w:val="000000"/>
                <w:lang w:val="en-US"/>
              </w:rPr>
            </w:pPr>
          </w:p>
        </w:tc>
        <w:tc>
          <w:tcPr>
            <w:tcW w:w="1259" w:type="dxa"/>
            <w:vMerge/>
            <w:tcBorders>
              <w:bottom w:val="single" w:sz="4" w:space="0" w:color="auto"/>
            </w:tcBorders>
            <w:shd w:val="clear" w:color="auto" w:fill="auto"/>
            <w:noWrap/>
            <w:vAlign w:val="center"/>
          </w:tcPr>
          <w:p w14:paraId="02D93BB2" w14:textId="77777777" w:rsidR="00B668A6" w:rsidRPr="002A249C" w:rsidRDefault="00B668A6" w:rsidP="00184153">
            <w:pPr>
              <w:spacing w:line="360" w:lineRule="auto"/>
              <w:rPr>
                <w:color w:val="000000"/>
                <w:lang w:val="en-US"/>
              </w:rPr>
            </w:pPr>
          </w:p>
        </w:tc>
        <w:tc>
          <w:tcPr>
            <w:tcW w:w="1134" w:type="dxa"/>
            <w:vMerge/>
            <w:tcBorders>
              <w:bottom w:val="single" w:sz="4" w:space="0" w:color="auto"/>
            </w:tcBorders>
            <w:shd w:val="clear" w:color="auto" w:fill="auto"/>
            <w:noWrap/>
            <w:vAlign w:val="center"/>
          </w:tcPr>
          <w:p w14:paraId="62D3CA7E" w14:textId="77777777" w:rsidR="00B668A6" w:rsidRPr="002A249C" w:rsidRDefault="00B668A6" w:rsidP="00184153">
            <w:pPr>
              <w:spacing w:line="360" w:lineRule="auto"/>
              <w:rPr>
                <w:color w:val="000000"/>
                <w:lang w:val="en-US"/>
              </w:rPr>
            </w:pPr>
          </w:p>
        </w:tc>
        <w:tc>
          <w:tcPr>
            <w:tcW w:w="993" w:type="dxa"/>
            <w:tcBorders>
              <w:bottom w:val="single" w:sz="4" w:space="0" w:color="auto"/>
            </w:tcBorders>
          </w:tcPr>
          <w:p w14:paraId="720C31C5" w14:textId="77777777" w:rsidR="00B668A6" w:rsidRPr="00AC3F67" w:rsidRDefault="00B668A6" w:rsidP="00184153">
            <w:pPr>
              <w:spacing w:line="360" w:lineRule="auto"/>
              <w:rPr>
                <w:i/>
                <w:iCs/>
                <w:color w:val="000000"/>
              </w:rPr>
            </w:pPr>
            <w:proofErr w:type="spellStart"/>
            <w:r w:rsidRPr="00AC3F67">
              <w:rPr>
                <w:color w:val="000000"/>
                <w:lang w:val="en-US"/>
              </w:rPr>
              <w:t>Perfil</w:t>
            </w:r>
            <w:proofErr w:type="spellEnd"/>
            <w:r w:rsidRPr="00AC3F67">
              <w:rPr>
                <w:color w:val="000000"/>
                <w:lang w:val="en-US"/>
              </w:rPr>
              <w:t xml:space="preserve"> 1</w:t>
            </w:r>
          </w:p>
        </w:tc>
        <w:tc>
          <w:tcPr>
            <w:tcW w:w="982" w:type="dxa"/>
            <w:tcBorders>
              <w:bottom w:val="single" w:sz="4" w:space="0" w:color="auto"/>
            </w:tcBorders>
          </w:tcPr>
          <w:p w14:paraId="58DE35EC" w14:textId="77777777" w:rsidR="00B668A6" w:rsidRPr="00AC3F67" w:rsidRDefault="00B668A6" w:rsidP="00184153">
            <w:pPr>
              <w:spacing w:line="360" w:lineRule="auto"/>
              <w:rPr>
                <w:i/>
                <w:iCs/>
                <w:color w:val="000000"/>
              </w:rPr>
            </w:pPr>
            <w:proofErr w:type="spellStart"/>
            <w:r w:rsidRPr="00AC3F67">
              <w:rPr>
                <w:color w:val="000000"/>
                <w:lang w:val="en-US"/>
              </w:rPr>
              <w:t>Perfil</w:t>
            </w:r>
            <w:proofErr w:type="spellEnd"/>
            <w:r w:rsidRPr="00AC3F67">
              <w:rPr>
                <w:color w:val="000000"/>
                <w:lang w:val="en-US"/>
              </w:rPr>
              <w:t xml:space="preserve"> 2</w:t>
            </w:r>
          </w:p>
        </w:tc>
        <w:tc>
          <w:tcPr>
            <w:tcW w:w="948" w:type="dxa"/>
            <w:tcBorders>
              <w:bottom w:val="single" w:sz="4" w:space="0" w:color="auto"/>
            </w:tcBorders>
          </w:tcPr>
          <w:p w14:paraId="5FC7732D" w14:textId="77777777" w:rsidR="00B668A6" w:rsidRPr="00AC3F67" w:rsidRDefault="00B668A6" w:rsidP="00184153">
            <w:pPr>
              <w:spacing w:line="360" w:lineRule="auto"/>
              <w:rPr>
                <w:i/>
                <w:iCs/>
                <w:color w:val="000000"/>
              </w:rPr>
            </w:pPr>
            <w:proofErr w:type="spellStart"/>
            <w:r w:rsidRPr="00AC3F67">
              <w:rPr>
                <w:color w:val="000000"/>
                <w:lang w:val="en-US"/>
              </w:rPr>
              <w:t>Perfil</w:t>
            </w:r>
            <w:proofErr w:type="spellEnd"/>
            <w:r w:rsidRPr="00AC3F67">
              <w:rPr>
                <w:color w:val="000000"/>
                <w:lang w:val="en-US"/>
              </w:rPr>
              <w:t xml:space="preserve"> 3</w:t>
            </w:r>
          </w:p>
        </w:tc>
      </w:tr>
      <w:tr w:rsidR="00B668A6" w:rsidRPr="002A249C" w14:paraId="7DAF820B" w14:textId="77777777" w:rsidTr="00030148">
        <w:trPr>
          <w:trHeight w:val="290"/>
        </w:trPr>
        <w:tc>
          <w:tcPr>
            <w:tcW w:w="709" w:type="dxa"/>
            <w:tcBorders>
              <w:top w:val="single" w:sz="4" w:space="0" w:color="auto"/>
            </w:tcBorders>
            <w:shd w:val="clear" w:color="auto" w:fill="auto"/>
            <w:noWrap/>
            <w:vAlign w:val="center"/>
            <w:hideMark/>
          </w:tcPr>
          <w:p w14:paraId="1E55F72B" w14:textId="77777777" w:rsidR="00B668A6" w:rsidRPr="002A249C" w:rsidRDefault="00B668A6" w:rsidP="00184153">
            <w:pPr>
              <w:spacing w:line="360" w:lineRule="auto"/>
              <w:rPr>
                <w:color w:val="000000"/>
                <w:lang w:val="en-US"/>
              </w:rPr>
            </w:pPr>
            <w:r w:rsidRPr="002A249C">
              <w:rPr>
                <w:color w:val="000000"/>
                <w:lang w:val="en-US"/>
              </w:rPr>
              <w:t>1</w:t>
            </w:r>
          </w:p>
        </w:tc>
        <w:tc>
          <w:tcPr>
            <w:tcW w:w="576" w:type="dxa"/>
            <w:tcBorders>
              <w:top w:val="single" w:sz="4" w:space="0" w:color="auto"/>
            </w:tcBorders>
            <w:shd w:val="clear" w:color="auto" w:fill="auto"/>
            <w:noWrap/>
            <w:vAlign w:val="center"/>
            <w:hideMark/>
          </w:tcPr>
          <w:p w14:paraId="62F7DFDF" w14:textId="77777777" w:rsidR="00B668A6" w:rsidRPr="002A249C" w:rsidRDefault="00B668A6" w:rsidP="00184153">
            <w:pPr>
              <w:spacing w:line="360" w:lineRule="auto"/>
              <w:rPr>
                <w:color w:val="000000"/>
                <w:lang w:val="en-US"/>
              </w:rPr>
            </w:pPr>
            <w:r w:rsidRPr="002A249C">
              <w:rPr>
                <w:color w:val="000000"/>
                <w:lang w:val="en-US"/>
              </w:rPr>
              <w:t>467</w:t>
            </w:r>
          </w:p>
        </w:tc>
        <w:tc>
          <w:tcPr>
            <w:tcW w:w="636" w:type="dxa"/>
            <w:tcBorders>
              <w:top w:val="single" w:sz="4" w:space="0" w:color="auto"/>
            </w:tcBorders>
            <w:vAlign w:val="center"/>
          </w:tcPr>
          <w:p w14:paraId="5A545CA4" w14:textId="77777777" w:rsidR="00B668A6" w:rsidRPr="002A249C" w:rsidRDefault="00B668A6" w:rsidP="00184153">
            <w:pPr>
              <w:spacing w:line="360" w:lineRule="auto"/>
              <w:rPr>
                <w:color w:val="000000"/>
                <w:lang w:val="en-US"/>
              </w:rPr>
            </w:pPr>
            <w:r w:rsidRPr="002A249C">
              <w:rPr>
                <w:color w:val="000000"/>
                <w:lang w:val="en-US"/>
              </w:rPr>
              <w:t>73,2</w:t>
            </w:r>
          </w:p>
        </w:tc>
        <w:tc>
          <w:tcPr>
            <w:tcW w:w="1356" w:type="dxa"/>
            <w:tcBorders>
              <w:top w:val="single" w:sz="4" w:space="0" w:color="auto"/>
            </w:tcBorders>
            <w:shd w:val="clear" w:color="auto" w:fill="auto"/>
            <w:noWrap/>
            <w:vAlign w:val="center"/>
            <w:hideMark/>
          </w:tcPr>
          <w:p w14:paraId="7172F404" w14:textId="77777777" w:rsidR="00B668A6" w:rsidRPr="002A249C" w:rsidRDefault="00B668A6" w:rsidP="00184153">
            <w:pPr>
              <w:spacing w:line="360" w:lineRule="auto"/>
              <w:rPr>
                <w:color w:val="000000"/>
                <w:lang w:val="en-US"/>
              </w:rPr>
            </w:pPr>
            <w:r w:rsidRPr="002A249C">
              <w:rPr>
                <w:color w:val="000000"/>
                <w:lang w:val="en-US"/>
              </w:rPr>
              <w:t>6,31</w:t>
            </w:r>
          </w:p>
        </w:tc>
        <w:tc>
          <w:tcPr>
            <w:tcW w:w="1259" w:type="dxa"/>
            <w:tcBorders>
              <w:top w:val="single" w:sz="4" w:space="0" w:color="auto"/>
            </w:tcBorders>
            <w:shd w:val="clear" w:color="auto" w:fill="auto"/>
            <w:noWrap/>
            <w:vAlign w:val="center"/>
            <w:hideMark/>
          </w:tcPr>
          <w:p w14:paraId="620821A1" w14:textId="77777777" w:rsidR="00B668A6" w:rsidRPr="002A249C" w:rsidRDefault="00B668A6" w:rsidP="00184153">
            <w:pPr>
              <w:spacing w:line="360" w:lineRule="auto"/>
              <w:rPr>
                <w:color w:val="000000"/>
                <w:lang w:val="en-US"/>
              </w:rPr>
            </w:pPr>
            <w:r w:rsidRPr="002A249C">
              <w:rPr>
                <w:color w:val="000000"/>
                <w:lang w:val="en-US"/>
              </w:rPr>
              <w:t>2,15</w:t>
            </w:r>
          </w:p>
        </w:tc>
        <w:tc>
          <w:tcPr>
            <w:tcW w:w="1134" w:type="dxa"/>
            <w:tcBorders>
              <w:top w:val="single" w:sz="4" w:space="0" w:color="auto"/>
            </w:tcBorders>
            <w:shd w:val="clear" w:color="auto" w:fill="auto"/>
            <w:noWrap/>
            <w:vAlign w:val="center"/>
            <w:hideMark/>
          </w:tcPr>
          <w:p w14:paraId="6CFF1825" w14:textId="77777777" w:rsidR="00B668A6" w:rsidRPr="002A249C" w:rsidRDefault="00B668A6" w:rsidP="00184153">
            <w:pPr>
              <w:spacing w:line="360" w:lineRule="auto"/>
              <w:rPr>
                <w:color w:val="000000"/>
                <w:lang w:val="en-US"/>
              </w:rPr>
            </w:pPr>
            <w:r w:rsidRPr="002A249C">
              <w:rPr>
                <w:color w:val="000000"/>
                <w:lang w:val="en-US"/>
              </w:rPr>
              <w:t>Bajo</w:t>
            </w:r>
          </w:p>
        </w:tc>
        <w:tc>
          <w:tcPr>
            <w:tcW w:w="993" w:type="dxa"/>
            <w:tcBorders>
              <w:top w:val="single" w:sz="4" w:space="0" w:color="auto"/>
            </w:tcBorders>
          </w:tcPr>
          <w:p w14:paraId="114E2A8C" w14:textId="77777777" w:rsidR="00B668A6" w:rsidRPr="002A249C" w:rsidRDefault="00B668A6" w:rsidP="00184153">
            <w:pPr>
              <w:spacing w:line="360" w:lineRule="auto"/>
              <w:rPr>
                <w:color w:val="000000"/>
                <w:lang w:val="en-US"/>
              </w:rPr>
            </w:pPr>
            <w:r w:rsidRPr="002A249C">
              <w:rPr>
                <w:color w:val="000000"/>
                <w:lang w:val="en-US"/>
              </w:rPr>
              <w:t>-</w:t>
            </w:r>
          </w:p>
        </w:tc>
        <w:tc>
          <w:tcPr>
            <w:tcW w:w="982" w:type="dxa"/>
            <w:tcBorders>
              <w:top w:val="single" w:sz="4" w:space="0" w:color="auto"/>
            </w:tcBorders>
            <w:vAlign w:val="center"/>
          </w:tcPr>
          <w:p w14:paraId="7EC2EDEF" w14:textId="77777777" w:rsidR="00B668A6" w:rsidRPr="002A249C" w:rsidRDefault="00B668A6" w:rsidP="00184153">
            <w:pPr>
              <w:spacing w:line="360" w:lineRule="auto"/>
              <w:rPr>
                <w:color w:val="000000"/>
                <w:lang w:val="en-US"/>
              </w:rPr>
            </w:pPr>
            <w:r w:rsidRPr="002A249C">
              <w:rPr>
                <w:color w:val="000000"/>
                <w:lang w:val="en-US"/>
              </w:rPr>
              <w:t>2,96</w:t>
            </w:r>
          </w:p>
        </w:tc>
        <w:tc>
          <w:tcPr>
            <w:tcW w:w="948" w:type="dxa"/>
            <w:tcBorders>
              <w:top w:val="single" w:sz="4" w:space="0" w:color="auto"/>
            </w:tcBorders>
            <w:vAlign w:val="center"/>
          </w:tcPr>
          <w:p w14:paraId="172EE90E" w14:textId="77777777" w:rsidR="00B668A6" w:rsidRPr="002A249C" w:rsidRDefault="00B668A6" w:rsidP="00184153">
            <w:pPr>
              <w:spacing w:line="360" w:lineRule="auto"/>
              <w:rPr>
                <w:color w:val="000000"/>
                <w:lang w:val="en-US"/>
              </w:rPr>
            </w:pPr>
            <w:r w:rsidRPr="002A249C">
              <w:rPr>
                <w:color w:val="000000"/>
                <w:lang w:val="en-US"/>
              </w:rPr>
              <w:t>8,25</w:t>
            </w:r>
          </w:p>
        </w:tc>
      </w:tr>
      <w:tr w:rsidR="00B668A6" w:rsidRPr="002A249C" w14:paraId="30BED7D9" w14:textId="77777777" w:rsidTr="00030148">
        <w:trPr>
          <w:trHeight w:val="290"/>
        </w:trPr>
        <w:tc>
          <w:tcPr>
            <w:tcW w:w="709" w:type="dxa"/>
            <w:shd w:val="clear" w:color="auto" w:fill="auto"/>
            <w:noWrap/>
            <w:vAlign w:val="center"/>
            <w:hideMark/>
          </w:tcPr>
          <w:p w14:paraId="511CD688" w14:textId="77777777" w:rsidR="00B668A6" w:rsidRPr="002A249C" w:rsidRDefault="00B668A6" w:rsidP="00184153">
            <w:pPr>
              <w:spacing w:line="360" w:lineRule="auto"/>
              <w:rPr>
                <w:color w:val="000000"/>
                <w:lang w:val="en-US"/>
              </w:rPr>
            </w:pPr>
            <w:r w:rsidRPr="002A249C">
              <w:rPr>
                <w:color w:val="000000"/>
                <w:lang w:val="en-US"/>
              </w:rPr>
              <w:t>2</w:t>
            </w:r>
          </w:p>
        </w:tc>
        <w:tc>
          <w:tcPr>
            <w:tcW w:w="576" w:type="dxa"/>
            <w:shd w:val="clear" w:color="auto" w:fill="auto"/>
            <w:noWrap/>
            <w:vAlign w:val="center"/>
            <w:hideMark/>
          </w:tcPr>
          <w:p w14:paraId="5A5F0708" w14:textId="77777777" w:rsidR="00B668A6" w:rsidRPr="002A249C" w:rsidRDefault="00B668A6" w:rsidP="00184153">
            <w:pPr>
              <w:spacing w:line="360" w:lineRule="auto"/>
              <w:rPr>
                <w:color w:val="000000"/>
                <w:lang w:val="en-US"/>
              </w:rPr>
            </w:pPr>
            <w:r w:rsidRPr="002A249C">
              <w:rPr>
                <w:color w:val="000000"/>
                <w:lang w:val="en-US"/>
              </w:rPr>
              <w:t>118</w:t>
            </w:r>
          </w:p>
        </w:tc>
        <w:tc>
          <w:tcPr>
            <w:tcW w:w="636" w:type="dxa"/>
            <w:vAlign w:val="center"/>
          </w:tcPr>
          <w:p w14:paraId="0A9D9FC4" w14:textId="77777777" w:rsidR="00B668A6" w:rsidRPr="002A249C" w:rsidRDefault="00B668A6" w:rsidP="00184153">
            <w:pPr>
              <w:spacing w:line="360" w:lineRule="auto"/>
              <w:rPr>
                <w:color w:val="000000"/>
                <w:lang w:val="en-US"/>
              </w:rPr>
            </w:pPr>
            <w:r w:rsidRPr="002A249C">
              <w:rPr>
                <w:color w:val="000000"/>
                <w:lang w:val="en-US"/>
              </w:rPr>
              <w:t>18,5</w:t>
            </w:r>
          </w:p>
        </w:tc>
        <w:tc>
          <w:tcPr>
            <w:tcW w:w="1356" w:type="dxa"/>
            <w:shd w:val="clear" w:color="auto" w:fill="auto"/>
            <w:noWrap/>
            <w:vAlign w:val="center"/>
            <w:hideMark/>
          </w:tcPr>
          <w:p w14:paraId="5C06DE38" w14:textId="77777777" w:rsidR="00B668A6" w:rsidRPr="002A249C" w:rsidRDefault="00B668A6" w:rsidP="00184153">
            <w:pPr>
              <w:spacing w:line="360" w:lineRule="auto"/>
              <w:rPr>
                <w:color w:val="000000"/>
                <w:lang w:val="en-US"/>
              </w:rPr>
            </w:pPr>
            <w:r w:rsidRPr="002A249C">
              <w:rPr>
                <w:color w:val="000000"/>
                <w:lang w:val="en-US"/>
              </w:rPr>
              <w:t>13,21</w:t>
            </w:r>
          </w:p>
        </w:tc>
        <w:tc>
          <w:tcPr>
            <w:tcW w:w="1259" w:type="dxa"/>
            <w:shd w:val="clear" w:color="auto" w:fill="auto"/>
            <w:noWrap/>
            <w:vAlign w:val="center"/>
            <w:hideMark/>
          </w:tcPr>
          <w:p w14:paraId="0E87F725" w14:textId="77777777" w:rsidR="00B668A6" w:rsidRPr="002A249C" w:rsidRDefault="00B668A6" w:rsidP="00184153">
            <w:pPr>
              <w:spacing w:line="360" w:lineRule="auto"/>
              <w:rPr>
                <w:color w:val="000000"/>
                <w:lang w:val="en-US"/>
              </w:rPr>
            </w:pPr>
            <w:r w:rsidRPr="002A249C">
              <w:rPr>
                <w:color w:val="000000"/>
                <w:lang w:val="en-US"/>
              </w:rPr>
              <w:t>9,57</w:t>
            </w:r>
          </w:p>
        </w:tc>
        <w:tc>
          <w:tcPr>
            <w:tcW w:w="1134" w:type="dxa"/>
            <w:shd w:val="clear" w:color="auto" w:fill="auto"/>
            <w:noWrap/>
            <w:vAlign w:val="center"/>
            <w:hideMark/>
          </w:tcPr>
          <w:p w14:paraId="1120F008" w14:textId="77777777" w:rsidR="00B668A6" w:rsidRPr="002A249C" w:rsidRDefault="00B668A6" w:rsidP="00184153">
            <w:pPr>
              <w:spacing w:line="360" w:lineRule="auto"/>
              <w:rPr>
                <w:color w:val="000000"/>
                <w:lang w:val="en-US"/>
              </w:rPr>
            </w:pPr>
            <w:r w:rsidRPr="002A249C">
              <w:rPr>
                <w:color w:val="000000"/>
                <w:lang w:val="en-US"/>
              </w:rPr>
              <w:t>Medio</w:t>
            </w:r>
          </w:p>
        </w:tc>
        <w:tc>
          <w:tcPr>
            <w:tcW w:w="993" w:type="dxa"/>
          </w:tcPr>
          <w:p w14:paraId="37A50F1D" w14:textId="77777777" w:rsidR="00B668A6" w:rsidRPr="002A249C" w:rsidRDefault="00B668A6" w:rsidP="00184153">
            <w:pPr>
              <w:spacing w:line="360" w:lineRule="auto"/>
              <w:rPr>
                <w:color w:val="000000"/>
                <w:lang w:val="en-US"/>
              </w:rPr>
            </w:pPr>
            <w:r w:rsidRPr="002A249C">
              <w:rPr>
                <w:color w:val="000000"/>
                <w:lang w:val="en-US"/>
              </w:rPr>
              <w:t>-</w:t>
            </w:r>
          </w:p>
        </w:tc>
        <w:tc>
          <w:tcPr>
            <w:tcW w:w="982" w:type="dxa"/>
          </w:tcPr>
          <w:p w14:paraId="5241ABD1" w14:textId="77777777" w:rsidR="00B668A6" w:rsidRPr="002A249C" w:rsidRDefault="00B668A6" w:rsidP="00184153">
            <w:pPr>
              <w:spacing w:line="360" w:lineRule="auto"/>
              <w:rPr>
                <w:color w:val="000000"/>
                <w:lang w:val="en-US"/>
              </w:rPr>
            </w:pPr>
            <w:r w:rsidRPr="002A249C">
              <w:rPr>
                <w:color w:val="000000"/>
                <w:lang w:val="en-US"/>
              </w:rPr>
              <w:t>-</w:t>
            </w:r>
          </w:p>
        </w:tc>
        <w:tc>
          <w:tcPr>
            <w:tcW w:w="948" w:type="dxa"/>
          </w:tcPr>
          <w:p w14:paraId="3C695A6D" w14:textId="77777777" w:rsidR="00B668A6" w:rsidRPr="002A249C" w:rsidRDefault="00B668A6" w:rsidP="00184153">
            <w:pPr>
              <w:spacing w:line="360" w:lineRule="auto"/>
              <w:rPr>
                <w:color w:val="000000"/>
                <w:lang w:val="en-US"/>
              </w:rPr>
            </w:pPr>
            <w:r w:rsidRPr="00AC3F67">
              <w:rPr>
                <w:color w:val="000000"/>
                <w:lang w:val="en-US"/>
              </w:rPr>
              <w:t>5,49</w:t>
            </w:r>
          </w:p>
        </w:tc>
      </w:tr>
      <w:tr w:rsidR="00B668A6" w:rsidRPr="002A249C" w14:paraId="5BBE90FD" w14:textId="77777777" w:rsidTr="00030148">
        <w:trPr>
          <w:trHeight w:val="290"/>
        </w:trPr>
        <w:tc>
          <w:tcPr>
            <w:tcW w:w="709" w:type="dxa"/>
            <w:tcBorders>
              <w:bottom w:val="single" w:sz="4" w:space="0" w:color="auto"/>
            </w:tcBorders>
            <w:shd w:val="clear" w:color="auto" w:fill="auto"/>
            <w:noWrap/>
            <w:vAlign w:val="center"/>
            <w:hideMark/>
          </w:tcPr>
          <w:p w14:paraId="246B67EA" w14:textId="77777777" w:rsidR="00B668A6" w:rsidRPr="002A249C" w:rsidRDefault="00B668A6" w:rsidP="00184153">
            <w:pPr>
              <w:spacing w:line="360" w:lineRule="auto"/>
              <w:rPr>
                <w:color w:val="000000"/>
                <w:lang w:val="en-US"/>
              </w:rPr>
            </w:pPr>
            <w:r w:rsidRPr="002A249C">
              <w:rPr>
                <w:color w:val="000000"/>
                <w:lang w:val="en-US"/>
              </w:rPr>
              <w:t>3</w:t>
            </w:r>
          </w:p>
        </w:tc>
        <w:tc>
          <w:tcPr>
            <w:tcW w:w="576" w:type="dxa"/>
            <w:tcBorders>
              <w:bottom w:val="single" w:sz="4" w:space="0" w:color="auto"/>
            </w:tcBorders>
            <w:shd w:val="clear" w:color="auto" w:fill="auto"/>
            <w:noWrap/>
            <w:vAlign w:val="center"/>
            <w:hideMark/>
          </w:tcPr>
          <w:p w14:paraId="477E4BCE" w14:textId="77777777" w:rsidR="00B668A6" w:rsidRPr="002A249C" w:rsidRDefault="00B668A6" w:rsidP="00184153">
            <w:pPr>
              <w:spacing w:line="360" w:lineRule="auto"/>
              <w:rPr>
                <w:color w:val="000000"/>
                <w:lang w:val="en-US"/>
              </w:rPr>
            </w:pPr>
            <w:r w:rsidRPr="002A249C">
              <w:rPr>
                <w:color w:val="000000"/>
                <w:lang w:val="en-US"/>
              </w:rPr>
              <w:t>53</w:t>
            </w:r>
          </w:p>
        </w:tc>
        <w:tc>
          <w:tcPr>
            <w:tcW w:w="636" w:type="dxa"/>
            <w:tcBorders>
              <w:bottom w:val="single" w:sz="4" w:space="0" w:color="auto"/>
            </w:tcBorders>
            <w:vAlign w:val="center"/>
          </w:tcPr>
          <w:p w14:paraId="532F08D5" w14:textId="77777777" w:rsidR="00B668A6" w:rsidRPr="002A249C" w:rsidRDefault="00B668A6" w:rsidP="00184153">
            <w:pPr>
              <w:spacing w:line="360" w:lineRule="auto"/>
              <w:rPr>
                <w:color w:val="000000"/>
                <w:lang w:val="en-US"/>
              </w:rPr>
            </w:pPr>
            <w:r w:rsidRPr="002A249C">
              <w:rPr>
                <w:color w:val="000000"/>
                <w:lang w:val="en-US"/>
              </w:rPr>
              <w:t>8,3</w:t>
            </w:r>
          </w:p>
        </w:tc>
        <w:tc>
          <w:tcPr>
            <w:tcW w:w="1356" w:type="dxa"/>
            <w:tcBorders>
              <w:bottom w:val="single" w:sz="4" w:space="0" w:color="auto"/>
            </w:tcBorders>
            <w:shd w:val="clear" w:color="auto" w:fill="auto"/>
            <w:noWrap/>
            <w:vAlign w:val="center"/>
            <w:hideMark/>
          </w:tcPr>
          <w:p w14:paraId="4E72BBE7" w14:textId="77777777" w:rsidR="00B668A6" w:rsidRPr="002A249C" w:rsidRDefault="00B668A6" w:rsidP="00184153">
            <w:pPr>
              <w:spacing w:line="360" w:lineRule="auto"/>
              <w:rPr>
                <w:color w:val="000000"/>
                <w:lang w:val="en-US"/>
              </w:rPr>
            </w:pPr>
            <w:r w:rsidRPr="002A249C">
              <w:rPr>
                <w:color w:val="000000"/>
                <w:lang w:val="en-US"/>
              </w:rPr>
              <w:t>26,49</w:t>
            </w:r>
          </w:p>
        </w:tc>
        <w:tc>
          <w:tcPr>
            <w:tcW w:w="1259" w:type="dxa"/>
            <w:tcBorders>
              <w:bottom w:val="single" w:sz="4" w:space="0" w:color="auto"/>
            </w:tcBorders>
            <w:shd w:val="clear" w:color="auto" w:fill="auto"/>
            <w:noWrap/>
            <w:vAlign w:val="center"/>
            <w:hideMark/>
          </w:tcPr>
          <w:p w14:paraId="229F75AB" w14:textId="77777777" w:rsidR="00B668A6" w:rsidRPr="002A249C" w:rsidRDefault="00B668A6" w:rsidP="00184153">
            <w:pPr>
              <w:spacing w:line="360" w:lineRule="auto"/>
              <w:rPr>
                <w:color w:val="000000"/>
                <w:lang w:val="en-US"/>
              </w:rPr>
            </w:pPr>
            <w:r w:rsidRPr="002A249C">
              <w:rPr>
                <w:color w:val="000000"/>
                <w:lang w:val="en-US"/>
              </w:rPr>
              <w:t>33,63</w:t>
            </w:r>
          </w:p>
        </w:tc>
        <w:tc>
          <w:tcPr>
            <w:tcW w:w="1134" w:type="dxa"/>
            <w:tcBorders>
              <w:bottom w:val="single" w:sz="4" w:space="0" w:color="auto"/>
            </w:tcBorders>
            <w:shd w:val="clear" w:color="auto" w:fill="auto"/>
            <w:noWrap/>
            <w:vAlign w:val="center"/>
            <w:hideMark/>
          </w:tcPr>
          <w:p w14:paraId="5A71F869" w14:textId="77777777" w:rsidR="00B668A6" w:rsidRPr="002A249C" w:rsidRDefault="00B668A6" w:rsidP="00184153">
            <w:pPr>
              <w:spacing w:line="360" w:lineRule="auto"/>
              <w:rPr>
                <w:color w:val="000000"/>
                <w:lang w:val="en-US"/>
              </w:rPr>
            </w:pPr>
            <w:r w:rsidRPr="002A249C">
              <w:rPr>
                <w:color w:val="000000"/>
                <w:lang w:val="en-US"/>
              </w:rPr>
              <w:t>Alto</w:t>
            </w:r>
          </w:p>
        </w:tc>
        <w:tc>
          <w:tcPr>
            <w:tcW w:w="993" w:type="dxa"/>
            <w:tcBorders>
              <w:bottom w:val="single" w:sz="4" w:space="0" w:color="auto"/>
            </w:tcBorders>
          </w:tcPr>
          <w:p w14:paraId="6153C56F" w14:textId="77777777" w:rsidR="00B668A6" w:rsidRPr="002A249C" w:rsidRDefault="00B668A6" w:rsidP="00184153">
            <w:pPr>
              <w:spacing w:line="360" w:lineRule="auto"/>
              <w:rPr>
                <w:color w:val="000000"/>
                <w:lang w:val="en-US"/>
              </w:rPr>
            </w:pPr>
            <w:r>
              <w:rPr>
                <w:color w:val="000000"/>
                <w:lang w:val="en-US"/>
              </w:rPr>
              <w:t>-</w:t>
            </w:r>
          </w:p>
        </w:tc>
        <w:tc>
          <w:tcPr>
            <w:tcW w:w="982" w:type="dxa"/>
            <w:tcBorders>
              <w:bottom w:val="single" w:sz="4" w:space="0" w:color="auto"/>
            </w:tcBorders>
          </w:tcPr>
          <w:p w14:paraId="65CA25BD" w14:textId="77777777" w:rsidR="00B668A6" w:rsidRPr="002A249C" w:rsidRDefault="00B668A6" w:rsidP="00184153">
            <w:pPr>
              <w:spacing w:line="360" w:lineRule="auto"/>
              <w:rPr>
                <w:color w:val="000000"/>
                <w:lang w:val="en-US"/>
              </w:rPr>
            </w:pPr>
            <w:r w:rsidRPr="002A249C">
              <w:rPr>
                <w:color w:val="000000"/>
                <w:lang w:val="en-US"/>
              </w:rPr>
              <w:t>-</w:t>
            </w:r>
          </w:p>
        </w:tc>
        <w:tc>
          <w:tcPr>
            <w:tcW w:w="948" w:type="dxa"/>
            <w:tcBorders>
              <w:bottom w:val="single" w:sz="4" w:space="0" w:color="auto"/>
            </w:tcBorders>
          </w:tcPr>
          <w:p w14:paraId="1716AB83" w14:textId="77777777" w:rsidR="00B668A6" w:rsidRPr="002A249C" w:rsidRDefault="00B668A6" w:rsidP="00184153">
            <w:pPr>
              <w:spacing w:line="360" w:lineRule="auto"/>
              <w:rPr>
                <w:color w:val="000000"/>
                <w:lang w:val="en-US"/>
              </w:rPr>
            </w:pPr>
            <w:r w:rsidRPr="002A249C">
              <w:rPr>
                <w:color w:val="000000"/>
                <w:lang w:val="en-US"/>
              </w:rPr>
              <w:t>-</w:t>
            </w:r>
          </w:p>
        </w:tc>
      </w:tr>
    </w:tbl>
    <w:p w14:paraId="573AD98D" w14:textId="77777777" w:rsidR="00B668A6" w:rsidRDefault="00B668A6" w:rsidP="00184153">
      <w:pPr>
        <w:pStyle w:val="Prrafocomn"/>
        <w:spacing w:after="120" w:line="440" w:lineRule="exact"/>
        <w:ind w:firstLine="709"/>
        <w:rPr>
          <w:lang w:val="es-AR"/>
        </w:rPr>
      </w:pPr>
    </w:p>
    <w:p w14:paraId="34CB3C06" w14:textId="77777777" w:rsidR="00030148" w:rsidRDefault="00030148" w:rsidP="00184153">
      <w:pPr>
        <w:pStyle w:val="Prrafocomn"/>
        <w:spacing w:line="440" w:lineRule="exact"/>
        <w:rPr>
          <w:lang w:val="es-ES_tradnl"/>
        </w:rPr>
      </w:pPr>
      <w:r w:rsidRPr="00030148">
        <w:rPr>
          <w:lang w:val="es-AR"/>
        </w:rPr>
        <w:t>En la Tabla 3, se resumen las características de los perfiles riesgo suicida atendiendo a factores sociodemográficos.</w:t>
      </w:r>
    </w:p>
    <w:tbl>
      <w:tblPr>
        <w:tblW w:w="8706" w:type="dxa"/>
        <w:jc w:val="center"/>
        <w:tblLook w:val="04A0" w:firstRow="1" w:lastRow="0" w:firstColumn="1" w:lastColumn="0" w:noHBand="0" w:noVBand="1"/>
      </w:tblPr>
      <w:tblGrid>
        <w:gridCol w:w="1584"/>
        <w:gridCol w:w="576"/>
        <w:gridCol w:w="655"/>
        <w:gridCol w:w="715"/>
        <w:gridCol w:w="636"/>
        <w:gridCol w:w="736"/>
        <w:gridCol w:w="636"/>
        <w:gridCol w:w="795"/>
        <w:gridCol w:w="796"/>
        <w:gridCol w:w="796"/>
        <w:gridCol w:w="781"/>
      </w:tblGrid>
      <w:tr w:rsidR="00030148" w:rsidRPr="000C1CC0" w14:paraId="438C698A" w14:textId="77777777" w:rsidTr="00030148">
        <w:trPr>
          <w:trHeight w:val="290"/>
          <w:jc w:val="center"/>
        </w:trPr>
        <w:tc>
          <w:tcPr>
            <w:tcW w:w="8706" w:type="dxa"/>
            <w:gridSpan w:val="11"/>
            <w:shd w:val="clear" w:color="auto" w:fill="auto"/>
            <w:noWrap/>
            <w:vAlign w:val="center"/>
          </w:tcPr>
          <w:p w14:paraId="0F3A1D8D" w14:textId="77777777" w:rsidR="00030148" w:rsidRPr="00030148" w:rsidRDefault="00030148" w:rsidP="00184153">
            <w:pPr>
              <w:spacing w:line="360" w:lineRule="auto"/>
              <w:rPr>
                <w:b/>
                <w:color w:val="000000"/>
              </w:rPr>
            </w:pPr>
            <w:r w:rsidRPr="00030148">
              <w:rPr>
                <w:b/>
                <w:color w:val="000000"/>
              </w:rPr>
              <w:t>Tabla 3</w:t>
            </w:r>
          </w:p>
        </w:tc>
      </w:tr>
      <w:tr w:rsidR="00030148" w:rsidRPr="000C1CC0" w14:paraId="7739A023" w14:textId="77777777" w:rsidTr="00030148">
        <w:trPr>
          <w:trHeight w:val="290"/>
          <w:jc w:val="center"/>
        </w:trPr>
        <w:tc>
          <w:tcPr>
            <w:tcW w:w="8706" w:type="dxa"/>
            <w:gridSpan w:val="11"/>
            <w:tcBorders>
              <w:bottom w:val="single" w:sz="4" w:space="0" w:color="auto"/>
            </w:tcBorders>
            <w:shd w:val="clear" w:color="auto" w:fill="auto"/>
            <w:noWrap/>
            <w:vAlign w:val="center"/>
          </w:tcPr>
          <w:p w14:paraId="7CB99943" w14:textId="77777777" w:rsidR="00030148" w:rsidRPr="000C1CC0" w:rsidRDefault="00030148" w:rsidP="00184153">
            <w:pPr>
              <w:spacing w:line="360" w:lineRule="auto"/>
              <w:rPr>
                <w:i/>
                <w:iCs/>
                <w:color w:val="000000"/>
              </w:rPr>
            </w:pPr>
            <w:r w:rsidRPr="000C1CC0">
              <w:rPr>
                <w:i/>
                <w:iCs/>
                <w:color w:val="000000"/>
              </w:rPr>
              <w:t>Características socio</w:t>
            </w:r>
            <w:r>
              <w:rPr>
                <w:i/>
                <w:iCs/>
                <w:color w:val="000000"/>
              </w:rPr>
              <w:t xml:space="preserve">demográficas de los perfiles </w:t>
            </w:r>
            <w:r w:rsidRPr="000C1CC0">
              <w:rPr>
                <w:i/>
                <w:iCs/>
                <w:color w:val="000000"/>
              </w:rPr>
              <w:t>de ideación suicida</w:t>
            </w:r>
          </w:p>
        </w:tc>
      </w:tr>
      <w:tr w:rsidR="00030148" w:rsidRPr="000C1CC0" w14:paraId="7444F888" w14:textId="77777777" w:rsidTr="00030148">
        <w:trPr>
          <w:trHeight w:val="290"/>
          <w:jc w:val="center"/>
        </w:trPr>
        <w:tc>
          <w:tcPr>
            <w:tcW w:w="1584" w:type="dxa"/>
            <w:vMerge w:val="restart"/>
            <w:tcBorders>
              <w:top w:val="single" w:sz="4" w:space="0" w:color="auto"/>
              <w:bottom w:val="single" w:sz="4" w:space="0" w:color="auto"/>
            </w:tcBorders>
            <w:shd w:val="clear" w:color="auto" w:fill="auto"/>
            <w:noWrap/>
            <w:vAlign w:val="center"/>
            <w:hideMark/>
          </w:tcPr>
          <w:p w14:paraId="78C16835" w14:textId="77777777" w:rsidR="00030148" w:rsidRPr="000C1CC0" w:rsidRDefault="00030148" w:rsidP="00184153">
            <w:pPr>
              <w:spacing w:line="360" w:lineRule="auto"/>
              <w:rPr>
                <w:b/>
                <w:bCs/>
                <w:color w:val="000000"/>
              </w:rPr>
            </w:pPr>
            <w:r w:rsidRPr="000C1CC0">
              <w:rPr>
                <w:b/>
                <w:bCs/>
                <w:color w:val="000000"/>
              </w:rPr>
              <w:t>Perfil</w:t>
            </w:r>
          </w:p>
        </w:tc>
        <w:tc>
          <w:tcPr>
            <w:tcW w:w="576" w:type="dxa"/>
            <w:vMerge w:val="restart"/>
            <w:tcBorders>
              <w:top w:val="single" w:sz="4" w:space="0" w:color="auto"/>
              <w:bottom w:val="single" w:sz="4" w:space="0" w:color="auto"/>
            </w:tcBorders>
            <w:shd w:val="clear" w:color="auto" w:fill="auto"/>
            <w:noWrap/>
            <w:vAlign w:val="center"/>
            <w:hideMark/>
          </w:tcPr>
          <w:p w14:paraId="2EC79F15" w14:textId="77777777" w:rsidR="00030148" w:rsidRPr="000C1CC0" w:rsidRDefault="00030148" w:rsidP="00184153">
            <w:pPr>
              <w:spacing w:line="360" w:lineRule="auto"/>
              <w:rPr>
                <w:b/>
                <w:bCs/>
                <w:color w:val="000000"/>
              </w:rPr>
            </w:pPr>
            <w:r w:rsidRPr="000C1CC0">
              <w:rPr>
                <w:b/>
                <w:bCs/>
                <w:color w:val="000000"/>
              </w:rPr>
              <w:t>N</w:t>
            </w:r>
          </w:p>
        </w:tc>
        <w:tc>
          <w:tcPr>
            <w:tcW w:w="1370" w:type="dxa"/>
            <w:gridSpan w:val="2"/>
            <w:tcBorders>
              <w:top w:val="single" w:sz="4" w:space="0" w:color="auto"/>
              <w:bottom w:val="single" w:sz="4" w:space="0" w:color="auto"/>
            </w:tcBorders>
            <w:vAlign w:val="center"/>
          </w:tcPr>
          <w:p w14:paraId="3B2EBCC6" w14:textId="77777777" w:rsidR="00030148" w:rsidRPr="000C1CC0" w:rsidRDefault="00030148" w:rsidP="00184153">
            <w:pPr>
              <w:spacing w:line="360" w:lineRule="auto"/>
              <w:rPr>
                <w:b/>
                <w:bCs/>
                <w:color w:val="000000"/>
              </w:rPr>
            </w:pPr>
            <w:r w:rsidRPr="000C1CC0">
              <w:rPr>
                <w:b/>
                <w:bCs/>
                <w:color w:val="000000"/>
              </w:rPr>
              <w:t>% Género</w:t>
            </w:r>
          </w:p>
        </w:tc>
        <w:tc>
          <w:tcPr>
            <w:tcW w:w="2008" w:type="dxa"/>
            <w:gridSpan w:val="3"/>
            <w:tcBorders>
              <w:top w:val="single" w:sz="4" w:space="0" w:color="auto"/>
              <w:bottom w:val="single" w:sz="4" w:space="0" w:color="auto"/>
            </w:tcBorders>
            <w:shd w:val="clear" w:color="auto" w:fill="auto"/>
            <w:noWrap/>
            <w:vAlign w:val="center"/>
          </w:tcPr>
          <w:p w14:paraId="0B0CD119" w14:textId="77777777" w:rsidR="00030148" w:rsidRPr="000C1CC0" w:rsidRDefault="00030148" w:rsidP="00184153">
            <w:pPr>
              <w:spacing w:line="360" w:lineRule="auto"/>
              <w:rPr>
                <w:b/>
                <w:bCs/>
                <w:color w:val="000000"/>
              </w:rPr>
            </w:pPr>
            <w:r w:rsidRPr="000C1CC0">
              <w:rPr>
                <w:b/>
                <w:bCs/>
                <w:color w:val="000000"/>
              </w:rPr>
              <w:t>% Estrato</w:t>
            </w:r>
          </w:p>
        </w:tc>
        <w:tc>
          <w:tcPr>
            <w:tcW w:w="3168" w:type="dxa"/>
            <w:gridSpan w:val="4"/>
            <w:tcBorders>
              <w:top w:val="single" w:sz="4" w:space="0" w:color="auto"/>
              <w:bottom w:val="single" w:sz="4" w:space="0" w:color="auto"/>
            </w:tcBorders>
            <w:vAlign w:val="center"/>
          </w:tcPr>
          <w:p w14:paraId="05BE6568" w14:textId="77777777" w:rsidR="00030148" w:rsidRPr="000C1CC0" w:rsidRDefault="00030148" w:rsidP="00184153">
            <w:pPr>
              <w:spacing w:line="360" w:lineRule="auto"/>
              <w:rPr>
                <w:b/>
                <w:bCs/>
                <w:color w:val="000000"/>
              </w:rPr>
            </w:pPr>
            <w:r w:rsidRPr="000C1CC0">
              <w:rPr>
                <w:b/>
                <w:bCs/>
                <w:color w:val="000000"/>
              </w:rPr>
              <w:t>Edad</w:t>
            </w:r>
          </w:p>
        </w:tc>
      </w:tr>
      <w:tr w:rsidR="00030148" w:rsidRPr="000C1CC0" w14:paraId="57660C73" w14:textId="77777777" w:rsidTr="00030148">
        <w:trPr>
          <w:trHeight w:val="290"/>
          <w:jc w:val="center"/>
        </w:trPr>
        <w:tc>
          <w:tcPr>
            <w:tcW w:w="1584" w:type="dxa"/>
            <w:vMerge/>
            <w:tcBorders>
              <w:top w:val="single" w:sz="4" w:space="0" w:color="auto"/>
            </w:tcBorders>
            <w:shd w:val="clear" w:color="auto" w:fill="auto"/>
            <w:noWrap/>
            <w:vAlign w:val="center"/>
          </w:tcPr>
          <w:p w14:paraId="14FF6AA0" w14:textId="77777777" w:rsidR="00030148" w:rsidRPr="000C1CC0" w:rsidRDefault="00030148" w:rsidP="00184153">
            <w:pPr>
              <w:spacing w:line="360" w:lineRule="auto"/>
              <w:rPr>
                <w:color w:val="000000"/>
              </w:rPr>
            </w:pPr>
          </w:p>
        </w:tc>
        <w:tc>
          <w:tcPr>
            <w:tcW w:w="576" w:type="dxa"/>
            <w:vMerge/>
            <w:tcBorders>
              <w:top w:val="single" w:sz="4" w:space="0" w:color="auto"/>
            </w:tcBorders>
            <w:shd w:val="clear" w:color="auto" w:fill="auto"/>
            <w:noWrap/>
            <w:vAlign w:val="center"/>
          </w:tcPr>
          <w:p w14:paraId="25AA4149" w14:textId="77777777" w:rsidR="00030148" w:rsidRPr="000C1CC0" w:rsidRDefault="00030148" w:rsidP="00184153">
            <w:pPr>
              <w:spacing w:line="360" w:lineRule="auto"/>
              <w:rPr>
                <w:color w:val="000000"/>
              </w:rPr>
            </w:pPr>
          </w:p>
        </w:tc>
        <w:tc>
          <w:tcPr>
            <w:tcW w:w="655" w:type="dxa"/>
            <w:tcBorders>
              <w:top w:val="single" w:sz="4" w:space="0" w:color="auto"/>
            </w:tcBorders>
            <w:vAlign w:val="center"/>
          </w:tcPr>
          <w:p w14:paraId="0F975A19" w14:textId="77777777" w:rsidR="00030148" w:rsidRPr="000C1CC0" w:rsidRDefault="00030148" w:rsidP="00184153">
            <w:pPr>
              <w:spacing w:line="360" w:lineRule="auto"/>
              <w:rPr>
                <w:color w:val="000000"/>
              </w:rPr>
            </w:pPr>
            <w:r w:rsidRPr="000C1CC0">
              <w:rPr>
                <w:color w:val="000000"/>
              </w:rPr>
              <w:t>F</w:t>
            </w:r>
          </w:p>
        </w:tc>
        <w:tc>
          <w:tcPr>
            <w:tcW w:w="715" w:type="dxa"/>
            <w:tcBorders>
              <w:top w:val="single" w:sz="4" w:space="0" w:color="auto"/>
            </w:tcBorders>
            <w:shd w:val="clear" w:color="auto" w:fill="auto"/>
            <w:noWrap/>
            <w:vAlign w:val="center"/>
          </w:tcPr>
          <w:p w14:paraId="3C683CFC" w14:textId="77777777" w:rsidR="00030148" w:rsidRPr="000C1CC0" w:rsidRDefault="00030148" w:rsidP="00184153">
            <w:pPr>
              <w:spacing w:line="360" w:lineRule="auto"/>
              <w:rPr>
                <w:color w:val="000000"/>
              </w:rPr>
            </w:pPr>
            <w:r w:rsidRPr="000C1CC0">
              <w:rPr>
                <w:color w:val="000000"/>
              </w:rPr>
              <w:t>M</w:t>
            </w:r>
          </w:p>
        </w:tc>
        <w:tc>
          <w:tcPr>
            <w:tcW w:w="636" w:type="dxa"/>
            <w:tcBorders>
              <w:top w:val="single" w:sz="4" w:space="0" w:color="auto"/>
            </w:tcBorders>
            <w:shd w:val="clear" w:color="auto" w:fill="auto"/>
            <w:noWrap/>
            <w:vAlign w:val="center"/>
          </w:tcPr>
          <w:p w14:paraId="05F86977" w14:textId="77777777" w:rsidR="00030148" w:rsidRPr="000C1CC0" w:rsidRDefault="00030148" w:rsidP="00184153">
            <w:pPr>
              <w:spacing w:line="360" w:lineRule="auto"/>
              <w:rPr>
                <w:color w:val="000000"/>
              </w:rPr>
            </w:pPr>
            <w:r w:rsidRPr="000C1CC0">
              <w:rPr>
                <w:color w:val="000000"/>
              </w:rPr>
              <w:t>1</w:t>
            </w:r>
          </w:p>
        </w:tc>
        <w:tc>
          <w:tcPr>
            <w:tcW w:w="736" w:type="dxa"/>
            <w:tcBorders>
              <w:top w:val="single" w:sz="4" w:space="0" w:color="auto"/>
            </w:tcBorders>
            <w:shd w:val="clear" w:color="auto" w:fill="auto"/>
            <w:noWrap/>
            <w:vAlign w:val="center"/>
          </w:tcPr>
          <w:p w14:paraId="25F2AC82" w14:textId="77777777" w:rsidR="00030148" w:rsidRPr="000C1CC0" w:rsidRDefault="00030148" w:rsidP="00184153">
            <w:pPr>
              <w:spacing w:line="360" w:lineRule="auto"/>
              <w:rPr>
                <w:color w:val="000000"/>
              </w:rPr>
            </w:pPr>
            <w:r w:rsidRPr="000C1CC0">
              <w:rPr>
                <w:color w:val="000000"/>
              </w:rPr>
              <w:t>2</w:t>
            </w:r>
          </w:p>
        </w:tc>
        <w:tc>
          <w:tcPr>
            <w:tcW w:w="636" w:type="dxa"/>
            <w:tcBorders>
              <w:top w:val="single" w:sz="4" w:space="0" w:color="auto"/>
            </w:tcBorders>
            <w:vAlign w:val="center"/>
          </w:tcPr>
          <w:p w14:paraId="69D0CC7E" w14:textId="77777777" w:rsidR="00030148" w:rsidRPr="000C1CC0" w:rsidRDefault="00030148" w:rsidP="00184153">
            <w:pPr>
              <w:spacing w:line="360" w:lineRule="auto"/>
              <w:rPr>
                <w:color w:val="000000"/>
              </w:rPr>
            </w:pPr>
            <w:r w:rsidRPr="000C1CC0">
              <w:rPr>
                <w:color w:val="000000"/>
              </w:rPr>
              <w:t>3</w:t>
            </w:r>
          </w:p>
        </w:tc>
        <w:tc>
          <w:tcPr>
            <w:tcW w:w="795" w:type="dxa"/>
            <w:tcBorders>
              <w:top w:val="single" w:sz="4" w:space="0" w:color="auto"/>
            </w:tcBorders>
            <w:vAlign w:val="center"/>
          </w:tcPr>
          <w:p w14:paraId="0A41F2BD" w14:textId="77777777" w:rsidR="00030148" w:rsidRPr="000C1CC0" w:rsidRDefault="00030148" w:rsidP="00184153">
            <w:pPr>
              <w:spacing w:line="360" w:lineRule="auto"/>
              <w:rPr>
                <w:color w:val="000000"/>
              </w:rPr>
            </w:pPr>
            <w:r w:rsidRPr="000C1CC0">
              <w:rPr>
                <w:color w:val="000000"/>
              </w:rPr>
              <w:t>13-14</w:t>
            </w:r>
          </w:p>
        </w:tc>
        <w:tc>
          <w:tcPr>
            <w:tcW w:w="796" w:type="dxa"/>
            <w:tcBorders>
              <w:top w:val="single" w:sz="4" w:space="0" w:color="auto"/>
            </w:tcBorders>
            <w:vAlign w:val="center"/>
          </w:tcPr>
          <w:p w14:paraId="1F0A04E5" w14:textId="77777777" w:rsidR="00030148" w:rsidRPr="000C1CC0" w:rsidRDefault="00030148" w:rsidP="00184153">
            <w:pPr>
              <w:spacing w:line="360" w:lineRule="auto"/>
              <w:rPr>
                <w:color w:val="000000"/>
              </w:rPr>
            </w:pPr>
            <w:r w:rsidRPr="000C1CC0">
              <w:rPr>
                <w:color w:val="000000"/>
              </w:rPr>
              <w:t>15-16</w:t>
            </w:r>
          </w:p>
        </w:tc>
        <w:tc>
          <w:tcPr>
            <w:tcW w:w="796" w:type="dxa"/>
            <w:tcBorders>
              <w:top w:val="single" w:sz="4" w:space="0" w:color="auto"/>
            </w:tcBorders>
            <w:vAlign w:val="center"/>
          </w:tcPr>
          <w:p w14:paraId="5E6A7C90" w14:textId="77777777" w:rsidR="00030148" w:rsidRPr="000C1CC0" w:rsidRDefault="00030148" w:rsidP="00184153">
            <w:pPr>
              <w:spacing w:line="360" w:lineRule="auto"/>
              <w:rPr>
                <w:color w:val="000000"/>
              </w:rPr>
            </w:pPr>
            <w:r w:rsidRPr="000C1CC0">
              <w:rPr>
                <w:color w:val="000000"/>
              </w:rPr>
              <w:t>17-18</w:t>
            </w:r>
          </w:p>
        </w:tc>
        <w:tc>
          <w:tcPr>
            <w:tcW w:w="781" w:type="dxa"/>
            <w:tcBorders>
              <w:top w:val="single" w:sz="4" w:space="0" w:color="auto"/>
            </w:tcBorders>
            <w:vAlign w:val="center"/>
          </w:tcPr>
          <w:p w14:paraId="36398312" w14:textId="77777777" w:rsidR="00030148" w:rsidRPr="000C1CC0" w:rsidRDefault="00030148" w:rsidP="00184153">
            <w:pPr>
              <w:spacing w:line="360" w:lineRule="auto"/>
              <w:rPr>
                <w:color w:val="000000"/>
              </w:rPr>
            </w:pPr>
            <w:r w:rsidRPr="000C1CC0">
              <w:rPr>
                <w:color w:val="000000"/>
              </w:rPr>
              <w:t>19-20</w:t>
            </w:r>
          </w:p>
        </w:tc>
      </w:tr>
      <w:tr w:rsidR="00030148" w:rsidRPr="000C1CC0" w14:paraId="15407476" w14:textId="77777777" w:rsidTr="00030148">
        <w:trPr>
          <w:trHeight w:val="290"/>
          <w:jc w:val="center"/>
        </w:trPr>
        <w:tc>
          <w:tcPr>
            <w:tcW w:w="1584" w:type="dxa"/>
            <w:shd w:val="clear" w:color="auto" w:fill="auto"/>
            <w:noWrap/>
            <w:vAlign w:val="center"/>
            <w:hideMark/>
          </w:tcPr>
          <w:p w14:paraId="00F8797D" w14:textId="77777777" w:rsidR="00030148" w:rsidRPr="000C1CC0" w:rsidRDefault="00030148" w:rsidP="00184153">
            <w:pPr>
              <w:spacing w:line="360" w:lineRule="auto"/>
              <w:rPr>
                <w:color w:val="000000"/>
              </w:rPr>
            </w:pPr>
            <w:r w:rsidRPr="000C1CC0">
              <w:rPr>
                <w:color w:val="000000"/>
              </w:rPr>
              <w:t>1</w:t>
            </w:r>
          </w:p>
        </w:tc>
        <w:tc>
          <w:tcPr>
            <w:tcW w:w="576" w:type="dxa"/>
            <w:shd w:val="clear" w:color="auto" w:fill="auto"/>
            <w:noWrap/>
            <w:vAlign w:val="center"/>
            <w:hideMark/>
          </w:tcPr>
          <w:p w14:paraId="57595E7D" w14:textId="77777777" w:rsidR="00030148" w:rsidRPr="000C1CC0" w:rsidRDefault="00030148" w:rsidP="00184153">
            <w:pPr>
              <w:spacing w:line="360" w:lineRule="auto"/>
              <w:rPr>
                <w:color w:val="000000"/>
              </w:rPr>
            </w:pPr>
            <w:r w:rsidRPr="000C1CC0">
              <w:rPr>
                <w:color w:val="000000"/>
              </w:rPr>
              <w:t>467</w:t>
            </w:r>
          </w:p>
        </w:tc>
        <w:tc>
          <w:tcPr>
            <w:tcW w:w="655" w:type="dxa"/>
            <w:vAlign w:val="center"/>
          </w:tcPr>
          <w:p w14:paraId="1A8AD674" w14:textId="77777777" w:rsidR="00030148" w:rsidRPr="000C1CC0" w:rsidRDefault="00030148" w:rsidP="00184153">
            <w:pPr>
              <w:spacing w:line="360" w:lineRule="auto"/>
              <w:rPr>
                <w:color w:val="000000"/>
              </w:rPr>
            </w:pPr>
            <w:r w:rsidRPr="000C1CC0">
              <w:rPr>
                <w:color w:val="000000"/>
              </w:rPr>
              <w:t>16,1</w:t>
            </w:r>
          </w:p>
        </w:tc>
        <w:tc>
          <w:tcPr>
            <w:tcW w:w="715" w:type="dxa"/>
            <w:shd w:val="clear" w:color="auto" w:fill="auto"/>
            <w:noWrap/>
            <w:vAlign w:val="center"/>
          </w:tcPr>
          <w:p w14:paraId="5B51D470" w14:textId="77777777" w:rsidR="00030148" w:rsidRPr="000C1CC0" w:rsidRDefault="00030148" w:rsidP="00184153">
            <w:pPr>
              <w:spacing w:line="360" w:lineRule="auto"/>
              <w:rPr>
                <w:color w:val="000000"/>
              </w:rPr>
            </w:pPr>
            <w:r w:rsidRPr="000C1CC0">
              <w:rPr>
                <w:color w:val="000000"/>
              </w:rPr>
              <w:t>83,9</w:t>
            </w:r>
          </w:p>
        </w:tc>
        <w:tc>
          <w:tcPr>
            <w:tcW w:w="636" w:type="dxa"/>
            <w:shd w:val="clear" w:color="auto" w:fill="auto"/>
            <w:noWrap/>
            <w:vAlign w:val="center"/>
          </w:tcPr>
          <w:p w14:paraId="6D4FC4A5" w14:textId="77777777" w:rsidR="00030148" w:rsidRPr="000C1CC0" w:rsidRDefault="00030148" w:rsidP="00184153">
            <w:pPr>
              <w:spacing w:line="360" w:lineRule="auto"/>
              <w:rPr>
                <w:color w:val="000000"/>
              </w:rPr>
            </w:pPr>
            <w:r w:rsidRPr="000C1CC0">
              <w:rPr>
                <w:color w:val="000000"/>
              </w:rPr>
              <w:t>20,3</w:t>
            </w:r>
          </w:p>
        </w:tc>
        <w:tc>
          <w:tcPr>
            <w:tcW w:w="736" w:type="dxa"/>
            <w:shd w:val="clear" w:color="auto" w:fill="auto"/>
            <w:noWrap/>
            <w:vAlign w:val="center"/>
          </w:tcPr>
          <w:p w14:paraId="2837E6BA" w14:textId="77777777" w:rsidR="00030148" w:rsidRPr="000C1CC0" w:rsidRDefault="00030148" w:rsidP="00184153">
            <w:pPr>
              <w:spacing w:line="360" w:lineRule="auto"/>
              <w:rPr>
                <w:color w:val="000000"/>
              </w:rPr>
            </w:pPr>
            <w:r w:rsidRPr="000C1CC0">
              <w:rPr>
                <w:color w:val="000000"/>
              </w:rPr>
              <w:t>58,3</w:t>
            </w:r>
          </w:p>
        </w:tc>
        <w:tc>
          <w:tcPr>
            <w:tcW w:w="636" w:type="dxa"/>
            <w:vAlign w:val="center"/>
          </w:tcPr>
          <w:p w14:paraId="039B3FEC" w14:textId="77777777" w:rsidR="00030148" w:rsidRPr="000C1CC0" w:rsidRDefault="00030148" w:rsidP="00184153">
            <w:pPr>
              <w:spacing w:line="360" w:lineRule="auto"/>
              <w:rPr>
                <w:color w:val="000000"/>
              </w:rPr>
            </w:pPr>
            <w:r w:rsidRPr="000C1CC0">
              <w:rPr>
                <w:color w:val="000000"/>
              </w:rPr>
              <w:t>21,4</w:t>
            </w:r>
          </w:p>
        </w:tc>
        <w:tc>
          <w:tcPr>
            <w:tcW w:w="795" w:type="dxa"/>
            <w:vAlign w:val="center"/>
          </w:tcPr>
          <w:p w14:paraId="75EFE5BF" w14:textId="77777777" w:rsidR="00030148" w:rsidRPr="000C1CC0" w:rsidRDefault="00030148" w:rsidP="00184153">
            <w:pPr>
              <w:spacing w:line="360" w:lineRule="auto"/>
              <w:rPr>
                <w:color w:val="000000"/>
              </w:rPr>
            </w:pPr>
            <w:r w:rsidRPr="000C1CC0">
              <w:rPr>
                <w:color w:val="000000"/>
              </w:rPr>
              <w:t>11,1</w:t>
            </w:r>
          </w:p>
        </w:tc>
        <w:tc>
          <w:tcPr>
            <w:tcW w:w="796" w:type="dxa"/>
            <w:vAlign w:val="center"/>
          </w:tcPr>
          <w:p w14:paraId="0F4DC641" w14:textId="77777777" w:rsidR="00030148" w:rsidRPr="000C1CC0" w:rsidRDefault="00030148" w:rsidP="00184153">
            <w:pPr>
              <w:spacing w:line="360" w:lineRule="auto"/>
              <w:rPr>
                <w:color w:val="000000"/>
              </w:rPr>
            </w:pPr>
            <w:r w:rsidRPr="000C1CC0">
              <w:rPr>
                <w:color w:val="000000"/>
              </w:rPr>
              <w:t>71,1</w:t>
            </w:r>
          </w:p>
        </w:tc>
        <w:tc>
          <w:tcPr>
            <w:tcW w:w="796" w:type="dxa"/>
            <w:vAlign w:val="center"/>
          </w:tcPr>
          <w:p w14:paraId="35BB5473" w14:textId="77777777" w:rsidR="00030148" w:rsidRPr="000C1CC0" w:rsidRDefault="00030148" w:rsidP="00184153">
            <w:pPr>
              <w:spacing w:line="360" w:lineRule="auto"/>
              <w:rPr>
                <w:color w:val="000000"/>
              </w:rPr>
            </w:pPr>
            <w:r w:rsidRPr="000C1CC0">
              <w:rPr>
                <w:color w:val="000000"/>
              </w:rPr>
              <w:t>16,3</w:t>
            </w:r>
          </w:p>
        </w:tc>
        <w:tc>
          <w:tcPr>
            <w:tcW w:w="781" w:type="dxa"/>
            <w:vAlign w:val="center"/>
          </w:tcPr>
          <w:p w14:paraId="6EA39964" w14:textId="77777777" w:rsidR="00030148" w:rsidRPr="000C1CC0" w:rsidRDefault="00030148" w:rsidP="00184153">
            <w:pPr>
              <w:spacing w:line="360" w:lineRule="auto"/>
              <w:rPr>
                <w:color w:val="000000"/>
              </w:rPr>
            </w:pPr>
            <w:r w:rsidRPr="000C1CC0">
              <w:rPr>
                <w:color w:val="000000"/>
              </w:rPr>
              <w:t>1,5</w:t>
            </w:r>
          </w:p>
        </w:tc>
      </w:tr>
      <w:tr w:rsidR="00030148" w:rsidRPr="000C1CC0" w14:paraId="5B2CF033" w14:textId="77777777" w:rsidTr="00030148">
        <w:trPr>
          <w:trHeight w:val="290"/>
          <w:jc w:val="center"/>
        </w:trPr>
        <w:tc>
          <w:tcPr>
            <w:tcW w:w="1584" w:type="dxa"/>
            <w:shd w:val="clear" w:color="auto" w:fill="auto"/>
            <w:noWrap/>
            <w:vAlign w:val="center"/>
            <w:hideMark/>
          </w:tcPr>
          <w:p w14:paraId="64C09254" w14:textId="77777777" w:rsidR="00030148" w:rsidRPr="000C1CC0" w:rsidRDefault="00030148" w:rsidP="00184153">
            <w:pPr>
              <w:spacing w:line="360" w:lineRule="auto"/>
              <w:rPr>
                <w:color w:val="000000"/>
              </w:rPr>
            </w:pPr>
            <w:r w:rsidRPr="000C1CC0">
              <w:rPr>
                <w:color w:val="000000"/>
              </w:rPr>
              <w:t>2</w:t>
            </w:r>
          </w:p>
        </w:tc>
        <w:tc>
          <w:tcPr>
            <w:tcW w:w="576" w:type="dxa"/>
            <w:shd w:val="clear" w:color="auto" w:fill="auto"/>
            <w:noWrap/>
            <w:vAlign w:val="center"/>
            <w:hideMark/>
          </w:tcPr>
          <w:p w14:paraId="4ABA9AF3" w14:textId="77777777" w:rsidR="00030148" w:rsidRPr="000C1CC0" w:rsidRDefault="00030148" w:rsidP="00184153">
            <w:pPr>
              <w:spacing w:line="360" w:lineRule="auto"/>
              <w:rPr>
                <w:color w:val="000000"/>
              </w:rPr>
            </w:pPr>
            <w:r w:rsidRPr="000C1CC0">
              <w:rPr>
                <w:color w:val="000000"/>
              </w:rPr>
              <w:t>118</w:t>
            </w:r>
          </w:p>
        </w:tc>
        <w:tc>
          <w:tcPr>
            <w:tcW w:w="655" w:type="dxa"/>
            <w:vAlign w:val="center"/>
          </w:tcPr>
          <w:p w14:paraId="73D72E79" w14:textId="77777777" w:rsidR="00030148" w:rsidRPr="000C1CC0" w:rsidRDefault="00030148" w:rsidP="00184153">
            <w:pPr>
              <w:spacing w:line="360" w:lineRule="auto"/>
              <w:rPr>
                <w:color w:val="000000"/>
              </w:rPr>
            </w:pPr>
            <w:r w:rsidRPr="000C1CC0">
              <w:rPr>
                <w:color w:val="000000"/>
              </w:rPr>
              <w:t>20,3</w:t>
            </w:r>
          </w:p>
        </w:tc>
        <w:tc>
          <w:tcPr>
            <w:tcW w:w="715" w:type="dxa"/>
            <w:shd w:val="clear" w:color="auto" w:fill="auto"/>
            <w:noWrap/>
            <w:vAlign w:val="center"/>
          </w:tcPr>
          <w:p w14:paraId="211EBBC4" w14:textId="77777777" w:rsidR="00030148" w:rsidRPr="000C1CC0" w:rsidRDefault="00030148" w:rsidP="00184153">
            <w:pPr>
              <w:spacing w:line="360" w:lineRule="auto"/>
              <w:rPr>
                <w:color w:val="000000"/>
              </w:rPr>
            </w:pPr>
            <w:r w:rsidRPr="000C1CC0">
              <w:rPr>
                <w:color w:val="000000"/>
              </w:rPr>
              <w:t>79,7</w:t>
            </w:r>
          </w:p>
        </w:tc>
        <w:tc>
          <w:tcPr>
            <w:tcW w:w="636" w:type="dxa"/>
            <w:shd w:val="clear" w:color="auto" w:fill="auto"/>
            <w:noWrap/>
            <w:vAlign w:val="center"/>
          </w:tcPr>
          <w:p w14:paraId="3315FF95" w14:textId="77777777" w:rsidR="00030148" w:rsidRPr="000C1CC0" w:rsidRDefault="00030148" w:rsidP="00184153">
            <w:pPr>
              <w:spacing w:line="360" w:lineRule="auto"/>
              <w:rPr>
                <w:color w:val="000000"/>
              </w:rPr>
            </w:pPr>
            <w:r w:rsidRPr="000C1CC0">
              <w:rPr>
                <w:color w:val="000000"/>
              </w:rPr>
              <w:t>34,7</w:t>
            </w:r>
          </w:p>
        </w:tc>
        <w:tc>
          <w:tcPr>
            <w:tcW w:w="736" w:type="dxa"/>
            <w:shd w:val="clear" w:color="auto" w:fill="auto"/>
            <w:noWrap/>
            <w:vAlign w:val="center"/>
          </w:tcPr>
          <w:p w14:paraId="6DFAC580" w14:textId="77777777" w:rsidR="00030148" w:rsidRPr="000C1CC0" w:rsidRDefault="00030148" w:rsidP="00184153">
            <w:pPr>
              <w:spacing w:line="360" w:lineRule="auto"/>
              <w:rPr>
                <w:color w:val="000000"/>
              </w:rPr>
            </w:pPr>
            <w:r w:rsidRPr="000C1CC0">
              <w:rPr>
                <w:color w:val="000000"/>
              </w:rPr>
              <w:t>32,2</w:t>
            </w:r>
          </w:p>
        </w:tc>
        <w:tc>
          <w:tcPr>
            <w:tcW w:w="636" w:type="dxa"/>
            <w:vAlign w:val="center"/>
          </w:tcPr>
          <w:p w14:paraId="4877BF8D" w14:textId="77777777" w:rsidR="00030148" w:rsidRPr="000C1CC0" w:rsidRDefault="00030148" w:rsidP="00184153">
            <w:pPr>
              <w:spacing w:line="360" w:lineRule="auto"/>
              <w:rPr>
                <w:color w:val="000000"/>
              </w:rPr>
            </w:pPr>
            <w:r w:rsidRPr="000C1CC0">
              <w:rPr>
                <w:color w:val="000000"/>
              </w:rPr>
              <w:t>33,1</w:t>
            </w:r>
          </w:p>
        </w:tc>
        <w:tc>
          <w:tcPr>
            <w:tcW w:w="795" w:type="dxa"/>
            <w:vAlign w:val="center"/>
          </w:tcPr>
          <w:p w14:paraId="34FC6E66" w14:textId="77777777" w:rsidR="00030148" w:rsidRPr="000C1CC0" w:rsidRDefault="00030148" w:rsidP="00184153">
            <w:pPr>
              <w:spacing w:line="360" w:lineRule="auto"/>
              <w:rPr>
                <w:color w:val="000000"/>
              </w:rPr>
            </w:pPr>
            <w:r w:rsidRPr="000C1CC0">
              <w:rPr>
                <w:color w:val="000000"/>
              </w:rPr>
              <w:t>21,2</w:t>
            </w:r>
          </w:p>
        </w:tc>
        <w:tc>
          <w:tcPr>
            <w:tcW w:w="796" w:type="dxa"/>
            <w:vAlign w:val="center"/>
          </w:tcPr>
          <w:p w14:paraId="5324014A" w14:textId="77777777" w:rsidR="00030148" w:rsidRPr="000C1CC0" w:rsidRDefault="00030148" w:rsidP="00184153">
            <w:pPr>
              <w:spacing w:line="360" w:lineRule="auto"/>
              <w:rPr>
                <w:color w:val="000000"/>
              </w:rPr>
            </w:pPr>
            <w:r w:rsidRPr="000C1CC0">
              <w:rPr>
                <w:color w:val="000000"/>
              </w:rPr>
              <w:t>62,7</w:t>
            </w:r>
          </w:p>
        </w:tc>
        <w:tc>
          <w:tcPr>
            <w:tcW w:w="796" w:type="dxa"/>
            <w:vAlign w:val="center"/>
          </w:tcPr>
          <w:p w14:paraId="2752639A" w14:textId="77777777" w:rsidR="00030148" w:rsidRPr="000C1CC0" w:rsidRDefault="00030148" w:rsidP="00184153">
            <w:pPr>
              <w:spacing w:line="360" w:lineRule="auto"/>
              <w:rPr>
                <w:color w:val="000000"/>
              </w:rPr>
            </w:pPr>
            <w:r w:rsidRPr="000C1CC0">
              <w:rPr>
                <w:color w:val="000000"/>
              </w:rPr>
              <w:t>15,3</w:t>
            </w:r>
          </w:p>
        </w:tc>
        <w:tc>
          <w:tcPr>
            <w:tcW w:w="781" w:type="dxa"/>
            <w:vAlign w:val="center"/>
          </w:tcPr>
          <w:p w14:paraId="1EC3DE1E" w14:textId="77777777" w:rsidR="00030148" w:rsidRPr="000C1CC0" w:rsidRDefault="00030148" w:rsidP="00184153">
            <w:pPr>
              <w:spacing w:line="360" w:lineRule="auto"/>
              <w:rPr>
                <w:color w:val="000000"/>
              </w:rPr>
            </w:pPr>
            <w:r w:rsidRPr="000C1CC0">
              <w:rPr>
                <w:color w:val="000000"/>
              </w:rPr>
              <w:t>0,8</w:t>
            </w:r>
          </w:p>
        </w:tc>
      </w:tr>
      <w:tr w:rsidR="00030148" w:rsidRPr="000C1CC0" w14:paraId="797EF34A" w14:textId="77777777" w:rsidTr="00030148">
        <w:trPr>
          <w:trHeight w:val="290"/>
          <w:jc w:val="center"/>
        </w:trPr>
        <w:tc>
          <w:tcPr>
            <w:tcW w:w="1584" w:type="dxa"/>
            <w:tcBorders>
              <w:bottom w:val="single" w:sz="4" w:space="0" w:color="auto"/>
            </w:tcBorders>
            <w:shd w:val="clear" w:color="auto" w:fill="auto"/>
            <w:noWrap/>
            <w:vAlign w:val="center"/>
            <w:hideMark/>
          </w:tcPr>
          <w:p w14:paraId="6607C36B" w14:textId="77777777" w:rsidR="00030148" w:rsidRPr="000C1CC0" w:rsidRDefault="00030148" w:rsidP="00184153">
            <w:pPr>
              <w:spacing w:line="360" w:lineRule="auto"/>
              <w:rPr>
                <w:color w:val="000000"/>
              </w:rPr>
            </w:pPr>
            <w:r w:rsidRPr="000C1CC0">
              <w:rPr>
                <w:color w:val="000000"/>
              </w:rPr>
              <w:t>3</w:t>
            </w:r>
          </w:p>
        </w:tc>
        <w:tc>
          <w:tcPr>
            <w:tcW w:w="576" w:type="dxa"/>
            <w:tcBorders>
              <w:bottom w:val="single" w:sz="4" w:space="0" w:color="auto"/>
            </w:tcBorders>
            <w:shd w:val="clear" w:color="auto" w:fill="auto"/>
            <w:noWrap/>
            <w:vAlign w:val="center"/>
            <w:hideMark/>
          </w:tcPr>
          <w:p w14:paraId="52E0D97B" w14:textId="77777777" w:rsidR="00030148" w:rsidRPr="000C1CC0" w:rsidRDefault="00030148" w:rsidP="00184153">
            <w:pPr>
              <w:spacing w:line="360" w:lineRule="auto"/>
              <w:rPr>
                <w:color w:val="000000"/>
              </w:rPr>
            </w:pPr>
            <w:r w:rsidRPr="000C1CC0">
              <w:rPr>
                <w:color w:val="000000"/>
              </w:rPr>
              <w:t>53</w:t>
            </w:r>
          </w:p>
        </w:tc>
        <w:tc>
          <w:tcPr>
            <w:tcW w:w="655" w:type="dxa"/>
            <w:tcBorders>
              <w:bottom w:val="single" w:sz="4" w:space="0" w:color="auto"/>
            </w:tcBorders>
            <w:vAlign w:val="center"/>
          </w:tcPr>
          <w:p w14:paraId="170415F5" w14:textId="77777777" w:rsidR="00030148" w:rsidRPr="000C1CC0" w:rsidRDefault="00030148" w:rsidP="00184153">
            <w:pPr>
              <w:spacing w:line="360" w:lineRule="auto"/>
              <w:rPr>
                <w:color w:val="000000"/>
              </w:rPr>
            </w:pPr>
            <w:r w:rsidRPr="000C1CC0">
              <w:rPr>
                <w:color w:val="000000"/>
              </w:rPr>
              <w:t>30,2</w:t>
            </w:r>
          </w:p>
        </w:tc>
        <w:tc>
          <w:tcPr>
            <w:tcW w:w="715" w:type="dxa"/>
            <w:tcBorders>
              <w:bottom w:val="single" w:sz="4" w:space="0" w:color="auto"/>
            </w:tcBorders>
            <w:shd w:val="clear" w:color="auto" w:fill="auto"/>
            <w:noWrap/>
            <w:vAlign w:val="center"/>
          </w:tcPr>
          <w:p w14:paraId="12CB1C6B" w14:textId="77777777" w:rsidR="00030148" w:rsidRPr="000C1CC0" w:rsidRDefault="00030148" w:rsidP="00184153">
            <w:pPr>
              <w:spacing w:line="360" w:lineRule="auto"/>
              <w:rPr>
                <w:color w:val="000000"/>
              </w:rPr>
            </w:pPr>
            <w:r w:rsidRPr="000C1CC0">
              <w:rPr>
                <w:color w:val="000000"/>
              </w:rPr>
              <w:t>69,8</w:t>
            </w:r>
          </w:p>
        </w:tc>
        <w:tc>
          <w:tcPr>
            <w:tcW w:w="636" w:type="dxa"/>
            <w:tcBorders>
              <w:bottom w:val="single" w:sz="4" w:space="0" w:color="auto"/>
            </w:tcBorders>
            <w:shd w:val="clear" w:color="auto" w:fill="auto"/>
            <w:noWrap/>
            <w:vAlign w:val="center"/>
          </w:tcPr>
          <w:p w14:paraId="150DE221" w14:textId="77777777" w:rsidR="00030148" w:rsidRPr="000C1CC0" w:rsidRDefault="00030148" w:rsidP="00184153">
            <w:pPr>
              <w:spacing w:line="360" w:lineRule="auto"/>
              <w:rPr>
                <w:color w:val="000000"/>
              </w:rPr>
            </w:pPr>
            <w:r w:rsidRPr="000C1CC0">
              <w:rPr>
                <w:color w:val="000000"/>
              </w:rPr>
              <w:t>26,4</w:t>
            </w:r>
          </w:p>
        </w:tc>
        <w:tc>
          <w:tcPr>
            <w:tcW w:w="736" w:type="dxa"/>
            <w:tcBorders>
              <w:bottom w:val="single" w:sz="4" w:space="0" w:color="auto"/>
            </w:tcBorders>
            <w:shd w:val="clear" w:color="auto" w:fill="auto"/>
            <w:noWrap/>
            <w:vAlign w:val="center"/>
          </w:tcPr>
          <w:p w14:paraId="50A8DABD" w14:textId="77777777" w:rsidR="00030148" w:rsidRPr="000C1CC0" w:rsidRDefault="00030148" w:rsidP="00184153">
            <w:pPr>
              <w:spacing w:line="360" w:lineRule="auto"/>
              <w:rPr>
                <w:color w:val="000000"/>
              </w:rPr>
            </w:pPr>
            <w:r w:rsidRPr="000C1CC0">
              <w:rPr>
                <w:color w:val="000000"/>
              </w:rPr>
              <w:t>69,8</w:t>
            </w:r>
          </w:p>
        </w:tc>
        <w:tc>
          <w:tcPr>
            <w:tcW w:w="636" w:type="dxa"/>
            <w:tcBorders>
              <w:bottom w:val="single" w:sz="4" w:space="0" w:color="auto"/>
            </w:tcBorders>
            <w:vAlign w:val="center"/>
          </w:tcPr>
          <w:p w14:paraId="78DC5AD3" w14:textId="77777777" w:rsidR="00030148" w:rsidRPr="000C1CC0" w:rsidRDefault="00030148" w:rsidP="00184153">
            <w:pPr>
              <w:spacing w:line="360" w:lineRule="auto"/>
              <w:rPr>
                <w:color w:val="000000"/>
              </w:rPr>
            </w:pPr>
            <w:r w:rsidRPr="000C1CC0">
              <w:rPr>
                <w:color w:val="000000"/>
              </w:rPr>
              <w:t>3,8</w:t>
            </w:r>
          </w:p>
        </w:tc>
        <w:tc>
          <w:tcPr>
            <w:tcW w:w="795" w:type="dxa"/>
            <w:tcBorders>
              <w:bottom w:val="single" w:sz="4" w:space="0" w:color="auto"/>
            </w:tcBorders>
            <w:vAlign w:val="center"/>
          </w:tcPr>
          <w:p w14:paraId="38954C82" w14:textId="77777777" w:rsidR="00030148" w:rsidRPr="000C1CC0" w:rsidRDefault="00030148" w:rsidP="00184153">
            <w:pPr>
              <w:spacing w:line="360" w:lineRule="auto"/>
              <w:rPr>
                <w:color w:val="000000"/>
              </w:rPr>
            </w:pPr>
            <w:r w:rsidRPr="000C1CC0">
              <w:rPr>
                <w:color w:val="000000"/>
              </w:rPr>
              <w:t>39,6</w:t>
            </w:r>
          </w:p>
        </w:tc>
        <w:tc>
          <w:tcPr>
            <w:tcW w:w="796" w:type="dxa"/>
            <w:tcBorders>
              <w:bottom w:val="single" w:sz="4" w:space="0" w:color="auto"/>
            </w:tcBorders>
            <w:vAlign w:val="center"/>
          </w:tcPr>
          <w:p w14:paraId="52A4FACE" w14:textId="77777777" w:rsidR="00030148" w:rsidRPr="000C1CC0" w:rsidRDefault="00030148" w:rsidP="00184153">
            <w:pPr>
              <w:spacing w:line="360" w:lineRule="auto"/>
              <w:rPr>
                <w:color w:val="000000"/>
              </w:rPr>
            </w:pPr>
            <w:r w:rsidRPr="000C1CC0">
              <w:rPr>
                <w:color w:val="000000"/>
              </w:rPr>
              <w:t>49,1</w:t>
            </w:r>
          </w:p>
        </w:tc>
        <w:tc>
          <w:tcPr>
            <w:tcW w:w="796" w:type="dxa"/>
            <w:tcBorders>
              <w:bottom w:val="single" w:sz="4" w:space="0" w:color="auto"/>
            </w:tcBorders>
            <w:vAlign w:val="center"/>
          </w:tcPr>
          <w:p w14:paraId="1E369A0A" w14:textId="77777777" w:rsidR="00030148" w:rsidRPr="000C1CC0" w:rsidRDefault="00030148" w:rsidP="00184153">
            <w:pPr>
              <w:spacing w:line="360" w:lineRule="auto"/>
              <w:rPr>
                <w:color w:val="000000"/>
              </w:rPr>
            </w:pPr>
            <w:r w:rsidRPr="000C1CC0">
              <w:rPr>
                <w:color w:val="000000"/>
              </w:rPr>
              <w:t>9,4</w:t>
            </w:r>
          </w:p>
        </w:tc>
        <w:tc>
          <w:tcPr>
            <w:tcW w:w="781" w:type="dxa"/>
            <w:tcBorders>
              <w:bottom w:val="single" w:sz="4" w:space="0" w:color="auto"/>
            </w:tcBorders>
            <w:vAlign w:val="center"/>
          </w:tcPr>
          <w:p w14:paraId="2FC02602" w14:textId="77777777" w:rsidR="00030148" w:rsidRPr="000C1CC0" w:rsidRDefault="00030148" w:rsidP="00184153">
            <w:pPr>
              <w:spacing w:line="360" w:lineRule="auto"/>
              <w:rPr>
                <w:color w:val="000000"/>
              </w:rPr>
            </w:pPr>
            <w:r w:rsidRPr="000C1CC0">
              <w:rPr>
                <w:color w:val="000000"/>
              </w:rPr>
              <w:t>1,9</w:t>
            </w:r>
          </w:p>
        </w:tc>
      </w:tr>
    </w:tbl>
    <w:p w14:paraId="79A6EB88" w14:textId="300D6ECB" w:rsidR="00256492" w:rsidRDefault="00030148" w:rsidP="00184153">
      <w:pPr>
        <w:pStyle w:val="Prrafocomn"/>
        <w:spacing w:after="120" w:line="440" w:lineRule="exact"/>
        <w:ind w:firstLine="720"/>
        <w:rPr>
          <w:lang w:val="es-ES_tradnl"/>
        </w:rPr>
      </w:pPr>
      <w:r w:rsidRPr="00030148">
        <w:rPr>
          <w:lang w:val="es-CO"/>
        </w:rPr>
        <w:t>Del análisis de los factores sociodemográficos, se concluye que existe prevalencia de ideación suicida en la población femenina, mientras que el riesgo bajo prevalece en la población masculina. En la tabla 4, se muestra la valoración promedio de las variables de ideación suicida, las cuales caracterizan los perfiles identificados en el análisis de clúster, y establecen niveles de riesgo de ideación suici</w:t>
      </w:r>
      <w:r>
        <w:rPr>
          <w:lang w:val="es-CO"/>
        </w:rPr>
        <w:t xml:space="preserve">da. </w:t>
      </w:r>
    </w:p>
    <w:tbl>
      <w:tblPr>
        <w:tblW w:w="8437" w:type="dxa"/>
        <w:jc w:val="center"/>
        <w:tblCellMar>
          <w:left w:w="70" w:type="dxa"/>
          <w:right w:w="70" w:type="dxa"/>
        </w:tblCellMar>
        <w:tblLook w:val="04A0" w:firstRow="1" w:lastRow="0" w:firstColumn="1" w:lastColumn="0" w:noHBand="0" w:noVBand="1"/>
      </w:tblPr>
      <w:tblGrid>
        <w:gridCol w:w="3578"/>
        <w:gridCol w:w="709"/>
        <w:gridCol w:w="709"/>
        <w:gridCol w:w="709"/>
        <w:gridCol w:w="850"/>
        <w:gridCol w:w="851"/>
        <w:gridCol w:w="1031"/>
      </w:tblGrid>
      <w:tr w:rsidR="00030148" w:rsidRPr="002A249C" w14:paraId="77623B95" w14:textId="77777777" w:rsidTr="00030148">
        <w:trPr>
          <w:trHeight w:val="297"/>
          <w:jc w:val="center"/>
        </w:trPr>
        <w:tc>
          <w:tcPr>
            <w:tcW w:w="8437" w:type="dxa"/>
            <w:gridSpan w:val="7"/>
            <w:shd w:val="clear" w:color="000000" w:fill="FFFFFF"/>
            <w:noWrap/>
            <w:vAlign w:val="bottom"/>
          </w:tcPr>
          <w:p w14:paraId="432ED9B1" w14:textId="77777777" w:rsidR="00030148" w:rsidRPr="00030148" w:rsidRDefault="00030148" w:rsidP="00184153">
            <w:pPr>
              <w:spacing w:line="360" w:lineRule="auto"/>
              <w:ind w:left="-70"/>
              <w:rPr>
                <w:b/>
                <w:bCs/>
                <w:color w:val="000000"/>
                <w:lang w:eastAsia="es-CO"/>
              </w:rPr>
            </w:pPr>
            <w:r w:rsidRPr="00030148">
              <w:rPr>
                <w:b/>
                <w:color w:val="000000"/>
              </w:rPr>
              <w:t>Tabla 4</w:t>
            </w:r>
          </w:p>
        </w:tc>
      </w:tr>
      <w:tr w:rsidR="00030148" w:rsidRPr="002A249C" w14:paraId="78AF6CBC" w14:textId="77777777" w:rsidTr="00030148">
        <w:trPr>
          <w:trHeight w:val="297"/>
          <w:jc w:val="center"/>
        </w:trPr>
        <w:tc>
          <w:tcPr>
            <w:tcW w:w="8437" w:type="dxa"/>
            <w:gridSpan w:val="7"/>
            <w:tcBorders>
              <w:bottom w:val="single" w:sz="4" w:space="0" w:color="auto"/>
            </w:tcBorders>
            <w:shd w:val="clear" w:color="000000" w:fill="FFFFFF"/>
            <w:noWrap/>
            <w:vAlign w:val="bottom"/>
          </w:tcPr>
          <w:p w14:paraId="0E94ACA2" w14:textId="77777777" w:rsidR="00030148" w:rsidRPr="002907D4" w:rsidRDefault="00030148" w:rsidP="00184153">
            <w:pPr>
              <w:spacing w:line="360" w:lineRule="auto"/>
              <w:ind w:left="-70"/>
              <w:rPr>
                <w:bCs/>
                <w:i/>
                <w:iCs/>
                <w:color w:val="000000"/>
                <w:lang w:eastAsia="es-CO"/>
              </w:rPr>
            </w:pPr>
            <w:r w:rsidRPr="002907D4">
              <w:rPr>
                <w:bCs/>
                <w:i/>
                <w:iCs/>
                <w:color w:val="000000"/>
              </w:rPr>
              <w:t>Valoración de perfiles característicos de ideación suicida</w:t>
            </w:r>
          </w:p>
        </w:tc>
      </w:tr>
      <w:tr w:rsidR="00030148" w:rsidRPr="002A249C" w14:paraId="63322B82" w14:textId="77777777" w:rsidTr="00030148">
        <w:trPr>
          <w:trHeight w:val="297"/>
          <w:jc w:val="center"/>
        </w:trPr>
        <w:tc>
          <w:tcPr>
            <w:tcW w:w="3578" w:type="dxa"/>
            <w:vMerge w:val="restart"/>
            <w:tcBorders>
              <w:top w:val="single" w:sz="4" w:space="0" w:color="auto"/>
              <w:bottom w:val="single" w:sz="4" w:space="0" w:color="auto"/>
            </w:tcBorders>
            <w:shd w:val="clear" w:color="000000" w:fill="FFFFFF"/>
            <w:noWrap/>
            <w:vAlign w:val="bottom"/>
            <w:hideMark/>
          </w:tcPr>
          <w:p w14:paraId="7CEB56BD" w14:textId="77777777" w:rsidR="00030148" w:rsidRPr="000C1CC0" w:rsidRDefault="00030148" w:rsidP="00184153">
            <w:pPr>
              <w:spacing w:line="360" w:lineRule="auto"/>
              <w:ind w:left="-70"/>
              <w:rPr>
                <w:b/>
                <w:bCs/>
                <w:color w:val="000000"/>
                <w:lang w:eastAsia="es-CO"/>
              </w:rPr>
            </w:pPr>
          </w:p>
          <w:p w14:paraId="6B6B86F8" w14:textId="77777777" w:rsidR="00030148" w:rsidRPr="000C1CC0" w:rsidRDefault="00030148" w:rsidP="00184153">
            <w:pPr>
              <w:spacing w:line="360" w:lineRule="auto"/>
              <w:ind w:left="-70"/>
              <w:rPr>
                <w:b/>
                <w:bCs/>
                <w:color w:val="000000"/>
                <w:lang w:eastAsia="es-CO"/>
              </w:rPr>
            </w:pPr>
            <w:r w:rsidRPr="00315743">
              <w:rPr>
                <w:b/>
                <w:bCs/>
                <w:color w:val="000000"/>
                <w:lang w:eastAsia="es-CO"/>
              </w:rPr>
              <w:t>V</w:t>
            </w:r>
            <w:r w:rsidRPr="002907D4">
              <w:rPr>
                <w:b/>
                <w:bCs/>
                <w:color w:val="000000"/>
                <w:lang w:eastAsia="es-CO"/>
              </w:rPr>
              <w:t>aria</w:t>
            </w:r>
            <w:r w:rsidRPr="002907D4">
              <w:rPr>
                <w:b/>
                <w:color w:val="000000"/>
                <w:lang w:eastAsia="es-CO"/>
              </w:rPr>
              <w:t>ble</w:t>
            </w:r>
          </w:p>
        </w:tc>
        <w:tc>
          <w:tcPr>
            <w:tcW w:w="1418" w:type="dxa"/>
            <w:gridSpan w:val="2"/>
            <w:tcBorders>
              <w:top w:val="single" w:sz="4" w:space="0" w:color="auto"/>
              <w:bottom w:val="single" w:sz="4" w:space="0" w:color="auto"/>
            </w:tcBorders>
            <w:shd w:val="clear" w:color="auto" w:fill="auto"/>
            <w:noWrap/>
            <w:vAlign w:val="center"/>
            <w:hideMark/>
          </w:tcPr>
          <w:p w14:paraId="1725D11B" w14:textId="77777777" w:rsidR="00030148" w:rsidRPr="000C1CC0" w:rsidRDefault="00030148" w:rsidP="00184153">
            <w:pPr>
              <w:spacing w:line="360" w:lineRule="auto"/>
              <w:ind w:left="-70"/>
              <w:rPr>
                <w:b/>
                <w:bCs/>
                <w:color w:val="000000"/>
                <w:lang w:eastAsia="es-CO"/>
              </w:rPr>
            </w:pPr>
            <w:r w:rsidRPr="000C1CC0">
              <w:rPr>
                <w:b/>
                <w:bCs/>
                <w:color w:val="000000"/>
                <w:lang w:eastAsia="es-CO"/>
              </w:rPr>
              <w:t>Perfil 1</w:t>
            </w:r>
          </w:p>
        </w:tc>
        <w:tc>
          <w:tcPr>
            <w:tcW w:w="1559" w:type="dxa"/>
            <w:gridSpan w:val="2"/>
            <w:tcBorders>
              <w:top w:val="single" w:sz="4" w:space="0" w:color="auto"/>
              <w:bottom w:val="single" w:sz="4" w:space="0" w:color="auto"/>
            </w:tcBorders>
            <w:shd w:val="clear" w:color="auto" w:fill="auto"/>
            <w:noWrap/>
            <w:vAlign w:val="center"/>
            <w:hideMark/>
          </w:tcPr>
          <w:p w14:paraId="20D3B9C6" w14:textId="77777777" w:rsidR="00030148" w:rsidRPr="000C1CC0" w:rsidRDefault="00030148" w:rsidP="00184153">
            <w:pPr>
              <w:spacing w:line="360" w:lineRule="auto"/>
              <w:ind w:left="-70"/>
              <w:rPr>
                <w:b/>
                <w:bCs/>
                <w:color w:val="000000"/>
                <w:lang w:eastAsia="es-CO"/>
              </w:rPr>
            </w:pPr>
            <w:r w:rsidRPr="000C1CC0">
              <w:rPr>
                <w:b/>
                <w:bCs/>
                <w:color w:val="000000"/>
                <w:lang w:eastAsia="es-CO"/>
              </w:rPr>
              <w:t>Perfil 2</w:t>
            </w:r>
          </w:p>
        </w:tc>
        <w:tc>
          <w:tcPr>
            <w:tcW w:w="1882" w:type="dxa"/>
            <w:gridSpan w:val="2"/>
            <w:tcBorders>
              <w:top w:val="single" w:sz="4" w:space="0" w:color="auto"/>
              <w:bottom w:val="single" w:sz="4" w:space="0" w:color="auto"/>
            </w:tcBorders>
            <w:shd w:val="clear" w:color="auto" w:fill="auto"/>
            <w:noWrap/>
            <w:vAlign w:val="center"/>
            <w:hideMark/>
          </w:tcPr>
          <w:p w14:paraId="758AA6E9" w14:textId="77777777" w:rsidR="00030148" w:rsidRPr="000C1CC0" w:rsidRDefault="00030148" w:rsidP="00184153">
            <w:pPr>
              <w:spacing w:line="360" w:lineRule="auto"/>
              <w:ind w:left="-70"/>
              <w:rPr>
                <w:b/>
                <w:bCs/>
                <w:color w:val="000000"/>
                <w:lang w:eastAsia="es-CO"/>
              </w:rPr>
            </w:pPr>
            <w:r w:rsidRPr="000C1CC0">
              <w:rPr>
                <w:b/>
                <w:bCs/>
                <w:color w:val="000000"/>
                <w:lang w:eastAsia="es-CO"/>
              </w:rPr>
              <w:t>Perfil 3</w:t>
            </w:r>
          </w:p>
        </w:tc>
      </w:tr>
      <w:tr w:rsidR="00030148" w:rsidRPr="002A249C" w14:paraId="15808D46" w14:textId="77777777" w:rsidTr="00030148">
        <w:trPr>
          <w:trHeight w:val="595"/>
          <w:jc w:val="center"/>
        </w:trPr>
        <w:tc>
          <w:tcPr>
            <w:tcW w:w="3578" w:type="dxa"/>
            <w:vMerge/>
            <w:tcBorders>
              <w:top w:val="single" w:sz="4" w:space="0" w:color="auto"/>
            </w:tcBorders>
            <w:shd w:val="clear" w:color="000000" w:fill="FFFFFF"/>
            <w:noWrap/>
            <w:vAlign w:val="bottom"/>
            <w:hideMark/>
          </w:tcPr>
          <w:p w14:paraId="16BC059A" w14:textId="77777777" w:rsidR="00030148" w:rsidRPr="002A249C" w:rsidRDefault="00030148" w:rsidP="00184153">
            <w:pPr>
              <w:spacing w:line="360" w:lineRule="auto"/>
              <w:ind w:left="-70"/>
              <w:rPr>
                <w:color w:val="000000"/>
                <w:lang w:eastAsia="es-CO"/>
              </w:rPr>
            </w:pPr>
          </w:p>
        </w:tc>
        <w:tc>
          <w:tcPr>
            <w:tcW w:w="709" w:type="dxa"/>
            <w:tcBorders>
              <w:top w:val="single" w:sz="4" w:space="0" w:color="auto"/>
            </w:tcBorders>
            <w:shd w:val="clear" w:color="auto" w:fill="auto"/>
            <w:noWrap/>
            <w:vAlign w:val="center"/>
            <w:hideMark/>
          </w:tcPr>
          <w:p w14:paraId="462FA396" w14:textId="77777777" w:rsidR="00030148" w:rsidRPr="002A249C" w:rsidRDefault="00030148" w:rsidP="00184153">
            <w:pPr>
              <w:spacing w:line="360" w:lineRule="auto"/>
              <w:ind w:left="-70"/>
              <w:rPr>
                <w:color w:val="000000"/>
                <w:lang w:eastAsia="es-CO"/>
              </w:rPr>
            </w:pPr>
            <w:r w:rsidRPr="002A249C">
              <w:rPr>
                <w:color w:val="000000"/>
                <w:lang w:eastAsia="es-CO"/>
              </w:rPr>
              <w:t>M</w:t>
            </w:r>
          </w:p>
        </w:tc>
        <w:tc>
          <w:tcPr>
            <w:tcW w:w="709" w:type="dxa"/>
            <w:tcBorders>
              <w:top w:val="single" w:sz="4" w:space="0" w:color="auto"/>
            </w:tcBorders>
            <w:shd w:val="clear" w:color="auto" w:fill="auto"/>
            <w:vAlign w:val="center"/>
            <w:hideMark/>
          </w:tcPr>
          <w:p w14:paraId="2CA385A3" w14:textId="77777777" w:rsidR="00030148" w:rsidRPr="002A249C" w:rsidRDefault="00030148" w:rsidP="00184153">
            <w:pPr>
              <w:spacing w:line="360" w:lineRule="auto"/>
              <w:ind w:left="-70"/>
              <w:rPr>
                <w:color w:val="000000"/>
                <w:lang w:eastAsia="es-CO"/>
              </w:rPr>
            </w:pPr>
            <w:r w:rsidRPr="002A249C">
              <w:rPr>
                <w:color w:val="000000"/>
                <w:lang w:eastAsia="es-CO"/>
              </w:rPr>
              <w:t>DE</w:t>
            </w:r>
          </w:p>
        </w:tc>
        <w:tc>
          <w:tcPr>
            <w:tcW w:w="709" w:type="dxa"/>
            <w:tcBorders>
              <w:top w:val="single" w:sz="4" w:space="0" w:color="auto"/>
            </w:tcBorders>
            <w:shd w:val="clear" w:color="auto" w:fill="auto"/>
            <w:noWrap/>
            <w:vAlign w:val="center"/>
            <w:hideMark/>
          </w:tcPr>
          <w:p w14:paraId="184A9762" w14:textId="77777777" w:rsidR="00030148" w:rsidRPr="002A249C" w:rsidRDefault="00030148" w:rsidP="00184153">
            <w:pPr>
              <w:spacing w:line="360" w:lineRule="auto"/>
              <w:ind w:left="-70"/>
              <w:rPr>
                <w:color w:val="000000"/>
                <w:lang w:eastAsia="es-CO"/>
              </w:rPr>
            </w:pPr>
            <w:r w:rsidRPr="002A249C">
              <w:rPr>
                <w:color w:val="000000"/>
                <w:lang w:eastAsia="es-CO"/>
              </w:rPr>
              <w:t>M</w:t>
            </w:r>
          </w:p>
        </w:tc>
        <w:tc>
          <w:tcPr>
            <w:tcW w:w="850" w:type="dxa"/>
            <w:tcBorders>
              <w:top w:val="single" w:sz="4" w:space="0" w:color="auto"/>
            </w:tcBorders>
            <w:shd w:val="clear" w:color="auto" w:fill="auto"/>
            <w:vAlign w:val="center"/>
            <w:hideMark/>
          </w:tcPr>
          <w:p w14:paraId="009E43ED" w14:textId="77777777" w:rsidR="00030148" w:rsidRPr="002A249C" w:rsidRDefault="00030148" w:rsidP="00184153">
            <w:pPr>
              <w:spacing w:line="360" w:lineRule="auto"/>
              <w:ind w:left="-70"/>
              <w:rPr>
                <w:color w:val="000000"/>
                <w:lang w:eastAsia="es-CO"/>
              </w:rPr>
            </w:pPr>
            <w:r w:rsidRPr="002A249C">
              <w:rPr>
                <w:color w:val="000000"/>
                <w:lang w:eastAsia="es-CO"/>
              </w:rPr>
              <w:t>DE</w:t>
            </w:r>
          </w:p>
        </w:tc>
        <w:tc>
          <w:tcPr>
            <w:tcW w:w="851" w:type="dxa"/>
            <w:tcBorders>
              <w:top w:val="single" w:sz="4" w:space="0" w:color="auto"/>
            </w:tcBorders>
            <w:shd w:val="clear" w:color="auto" w:fill="auto"/>
            <w:noWrap/>
            <w:vAlign w:val="center"/>
            <w:hideMark/>
          </w:tcPr>
          <w:p w14:paraId="52A08CD9" w14:textId="77777777" w:rsidR="00030148" w:rsidRPr="002A249C" w:rsidRDefault="00030148" w:rsidP="00184153">
            <w:pPr>
              <w:spacing w:line="360" w:lineRule="auto"/>
              <w:ind w:left="-70"/>
              <w:rPr>
                <w:color w:val="000000"/>
                <w:lang w:eastAsia="es-CO"/>
              </w:rPr>
            </w:pPr>
            <w:r w:rsidRPr="002A249C">
              <w:rPr>
                <w:color w:val="000000"/>
                <w:lang w:eastAsia="es-CO"/>
              </w:rPr>
              <w:t>M</w:t>
            </w:r>
          </w:p>
        </w:tc>
        <w:tc>
          <w:tcPr>
            <w:tcW w:w="1031" w:type="dxa"/>
            <w:tcBorders>
              <w:top w:val="single" w:sz="4" w:space="0" w:color="auto"/>
            </w:tcBorders>
            <w:shd w:val="clear" w:color="auto" w:fill="auto"/>
            <w:vAlign w:val="center"/>
            <w:hideMark/>
          </w:tcPr>
          <w:p w14:paraId="7448520C" w14:textId="77777777" w:rsidR="00030148" w:rsidRPr="002A249C" w:rsidRDefault="00030148" w:rsidP="00184153">
            <w:pPr>
              <w:spacing w:line="360" w:lineRule="auto"/>
              <w:ind w:left="-70"/>
              <w:rPr>
                <w:color w:val="000000"/>
                <w:lang w:eastAsia="es-CO"/>
              </w:rPr>
            </w:pPr>
            <w:r w:rsidRPr="002A249C">
              <w:rPr>
                <w:color w:val="000000"/>
                <w:lang w:eastAsia="es-CO"/>
              </w:rPr>
              <w:t>DE</w:t>
            </w:r>
          </w:p>
        </w:tc>
      </w:tr>
      <w:tr w:rsidR="00030148" w:rsidRPr="002A249C" w14:paraId="49DFD8CB" w14:textId="77777777" w:rsidTr="00030148">
        <w:trPr>
          <w:trHeight w:val="297"/>
          <w:jc w:val="center"/>
        </w:trPr>
        <w:tc>
          <w:tcPr>
            <w:tcW w:w="3578" w:type="dxa"/>
            <w:shd w:val="clear" w:color="auto" w:fill="auto"/>
            <w:noWrap/>
            <w:vAlign w:val="center"/>
            <w:hideMark/>
          </w:tcPr>
          <w:p w14:paraId="7FB87418" w14:textId="77777777" w:rsidR="00030148" w:rsidRPr="002A249C" w:rsidRDefault="00030148" w:rsidP="00184153">
            <w:pPr>
              <w:spacing w:line="360" w:lineRule="auto"/>
              <w:ind w:left="-70"/>
              <w:rPr>
                <w:color w:val="000000"/>
                <w:lang w:eastAsia="es-CO"/>
              </w:rPr>
            </w:pPr>
            <w:r w:rsidRPr="002A249C">
              <w:rPr>
                <w:color w:val="000000"/>
                <w:lang w:eastAsia="es-CO"/>
              </w:rPr>
              <w:t>V1</w:t>
            </w:r>
            <w:r>
              <w:rPr>
                <w:color w:val="000000"/>
                <w:lang w:eastAsia="es-CO"/>
              </w:rPr>
              <w:t>: Pensamientos de muerte</w:t>
            </w:r>
          </w:p>
        </w:tc>
        <w:tc>
          <w:tcPr>
            <w:tcW w:w="709" w:type="dxa"/>
            <w:shd w:val="clear" w:color="auto" w:fill="auto"/>
            <w:noWrap/>
            <w:vAlign w:val="center"/>
            <w:hideMark/>
          </w:tcPr>
          <w:p w14:paraId="624AA95D" w14:textId="77777777" w:rsidR="00030148" w:rsidRPr="002A249C" w:rsidRDefault="00030148" w:rsidP="00184153">
            <w:pPr>
              <w:spacing w:line="360" w:lineRule="auto"/>
              <w:ind w:left="-70"/>
              <w:rPr>
                <w:color w:val="000000"/>
                <w:lang w:eastAsia="es-CO"/>
              </w:rPr>
            </w:pPr>
            <w:r w:rsidRPr="002A249C">
              <w:rPr>
                <w:color w:val="000000"/>
                <w:lang w:eastAsia="es-CO"/>
              </w:rPr>
              <w:t>1,1</w:t>
            </w:r>
          </w:p>
        </w:tc>
        <w:tc>
          <w:tcPr>
            <w:tcW w:w="709" w:type="dxa"/>
            <w:shd w:val="clear" w:color="auto" w:fill="auto"/>
            <w:noWrap/>
            <w:vAlign w:val="center"/>
            <w:hideMark/>
          </w:tcPr>
          <w:p w14:paraId="65503D4F" w14:textId="77777777" w:rsidR="00030148" w:rsidRPr="002A249C" w:rsidRDefault="00030148" w:rsidP="00184153">
            <w:pPr>
              <w:spacing w:line="360" w:lineRule="auto"/>
              <w:ind w:left="-70"/>
              <w:rPr>
                <w:color w:val="000000"/>
                <w:lang w:eastAsia="es-CO"/>
              </w:rPr>
            </w:pPr>
            <w:r w:rsidRPr="002A249C">
              <w:rPr>
                <w:color w:val="000000"/>
                <w:lang w:eastAsia="es-CO"/>
              </w:rPr>
              <w:t>0,4</w:t>
            </w:r>
          </w:p>
        </w:tc>
        <w:tc>
          <w:tcPr>
            <w:tcW w:w="709" w:type="dxa"/>
            <w:shd w:val="clear" w:color="auto" w:fill="auto"/>
            <w:noWrap/>
            <w:vAlign w:val="center"/>
            <w:hideMark/>
          </w:tcPr>
          <w:p w14:paraId="524CE873" w14:textId="77777777" w:rsidR="00030148" w:rsidRPr="002A249C" w:rsidRDefault="00030148" w:rsidP="00184153">
            <w:pPr>
              <w:spacing w:line="360" w:lineRule="auto"/>
              <w:ind w:left="-70"/>
              <w:rPr>
                <w:color w:val="000000"/>
                <w:lang w:eastAsia="es-CO"/>
              </w:rPr>
            </w:pPr>
            <w:r w:rsidRPr="002A249C">
              <w:rPr>
                <w:color w:val="000000"/>
                <w:lang w:eastAsia="es-CO"/>
              </w:rPr>
              <w:t>2,6</w:t>
            </w:r>
          </w:p>
        </w:tc>
        <w:tc>
          <w:tcPr>
            <w:tcW w:w="850" w:type="dxa"/>
            <w:shd w:val="clear" w:color="auto" w:fill="auto"/>
            <w:noWrap/>
            <w:vAlign w:val="center"/>
            <w:hideMark/>
          </w:tcPr>
          <w:p w14:paraId="6B7E5B11" w14:textId="77777777" w:rsidR="00030148" w:rsidRPr="002A249C" w:rsidRDefault="00030148" w:rsidP="00184153">
            <w:pPr>
              <w:spacing w:line="360" w:lineRule="auto"/>
              <w:ind w:left="-70"/>
              <w:rPr>
                <w:color w:val="000000"/>
                <w:lang w:eastAsia="es-CO"/>
              </w:rPr>
            </w:pPr>
            <w:r w:rsidRPr="002A249C">
              <w:rPr>
                <w:color w:val="000000"/>
                <w:lang w:eastAsia="es-CO"/>
              </w:rPr>
              <w:t>1,6</w:t>
            </w:r>
          </w:p>
        </w:tc>
        <w:tc>
          <w:tcPr>
            <w:tcW w:w="851" w:type="dxa"/>
            <w:shd w:val="clear" w:color="auto" w:fill="auto"/>
            <w:noWrap/>
            <w:vAlign w:val="center"/>
            <w:hideMark/>
          </w:tcPr>
          <w:p w14:paraId="69788C77" w14:textId="77777777" w:rsidR="00030148" w:rsidRPr="002A249C" w:rsidRDefault="00030148" w:rsidP="00184153">
            <w:pPr>
              <w:spacing w:line="360" w:lineRule="auto"/>
              <w:ind w:left="-70"/>
              <w:rPr>
                <w:color w:val="000000"/>
                <w:lang w:eastAsia="es-CO"/>
              </w:rPr>
            </w:pPr>
            <w:r w:rsidRPr="002A249C">
              <w:rPr>
                <w:color w:val="000000"/>
                <w:lang w:eastAsia="es-CO"/>
              </w:rPr>
              <w:t>4,7</w:t>
            </w:r>
          </w:p>
        </w:tc>
        <w:tc>
          <w:tcPr>
            <w:tcW w:w="1031" w:type="dxa"/>
            <w:shd w:val="clear" w:color="auto" w:fill="auto"/>
            <w:noWrap/>
            <w:vAlign w:val="center"/>
            <w:hideMark/>
          </w:tcPr>
          <w:p w14:paraId="50B1A3A5" w14:textId="77777777" w:rsidR="00030148" w:rsidRPr="002A249C" w:rsidRDefault="00030148" w:rsidP="00184153">
            <w:pPr>
              <w:spacing w:line="360" w:lineRule="auto"/>
              <w:ind w:left="-70"/>
              <w:rPr>
                <w:color w:val="000000"/>
                <w:lang w:eastAsia="es-CO"/>
              </w:rPr>
            </w:pPr>
            <w:r w:rsidRPr="002A249C">
              <w:rPr>
                <w:color w:val="000000"/>
                <w:lang w:eastAsia="es-CO"/>
              </w:rPr>
              <w:t>1,3</w:t>
            </w:r>
          </w:p>
        </w:tc>
      </w:tr>
      <w:tr w:rsidR="00030148" w:rsidRPr="002A249C" w14:paraId="3A45E866" w14:textId="77777777" w:rsidTr="00030148">
        <w:trPr>
          <w:trHeight w:val="297"/>
          <w:jc w:val="center"/>
        </w:trPr>
        <w:tc>
          <w:tcPr>
            <w:tcW w:w="3578" w:type="dxa"/>
            <w:shd w:val="clear" w:color="auto" w:fill="auto"/>
            <w:noWrap/>
            <w:vAlign w:val="center"/>
            <w:hideMark/>
          </w:tcPr>
          <w:p w14:paraId="2B8CB425" w14:textId="77777777" w:rsidR="00030148" w:rsidRPr="002A249C" w:rsidRDefault="00030148" w:rsidP="00184153">
            <w:pPr>
              <w:spacing w:line="360" w:lineRule="auto"/>
              <w:ind w:left="-70"/>
              <w:rPr>
                <w:color w:val="000000"/>
                <w:lang w:eastAsia="es-CO"/>
              </w:rPr>
            </w:pPr>
            <w:r w:rsidRPr="002A249C">
              <w:rPr>
                <w:color w:val="000000"/>
                <w:lang w:eastAsia="es-CO"/>
              </w:rPr>
              <w:t>V2</w:t>
            </w:r>
            <w:r>
              <w:rPr>
                <w:color w:val="000000"/>
                <w:lang w:eastAsia="es-CO"/>
              </w:rPr>
              <w:t>: Desesperanza</w:t>
            </w:r>
          </w:p>
        </w:tc>
        <w:tc>
          <w:tcPr>
            <w:tcW w:w="709" w:type="dxa"/>
            <w:shd w:val="clear" w:color="auto" w:fill="auto"/>
            <w:noWrap/>
            <w:vAlign w:val="center"/>
            <w:hideMark/>
          </w:tcPr>
          <w:p w14:paraId="4FE7C575" w14:textId="77777777" w:rsidR="00030148" w:rsidRPr="002A249C" w:rsidRDefault="00030148" w:rsidP="00184153">
            <w:pPr>
              <w:spacing w:line="360" w:lineRule="auto"/>
              <w:ind w:left="-70"/>
              <w:rPr>
                <w:color w:val="000000"/>
                <w:lang w:eastAsia="es-CO"/>
              </w:rPr>
            </w:pPr>
            <w:r w:rsidRPr="002A249C">
              <w:rPr>
                <w:color w:val="000000"/>
                <w:lang w:eastAsia="es-CO"/>
              </w:rPr>
              <w:t>1,1</w:t>
            </w:r>
          </w:p>
        </w:tc>
        <w:tc>
          <w:tcPr>
            <w:tcW w:w="709" w:type="dxa"/>
            <w:shd w:val="clear" w:color="auto" w:fill="auto"/>
            <w:noWrap/>
            <w:vAlign w:val="center"/>
            <w:hideMark/>
          </w:tcPr>
          <w:p w14:paraId="098F076D" w14:textId="77777777" w:rsidR="00030148" w:rsidRPr="002A249C" w:rsidRDefault="00030148" w:rsidP="00184153">
            <w:pPr>
              <w:spacing w:line="360" w:lineRule="auto"/>
              <w:ind w:left="-70"/>
              <w:rPr>
                <w:color w:val="000000"/>
                <w:lang w:eastAsia="es-CO"/>
              </w:rPr>
            </w:pPr>
            <w:r w:rsidRPr="002A249C">
              <w:rPr>
                <w:color w:val="000000"/>
                <w:lang w:eastAsia="es-CO"/>
              </w:rPr>
              <w:t>0,4</w:t>
            </w:r>
          </w:p>
        </w:tc>
        <w:tc>
          <w:tcPr>
            <w:tcW w:w="709" w:type="dxa"/>
            <w:shd w:val="clear" w:color="auto" w:fill="auto"/>
            <w:noWrap/>
            <w:vAlign w:val="center"/>
            <w:hideMark/>
          </w:tcPr>
          <w:p w14:paraId="4F1CA5FB" w14:textId="77777777" w:rsidR="00030148" w:rsidRPr="002A249C" w:rsidRDefault="00030148" w:rsidP="00184153">
            <w:pPr>
              <w:spacing w:line="360" w:lineRule="auto"/>
              <w:ind w:left="-70"/>
              <w:rPr>
                <w:color w:val="000000"/>
                <w:lang w:eastAsia="es-CO"/>
              </w:rPr>
            </w:pPr>
            <w:r w:rsidRPr="002A249C">
              <w:rPr>
                <w:color w:val="000000"/>
                <w:lang w:eastAsia="es-CO"/>
              </w:rPr>
              <w:t>1,8</w:t>
            </w:r>
          </w:p>
        </w:tc>
        <w:tc>
          <w:tcPr>
            <w:tcW w:w="850" w:type="dxa"/>
            <w:shd w:val="clear" w:color="auto" w:fill="auto"/>
            <w:noWrap/>
            <w:vAlign w:val="center"/>
            <w:hideMark/>
          </w:tcPr>
          <w:p w14:paraId="19186FAB" w14:textId="77777777" w:rsidR="00030148" w:rsidRPr="002A249C" w:rsidRDefault="00030148" w:rsidP="00184153">
            <w:pPr>
              <w:spacing w:line="360" w:lineRule="auto"/>
              <w:ind w:left="-70"/>
              <w:rPr>
                <w:color w:val="000000"/>
                <w:lang w:eastAsia="es-CO"/>
              </w:rPr>
            </w:pPr>
            <w:r w:rsidRPr="002A249C">
              <w:rPr>
                <w:color w:val="000000"/>
                <w:lang w:eastAsia="es-CO"/>
              </w:rPr>
              <w:t>1,2</w:t>
            </w:r>
          </w:p>
        </w:tc>
        <w:tc>
          <w:tcPr>
            <w:tcW w:w="851" w:type="dxa"/>
            <w:shd w:val="clear" w:color="auto" w:fill="auto"/>
            <w:noWrap/>
            <w:vAlign w:val="center"/>
            <w:hideMark/>
          </w:tcPr>
          <w:p w14:paraId="5980B2A9" w14:textId="77777777" w:rsidR="00030148" w:rsidRPr="002A249C" w:rsidRDefault="00030148" w:rsidP="00184153">
            <w:pPr>
              <w:spacing w:line="360" w:lineRule="auto"/>
              <w:ind w:left="-70"/>
              <w:rPr>
                <w:color w:val="000000"/>
                <w:lang w:eastAsia="es-CO"/>
              </w:rPr>
            </w:pPr>
            <w:r w:rsidRPr="002A249C">
              <w:rPr>
                <w:color w:val="000000"/>
                <w:lang w:eastAsia="es-CO"/>
              </w:rPr>
              <w:t>4,1</w:t>
            </w:r>
          </w:p>
        </w:tc>
        <w:tc>
          <w:tcPr>
            <w:tcW w:w="1031" w:type="dxa"/>
            <w:shd w:val="clear" w:color="auto" w:fill="auto"/>
            <w:noWrap/>
            <w:vAlign w:val="center"/>
            <w:hideMark/>
          </w:tcPr>
          <w:p w14:paraId="3952D86F" w14:textId="77777777" w:rsidR="00030148" w:rsidRPr="002A249C" w:rsidRDefault="00030148" w:rsidP="00184153">
            <w:pPr>
              <w:spacing w:line="360" w:lineRule="auto"/>
              <w:ind w:left="-70"/>
              <w:rPr>
                <w:color w:val="000000"/>
                <w:lang w:eastAsia="es-CO"/>
              </w:rPr>
            </w:pPr>
            <w:r w:rsidRPr="002A249C">
              <w:rPr>
                <w:color w:val="000000"/>
                <w:lang w:eastAsia="es-CO"/>
              </w:rPr>
              <w:t>1,6</w:t>
            </w:r>
          </w:p>
        </w:tc>
      </w:tr>
      <w:tr w:rsidR="00030148" w:rsidRPr="002A249C" w14:paraId="21ADD495" w14:textId="77777777" w:rsidTr="00030148">
        <w:trPr>
          <w:trHeight w:val="297"/>
          <w:jc w:val="center"/>
        </w:trPr>
        <w:tc>
          <w:tcPr>
            <w:tcW w:w="3578" w:type="dxa"/>
            <w:shd w:val="clear" w:color="auto" w:fill="auto"/>
            <w:noWrap/>
            <w:vAlign w:val="center"/>
            <w:hideMark/>
          </w:tcPr>
          <w:p w14:paraId="26F1753C" w14:textId="77777777" w:rsidR="00030148" w:rsidRPr="002A249C" w:rsidRDefault="00030148" w:rsidP="00184153">
            <w:pPr>
              <w:spacing w:line="360" w:lineRule="auto"/>
              <w:ind w:left="-70"/>
              <w:rPr>
                <w:color w:val="000000"/>
                <w:lang w:eastAsia="es-CO"/>
              </w:rPr>
            </w:pPr>
            <w:r w:rsidRPr="002A249C">
              <w:rPr>
                <w:color w:val="000000"/>
                <w:lang w:eastAsia="es-CO"/>
              </w:rPr>
              <w:t>V3</w:t>
            </w:r>
            <w:r>
              <w:rPr>
                <w:color w:val="000000"/>
                <w:lang w:eastAsia="es-CO"/>
              </w:rPr>
              <w:t>: Planes suicidas</w:t>
            </w:r>
          </w:p>
        </w:tc>
        <w:tc>
          <w:tcPr>
            <w:tcW w:w="709" w:type="dxa"/>
            <w:shd w:val="clear" w:color="auto" w:fill="auto"/>
            <w:noWrap/>
            <w:vAlign w:val="center"/>
            <w:hideMark/>
          </w:tcPr>
          <w:p w14:paraId="182B5305" w14:textId="77777777" w:rsidR="00030148" w:rsidRPr="002A249C" w:rsidRDefault="00030148" w:rsidP="00184153">
            <w:pPr>
              <w:spacing w:line="360" w:lineRule="auto"/>
              <w:ind w:left="-70"/>
              <w:rPr>
                <w:color w:val="000000"/>
                <w:lang w:eastAsia="es-CO"/>
              </w:rPr>
            </w:pPr>
            <w:r w:rsidRPr="002A249C">
              <w:rPr>
                <w:color w:val="000000"/>
                <w:lang w:eastAsia="es-CO"/>
              </w:rPr>
              <w:t>1,1</w:t>
            </w:r>
          </w:p>
        </w:tc>
        <w:tc>
          <w:tcPr>
            <w:tcW w:w="709" w:type="dxa"/>
            <w:shd w:val="clear" w:color="auto" w:fill="auto"/>
            <w:noWrap/>
            <w:vAlign w:val="center"/>
            <w:hideMark/>
          </w:tcPr>
          <w:p w14:paraId="511CA096" w14:textId="77777777" w:rsidR="00030148" w:rsidRPr="002A249C" w:rsidRDefault="00030148" w:rsidP="00184153">
            <w:pPr>
              <w:spacing w:line="360" w:lineRule="auto"/>
              <w:ind w:left="-70"/>
              <w:rPr>
                <w:color w:val="000000"/>
                <w:lang w:eastAsia="es-CO"/>
              </w:rPr>
            </w:pPr>
            <w:r w:rsidRPr="002A249C">
              <w:rPr>
                <w:color w:val="000000"/>
                <w:lang w:eastAsia="es-CO"/>
              </w:rPr>
              <w:t>0,4</w:t>
            </w:r>
          </w:p>
        </w:tc>
        <w:tc>
          <w:tcPr>
            <w:tcW w:w="709" w:type="dxa"/>
            <w:shd w:val="clear" w:color="auto" w:fill="auto"/>
            <w:noWrap/>
            <w:vAlign w:val="center"/>
            <w:hideMark/>
          </w:tcPr>
          <w:p w14:paraId="5249760E" w14:textId="77777777" w:rsidR="00030148" w:rsidRPr="002A249C" w:rsidRDefault="00030148" w:rsidP="00184153">
            <w:pPr>
              <w:spacing w:line="360" w:lineRule="auto"/>
              <w:ind w:left="-70"/>
              <w:rPr>
                <w:color w:val="000000"/>
                <w:lang w:eastAsia="es-CO"/>
              </w:rPr>
            </w:pPr>
            <w:r w:rsidRPr="002A249C">
              <w:rPr>
                <w:color w:val="000000"/>
                <w:lang w:eastAsia="es-CO"/>
              </w:rPr>
              <w:t>1,9</w:t>
            </w:r>
          </w:p>
        </w:tc>
        <w:tc>
          <w:tcPr>
            <w:tcW w:w="850" w:type="dxa"/>
            <w:shd w:val="clear" w:color="auto" w:fill="auto"/>
            <w:noWrap/>
            <w:vAlign w:val="center"/>
            <w:hideMark/>
          </w:tcPr>
          <w:p w14:paraId="6742CF93" w14:textId="77777777" w:rsidR="00030148" w:rsidRPr="002A249C" w:rsidRDefault="00030148" w:rsidP="00184153">
            <w:pPr>
              <w:spacing w:line="360" w:lineRule="auto"/>
              <w:ind w:left="-70"/>
              <w:rPr>
                <w:color w:val="000000"/>
                <w:lang w:eastAsia="es-CO"/>
              </w:rPr>
            </w:pPr>
            <w:r w:rsidRPr="002A249C">
              <w:rPr>
                <w:color w:val="000000"/>
                <w:lang w:eastAsia="es-CO"/>
              </w:rPr>
              <w:t>1,2</w:t>
            </w:r>
          </w:p>
        </w:tc>
        <w:tc>
          <w:tcPr>
            <w:tcW w:w="851" w:type="dxa"/>
            <w:shd w:val="clear" w:color="auto" w:fill="auto"/>
            <w:noWrap/>
            <w:vAlign w:val="center"/>
            <w:hideMark/>
          </w:tcPr>
          <w:p w14:paraId="0922281A" w14:textId="77777777" w:rsidR="00030148" w:rsidRPr="002A249C" w:rsidRDefault="00030148" w:rsidP="00184153">
            <w:pPr>
              <w:spacing w:line="360" w:lineRule="auto"/>
              <w:ind w:left="-70"/>
              <w:rPr>
                <w:color w:val="000000"/>
                <w:lang w:eastAsia="es-CO"/>
              </w:rPr>
            </w:pPr>
            <w:r w:rsidRPr="002A249C">
              <w:rPr>
                <w:color w:val="000000"/>
                <w:lang w:eastAsia="es-CO"/>
              </w:rPr>
              <w:t>4,5</w:t>
            </w:r>
          </w:p>
        </w:tc>
        <w:tc>
          <w:tcPr>
            <w:tcW w:w="1031" w:type="dxa"/>
            <w:shd w:val="clear" w:color="auto" w:fill="auto"/>
            <w:noWrap/>
            <w:vAlign w:val="center"/>
            <w:hideMark/>
          </w:tcPr>
          <w:p w14:paraId="7E691DEC" w14:textId="77777777" w:rsidR="00030148" w:rsidRPr="002A249C" w:rsidRDefault="00030148" w:rsidP="00184153">
            <w:pPr>
              <w:spacing w:line="360" w:lineRule="auto"/>
              <w:ind w:left="-70"/>
              <w:rPr>
                <w:color w:val="000000"/>
                <w:lang w:eastAsia="es-CO"/>
              </w:rPr>
            </w:pPr>
            <w:r w:rsidRPr="002A249C">
              <w:rPr>
                <w:color w:val="000000"/>
                <w:lang w:eastAsia="es-CO"/>
              </w:rPr>
              <w:t>1,4</w:t>
            </w:r>
          </w:p>
        </w:tc>
      </w:tr>
      <w:tr w:rsidR="00030148" w:rsidRPr="002A249C" w14:paraId="75F0AE7A" w14:textId="77777777" w:rsidTr="00030148">
        <w:trPr>
          <w:trHeight w:val="297"/>
          <w:jc w:val="center"/>
        </w:trPr>
        <w:tc>
          <w:tcPr>
            <w:tcW w:w="3578" w:type="dxa"/>
            <w:shd w:val="clear" w:color="auto" w:fill="auto"/>
            <w:noWrap/>
            <w:vAlign w:val="center"/>
            <w:hideMark/>
          </w:tcPr>
          <w:p w14:paraId="24C116B2" w14:textId="77777777" w:rsidR="00030148" w:rsidRPr="002A249C" w:rsidRDefault="00030148" w:rsidP="00184153">
            <w:pPr>
              <w:spacing w:line="360" w:lineRule="auto"/>
              <w:ind w:left="-70"/>
              <w:rPr>
                <w:color w:val="000000"/>
                <w:lang w:eastAsia="es-CO"/>
              </w:rPr>
            </w:pPr>
            <w:r w:rsidRPr="002A249C">
              <w:rPr>
                <w:color w:val="000000"/>
                <w:lang w:eastAsia="es-CO"/>
              </w:rPr>
              <w:t>V4</w:t>
            </w:r>
            <w:r>
              <w:rPr>
                <w:color w:val="000000"/>
                <w:lang w:eastAsia="es-CO"/>
              </w:rPr>
              <w:t>: Intentos suicidas</w:t>
            </w:r>
          </w:p>
        </w:tc>
        <w:tc>
          <w:tcPr>
            <w:tcW w:w="709" w:type="dxa"/>
            <w:shd w:val="clear" w:color="auto" w:fill="auto"/>
            <w:noWrap/>
            <w:vAlign w:val="center"/>
            <w:hideMark/>
          </w:tcPr>
          <w:p w14:paraId="1E9077D8" w14:textId="77777777" w:rsidR="00030148" w:rsidRPr="002A249C" w:rsidRDefault="00030148" w:rsidP="00184153">
            <w:pPr>
              <w:spacing w:line="360" w:lineRule="auto"/>
              <w:ind w:left="-70"/>
              <w:rPr>
                <w:color w:val="000000"/>
                <w:lang w:eastAsia="es-CO"/>
              </w:rPr>
            </w:pPr>
            <w:r w:rsidRPr="002A249C">
              <w:rPr>
                <w:color w:val="000000"/>
                <w:lang w:eastAsia="es-CO"/>
              </w:rPr>
              <w:t>1,1</w:t>
            </w:r>
          </w:p>
        </w:tc>
        <w:tc>
          <w:tcPr>
            <w:tcW w:w="709" w:type="dxa"/>
            <w:shd w:val="clear" w:color="auto" w:fill="auto"/>
            <w:noWrap/>
            <w:vAlign w:val="center"/>
            <w:hideMark/>
          </w:tcPr>
          <w:p w14:paraId="27525065" w14:textId="77777777" w:rsidR="00030148" w:rsidRPr="002A249C" w:rsidRDefault="00030148" w:rsidP="00184153">
            <w:pPr>
              <w:spacing w:line="360" w:lineRule="auto"/>
              <w:ind w:left="-70"/>
              <w:rPr>
                <w:color w:val="000000"/>
                <w:lang w:eastAsia="es-CO"/>
              </w:rPr>
            </w:pPr>
            <w:r w:rsidRPr="002A249C">
              <w:rPr>
                <w:color w:val="000000"/>
                <w:lang w:eastAsia="es-CO"/>
              </w:rPr>
              <w:t>0,4</w:t>
            </w:r>
          </w:p>
        </w:tc>
        <w:tc>
          <w:tcPr>
            <w:tcW w:w="709" w:type="dxa"/>
            <w:shd w:val="clear" w:color="auto" w:fill="auto"/>
            <w:noWrap/>
            <w:vAlign w:val="center"/>
            <w:hideMark/>
          </w:tcPr>
          <w:p w14:paraId="1BE2EBA4" w14:textId="77777777" w:rsidR="00030148" w:rsidRPr="002A249C" w:rsidRDefault="00030148" w:rsidP="00184153">
            <w:pPr>
              <w:spacing w:line="360" w:lineRule="auto"/>
              <w:ind w:left="-70"/>
              <w:rPr>
                <w:color w:val="000000"/>
                <w:lang w:eastAsia="es-CO"/>
              </w:rPr>
            </w:pPr>
            <w:r w:rsidRPr="002A249C">
              <w:rPr>
                <w:color w:val="000000"/>
                <w:lang w:eastAsia="es-CO"/>
              </w:rPr>
              <w:t>1,8</w:t>
            </w:r>
          </w:p>
        </w:tc>
        <w:tc>
          <w:tcPr>
            <w:tcW w:w="850" w:type="dxa"/>
            <w:shd w:val="clear" w:color="auto" w:fill="auto"/>
            <w:noWrap/>
            <w:vAlign w:val="center"/>
            <w:hideMark/>
          </w:tcPr>
          <w:p w14:paraId="6B76A7DA" w14:textId="77777777" w:rsidR="00030148" w:rsidRPr="002A249C" w:rsidRDefault="00030148" w:rsidP="00184153">
            <w:pPr>
              <w:spacing w:line="360" w:lineRule="auto"/>
              <w:ind w:left="-70"/>
              <w:rPr>
                <w:color w:val="000000"/>
                <w:lang w:eastAsia="es-CO"/>
              </w:rPr>
            </w:pPr>
            <w:r w:rsidRPr="002A249C">
              <w:rPr>
                <w:color w:val="000000"/>
                <w:lang w:eastAsia="es-CO"/>
              </w:rPr>
              <w:t>1,3</w:t>
            </w:r>
          </w:p>
        </w:tc>
        <w:tc>
          <w:tcPr>
            <w:tcW w:w="851" w:type="dxa"/>
            <w:shd w:val="clear" w:color="auto" w:fill="auto"/>
            <w:noWrap/>
            <w:vAlign w:val="center"/>
            <w:hideMark/>
          </w:tcPr>
          <w:p w14:paraId="421235A7" w14:textId="77777777" w:rsidR="00030148" w:rsidRPr="002A249C" w:rsidRDefault="00030148" w:rsidP="00184153">
            <w:pPr>
              <w:spacing w:line="360" w:lineRule="auto"/>
              <w:ind w:left="-70"/>
              <w:rPr>
                <w:color w:val="000000"/>
                <w:lang w:eastAsia="es-CO"/>
              </w:rPr>
            </w:pPr>
            <w:r w:rsidRPr="002A249C">
              <w:rPr>
                <w:color w:val="000000"/>
                <w:lang w:eastAsia="es-CO"/>
              </w:rPr>
              <w:t>3,9</w:t>
            </w:r>
          </w:p>
        </w:tc>
        <w:tc>
          <w:tcPr>
            <w:tcW w:w="1031" w:type="dxa"/>
            <w:shd w:val="clear" w:color="auto" w:fill="auto"/>
            <w:noWrap/>
            <w:vAlign w:val="center"/>
            <w:hideMark/>
          </w:tcPr>
          <w:p w14:paraId="4FA13164" w14:textId="77777777" w:rsidR="00030148" w:rsidRPr="002A249C" w:rsidRDefault="00030148" w:rsidP="00184153">
            <w:pPr>
              <w:spacing w:line="360" w:lineRule="auto"/>
              <w:ind w:left="-70"/>
              <w:rPr>
                <w:color w:val="000000"/>
                <w:lang w:eastAsia="es-CO"/>
              </w:rPr>
            </w:pPr>
            <w:r w:rsidRPr="002A249C">
              <w:rPr>
                <w:color w:val="000000"/>
                <w:lang w:eastAsia="es-CO"/>
              </w:rPr>
              <w:t>1,7</w:t>
            </w:r>
          </w:p>
        </w:tc>
      </w:tr>
      <w:tr w:rsidR="00030148" w:rsidRPr="002A249C" w14:paraId="6CE0F617" w14:textId="77777777" w:rsidTr="00030148">
        <w:trPr>
          <w:trHeight w:val="297"/>
          <w:jc w:val="center"/>
        </w:trPr>
        <w:tc>
          <w:tcPr>
            <w:tcW w:w="3578" w:type="dxa"/>
            <w:shd w:val="clear" w:color="auto" w:fill="auto"/>
            <w:noWrap/>
            <w:vAlign w:val="center"/>
            <w:hideMark/>
          </w:tcPr>
          <w:p w14:paraId="2D6286C4" w14:textId="77777777" w:rsidR="00030148" w:rsidRPr="002A249C" w:rsidRDefault="00030148" w:rsidP="00184153">
            <w:pPr>
              <w:spacing w:line="360" w:lineRule="auto"/>
              <w:ind w:left="-70"/>
              <w:rPr>
                <w:color w:val="000000"/>
                <w:lang w:eastAsia="es-CO"/>
              </w:rPr>
            </w:pPr>
            <w:r w:rsidRPr="002A249C">
              <w:rPr>
                <w:color w:val="000000"/>
                <w:lang w:eastAsia="es-CO"/>
              </w:rPr>
              <w:t>V5</w:t>
            </w:r>
            <w:r>
              <w:rPr>
                <w:color w:val="000000"/>
                <w:lang w:eastAsia="es-CO"/>
              </w:rPr>
              <w:t>: Acciones suicidas</w:t>
            </w:r>
          </w:p>
        </w:tc>
        <w:tc>
          <w:tcPr>
            <w:tcW w:w="709" w:type="dxa"/>
            <w:shd w:val="clear" w:color="auto" w:fill="auto"/>
            <w:noWrap/>
            <w:vAlign w:val="center"/>
            <w:hideMark/>
          </w:tcPr>
          <w:p w14:paraId="37D8DE34" w14:textId="77777777" w:rsidR="00030148" w:rsidRPr="002A249C" w:rsidRDefault="00030148" w:rsidP="00184153">
            <w:pPr>
              <w:spacing w:line="360" w:lineRule="auto"/>
              <w:ind w:left="-70"/>
              <w:rPr>
                <w:color w:val="000000"/>
                <w:lang w:eastAsia="es-CO"/>
              </w:rPr>
            </w:pPr>
            <w:r w:rsidRPr="002A249C">
              <w:rPr>
                <w:color w:val="000000"/>
                <w:lang w:eastAsia="es-CO"/>
              </w:rPr>
              <w:t>1,1</w:t>
            </w:r>
          </w:p>
        </w:tc>
        <w:tc>
          <w:tcPr>
            <w:tcW w:w="709" w:type="dxa"/>
            <w:shd w:val="clear" w:color="auto" w:fill="auto"/>
            <w:noWrap/>
            <w:vAlign w:val="center"/>
            <w:hideMark/>
          </w:tcPr>
          <w:p w14:paraId="15D131EE" w14:textId="77777777" w:rsidR="00030148" w:rsidRPr="002A249C" w:rsidRDefault="00030148" w:rsidP="00184153">
            <w:pPr>
              <w:spacing w:line="360" w:lineRule="auto"/>
              <w:ind w:left="-70"/>
              <w:rPr>
                <w:color w:val="000000"/>
                <w:lang w:eastAsia="es-CO"/>
              </w:rPr>
            </w:pPr>
            <w:r w:rsidRPr="002A249C">
              <w:rPr>
                <w:color w:val="000000"/>
                <w:lang w:eastAsia="es-CO"/>
              </w:rPr>
              <w:t>0,3</w:t>
            </w:r>
          </w:p>
        </w:tc>
        <w:tc>
          <w:tcPr>
            <w:tcW w:w="709" w:type="dxa"/>
            <w:shd w:val="clear" w:color="auto" w:fill="auto"/>
            <w:noWrap/>
            <w:vAlign w:val="center"/>
            <w:hideMark/>
          </w:tcPr>
          <w:p w14:paraId="1575446A" w14:textId="77777777" w:rsidR="00030148" w:rsidRPr="002A249C" w:rsidRDefault="00030148" w:rsidP="00184153">
            <w:pPr>
              <w:spacing w:line="360" w:lineRule="auto"/>
              <w:ind w:left="-70"/>
              <w:rPr>
                <w:color w:val="000000"/>
                <w:lang w:eastAsia="es-CO"/>
              </w:rPr>
            </w:pPr>
            <w:r w:rsidRPr="002A249C">
              <w:rPr>
                <w:color w:val="000000"/>
                <w:lang w:eastAsia="es-CO"/>
              </w:rPr>
              <w:t>2,0</w:t>
            </w:r>
          </w:p>
        </w:tc>
        <w:tc>
          <w:tcPr>
            <w:tcW w:w="850" w:type="dxa"/>
            <w:shd w:val="clear" w:color="auto" w:fill="auto"/>
            <w:noWrap/>
            <w:vAlign w:val="center"/>
            <w:hideMark/>
          </w:tcPr>
          <w:p w14:paraId="4ECE5EE3" w14:textId="77777777" w:rsidR="00030148" w:rsidRPr="002A249C" w:rsidRDefault="00030148" w:rsidP="00184153">
            <w:pPr>
              <w:spacing w:line="360" w:lineRule="auto"/>
              <w:ind w:left="-70"/>
              <w:rPr>
                <w:color w:val="000000"/>
                <w:lang w:eastAsia="es-CO"/>
              </w:rPr>
            </w:pPr>
            <w:r w:rsidRPr="002A249C">
              <w:rPr>
                <w:color w:val="000000"/>
                <w:lang w:eastAsia="es-CO"/>
              </w:rPr>
              <w:t>1,4</w:t>
            </w:r>
          </w:p>
        </w:tc>
        <w:tc>
          <w:tcPr>
            <w:tcW w:w="851" w:type="dxa"/>
            <w:shd w:val="clear" w:color="auto" w:fill="auto"/>
            <w:noWrap/>
            <w:vAlign w:val="center"/>
            <w:hideMark/>
          </w:tcPr>
          <w:p w14:paraId="5E1B1623" w14:textId="77777777" w:rsidR="00030148" w:rsidRPr="002A249C" w:rsidRDefault="00030148" w:rsidP="00184153">
            <w:pPr>
              <w:spacing w:line="360" w:lineRule="auto"/>
              <w:ind w:left="-70"/>
              <w:rPr>
                <w:color w:val="000000"/>
                <w:lang w:eastAsia="es-CO"/>
              </w:rPr>
            </w:pPr>
            <w:r w:rsidRPr="002A249C">
              <w:rPr>
                <w:color w:val="000000"/>
                <w:lang w:eastAsia="es-CO"/>
              </w:rPr>
              <w:t>4,4</w:t>
            </w:r>
          </w:p>
        </w:tc>
        <w:tc>
          <w:tcPr>
            <w:tcW w:w="1031" w:type="dxa"/>
            <w:shd w:val="clear" w:color="auto" w:fill="auto"/>
            <w:noWrap/>
            <w:vAlign w:val="center"/>
            <w:hideMark/>
          </w:tcPr>
          <w:p w14:paraId="502D173A" w14:textId="77777777" w:rsidR="00030148" w:rsidRPr="002A249C" w:rsidRDefault="00030148" w:rsidP="00184153">
            <w:pPr>
              <w:spacing w:line="360" w:lineRule="auto"/>
              <w:ind w:left="-70"/>
              <w:rPr>
                <w:color w:val="000000"/>
                <w:lang w:eastAsia="es-CO"/>
              </w:rPr>
            </w:pPr>
            <w:r w:rsidRPr="002A249C">
              <w:rPr>
                <w:color w:val="000000"/>
                <w:lang w:eastAsia="es-CO"/>
              </w:rPr>
              <w:t>1,4</w:t>
            </w:r>
          </w:p>
        </w:tc>
      </w:tr>
      <w:tr w:rsidR="00030148" w:rsidRPr="002A249C" w14:paraId="3CD2DB1F" w14:textId="77777777" w:rsidTr="00030148">
        <w:trPr>
          <w:trHeight w:val="297"/>
          <w:jc w:val="center"/>
        </w:trPr>
        <w:tc>
          <w:tcPr>
            <w:tcW w:w="3578" w:type="dxa"/>
            <w:tcBorders>
              <w:bottom w:val="single" w:sz="4" w:space="0" w:color="auto"/>
            </w:tcBorders>
            <w:shd w:val="clear" w:color="auto" w:fill="auto"/>
            <w:noWrap/>
            <w:vAlign w:val="center"/>
            <w:hideMark/>
          </w:tcPr>
          <w:p w14:paraId="0D4DD163" w14:textId="77777777" w:rsidR="00030148" w:rsidRPr="002A249C" w:rsidRDefault="00030148" w:rsidP="00184153">
            <w:pPr>
              <w:spacing w:line="360" w:lineRule="auto"/>
              <w:ind w:left="-70"/>
              <w:rPr>
                <w:color w:val="000000"/>
                <w:lang w:eastAsia="es-CO"/>
              </w:rPr>
            </w:pPr>
            <w:r w:rsidRPr="002A249C">
              <w:rPr>
                <w:color w:val="000000"/>
                <w:lang w:eastAsia="es-CO"/>
              </w:rPr>
              <w:t>V6</w:t>
            </w:r>
            <w:r>
              <w:rPr>
                <w:color w:val="000000"/>
                <w:lang w:eastAsia="es-CO"/>
              </w:rPr>
              <w:t>: Historial de acciones suicidas</w:t>
            </w:r>
          </w:p>
        </w:tc>
        <w:tc>
          <w:tcPr>
            <w:tcW w:w="709" w:type="dxa"/>
            <w:tcBorders>
              <w:bottom w:val="single" w:sz="4" w:space="0" w:color="auto"/>
            </w:tcBorders>
            <w:shd w:val="clear" w:color="auto" w:fill="auto"/>
            <w:noWrap/>
            <w:vAlign w:val="center"/>
            <w:hideMark/>
          </w:tcPr>
          <w:p w14:paraId="7D666E58" w14:textId="77777777" w:rsidR="00030148" w:rsidRPr="002A249C" w:rsidRDefault="00030148" w:rsidP="00184153">
            <w:pPr>
              <w:spacing w:line="360" w:lineRule="auto"/>
              <w:ind w:left="-70"/>
              <w:rPr>
                <w:color w:val="000000"/>
                <w:lang w:eastAsia="es-CO"/>
              </w:rPr>
            </w:pPr>
            <w:r w:rsidRPr="002A249C">
              <w:rPr>
                <w:color w:val="000000"/>
                <w:lang w:eastAsia="es-CO"/>
              </w:rPr>
              <w:t>1,2</w:t>
            </w:r>
          </w:p>
        </w:tc>
        <w:tc>
          <w:tcPr>
            <w:tcW w:w="709" w:type="dxa"/>
            <w:tcBorders>
              <w:bottom w:val="single" w:sz="4" w:space="0" w:color="auto"/>
            </w:tcBorders>
            <w:shd w:val="clear" w:color="auto" w:fill="auto"/>
            <w:noWrap/>
            <w:vAlign w:val="center"/>
            <w:hideMark/>
          </w:tcPr>
          <w:p w14:paraId="5DA42CB0" w14:textId="77777777" w:rsidR="00030148" w:rsidRPr="002A249C" w:rsidRDefault="00030148" w:rsidP="00184153">
            <w:pPr>
              <w:spacing w:line="360" w:lineRule="auto"/>
              <w:ind w:left="-70"/>
              <w:rPr>
                <w:color w:val="000000"/>
                <w:lang w:eastAsia="es-CO"/>
              </w:rPr>
            </w:pPr>
            <w:r w:rsidRPr="002A249C">
              <w:rPr>
                <w:color w:val="000000"/>
                <w:lang w:eastAsia="es-CO"/>
              </w:rPr>
              <w:t>0,5</w:t>
            </w:r>
          </w:p>
        </w:tc>
        <w:tc>
          <w:tcPr>
            <w:tcW w:w="709" w:type="dxa"/>
            <w:tcBorders>
              <w:bottom w:val="single" w:sz="4" w:space="0" w:color="auto"/>
            </w:tcBorders>
            <w:shd w:val="clear" w:color="auto" w:fill="auto"/>
            <w:noWrap/>
            <w:vAlign w:val="center"/>
            <w:hideMark/>
          </w:tcPr>
          <w:p w14:paraId="7E534C8D" w14:textId="77777777" w:rsidR="00030148" w:rsidRPr="002A249C" w:rsidRDefault="00030148" w:rsidP="00184153">
            <w:pPr>
              <w:spacing w:line="360" w:lineRule="auto"/>
              <w:ind w:left="-70"/>
              <w:rPr>
                <w:color w:val="000000"/>
                <w:lang w:eastAsia="es-CO"/>
              </w:rPr>
            </w:pPr>
            <w:r w:rsidRPr="002A249C">
              <w:rPr>
                <w:color w:val="000000"/>
                <w:lang w:eastAsia="es-CO"/>
              </w:rPr>
              <w:t>3,0</w:t>
            </w:r>
          </w:p>
        </w:tc>
        <w:tc>
          <w:tcPr>
            <w:tcW w:w="850" w:type="dxa"/>
            <w:tcBorders>
              <w:bottom w:val="single" w:sz="4" w:space="0" w:color="auto"/>
            </w:tcBorders>
            <w:shd w:val="clear" w:color="auto" w:fill="auto"/>
            <w:noWrap/>
            <w:vAlign w:val="center"/>
            <w:hideMark/>
          </w:tcPr>
          <w:p w14:paraId="5CACBDA6" w14:textId="77777777" w:rsidR="00030148" w:rsidRPr="002A249C" w:rsidRDefault="00030148" w:rsidP="00184153">
            <w:pPr>
              <w:spacing w:line="360" w:lineRule="auto"/>
              <w:ind w:left="-70"/>
              <w:rPr>
                <w:color w:val="000000"/>
                <w:lang w:eastAsia="es-CO"/>
              </w:rPr>
            </w:pPr>
            <w:r w:rsidRPr="002A249C">
              <w:rPr>
                <w:color w:val="000000"/>
                <w:lang w:eastAsia="es-CO"/>
              </w:rPr>
              <w:t>1,8</w:t>
            </w:r>
          </w:p>
        </w:tc>
        <w:tc>
          <w:tcPr>
            <w:tcW w:w="851" w:type="dxa"/>
            <w:tcBorders>
              <w:bottom w:val="single" w:sz="4" w:space="0" w:color="auto"/>
            </w:tcBorders>
            <w:shd w:val="clear" w:color="auto" w:fill="auto"/>
            <w:noWrap/>
            <w:vAlign w:val="center"/>
            <w:hideMark/>
          </w:tcPr>
          <w:p w14:paraId="69F47007" w14:textId="77777777" w:rsidR="00030148" w:rsidRPr="002A249C" w:rsidRDefault="00030148" w:rsidP="00184153">
            <w:pPr>
              <w:spacing w:line="360" w:lineRule="auto"/>
              <w:ind w:left="-70"/>
              <w:rPr>
                <w:color w:val="000000"/>
                <w:lang w:eastAsia="es-CO"/>
              </w:rPr>
            </w:pPr>
            <w:r w:rsidRPr="002A249C">
              <w:rPr>
                <w:color w:val="000000"/>
                <w:lang w:eastAsia="es-CO"/>
              </w:rPr>
              <w:t>5,0</w:t>
            </w:r>
          </w:p>
        </w:tc>
        <w:tc>
          <w:tcPr>
            <w:tcW w:w="1031" w:type="dxa"/>
            <w:tcBorders>
              <w:bottom w:val="single" w:sz="4" w:space="0" w:color="auto"/>
            </w:tcBorders>
            <w:shd w:val="clear" w:color="auto" w:fill="auto"/>
            <w:noWrap/>
            <w:vAlign w:val="center"/>
            <w:hideMark/>
          </w:tcPr>
          <w:p w14:paraId="617ABDDE" w14:textId="77777777" w:rsidR="00030148" w:rsidRPr="002A249C" w:rsidRDefault="00030148" w:rsidP="00184153">
            <w:pPr>
              <w:spacing w:line="360" w:lineRule="auto"/>
              <w:ind w:left="-70"/>
              <w:rPr>
                <w:color w:val="000000"/>
                <w:lang w:eastAsia="es-CO"/>
              </w:rPr>
            </w:pPr>
            <w:r w:rsidRPr="002A249C">
              <w:rPr>
                <w:color w:val="000000"/>
                <w:lang w:eastAsia="es-CO"/>
              </w:rPr>
              <w:t>1,0</w:t>
            </w:r>
          </w:p>
        </w:tc>
      </w:tr>
    </w:tbl>
    <w:p w14:paraId="002CF634" w14:textId="29AAE613" w:rsidR="00030148" w:rsidRPr="00030148" w:rsidRDefault="00030148" w:rsidP="00184153">
      <w:pPr>
        <w:spacing w:line="360" w:lineRule="auto"/>
        <w:rPr>
          <w:color w:val="000000"/>
          <w:szCs w:val="20"/>
        </w:rPr>
      </w:pPr>
      <w:r w:rsidRPr="00B47AC4">
        <w:rPr>
          <w:i/>
          <w:iCs/>
          <w:color w:val="000000"/>
          <w:szCs w:val="20"/>
        </w:rPr>
        <w:t>Nota:</w:t>
      </w:r>
      <w:r w:rsidRPr="00030148">
        <w:rPr>
          <w:color w:val="000000"/>
          <w:szCs w:val="20"/>
        </w:rPr>
        <w:t xml:space="preserve"> M: Media; DE: Desviación Estándar</w:t>
      </w:r>
    </w:p>
    <w:p w14:paraId="5093D096" w14:textId="2DB66536" w:rsidR="00C879CD" w:rsidRDefault="00C879CD" w:rsidP="00184153">
      <w:pPr>
        <w:pStyle w:val="Prrafocomn"/>
        <w:spacing w:after="120" w:line="440" w:lineRule="exact"/>
        <w:ind w:firstLine="709"/>
        <w:rPr>
          <w:lang w:val="es-CO"/>
        </w:rPr>
      </w:pPr>
      <w:r>
        <w:rPr>
          <w:lang w:val="es-AR"/>
        </w:rPr>
        <w:t xml:space="preserve">En la </w:t>
      </w:r>
      <w:r w:rsidRPr="00030148">
        <w:rPr>
          <w:lang w:val="es-CO"/>
        </w:rPr>
        <w:t xml:space="preserve">figura </w:t>
      </w:r>
      <w:r>
        <w:rPr>
          <w:lang w:val="es-CO"/>
        </w:rPr>
        <w:t>4 es posible observar que:</w:t>
      </w:r>
      <w:r w:rsidRPr="00030148">
        <w:rPr>
          <w:lang w:val="es-CO"/>
        </w:rPr>
        <w:t xml:space="preserve"> </w:t>
      </w:r>
      <w:r>
        <w:rPr>
          <w:lang w:val="es-CO"/>
        </w:rPr>
        <w:t xml:space="preserve">el </w:t>
      </w:r>
      <w:r w:rsidRPr="00030148">
        <w:rPr>
          <w:i/>
          <w:lang w:val="es-CO"/>
        </w:rPr>
        <w:t>Perfil 1</w:t>
      </w:r>
      <w:r w:rsidRPr="00030148">
        <w:rPr>
          <w:lang w:val="es-CO"/>
        </w:rPr>
        <w:t xml:space="preserve">: Se compone del 73,2% de los adolescentes, con valoración de las variables analizadas entre 1,1 y 1,2, lo que demuestra en general, estudiantes con síntomas nulos de ideación suicida, lo que se puede categorizar en un </w:t>
      </w:r>
      <w:r w:rsidRPr="00030148">
        <w:rPr>
          <w:bCs/>
          <w:lang w:val="es-CO"/>
        </w:rPr>
        <w:t>perfil sin riego</w:t>
      </w:r>
      <w:r>
        <w:rPr>
          <w:lang w:val="es-CO"/>
        </w:rPr>
        <w:t xml:space="preserve">; el </w:t>
      </w:r>
      <w:r w:rsidRPr="00030148">
        <w:rPr>
          <w:i/>
          <w:lang w:val="es-CO"/>
        </w:rPr>
        <w:t>Perfil 2</w:t>
      </w:r>
      <w:r w:rsidRPr="00030148">
        <w:rPr>
          <w:lang w:val="es-CO"/>
        </w:rPr>
        <w:t xml:space="preserve">: Este grupo se compone del 18,5% de la población objeto de estudio, con valoración promedio entre 1,8 y 3,0 de las variables </w:t>
      </w:r>
      <w:r w:rsidRPr="00030148">
        <w:rPr>
          <w:lang w:val="es-CO"/>
        </w:rPr>
        <w:lastRenderedPageBreak/>
        <w:t xml:space="preserve">asociadas a ideación suicida, lo que denota una población con ideación suicida, que se puede categorizar como </w:t>
      </w:r>
      <w:r>
        <w:rPr>
          <w:bCs/>
          <w:lang w:val="es-CO"/>
        </w:rPr>
        <w:t xml:space="preserve">perfil de riesgo bajo; el </w:t>
      </w:r>
      <w:r w:rsidRPr="00030148">
        <w:rPr>
          <w:i/>
          <w:lang w:val="es-CO"/>
        </w:rPr>
        <w:t>Perfil 3</w:t>
      </w:r>
      <w:r w:rsidRPr="00030148">
        <w:rPr>
          <w:lang w:val="es-CO"/>
        </w:rPr>
        <w:t xml:space="preserve">: Este grupo lo conforma el 8,3% de la población, con puntuación promedio de las variables de ideación suicida entre 3,9 y 4,7. Lo anterior se categoriza en un nivel de </w:t>
      </w:r>
      <w:r w:rsidRPr="00030148">
        <w:rPr>
          <w:bCs/>
          <w:lang w:val="es-CO"/>
        </w:rPr>
        <w:t>perfil de riesgo alto</w:t>
      </w:r>
      <w:r w:rsidRPr="00030148">
        <w:rPr>
          <w:lang w:val="es-CO"/>
        </w:rPr>
        <w:t>, en el que se manifiestan pensamientos y acciones asociados a la ideación suicida en adolescentes escolarizados.</w:t>
      </w:r>
    </w:p>
    <w:p w14:paraId="0F476024" w14:textId="5016876D" w:rsidR="00C879CD" w:rsidRPr="00C879CD" w:rsidRDefault="00C879CD" w:rsidP="00184153">
      <w:pPr>
        <w:spacing w:line="360" w:lineRule="auto"/>
        <w:rPr>
          <w:b/>
          <w:color w:val="000000"/>
          <w:szCs w:val="20"/>
        </w:rPr>
      </w:pPr>
      <w:r w:rsidRPr="00C879CD">
        <w:rPr>
          <w:b/>
          <w:color w:val="000000"/>
          <w:szCs w:val="20"/>
        </w:rPr>
        <w:t>Figura 4</w:t>
      </w:r>
    </w:p>
    <w:p w14:paraId="7FB7D99E" w14:textId="77777777" w:rsidR="00C879CD" w:rsidRPr="00C879CD" w:rsidRDefault="00C879CD" w:rsidP="00184153">
      <w:pPr>
        <w:spacing w:line="360" w:lineRule="auto"/>
        <w:rPr>
          <w:i/>
          <w:color w:val="000000"/>
        </w:rPr>
      </w:pPr>
      <w:r w:rsidRPr="00C879CD">
        <w:rPr>
          <w:i/>
          <w:color w:val="000000"/>
        </w:rPr>
        <w:t>Niveles de ideación suicida en adolescentes escolarizados</w:t>
      </w:r>
    </w:p>
    <w:p w14:paraId="404005BE" w14:textId="575C1980" w:rsidR="00C879CD" w:rsidRPr="002A249C" w:rsidRDefault="00C879CD" w:rsidP="00184153">
      <w:pPr>
        <w:spacing w:line="360" w:lineRule="auto"/>
        <w:rPr>
          <w:color w:val="000000"/>
        </w:rPr>
      </w:pPr>
      <w:r w:rsidRPr="002A249C">
        <w:rPr>
          <w:noProof/>
          <w:color w:val="000000"/>
          <w:lang w:val="en-US" w:eastAsia="en-US"/>
        </w:rPr>
        <w:drawing>
          <wp:inline distT="0" distB="0" distL="0" distR="0" wp14:anchorId="146F5CCA" wp14:editId="0635C1E5">
            <wp:extent cx="4724400" cy="1978660"/>
            <wp:effectExtent l="0" t="0" r="0" b="2540"/>
            <wp:docPr id="12"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08A5FC" w14:textId="77777777" w:rsidR="00C879CD" w:rsidRPr="00B668A6" w:rsidRDefault="00C879CD" w:rsidP="00184153">
      <w:pPr>
        <w:pStyle w:val="Prrafocomn"/>
        <w:ind w:firstLine="0"/>
        <w:rPr>
          <w:bCs/>
          <w:lang w:val="es-AR"/>
        </w:rPr>
      </w:pPr>
      <w:r w:rsidRPr="00B47AC4">
        <w:rPr>
          <w:bCs/>
          <w:i/>
          <w:lang w:val="es-AR"/>
        </w:rPr>
        <w:t>Fuente</w:t>
      </w:r>
      <w:r w:rsidRPr="00B47AC4">
        <w:rPr>
          <w:bCs/>
          <w:lang w:val="es-AR"/>
        </w:rPr>
        <w:t>: elaboración propia, 2023.</w:t>
      </w:r>
    </w:p>
    <w:p w14:paraId="609C2392" w14:textId="36B09FC4" w:rsidR="00256492" w:rsidRDefault="00C879CD" w:rsidP="00184153">
      <w:pPr>
        <w:pStyle w:val="Prrafocomn"/>
        <w:spacing w:after="120" w:line="440" w:lineRule="exact"/>
        <w:ind w:firstLine="709"/>
        <w:rPr>
          <w:lang w:val="es-AR"/>
        </w:rPr>
      </w:pPr>
      <w:r w:rsidRPr="00C879CD">
        <w:rPr>
          <w:lang w:val="es-CO"/>
        </w:rPr>
        <w:t>Para pronosticar y diagnosticar el nivel de riesgo suicida en adolescentes escolarizados, se procedió a establecer una Red Neuronal Artificial - RNA. Lo anterior, implicó identificar una arquitectura de red y definir condiciones de entrenamiento y aprendizaje. A continuación, se detallan los pasos para el diseño de la RNA.</w:t>
      </w:r>
    </w:p>
    <w:p w14:paraId="56F427F1" w14:textId="6FAA049E" w:rsidR="00256492" w:rsidRPr="00C879CD" w:rsidRDefault="00C879CD" w:rsidP="00184153">
      <w:pPr>
        <w:pStyle w:val="SubtituloInterno"/>
        <w:rPr>
          <w:bCs/>
          <w:lang w:val="es-CO"/>
        </w:rPr>
      </w:pPr>
      <w:r w:rsidRPr="00C879CD">
        <w:rPr>
          <w:bCs/>
          <w:lang w:val="es-CO"/>
        </w:rPr>
        <w:t>Paso 1. Selección de factores y variable dependiente</w:t>
      </w:r>
    </w:p>
    <w:p w14:paraId="2A67D204" w14:textId="77777777" w:rsidR="00C879CD" w:rsidRPr="00C879CD" w:rsidRDefault="00C879CD" w:rsidP="00184153">
      <w:pPr>
        <w:pStyle w:val="Prrafocomn"/>
        <w:spacing w:line="440" w:lineRule="exact"/>
        <w:rPr>
          <w:lang w:val="es-CO"/>
        </w:rPr>
      </w:pPr>
      <w:r w:rsidRPr="00C879CD">
        <w:rPr>
          <w:lang w:val="es-CO"/>
        </w:rPr>
        <w:t>Con los resultados del análisis de conglomerados, se establecieron como predictores o variables independientes factores asociados a pensamientos, planes y manifestaciones suicidas que potencialmente pueden pronosticar la pertenencia de los individuos a niveles de la variable dependiente: perfil suicida identificados en el análisis de clúster.</w:t>
      </w:r>
    </w:p>
    <w:p w14:paraId="6BF0BF8A" w14:textId="77777777" w:rsidR="00C879CD" w:rsidRPr="00C879CD" w:rsidRDefault="00C879CD" w:rsidP="00184153">
      <w:pPr>
        <w:pStyle w:val="Prrafocomn"/>
        <w:spacing w:line="440" w:lineRule="exact"/>
        <w:rPr>
          <w:lang w:val="es-CO"/>
        </w:rPr>
      </w:pPr>
      <w:r w:rsidRPr="00C879CD">
        <w:rPr>
          <w:lang w:val="es-CO"/>
        </w:rPr>
        <w:t>En la RNA, se establecen capas de entrada (variable independiente) y capa de salida (variable dependiente) así:</w:t>
      </w:r>
    </w:p>
    <w:p w14:paraId="0DF0F40B" w14:textId="77777777" w:rsidR="00C879CD" w:rsidRPr="00C879CD" w:rsidRDefault="00C879CD" w:rsidP="00184153">
      <w:pPr>
        <w:pStyle w:val="Prrafocomn"/>
        <w:spacing w:line="440" w:lineRule="exact"/>
        <w:ind w:left="720" w:firstLine="0"/>
        <w:rPr>
          <w:lang w:val="es-CO"/>
        </w:rPr>
      </w:pPr>
      <w:r w:rsidRPr="00C879CD">
        <w:rPr>
          <w:lang w:val="es-CO"/>
        </w:rPr>
        <w:t xml:space="preserve">Capa de salida: </w:t>
      </w:r>
      <w:proofErr w:type="spellStart"/>
      <w:r w:rsidRPr="00C879CD">
        <w:rPr>
          <w:lang w:val="es-CO"/>
        </w:rPr>
        <w:t>Y</w:t>
      </w:r>
      <w:r w:rsidRPr="00C879CD">
        <w:rPr>
          <w:vertAlign w:val="subscript"/>
          <w:lang w:val="es-CO"/>
        </w:rPr>
        <w:t>ij</w:t>
      </w:r>
      <w:proofErr w:type="spellEnd"/>
      <w:r w:rsidRPr="00C879CD">
        <w:rPr>
          <w:lang w:val="es-CO"/>
        </w:rPr>
        <w:t>: Perfil suicida.</w:t>
      </w:r>
    </w:p>
    <w:p w14:paraId="6FCEF47A" w14:textId="77777777" w:rsidR="00C879CD" w:rsidRPr="00C879CD" w:rsidRDefault="00C879CD" w:rsidP="00184153">
      <w:pPr>
        <w:pStyle w:val="Prrafocomn"/>
        <w:spacing w:line="440" w:lineRule="exact"/>
        <w:ind w:left="720" w:firstLine="0"/>
        <w:rPr>
          <w:lang w:val="es-CO"/>
        </w:rPr>
      </w:pPr>
      <w:r w:rsidRPr="00C879CD">
        <w:rPr>
          <w:lang w:val="es-CO"/>
        </w:rPr>
        <w:t>Capa de entrada:</w:t>
      </w:r>
    </w:p>
    <w:p w14:paraId="7185EC25" w14:textId="77777777" w:rsidR="00C879CD" w:rsidRPr="00C879CD" w:rsidRDefault="00C879CD" w:rsidP="00184153">
      <w:pPr>
        <w:pStyle w:val="Prrafocomn"/>
        <w:spacing w:line="440" w:lineRule="exact"/>
        <w:rPr>
          <w:lang w:val="es-CO"/>
        </w:rPr>
      </w:pPr>
      <w:proofErr w:type="spellStart"/>
      <w:r w:rsidRPr="00C879CD">
        <w:rPr>
          <w:lang w:val="es-CO"/>
        </w:rPr>
        <w:t>F</w:t>
      </w:r>
      <w:r w:rsidRPr="00C879CD">
        <w:rPr>
          <w:vertAlign w:val="subscript"/>
          <w:lang w:val="es-CO"/>
        </w:rPr>
        <w:t>j</w:t>
      </w:r>
      <w:proofErr w:type="spellEnd"/>
      <w:r w:rsidRPr="00C879CD">
        <w:rPr>
          <w:lang w:val="es-CO"/>
        </w:rPr>
        <w:t>: factores que determinan Ideación suicida      j=1, …, 6.</w:t>
      </w:r>
    </w:p>
    <w:p w14:paraId="39C14326" w14:textId="77777777" w:rsidR="00C879CD" w:rsidRPr="00C879CD" w:rsidRDefault="00C879CD" w:rsidP="00184153">
      <w:pPr>
        <w:pStyle w:val="Prrafocomn"/>
        <w:spacing w:line="440" w:lineRule="exact"/>
        <w:rPr>
          <w:lang w:val="es-CO"/>
        </w:rPr>
      </w:pPr>
      <w:r w:rsidRPr="00C879CD">
        <w:rPr>
          <w:lang w:val="es-CO"/>
        </w:rPr>
        <w:lastRenderedPageBreak/>
        <w:t>V</w:t>
      </w:r>
      <w:r w:rsidRPr="00C879CD">
        <w:rPr>
          <w:vertAlign w:val="subscript"/>
          <w:lang w:val="es-CO"/>
        </w:rPr>
        <w:t>1</w:t>
      </w:r>
      <w:r w:rsidRPr="00C879CD">
        <w:rPr>
          <w:lang w:val="es-CO"/>
        </w:rPr>
        <w:t xml:space="preserve">: Ha pensado en quitarse la vida </w:t>
      </w:r>
    </w:p>
    <w:p w14:paraId="4639DE73" w14:textId="77777777" w:rsidR="00C879CD" w:rsidRPr="00C879CD" w:rsidRDefault="00C879CD" w:rsidP="00184153">
      <w:pPr>
        <w:pStyle w:val="Prrafocomn"/>
        <w:spacing w:line="440" w:lineRule="exact"/>
        <w:rPr>
          <w:lang w:val="es-CO"/>
        </w:rPr>
      </w:pPr>
      <w:r w:rsidRPr="00C879CD">
        <w:rPr>
          <w:lang w:val="es-CO"/>
        </w:rPr>
        <w:t>V</w:t>
      </w:r>
      <w:r w:rsidRPr="00C879CD">
        <w:rPr>
          <w:vertAlign w:val="subscript"/>
          <w:lang w:val="es-CO"/>
        </w:rPr>
        <w:t>2</w:t>
      </w:r>
      <w:r w:rsidRPr="00C879CD">
        <w:rPr>
          <w:lang w:val="es-CO"/>
        </w:rPr>
        <w:t>: Ha pensado en la muerte como única manera de terminar con su sufrimiento</w:t>
      </w:r>
    </w:p>
    <w:p w14:paraId="3517ACDB" w14:textId="77777777" w:rsidR="00C879CD" w:rsidRPr="00C879CD" w:rsidRDefault="00C879CD" w:rsidP="00184153">
      <w:pPr>
        <w:pStyle w:val="Prrafocomn"/>
        <w:spacing w:line="440" w:lineRule="exact"/>
        <w:rPr>
          <w:lang w:val="es-CO"/>
        </w:rPr>
      </w:pPr>
      <w:r w:rsidRPr="00C879CD">
        <w:rPr>
          <w:lang w:val="es-CO"/>
        </w:rPr>
        <w:t>V</w:t>
      </w:r>
      <w:r w:rsidRPr="00C879CD">
        <w:rPr>
          <w:vertAlign w:val="subscript"/>
          <w:lang w:val="es-CO"/>
        </w:rPr>
        <w:t>3</w:t>
      </w:r>
      <w:r w:rsidRPr="00C879CD">
        <w:rPr>
          <w:lang w:val="es-CO"/>
        </w:rPr>
        <w:t xml:space="preserve">: </w:t>
      </w:r>
      <w:r w:rsidRPr="00C879CD">
        <w:rPr>
          <w:bCs/>
          <w:lang w:val="es-CO"/>
        </w:rPr>
        <w:t>Ha planeado como quitarse la vida</w:t>
      </w:r>
    </w:p>
    <w:p w14:paraId="684F278C" w14:textId="77777777" w:rsidR="00C879CD" w:rsidRPr="00C879CD" w:rsidRDefault="00C879CD" w:rsidP="00184153">
      <w:pPr>
        <w:pStyle w:val="Prrafocomn"/>
        <w:spacing w:line="440" w:lineRule="exact"/>
        <w:rPr>
          <w:lang w:val="es-CO"/>
        </w:rPr>
      </w:pPr>
      <w:r w:rsidRPr="00C879CD">
        <w:rPr>
          <w:lang w:val="es-CO"/>
        </w:rPr>
        <w:t>V</w:t>
      </w:r>
      <w:r w:rsidRPr="00C879CD">
        <w:rPr>
          <w:vertAlign w:val="subscript"/>
          <w:lang w:val="es-CO"/>
        </w:rPr>
        <w:t>4</w:t>
      </w:r>
      <w:r w:rsidRPr="00C879CD">
        <w:rPr>
          <w:lang w:val="es-CO"/>
        </w:rPr>
        <w:t xml:space="preserve">: </w:t>
      </w:r>
      <w:r w:rsidRPr="00C879CD">
        <w:rPr>
          <w:bCs/>
          <w:lang w:val="es-CO"/>
        </w:rPr>
        <w:t>Ha intentado quitarse la vida alguna vez</w:t>
      </w:r>
    </w:p>
    <w:p w14:paraId="3FAD0578" w14:textId="77777777" w:rsidR="00C879CD" w:rsidRPr="00C879CD" w:rsidRDefault="00C879CD" w:rsidP="00184153">
      <w:pPr>
        <w:pStyle w:val="Prrafocomn"/>
        <w:spacing w:line="440" w:lineRule="exact"/>
        <w:rPr>
          <w:lang w:val="es-CO"/>
        </w:rPr>
      </w:pPr>
      <w:r w:rsidRPr="00C879CD">
        <w:rPr>
          <w:lang w:val="es-CO"/>
        </w:rPr>
        <w:t>V</w:t>
      </w:r>
      <w:r w:rsidRPr="00C879CD">
        <w:rPr>
          <w:vertAlign w:val="subscript"/>
          <w:lang w:val="es-CO"/>
        </w:rPr>
        <w:t>5</w:t>
      </w:r>
      <w:r w:rsidRPr="00C879CD">
        <w:rPr>
          <w:lang w:val="es-CO"/>
        </w:rPr>
        <w:t xml:space="preserve">: </w:t>
      </w:r>
      <w:r w:rsidRPr="00C879CD">
        <w:rPr>
          <w:bCs/>
          <w:lang w:val="es-CO"/>
        </w:rPr>
        <w:t>Ha realizado acciones para no seguir viviendo</w:t>
      </w:r>
    </w:p>
    <w:p w14:paraId="6BB79DBD" w14:textId="77777777" w:rsidR="00C879CD" w:rsidRPr="00C879CD" w:rsidRDefault="00C879CD" w:rsidP="00184153">
      <w:pPr>
        <w:pStyle w:val="Prrafocomn"/>
        <w:spacing w:line="440" w:lineRule="exact"/>
        <w:rPr>
          <w:lang w:val="es-CO"/>
        </w:rPr>
      </w:pPr>
      <w:r w:rsidRPr="00C879CD">
        <w:rPr>
          <w:lang w:val="es-CO"/>
        </w:rPr>
        <w:t>V</w:t>
      </w:r>
      <w:r w:rsidRPr="00C879CD">
        <w:rPr>
          <w:vertAlign w:val="subscript"/>
          <w:lang w:val="es-CO"/>
        </w:rPr>
        <w:t>6</w:t>
      </w:r>
      <w:r w:rsidRPr="00C879CD">
        <w:rPr>
          <w:lang w:val="es-CO"/>
        </w:rPr>
        <w:t>: Se ha lastimado o herido intencionalmente.</w:t>
      </w:r>
    </w:p>
    <w:p w14:paraId="7A31D019" w14:textId="3A55AE2A" w:rsidR="00C879CD" w:rsidRPr="00C879CD" w:rsidRDefault="00C879CD" w:rsidP="00184153">
      <w:pPr>
        <w:pStyle w:val="SubtituloInterno"/>
        <w:rPr>
          <w:bCs/>
          <w:lang w:val="es-CO"/>
        </w:rPr>
      </w:pPr>
      <w:r w:rsidRPr="00C879CD">
        <w:rPr>
          <w:bCs/>
          <w:lang w:val="es-CO"/>
        </w:rPr>
        <w:t>Paso 2. Codificación de variables</w:t>
      </w:r>
    </w:p>
    <w:p w14:paraId="3CD20BD0" w14:textId="29512F10" w:rsidR="00C879CD" w:rsidRDefault="00C879CD" w:rsidP="00184153">
      <w:pPr>
        <w:pStyle w:val="Prrafocomn"/>
        <w:spacing w:line="440" w:lineRule="exact"/>
        <w:rPr>
          <w:lang w:val="es-CO"/>
        </w:rPr>
      </w:pPr>
      <w:r w:rsidRPr="00C879CD">
        <w:rPr>
          <w:lang w:val="es-CO"/>
        </w:rPr>
        <w:t xml:space="preserve">La variable dependiente </w:t>
      </w:r>
      <w:proofErr w:type="spellStart"/>
      <w:r w:rsidRPr="00C879CD">
        <w:rPr>
          <w:lang w:val="es-CO"/>
        </w:rPr>
        <w:t>Y</w:t>
      </w:r>
      <w:r w:rsidRPr="00C879CD">
        <w:rPr>
          <w:vertAlign w:val="subscript"/>
          <w:lang w:val="es-CO"/>
        </w:rPr>
        <w:t>ij</w:t>
      </w:r>
      <w:proofErr w:type="spellEnd"/>
      <w:r w:rsidRPr="00C879CD">
        <w:rPr>
          <w:vertAlign w:val="subscript"/>
          <w:lang w:val="es-CO"/>
        </w:rPr>
        <w:t>,</w:t>
      </w:r>
      <w:r w:rsidRPr="00C879CD">
        <w:rPr>
          <w:lang w:val="es-CO"/>
        </w:rPr>
        <w:t xml:space="preserve"> (perfil suicida) se codificó por su naturaleza en nominal, con tres niveles de salida: Perfil 1, Perfil 2 y Perfil 3. Las variables independientes se codificaron de escala, compuestas por las variables V1, V2, V3, V4, V5 y V6 representados en una escala de 1 a 6 la cual va de totalmente en desacuerdo (1) a totalmente de acuerdo (6).</w:t>
      </w:r>
    </w:p>
    <w:p w14:paraId="5F38EBC4" w14:textId="11BC81CA" w:rsidR="00C879CD" w:rsidRPr="00C879CD" w:rsidRDefault="00C879CD" w:rsidP="00184153">
      <w:pPr>
        <w:pStyle w:val="SubtituloInterno"/>
        <w:rPr>
          <w:bCs/>
          <w:lang w:val="es-CO"/>
        </w:rPr>
      </w:pPr>
      <w:r w:rsidRPr="00C879CD">
        <w:rPr>
          <w:bCs/>
          <w:lang w:val="es-CO"/>
        </w:rPr>
        <w:t>Paso 3. Diseño de la red</w:t>
      </w:r>
    </w:p>
    <w:p w14:paraId="564ABA6C" w14:textId="0AB2BC70" w:rsidR="00C879CD" w:rsidRDefault="00C879CD" w:rsidP="00184153">
      <w:pPr>
        <w:pStyle w:val="Prrafocomn"/>
        <w:spacing w:line="440" w:lineRule="exact"/>
        <w:rPr>
          <w:lang w:val="es-CO"/>
        </w:rPr>
      </w:pPr>
      <w:r w:rsidRPr="00C879CD">
        <w:rPr>
          <w:lang w:val="es-CO"/>
        </w:rPr>
        <w:t>En el diseño de la red se adoptó una arquitectura de red RNA mediante un perceptrón multicapa con dos capas ocultas en la capa de entrada y función de activación Tangente Hiperbólica, una capa de salida con función de activación Sigmoide, función de error suma de cuadrados, tipo de entrenamiento por lote y algoritmo de optimización gradiente conjugado escalado. Para el proceso de entrenamiento, prueba y reserva asociado a una RNA, se asignó aleatoriamente las 638 observaciones, así: 60% a la muestra de prueba, 20% a la muestra de prueba y 20% a la muestra de reserva.</w:t>
      </w:r>
    </w:p>
    <w:p w14:paraId="71BDF203" w14:textId="6E19FDB2" w:rsidR="00C879CD" w:rsidRPr="00C879CD" w:rsidRDefault="00C879CD" w:rsidP="00184153">
      <w:pPr>
        <w:pStyle w:val="SubtituloInterno"/>
        <w:rPr>
          <w:bCs/>
          <w:lang w:val="es-CO"/>
        </w:rPr>
      </w:pPr>
      <w:r w:rsidRPr="00C879CD">
        <w:rPr>
          <w:bCs/>
          <w:lang w:val="es-CO"/>
        </w:rPr>
        <w:t>Paso 4. Clasificación del modelo</w:t>
      </w:r>
    </w:p>
    <w:p w14:paraId="05F3D475" w14:textId="4BEECE48" w:rsidR="00C879CD" w:rsidRDefault="00C879CD" w:rsidP="00184153">
      <w:pPr>
        <w:pStyle w:val="Prrafocomn"/>
        <w:spacing w:line="440" w:lineRule="exact"/>
        <w:rPr>
          <w:lang w:val="es-ES"/>
        </w:rPr>
      </w:pPr>
      <w:r w:rsidRPr="00C879CD">
        <w:rPr>
          <w:lang w:val="es-ES"/>
        </w:rPr>
        <w:t xml:space="preserve">En el proceso de clasificación del modelo de red neuronal artificial de los 638 individuos que hicieron parte de la investigación, 375 individuos se seleccionaron al azar para la muestra de entrenamiento, siendo clasificados correctamente 269 en el perfil 1, 72 en el perfil 2 y 27 en el perfil 3, con lo que se alcanzó un 98,1% de clasificación correcta. Así mismo, 134 individuos formaron la muestra de prueba, siendo clasificados correctamente 100 en el perfil1,19 en el perfil 2 y 8 en el perfil3, con 94,8% de clasificación correcta. Por último, de los 129 individuos de la muestra de reserva, 92 se </w:t>
      </w:r>
      <w:r w:rsidRPr="00C879CD">
        <w:rPr>
          <w:lang w:val="es-ES"/>
        </w:rPr>
        <w:lastRenderedPageBreak/>
        <w:t>clasificaron en el perfil 1, 17 en el perfil 2, y 13 en el perfil 3, con un 94,6% de clasificación correcta. Lo anterior, demuestra la capacidad del modelo de RNA para clasificar la pertenencia de individuos en los grupos o perfiles característicos de ideación suicida a partir de las variables V1, V2, V3, V4, V5 V6, lo cual puede ser usado en la identificación y diagnóstico de pacientes con riesgo suicida. Los resultados anteriores se sintetizan en la Tabla 5.</w:t>
      </w:r>
    </w:p>
    <w:tbl>
      <w:tblPr>
        <w:tblW w:w="8400" w:type="dxa"/>
        <w:jc w:val="center"/>
        <w:tblLayout w:type="fixed"/>
        <w:tblCellMar>
          <w:left w:w="0" w:type="dxa"/>
          <w:right w:w="0" w:type="dxa"/>
        </w:tblCellMar>
        <w:tblLook w:val="0000" w:firstRow="0" w:lastRow="0" w:firstColumn="0" w:lastColumn="0" w:noHBand="0" w:noVBand="0"/>
      </w:tblPr>
      <w:tblGrid>
        <w:gridCol w:w="2041"/>
        <w:gridCol w:w="1914"/>
        <w:gridCol w:w="956"/>
        <w:gridCol w:w="949"/>
        <w:gridCol w:w="950"/>
        <w:gridCol w:w="1590"/>
      </w:tblGrid>
      <w:tr w:rsidR="0097188A" w:rsidRPr="002A249C" w14:paraId="7003CE84" w14:textId="77777777" w:rsidTr="00A80311">
        <w:trPr>
          <w:cantSplit/>
          <w:trHeight w:val="225"/>
          <w:jc w:val="center"/>
        </w:trPr>
        <w:tc>
          <w:tcPr>
            <w:tcW w:w="8400" w:type="dxa"/>
            <w:gridSpan w:val="6"/>
            <w:tcBorders>
              <w:bottom w:val="single" w:sz="4" w:space="0" w:color="auto"/>
            </w:tcBorders>
            <w:shd w:val="clear" w:color="auto" w:fill="auto"/>
            <w:vAlign w:val="center"/>
          </w:tcPr>
          <w:p w14:paraId="5DD5D972" w14:textId="77777777" w:rsidR="0097188A" w:rsidRPr="002A249C" w:rsidRDefault="0097188A" w:rsidP="00184153">
            <w:pPr>
              <w:autoSpaceDE w:val="0"/>
              <w:autoSpaceDN w:val="0"/>
              <w:adjustRightInd w:val="0"/>
              <w:spacing w:line="360" w:lineRule="auto"/>
              <w:ind w:left="60" w:right="60"/>
              <w:rPr>
                <w:b/>
                <w:bCs/>
                <w:color w:val="000000"/>
              </w:rPr>
            </w:pPr>
            <w:r w:rsidRPr="002A249C">
              <w:rPr>
                <w:b/>
                <w:bCs/>
                <w:color w:val="000000"/>
              </w:rPr>
              <w:t>Tabla 5</w:t>
            </w:r>
          </w:p>
        </w:tc>
      </w:tr>
      <w:tr w:rsidR="0097188A" w:rsidRPr="002A249C" w14:paraId="45DB4C01" w14:textId="77777777" w:rsidTr="00A80311">
        <w:trPr>
          <w:cantSplit/>
          <w:trHeight w:val="462"/>
          <w:jc w:val="center"/>
        </w:trPr>
        <w:tc>
          <w:tcPr>
            <w:tcW w:w="8400" w:type="dxa"/>
            <w:gridSpan w:val="6"/>
            <w:tcBorders>
              <w:top w:val="single" w:sz="4" w:space="0" w:color="auto"/>
              <w:bottom w:val="single" w:sz="4" w:space="0" w:color="auto"/>
            </w:tcBorders>
            <w:shd w:val="clear" w:color="auto" w:fill="auto"/>
            <w:vAlign w:val="center"/>
          </w:tcPr>
          <w:p w14:paraId="5D169191" w14:textId="77777777" w:rsidR="0097188A" w:rsidRPr="002A249C" w:rsidRDefault="0097188A" w:rsidP="00184153">
            <w:pPr>
              <w:autoSpaceDE w:val="0"/>
              <w:autoSpaceDN w:val="0"/>
              <w:adjustRightInd w:val="0"/>
              <w:spacing w:line="360" w:lineRule="auto"/>
              <w:ind w:left="60" w:right="60"/>
              <w:rPr>
                <w:i/>
                <w:iCs/>
                <w:color w:val="000000"/>
              </w:rPr>
            </w:pPr>
            <w:r w:rsidRPr="002A249C">
              <w:rPr>
                <w:i/>
                <w:iCs/>
                <w:color w:val="000000"/>
              </w:rPr>
              <w:t>Resultados clasificación correcta del modelo RNA</w:t>
            </w:r>
          </w:p>
        </w:tc>
      </w:tr>
      <w:tr w:rsidR="0097188A" w:rsidRPr="002A249C" w14:paraId="52575A35" w14:textId="77777777" w:rsidTr="00A80311">
        <w:trPr>
          <w:cantSplit/>
          <w:trHeight w:val="225"/>
          <w:jc w:val="center"/>
        </w:trPr>
        <w:tc>
          <w:tcPr>
            <w:tcW w:w="8400" w:type="dxa"/>
            <w:gridSpan w:val="6"/>
            <w:tcBorders>
              <w:top w:val="single" w:sz="4" w:space="0" w:color="auto"/>
            </w:tcBorders>
            <w:shd w:val="clear" w:color="auto" w:fill="auto"/>
            <w:vAlign w:val="center"/>
          </w:tcPr>
          <w:p w14:paraId="08FFA486"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Pronosticado</w:t>
            </w:r>
          </w:p>
        </w:tc>
      </w:tr>
      <w:tr w:rsidR="0097188A" w:rsidRPr="002A249C" w14:paraId="73945C0D" w14:textId="77777777" w:rsidTr="00A80311">
        <w:trPr>
          <w:cantSplit/>
          <w:trHeight w:val="462"/>
          <w:jc w:val="center"/>
        </w:trPr>
        <w:tc>
          <w:tcPr>
            <w:tcW w:w="2041" w:type="dxa"/>
            <w:shd w:val="clear" w:color="auto" w:fill="auto"/>
            <w:vAlign w:val="center"/>
          </w:tcPr>
          <w:p w14:paraId="7C2C7F9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Muestra</w:t>
            </w:r>
          </w:p>
        </w:tc>
        <w:tc>
          <w:tcPr>
            <w:tcW w:w="1914" w:type="dxa"/>
            <w:shd w:val="clear" w:color="auto" w:fill="auto"/>
            <w:vAlign w:val="center"/>
          </w:tcPr>
          <w:p w14:paraId="5226AF1F"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Observado</w:t>
            </w:r>
          </w:p>
        </w:tc>
        <w:tc>
          <w:tcPr>
            <w:tcW w:w="956" w:type="dxa"/>
            <w:shd w:val="clear" w:color="auto" w:fill="auto"/>
            <w:vAlign w:val="center"/>
          </w:tcPr>
          <w:p w14:paraId="3119233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w:t>
            </w:r>
          </w:p>
        </w:tc>
        <w:tc>
          <w:tcPr>
            <w:tcW w:w="949" w:type="dxa"/>
            <w:shd w:val="clear" w:color="auto" w:fill="auto"/>
            <w:vAlign w:val="center"/>
          </w:tcPr>
          <w:p w14:paraId="2C67A3A2"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2,00</w:t>
            </w:r>
          </w:p>
        </w:tc>
        <w:tc>
          <w:tcPr>
            <w:tcW w:w="950" w:type="dxa"/>
            <w:shd w:val="clear" w:color="auto" w:fill="auto"/>
            <w:vAlign w:val="center"/>
          </w:tcPr>
          <w:p w14:paraId="1EFD445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3,00</w:t>
            </w:r>
          </w:p>
        </w:tc>
        <w:tc>
          <w:tcPr>
            <w:tcW w:w="1590" w:type="dxa"/>
            <w:shd w:val="clear" w:color="auto" w:fill="auto"/>
            <w:vAlign w:val="center"/>
          </w:tcPr>
          <w:p w14:paraId="75345456"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Porcentaje correcto</w:t>
            </w:r>
          </w:p>
        </w:tc>
      </w:tr>
      <w:tr w:rsidR="0097188A" w:rsidRPr="002A249C" w14:paraId="4E352E82" w14:textId="77777777" w:rsidTr="00A80311">
        <w:trPr>
          <w:cantSplit/>
          <w:trHeight w:val="236"/>
          <w:jc w:val="center"/>
        </w:trPr>
        <w:tc>
          <w:tcPr>
            <w:tcW w:w="2041" w:type="dxa"/>
            <w:vMerge w:val="restart"/>
            <w:shd w:val="clear" w:color="auto" w:fill="auto"/>
            <w:vAlign w:val="center"/>
          </w:tcPr>
          <w:p w14:paraId="1D9C65D2"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Entrenamiento</w:t>
            </w:r>
          </w:p>
        </w:tc>
        <w:tc>
          <w:tcPr>
            <w:tcW w:w="1914" w:type="dxa"/>
            <w:shd w:val="clear" w:color="auto" w:fill="auto"/>
            <w:vAlign w:val="center"/>
          </w:tcPr>
          <w:p w14:paraId="13FAEFF3"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w:t>
            </w:r>
          </w:p>
        </w:tc>
        <w:tc>
          <w:tcPr>
            <w:tcW w:w="956" w:type="dxa"/>
            <w:shd w:val="clear" w:color="auto" w:fill="auto"/>
            <w:vAlign w:val="center"/>
          </w:tcPr>
          <w:p w14:paraId="1CD3FBC5"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269</w:t>
            </w:r>
          </w:p>
        </w:tc>
        <w:tc>
          <w:tcPr>
            <w:tcW w:w="949" w:type="dxa"/>
            <w:shd w:val="clear" w:color="auto" w:fill="auto"/>
            <w:vAlign w:val="center"/>
          </w:tcPr>
          <w:p w14:paraId="0B6E7AC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950" w:type="dxa"/>
            <w:shd w:val="clear" w:color="auto" w:fill="auto"/>
            <w:vAlign w:val="center"/>
          </w:tcPr>
          <w:p w14:paraId="2868DF5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1590" w:type="dxa"/>
            <w:shd w:val="clear" w:color="auto" w:fill="auto"/>
            <w:vAlign w:val="center"/>
          </w:tcPr>
          <w:p w14:paraId="5A4CC52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99,3%</w:t>
            </w:r>
          </w:p>
        </w:tc>
      </w:tr>
      <w:tr w:rsidR="0097188A" w:rsidRPr="002A249C" w14:paraId="48CDCC2E" w14:textId="77777777" w:rsidTr="00A80311">
        <w:trPr>
          <w:cantSplit/>
          <w:trHeight w:val="225"/>
          <w:jc w:val="center"/>
        </w:trPr>
        <w:tc>
          <w:tcPr>
            <w:tcW w:w="2041" w:type="dxa"/>
            <w:vMerge/>
            <w:shd w:val="clear" w:color="auto" w:fill="auto"/>
            <w:vAlign w:val="center"/>
          </w:tcPr>
          <w:p w14:paraId="6945FEED"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3D51B1C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2,00</w:t>
            </w:r>
          </w:p>
        </w:tc>
        <w:tc>
          <w:tcPr>
            <w:tcW w:w="956" w:type="dxa"/>
            <w:shd w:val="clear" w:color="auto" w:fill="auto"/>
            <w:vAlign w:val="center"/>
          </w:tcPr>
          <w:p w14:paraId="021EC7F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949" w:type="dxa"/>
            <w:shd w:val="clear" w:color="auto" w:fill="auto"/>
            <w:vAlign w:val="center"/>
          </w:tcPr>
          <w:p w14:paraId="71E8FA15"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72</w:t>
            </w:r>
          </w:p>
        </w:tc>
        <w:tc>
          <w:tcPr>
            <w:tcW w:w="950" w:type="dxa"/>
            <w:shd w:val="clear" w:color="auto" w:fill="auto"/>
            <w:vAlign w:val="center"/>
          </w:tcPr>
          <w:p w14:paraId="11CEE4CE"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w:t>
            </w:r>
          </w:p>
        </w:tc>
        <w:tc>
          <w:tcPr>
            <w:tcW w:w="1590" w:type="dxa"/>
            <w:shd w:val="clear" w:color="auto" w:fill="auto"/>
            <w:vAlign w:val="center"/>
          </w:tcPr>
          <w:p w14:paraId="492C6FE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96,0%</w:t>
            </w:r>
          </w:p>
        </w:tc>
      </w:tr>
      <w:tr w:rsidR="0097188A" w:rsidRPr="002A249C" w14:paraId="361A56A4" w14:textId="77777777" w:rsidTr="00A80311">
        <w:trPr>
          <w:cantSplit/>
          <w:trHeight w:val="225"/>
          <w:jc w:val="center"/>
        </w:trPr>
        <w:tc>
          <w:tcPr>
            <w:tcW w:w="2041" w:type="dxa"/>
            <w:vMerge/>
            <w:shd w:val="clear" w:color="auto" w:fill="auto"/>
            <w:vAlign w:val="center"/>
          </w:tcPr>
          <w:p w14:paraId="1A1EE3B2"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2E11D51E"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3,00</w:t>
            </w:r>
          </w:p>
        </w:tc>
        <w:tc>
          <w:tcPr>
            <w:tcW w:w="956" w:type="dxa"/>
            <w:shd w:val="clear" w:color="auto" w:fill="auto"/>
            <w:vAlign w:val="center"/>
          </w:tcPr>
          <w:p w14:paraId="7D29B53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949" w:type="dxa"/>
            <w:shd w:val="clear" w:color="auto" w:fill="auto"/>
            <w:vAlign w:val="center"/>
          </w:tcPr>
          <w:p w14:paraId="441AE11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950" w:type="dxa"/>
            <w:shd w:val="clear" w:color="auto" w:fill="auto"/>
            <w:vAlign w:val="center"/>
          </w:tcPr>
          <w:p w14:paraId="563A19FA"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27</w:t>
            </w:r>
          </w:p>
        </w:tc>
        <w:tc>
          <w:tcPr>
            <w:tcW w:w="1590" w:type="dxa"/>
            <w:shd w:val="clear" w:color="auto" w:fill="auto"/>
            <w:vAlign w:val="center"/>
          </w:tcPr>
          <w:p w14:paraId="0E0377DF"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93,1%</w:t>
            </w:r>
          </w:p>
        </w:tc>
      </w:tr>
      <w:tr w:rsidR="0097188A" w:rsidRPr="002A249C" w14:paraId="0AE36C96" w14:textId="77777777" w:rsidTr="00A80311">
        <w:trPr>
          <w:cantSplit/>
          <w:trHeight w:val="462"/>
          <w:jc w:val="center"/>
        </w:trPr>
        <w:tc>
          <w:tcPr>
            <w:tcW w:w="2041" w:type="dxa"/>
            <w:vMerge/>
            <w:shd w:val="clear" w:color="auto" w:fill="auto"/>
            <w:vAlign w:val="center"/>
          </w:tcPr>
          <w:p w14:paraId="2B7AA6FF"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1B65612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Porcentaje global</w:t>
            </w:r>
          </w:p>
        </w:tc>
        <w:tc>
          <w:tcPr>
            <w:tcW w:w="956" w:type="dxa"/>
            <w:shd w:val="clear" w:color="auto" w:fill="auto"/>
            <w:vAlign w:val="center"/>
          </w:tcPr>
          <w:p w14:paraId="1B4DBB5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72,3%</w:t>
            </w:r>
          </w:p>
        </w:tc>
        <w:tc>
          <w:tcPr>
            <w:tcW w:w="949" w:type="dxa"/>
            <w:shd w:val="clear" w:color="auto" w:fill="auto"/>
            <w:vAlign w:val="center"/>
          </w:tcPr>
          <w:p w14:paraId="1018B0BB"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20,3%</w:t>
            </w:r>
          </w:p>
        </w:tc>
        <w:tc>
          <w:tcPr>
            <w:tcW w:w="950" w:type="dxa"/>
            <w:shd w:val="clear" w:color="auto" w:fill="auto"/>
            <w:vAlign w:val="center"/>
          </w:tcPr>
          <w:p w14:paraId="1E40AB4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7,5%</w:t>
            </w:r>
          </w:p>
        </w:tc>
        <w:tc>
          <w:tcPr>
            <w:tcW w:w="1590" w:type="dxa"/>
            <w:shd w:val="clear" w:color="auto" w:fill="auto"/>
            <w:vAlign w:val="center"/>
          </w:tcPr>
          <w:p w14:paraId="31F7CF96"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98,1%</w:t>
            </w:r>
          </w:p>
        </w:tc>
      </w:tr>
      <w:tr w:rsidR="0097188A" w:rsidRPr="002A249C" w14:paraId="10015CD5" w14:textId="77777777" w:rsidTr="00A80311">
        <w:trPr>
          <w:cantSplit/>
          <w:trHeight w:val="225"/>
          <w:jc w:val="center"/>
        </w:trPr>
        <w:tc>
          <w:tcPr>
            <w:tcW w:w="2041" w:type="dxa"/>
            <w:vMerge w:val="restart"/>
            <w:shd w:val="clear" w:color="auto" w:fill="auto"/>
            <w:vAlign w:val="center"/>
          </w:tcPr>
          <w:p w14:paraId="51C967B8"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Pruebas</w:t>
            </w:r>
          </w:p>
        </w:tc>
        <w:tc>
          <w:tcPr>
            <w:tcW w:w="1914" w:type="dxa"/>
            <w:shd w:val="clear" w:color="auto" w:fill="auto"/>
            <w:vAlign w:val="center"/>
          </w:tcPr>
          <w:p w14:paraId="369CE4A5"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w:t>
            </w:r>
          </w:p>
        </w:tc>
        <w:tc>
          <w:tcPr>
            <w:tcW w:w="956" w:type="dxa"/>
            <w:shd w:val="clear" w:color="auto" w:fill="auto"/>
            <w:vAlign w:val="center"/>
          </w:tcPr>
          <w:p w14:paraId="3BFC6FE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w:t>
            </w:r>
          </w:p>
        </w:tc>
        <w:tc>
          <w:tcPr>
            <w:tcW w:w="949" w:type="dxa"/>
            <w:shd w:val="clear" w:color="auto" w:fill="auto"/>
            <w:vAlign w:val="center"/>
          </w:tcPr>
          <w:p w14:paraId="5E5CA75C"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950" w:type="dxa"/>
            <w:shd w:val="clear" w:color="auto" w:fill="auto"/>
            <w:vAlign w:val="center"/>
          </w:tcPr>
          <w:p w14:paraId="238D5D1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1590" w:type="dxa"/>
            <w:shd w:val="clear" w:color="auto" w:fill="auto"/>
            <w:vAlign w:val="center"/>
          </w:tcPr>
          <w:p w14:paraId="0139586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98,0%</w:t>
            </w:r>
          </w:p>
        </w:tc>
      </w:tr>
      <w:tr w:rsidR="0097188A" w:rsidRPr="002A249C" w14:paraId="4E616F8F" w14:textId="77777777" w:rsidTr="00A80311">
        <w:trPr>
          <w:cantSplit/>
          <w:trHeight w:val="236"/>
          <w:jc w:val="center"/>
        </w:trPr>
        <w:tc>
          <w:tcPr>
            <w:tcW w:w="2041" w:type="dxa"/>
            <w:vMerge/>
            <w:shd w:val="clear" w:color="auto" w:fill="auto"/>
            <w:vAlign w:val="center"/>
          </w:tcPr>
          <w:p w14:paraId="1F53230F"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5374C6F5"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2,00</w:t>
            </w:r>
          </w:p>
        </w:tc>
        <w:tc>
          <w:tcPr>
            <w:tcW w:w="956" w:type="dxa"/>
            <w:shd w:val="clear" w:color="auto" w:fill="auto"/>
            <w:vAlign w:val="center"/>
          </w:tcPr>
          <w:p w14:paraId="420198A8"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w:t>
            </w:r>
          </w:p>
        </w:tc>
        <w:tc>
          <w:tcPr>
            <w:tcW w:w="949" w:type="dxa"/>
            <w:shd w:val="clear" w:color="auto" w:fill="auto"/>
            <w:vAlign w:val="center"/>
          </w:tcPr>
          <w:p w14:paraId="524A398D"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19</w:t>
            </w:r>
          </w:p>
        </w:tc>
        <w:tc>
          <w:tcPr>
            <w:tcW w:w="950" w:type="dxa"/>
            <w:shd w:val="clear" w:color="auto" w:fill="auto"/>
            <w:vAlign w:val="center"/>
          </w:tcPr>
          <w:p w14:paraId="048EABDF"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1590" w:type="dxa"/>
            <w:shd w:val="clear" w:color="auto" w:fill="auto"/>
            <w:vAlign w:val="center"/>
          </w:tcPr>
          <w:p w14:paraId="70642EB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79,2%</w:t>
            </w:r>
          </w:p>
        </w:tc>
      </w:tr>
      <w:tr w:rsidR="0097188A" w:rsidRPr="002A249C" w14:paraId="7003D204" w14:textId="77777777" w:rsidTr="00A80311">
        <w:trPr>
          <w:cantSplit/>
          <w:trHeight w:val="225"/>
          <w:jc w:val="center"/>
        </w:trPr>
        <w:tc>
          <w:tcPr>
            <w:tcW w:w="2041" w:type="dxa"/>
            <w:vMerge/>
            <w:shd w:val="clear" w:color="auto" w:fill="auto"/>
            <w:vAlign w:val="center"/>
          </w:tcPr>
          <w:p w14:paraId="0B01A0A3"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587C3EF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3,00</w:t>
            </w:r>
          </w:p>
        </w:tc>
        <w:tc>
          <w:tcPr>
            <w:tcW w:w="956" w:type="dxa"/>
            <w:shd w:val="clear" w:color="auto" w:fill="auto"/>
            <w:vAlign w:val="center"/>
          </w:tcPr>
          <w:p w14:paraId="31887AF3"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949" w:type="dxa"/>
            <w:shd w:val="clear" w:color="auto" w:fill="auto"/>
            <w:vAlign w:val="center"/>
          </w:tcPr>
          <w:p w14:paraId="5BE1815C"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950" w:type="dxa"/>
            <w:shd w:val="clear" w:color="auto" w:fill="auto"/>
            <w:vAlign w:val="center"/>
          </w:tcPr>
          <w:p w14:paraId="752C9264"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8</w:t>
            </w:r>
          </w:p>
        </w:tc>
        <w:tc>
          <w:tcPr>
            <w:tcW w:w="1590" w:type="dxa"/>
            <w:shd w:val="clear" w:color="auto" w:fill="auto"/>
            <w:vAlign w:val="center"/>
          </w:tcPr>
          <w:p w14:paraId="49F8FCB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100,0%</w:t>
            </w:r>
          </w:p>
        </w:tc>
      </w:tr>
      <w:tr w:rsidR="0097188A" w:rsidRPr="002A249C" w14:paraId="67B5A53F" w14:textId="77777777" w:rsidTr="00A80311">
        <w:trPr>
          <w:cantSplit/>
          <w:trHeight w:val="462"/>
          <w:jc w:val="center"/>
        </w:trPr>
        <w:tc>
          <w:tcPr>
            <w:tcW w:w="2041" w:type="dxa"/>
            <w:vMerge/>
            <w:shd w:val="clear" w:color="auto" w:fill="auto"/>
            <w:vAlign w:val="center"/>
          </w:tcPr>
          <w:p w14:paraId="5D9CE5FA"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672F91D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Porcentaje global</w:t>
            </w:r>
          </w:p>
        </w:tc>
        <w:tc>
          <w:tcPr>
            <w:tcW w:w="956" w:type="dxa"/>
            <w:shd w:val="clear" w:color="auto" w:fill="auto"/>
            <w:vAlign w:val="center"/>
          </w:tcPr>
          <w:p w14:paraId="26FAE622"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76,9%</w:t>
            </w:r>
          </w:p>
        </w:tc>
        <w:tc>
          <w:tcPr>
            <w:tcW w:w="949" w:type="dxa"/>
            <w:shd w:val="clear" w:color="auto" w:fill="auto"/>
            <w:vAlign w:val="center"/>
          </w:tcPr>
          <w:p w14:paraId="025B77F4"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15,7%</w:t>
            </w:r>
          </w:p>
        </w:tc>
        <w:tc>
          <w:tcPr>
            <w:tcW w:w="950" w:type="dxa"/>
            <w:shd w:val="clear" w:color="auto" w:fill="auto"/>
            <w:vAlign w:val="center"/>
          </w:tcPr>
          <w:p w14:paraId="0A1577B4"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7,5%</w:t>
            </w:r>
          </w:p>
        </w:tc>
        <w:tc>
          <w:tcPr>
            <w:tcW w:w="1590" w:type="dxa"/>
            <w:shd w:val="clear" w:color="auto" w:fill="auto"/>
            <w:vAlign w:val="center"/>
          </w:tcPr>
          <w:p w14:paraId="749DE05F"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94,8%</w:t>
            </w:r>
          </w:p>
        </w:tc>
      </w:tr>
      <w:tr w:rsidR="0097188A" w:rsidRPr="002A249C" w14:paraId="12388523" w14:textId="77777777" w:rsidTr="00A80311">
        <w:trPr>
          <w:cantSplit/>
          <w:trHeight w:val="225"/>
          <w:jc w:val="center"/>
        </w:trPr>
        <w:tc>
          <w:tcPr>
            <w:tcW w:w="2041" w:type="dxa"/>
            <w:vMerge w:val="restart"/>
            <w:shd w:val="clear" w:color="auto" w:fill="auto"/>
            <w:vAlign w:val="center"/>
          </w:tcPr>
          <w:p w14:paraId="3E913F7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Reserva</w:t>
            </w:r>
          </w:p>
        </w:tc>
        <w:tc>
          <w:tcPr>
            <w:tcW w:w="1914" w:type="dxa"/>
            <w:shd w:val="clear" w:color="auto" w:fill="auto"/>
            <w:vAlign w:val="center"/>
          </w:tcPr>
          <w:p w14:paraId="653CD9C6"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1,00</w:t>
            </w:r>
          </w:p>
        </w:tc>
        <w:tc>
          <w:tcPr>
            <w:tcW w:w="956" w:type="dxa"/>
            <w:shd w:val="clear" w:color="auto" w:fill="auto"/>
            <w:vAlign w:val="center"/>
          </w:tcPr>
          <w:p w14:paraId="6A7B7272"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92</w:t>
            </w:r>
          </w:p>
        </w:tc>
        <w:tc>
          <w:tcPr>
            <w:tcW w:w="949" w:type="dxa"/>
            <w:shd w:val="clear" w:color="auto" w:fill="auto"/>
            <w:vAlign w:val="center"/>
          </w:tcPr>
          <w:p w14:paraId="1CE2606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950" w:type="dxa"/>
            <w:shd w:val="clear" w:color="auto" w:fill="auto"/>
            <w:vAlign w:val="center"/>
          </w:tcPr>
          <w:p w14:paraId="3397F800"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1590" w:type="dxa"/>
            <w:shd w:val="clear" w:color="auto" w:fill="auto"/>
            <w:vAlign w:val="center"/>
          </w:tcPr>
          <w:p w14:paraId="6811E985"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97,9%</w:t>
            </w:r>
          </w:p>
        </w:tc>
      </w:tr>
      <w:tr w:rsidR="0097188A" w:rsidRPr="002A249C" w14:paraId="11DE60D3" w14:textId="77777777" w:rsidTr="00A80311">
        <w:trPr>
          <w:cantSplit/>
          <w:trHeight w:val="225"/>
          <w:jc w:val="center"/>
        </w:trPr>
        <w:tc>
          <w:tcPr>
            <w:tcW w:w="2041" w:type="dxa"/>
            <w:vMerge/>
            <w:shd w:val="clear" w:color="auto" w:fill="auto"/>
            <w:vAlign w:val="center"/>
          </w:tcPr>
          <w:p w14:paraId="1D583FD2"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5D95264A"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2,00</w:t>
            </w:r>
          </w:p>
        </w:tc>
        <w:tc>
          <w:tcPr>
            <w:tcW w:w="956" w:type="dxa"/>
            <w:shd w:val="clear" w:color="auto" w:fill="auto"/>
            <w:vAlign w:val="center"/>
          </w:tcPr>
          <w:p w14:paraId="3DEADE44"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949" w:type="dxa"/>
            <w:shd w:val="clear" w:color="auto" w:fill="auto"/>
            <w:vAlign w:val="center"/>
          </w:tcPr>
          <w:p w14:paraId="765DBA6E"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17</w:t>
            </w:r>
          </w:p>
        </w:tc>
        <w:tc>
          <w:tcPr>
            <w:tcW w:w="950" w:type="dxa"/>
            <w:shd w:val="clear" w:color="auto" w:fill="auto"/>
            <w:vAlign w:val="center"/>
          </w:tcPr>
          <w:p w14:paraId="04C6051A"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2</w:t>
            </w:r>
          </w:p>
        </w:tc>
        <w:tc>
          <w:tcPr>
            <w:tcW w:w="1590" w:type="dxa"/>
            <w:shd w:val="clear" w:color="auto" w:fill="auto"/>
            <w:vAlign w:val="center"/>
          </w:tcPr>
          <w:p w14:paraId="3BBE62BB"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89,5%</w:t>
            </w:r>
          </w:p>
        </w:tc>
      </w:tr>
      <w:tr w:rsidR="0097188A" w:rsidRPr="002A249C" w14:paraId="6E605541" w14:textId="77777777" w:rsidTr="00A80311">
        <w:trPr>
          <w:cantSplit/>
          <w:trHeight w:val="236"/>
          <w:jc w:val="center"/>
        </w:trPr>
        <w:tc>
          <w:tcPr>
            <w:tcW w:w="2041" w:type="dxa"/>
            <w:vMerge/>
            <w:shd w:val="clear" w:color="auto" w:fill="auto"/>
            <w:vAlign w:val="center"/>
          </w:tcPr>
          <w:p w14:paraId="1B353DAB" w14:textId="77777777" w:rsidR="0097188A" w:rsidRPr="002A249C" w:rsidRDefault="0097188A" w:rsidP="00184153">
            <w:pPr>
              <w:autoSpaceDE w:val="0"/>
              <w:autoSpaceDN w:val="0"/>
              <w:adjustRightInd w:val="0"/>
              <w:spacing w:line="360" w:lineRule="auto"/>
              <w:rPr>
                <w:color w:val="000000"/>
              </w:rPr>
            </w:pPr>
          </w:p>
        </w:tc>
        <w:tc>
          <w:tcPr>
            <w:tcW w:w="1914" w:type="dxa"/>
            <w:shd w:val="clear" w:color="auto" w:fill="auto"/>
            <w:vAlign w:val="center"/>
          </w:tcPr>
          <w:p w14:paraId="648B99BE"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3,00</w:t>
            </w:r>
          </w:p>
        </w:tc>
        <w:tc>
          <w:tcPr>
            <w:tcW w:w="956" w:type="dxa"/>
            <w:shd w:val="clear" w:color="auto" w:fill="auto"/>
            <w:vAlign w:val="center"/>
          </w:tcPr>
          <w:p w14:paraId="5A95F8F2"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0</w:t>
            </w:r>
          </w:p>
        </w:tc>
        <w:tc>
          <w:tcPr>
            <w:tcW w:w="949" w:type="dxa"/>
            <w:shd w:val="clear" w:color="auto" w:fill="auto"/>
            <w:vAlign w:val="center"/>
          </w:tcPr>
          <w:p w14:paraId="467C3D78"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3</w:t>
            </w:r>
          </w:p>
        </w:tc>
        <w:tc>
          <w:tcPr>
            <w:tcW w:w="950" w:type="dxa"/>
            <w:shd w:val="clear" w:color="auto" w:fill="auto"/>
            <w:vAlign w:val="center"/>
          </w:tcPr>
          <w:p w14:paraId="274F1177"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13</w:t>
            </w:r>
          </w:p>
        </w:tc>
        <w:tc>
          <w:tcPr>
            <w:tcW w:w="1590" w:type="dxa"/>
            <w:shd w:val="clear" w:color="auto" w:fill="auto"/>
            <w:vAlign w:val="center"/>
          </w:tcPr>
          <w:p w14:paraId="1F5DD926"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81,3%</w:t>
            </w:r>
          </w:p>
        </w:tc>
      </w:tr>
      <w:tr w:rsidR="0097188A" w:rsidRPr="002A249C" w14:paraId="179D2F15" w14:textId="77777777" w:rsidTr="00A80311">
        <w:trPr>
          <w:cantSplit/>
          <w:trHeight w:val="451"/>
          <w:jc w:val="center"/>
        </w:trPr>
        <w:tc>
          <w:tcPr>
            <w:tcW w:w="2041" w:type="dxa"/>
            <w:vMerge/>
            <w:tcBorders>
              <w:bottom w:val="single" w:sz="4" w:space="0" w:color="auto"/>
            </w:tcBorders>
            <w:shd w:val="clear" w:color="auto" w:fill="auto"/>
            <w:vAlign w:val="center"/>
          </w:tcPr>
          <w:p w14:paraId="00B37F46" w14:textId="77777777" w:rsidR="0097188A" w:rsidRPr="002A249C" w:rsidRDefault="0097188A" w:rsidP="00184153">
            <w:pPr>
              <w:autoSpaceDE w:val="0"/>
              <w:autoSpaceDN w:val="0"/>
              <w:adjustRightInd w:val="0"/>
              <w:spacing w:line="360" w:lineRule="auto"/>
              <w:rPr>
                <w:color w:val="000000"/>
              </w:rPr>
            </w:pPr>
          </w:p>
        </w:tc>
        <w:tc>
          <w:tcPr>
            <w:tcW w:w="1914" w:type="dxa"/>
            <w:tcBorders>
              <w:bottom w:val="single" w:sz="4" w:space="0" w:color="auto"/>
            </w:tcBorders>
            <w:shd w:val="clear" w:color="auto" w:fill="auto"/>
            <w:vAlign w:val="center"/>
          </w:tcPr>
          <w:p w14:paraId="01266033"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Porcentaje global</w:t>
            </w:r>
          </w:p>
        </w:tc>
        <w:tc>
          <w:tcPr>
            <w:tcW w:w="956" w:type="dxa"/>
            <w:tcBorders>
              <w:bottom w:val="single" w:sz="4" w:space="0" w:color="auto"/>
            </w:tcBorders>
            <w:shd w:val="clear" w:color="auto" w:fill="auto"/>
            <w:vAlign w:val="center"/>
          </w:tcPr>
          <w:p w14:paraId="384527BF"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71,3%</w:t>
            </w:r>
          </w:p>
        </w:tc>
        <w:tc>
          <w:tcPr>
            <w:tcW w:w="949" w:type="dxa"/>
            <w:tcBorders>
              <w:bottom w:val="single" w:sz="4" w:space="0" w:color="auto"/>
            </w:tcBorders>
            <w:shd w:val="clear" w:color="auto" w:fill="auto"/>
            <w:vAlign w:val="center"/>
          </w:tcPr>
          <w:p w14:paraId="50129799"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17,1%</w:t>
            </w:r>
          </w:p>
        </w:tc>
        <w:tc>
          <w:tcPr>
            <w:tcW w:w="950" w:type="dxa"/>
            <w:tcBorders>
              <w:bottom w:val="single" w:sz="4" w:space="0" w:color="auto"/>
            </w:tcBorders>
            <w:shd w:val="clear" w:color="auto" w:fill="auto"/>
            <w:vAlign w:val="center"/>
          </w:tcPr>
          <w:p w14:paraId="744EA591"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11,6%</w:t>
            </w:r>
          </w:p>
        </w:tc>
        <w:tc>
          <w:tcPr>
            <w:tcW w:w="1590" w:type="dxa"/>
            <w:tcBorders>
              <w:bottom w:val="single" w:sz="4" w:space="0" w:color="auto"/>
            </w:tcBorders>
            <w:shd w:val="clear" w:color="auto" w:fill="auto"/>
            <w:vAlign w:val="center"/>
          </w:tcPr>
          <w:p w14:paraId="0832957A" w14:textId="77777777" w:rsidR="0097188A" w:rsidRPr="002A249C" w:rsidRDefault="0097188A" w:rsidP="00184153">
            <w:pPr>
              <w:autoSpaceDE w:val="0"/>
              <w:autoSpaceDN w:val="0"/>
              <w:adjustRightInd w:val="0"/>
              <w:spacing w:line="360" w:lineRule="auto"/>
              <w:ind w:left="60" w:right="60"/>
              <w:rPr>
                <w:color w:val="000000"/>
              </w:rPr>
            </w:pPr>
            <w:r w:rsidRPr="002A249C">
              <w:rPr>
                <w:color w:val="000000"/>
              </w:rPr>
              <w:t>94,6%</w:t>
            </w:r>
          </w:p>
        </w:tc>
      </w:tr>
      <w:tr w:rsidR="0097188A" w:rsidRPr="002A249C" w14:paraId="71C3B25D" w14:textId="77777777" w:rsidTr="00A80311">
        <w:trPr>
          <w:cantSplit/>
          <w:trHeight w:val="225"/>
          <w:jc w:val="center"/>
        </w:trPr>
        <w:tc>
          <w:tcPr>
            <w:tcW w:w="8400" w:type="dxa"/>
            <w:gridSpan w:val="6"/>
            <w:tcBorders>
              <w:top w:val="single" w:sz="4" w:space="0" w:color="auto"/>
            </w:tcBorders>
            <w:shd w:val="clear" w:color="auto" w:fill="auto"/>
            <w:vAlign w:val="center"/>
          </w:tcPr>
          <w:p w14:paraId="0423F03B" w14:textId="77777777" w:rsidR="0097188A" w:rsidRPr="002A249C" w:rsidRDefault="0097188A" w:rsidP="00184153">
            <w:pPr>
              <w:autoSpaceDE w:val="0"/>
              <w:autoSpaceDN w:val="0"/>
              <w:adjustRightInd w:val="0"/>
              <w:spacing w:line="360" w:lineRule="auto"/>
              <w:ind w:left="60" w:right="60"/>
              <w:rPr>
                <w:color w:val="000000"/>
              </w:rPr>
            </w:pPr>
            <w:r w:rsidRPr="0097188A">
              <w:rPr>
                <w:i/>
                <w:color w:val="000000"/>
              </w:rPr>
              <w:t>Nota:</w:t>
            </w:r>
            <w:r w:rsidRPr="002A249C">
              <w:rPr>
                <w:color w:val="000000"/>
              </w:rPr>
              <w:t xml:space="preserve"> variable dependiente: perfil</w:t>
            </w:r>
          </w:p>
        </w:tc>
      </w:tr>
    </w:tbl>
    <w:p w14:paraId="20C6B2E2" w14:textId="4DB67F76" w:rsidR="00FD0BF4" w:rsidRPr="00C879CD" w:rsidRDefault="00FD0BF4" w:rsidP="00184153">
      <w:pPr>
        <w:pStyle w:val="SubtituloInterno"/>
        <w:rPr>
          <w:bCs/>
          <w:lang w:val="es-CO"/>
        </w:rPr>
      </w:pPr>
      <w:r w:rsidRPr="00FD0BF4">
        <w:rPr>
          <w:bCs/>
          <w:lang w:val="es-CO"/>
        </w:rPr>
        <w:t>Paso 5. Importancia de los predictores</w:t>
      </w:r>
    </w:p>
    <w:p w14:paraId="34C16C7F" w14:textId="566C856D" w:rsidR="00FD0BF4" w:rsidRPr="00FD0BF4" w:rsidRDefault="00FD0BF4" w:rsidP="00184153">
      <w:pPr>
        <w:pStyle w:val="Prrafocomn"/>
        <w:spacing w:line="440" w:lineRule="exact"/>
        <w:rPr>
          <w:lang w:val="es-CO"/>
        </w:rPr>
      </w:pPr>
      <w:r w:rsidRPr="00FD0BF4">
        <w:rPr>
          <w:lang w:val="es-CO"/>
        </w:rPr>
        <w:t xml:space="preserve">Seguidamente se realizó un análisis de susceptibilidad, con el cual se establece la importancia de las variables predictoras (independiente) del modelo. El análisis de susceptibilidad permite establecer que tanto influye esta variable independiente en la clasificación correcta de una observación en la variable dependiente </w:t>
      </w:r>
    </w:p>
    <w:p w14:paraId="7B6C197A" w14:textId="77777777" w:rsidR="00FD0BF4" w:rsidRPr="00FD0BF4" w:rsidRDefault="00FD0BF4" w:rsidP="00184153">
      <w:pPr>
        <w:pStyle w:val="Prrafocomn"/>
        <w:spacing w:line="440" w:lineRule="exact"/>
        <w:rPr>
          <w:lang w:val="es-CO"/>
        </w:rPr>
      </w:pPr>
      <w:r w:rsidRPr="00FD0BF4">
        <w:rPr>
          <w:lang w:val="es-CO"/>
        </w:rPr>
        <w:t xml:space="preserve">La importancia normalizada es un indicador de la jerarquía de la influencia de las variables predictoras, se obtiene de dividir los valores de importancia por el mayor valor </w:t>
      </w:r>
      <w:r w:rsidRPr="00FD0BF4">
        <w:rPr>
          <w:lang w:val="es-CO"/>
        </w:rPr>
        <w:lastRenderedPageBreak/>
        <w:t>porcentaje de importancia. Lo anterior, también puede utilizarse para evaluar la permanencia de una variable en el modelo, y con esto mejorar su capacidad predictiva.</w:t>
      </w:r>
    </w:p>
    <w:p w14:paraId="236C82B0" w14:textId="2AC180EB" w:rsidR="0097188A" w:rsidRDefault="00FD0BF4" w:rsidP="00184153">
      <w:pPr>
        <w:pStyle w:val="Prrafocomn"/>
        <w:spacing w:line="440" w:lineRule="exact"/>
        <w:rPr>
          <w:lang w:val="es-CO"/>
        </w:rPr>
      </w:pPr>
      <w:r w:rsidRPr="00FD0BF4">
        <w:rPr>
          <w:lang w:val="es-CO"/>
        </w:rPr>
        <w:t>En la Tabla 6, se muestra la importancia normalizada de las variables independientes en el proceso de clasificación de la RNA. Identificándose como variables más importantes para clasificar en el modelo, las variables V5 (acciones suicidas) con 98,4% de importancia normalizada y V1 (pensamientos suicidas) con 77% de importancia normalizada.</w:t>
      </w:r>
    </w:p>
    <w:tbl>
      <w:tblPr>
        <w:tblW w:w="8749" w:type="dxa"/>
        <w:jc w:val="center"/>
        <w:tblLayout w:type="fixed"/>
        <w:tblCellMar>
          <w:left w:w="0" w:type="dxa"/>
          <w:right w:w="0" w:type="dxa"/>
        </w:tblCellMar>
        <w:tblLook w:val="0000" w:firstRow="0" w:lastRow="0" w:firstColumn="0" w:lastColumn="0" w:noHBand="0" w:noVBand="0"/>
      </w:tblPr>
      <w:tblGrid>
        <w:gridCol w:w="1516"/>
        <w:gridCol w:w="2657"/>
        <w:gridCol w:w="4576"/>
      </w:tblGrid>
      <w:tr w:rsidR="00F110D9" w:rsidRPr="00F110D9" w14:paraId="46F91607" w14:textId="77777777" w:rsidTr="00F110D9">
        <w:trPr>
          <w:cantSplit/>
          <w:trHeight w:val="337"/>
          <w:jc w:val="center"/>
        </w:trPr>
        <w:tc>
          <w:tcPr>
            <w:tcW w:w="8749" w:type="dxa"/>
            <w:gridSpan w:val="3"/>
            <w:shd w:val="clear" w:color="auto" w:fill="auto"/>
            <w:vAlign w:val="center"/>
          </w:tcPr>
          <w:p w14:paraId="21AB62C6" w14:textId="77777777" w:rsidR="00F110D9" w:rsidRPr="00F110D9" w:rsidRDefault="00F110D9" w:rsidP="00184153">
            <w:pPr>
              <w:pStyle w:val="Prrafocomn"/>
              <w:spacing w:line="440" w:lineRule="exact"/>
              <w:ind w:firstLine="0"/>
              <w:rPr>
                <w:b/>
                <w:bCs/>
                <w:lang w:val="es-AR"/>
              </w:rPr>
            </w:pPr>
            <w:r w:rsidRPr="00F110D9">
              <w:rPr>
                <w:b/>
                <w:bCs/>
                <w:lang w:val="es-AR"/>
              </w:rPr>
              <w:t>Tabla 6</w:t>
            </w:r>
          </w:p>
        </w:tc>
      </w:tr>
      <w:tr w:rsidR="00F110D9" w:rsidRPr="00F110D9" w14:paraId="091C29C4" w14:textId="77777777" w:rsidTr="00F110D9">
        <w:trPr>
          <w:cantSplit/>
          <w:trHeight w:val="693"/>
          <w:jc w:val="center"/>
        </w:trPr>
        <w:tc>
          <w:tcPr>
            <w:tcW w:w="8749" w:type="dxa"/>
            <w:gridSpan w:val="3"/>
            <w:tcBorders>
              <w:bottom w:val="single" w:sz="4" w:space="0" w:color="auto"/>
            </w:tcBorders>
            <w:shd w:val="clear" w:color="auto" w:fill="auto"/>
            <w:vAlign w:val="center"/>
          </w:tcPr>
          <w:p w14:paraId="5CCEEB0D" w14:textId="77777777" w:rsidR="00F110D9" w:rsidRPr="00F110D9" w:rsidRDefault="00F110D9" w:rsidP="00184153">
            <w:pPr>
              <w:pStyle w:val="Prrafocomn"/>
              <w:spacing w:line="440" w:lineRule="exact"/>
              <w:ind w:firstLine="0"/>
              <w:rPr>
                <w:i/>
                <w:iCs/>
                <w:lang w:val="es-AR"/>
              </w:rPr>
            </w:pPr>
            <w:r w:rsidRPr="00F110D9">
              <w:rPr>
                <w:i/>
                <w:iCs/>
                <w:lang w:val="es-AR"/>
              </w:rPr>
              <w:t>Importancia de clasificación de las variables en el modelo</w:t>
            </w:r>
          </w:p>
        </w:tc>
      </w:tr>
      <w:tr w:rsidR="00F110D9" w:rsidRPr="00F110D9" w14:paraId="00C69E69" w14:textId="77777777" w:rsidTr="00F110D9">
        <w:trPr>
          <w:cantSplit/>
          <w:trHeight w:val="693"/>
          <w:jc w:val="center"/>
        </w:trPr>
        <w:tc>
          <w:tcPr>
            <w:tcW w:w="1516" w:type="dxa"/>
            <w:tcBorders>
              <w:top w:val="single" w:sz="4" w:space="0" w:color="auto"/>
              <w:bottom w:val="single" w:sz="4" w:space="0" w:color="auto"/>
            </w:tcBorders>
            <w:shd w:val="clear" w:color="auto" w:fill="auto"/>
            <w:vAlign w:val="center"/>
          </w:tcPr>
          <w:p w14:paraId="187B0817" w14:textId="77777777" w:rsidR="00F110D9" w:rsidRPr="00F110D9" w:rsidRDefault="00F110D9" w:rsidP="00184153">
            <w:pPr>
              <w:pStyle w:val="Prrafocomn"/>
              <w:spacing w:line="440" w:lineRule="exact"/>
              <w:ind w:left="60" w:firstLine="0"/>
              <w:rPr>
                <w:b/>
                <w:bCs/>
                <w:lang w:val="es-AR"/>
              </w:rPr>
            </w:pPr>
            <w:r w:rsidRPr="00F110D9">
              <w:rPr>
                <w:b/>
                <w:bCs/>
                <w:lang w:val="es-AR"/>
              </w:rPr>
              <w:t>Variable</w:t>
            </w:r>
          </w:p>
        </w:tc>
        <w:tc>
          <w:tcPr>
            <w:tcW w:w="2657" w:type="dxa"/>
            <w:tcBorders>
              <w:top w:val="single" w:sz="4" w:space="0" w:color="auto"/>
              <w:bottom w:val="single" w:sz="4" w:space="0" w:color="auto"/>
            </w:tcBorders>
            <w:shd w:val="clear" w:color="auto" w:fill="auto"/>
            <w:vAlign w:val="center"/>
          </w:tcPr>
          <w:p w14:paraId="42F22390" w14:textId="77777777" w:rsidR="00F110D9" w:rsidRPr="00F110D9" w:rsidRDefault="00F110D9" w:rsidP="00184153">
            <w:pPr>
              <w:pStyle w:val="Prrafocomn"/>
              <w:spacing w:line="440" w:lineRule="exact"/>
              <w:rPr>
                <w:b/>
                <w:bCs/>
              </w:rPr>
            </w:pPr>
            <w:proofErr w:type="spellStart"/>
            <w:r w:rsidRPr="00F110D9">
              <w:rPr>
                <w:b/>
                <w:bCs/>
              </w:rPr>
              <w:t>Importancia</w:t>
            </w:r>
            <w:proofErr w:type="spellEnd"/>
          </w:p>
        </w:tc>
        <w:tc>
          <w:tcPr>
            <w:tcW w:w="4574" w:type="dxa"/>
            <w:tcBorders>
              <w:top w:val="single" w:sz="4" w:space="0" w:color="auto"/>
              <w:bottom w:val="single" w:sz="4" w:space="0" w:color="auto"/>
            </w:tcBorders>
            <w:shd w:val="clear" w:color="auto" w:fill="auto"/>
            <w:vAlign w:val="center"/>
          </w:tcPr>
          <w:p w14:paraId="5E4B108B" w14:textId="77777777" w:rsidR="00F110D9" w:rsidRPr="00F110D9" w:rsidRDefault="00F110D9" w:rsidP="00184153">
            <w:pPr>
              <w:pStyle w:val="Prrafocomn"/>
              <w:spacing w:line="440" w:lineRule="exact"/>
              <w:rPr>
                <w:b/>
                <w:bCs/>
              </w:rPr>
            </w:pPr>
            <w:proofErr w:type="spellStart"/>
            <w:r w:rsidRPr="00F110D9">
              <w:rPr>
                <w:b/>
                <w:bCs/>
              </w:rPr>
              <w:t>Importancia</w:t>
            </w:r>
            <w:proofErr w:type="spellEnd"/>
            <w:r w:rsidRPr="00F110D9">
              <w:rPr>
                <w:b/>
                <w:bCs/>
              </w:rPr>
              <w:t xml:space="preserve"> </w:t>
            </w:r>
            <w:proofErr w:type="spellStart"/>
            <w:r w:rsidRPr="00F110D9">
              <w:rPr>
                <w:b/>
                <w:bCs/>
              </w:rPr>
              <w:t>normalizada</w:t>
            </w:r>
            <w:proofErr w:type="spellEnd"/>
          </w:p>
        </w:tc>
      </w:tr>
      <w:tr w:rsidR="00F110D9" w:rsidRPr="00F110D9" w14:paraId="3B95EB0D" w14:textId="77777777" w:rsidTr="00F110D9">
        <w:trPr>
          <w:cantSplit/>
          <w:trHeight w:val="337"/>
          <w:jc w:val="center"/>
        </w:trPr>
        <w:tc>
          <w:tcPr>
            <w:tcW w:w="1516" w:type="dxa"/>
            <w:tcBorders>
              <w:top w:val="single" w:sz="4" w:space="0" w:color="auto"/>
            </w:tcBorders>
            <w:shd w:val="clear" w:color="auto" w:fill="auto"/>
            <w:vAlign w:val="center"/>
          </w:tcPr>
          <w:p w14:paraId="5EB7C390" w14:textId="77777777" w:rsidR="00F110D9" w:rsidRPr="00F110D9" w:rsidRDefault="00F110D9" w:rsidP="00184153">
            <w:pPr>
              <w:pStyle w:val="Prrafocomn"/>
              <w:spacing w:line="440" w:lineRule="exact"/>
            </w:pPr>
            <w:r w:rsidRPr="00F110D9">
              <w:t>V1</w:t>
            </w:r>
          </w:p>
        </w:tc>
        <w:tc>
          <w:tcPr>
            <w:tcW w:w="2657" w:type="dxa"/>
            <w:tcBorders>
              <w:top w:val="single" w:sz="4" w:space="0" w:color="auto"/>
            </w:tcBorders>
            <w:shd w:val="clear" w:color="auto" w:fill="auto"/>
            <w:vAlign w:val="center"/>
          </w:tcPr>
          <w:p w14:paraId="4AD6459A" w14:textId="77777777" w:rsidR="00F110D9" w:rsidRPr="00F110D9" w:rsidRDefault="00F110D9" w:rsidP="00184153">
            <w:pPr>
              <w:pStyle w:val="Prrafocomn"/>
              <w:spacing w:line="440" w:lineRule="exact"/>
            </w:pPr>
            <w:r w:rsidRPr="00F110D9">
              <w:t>0,20</w:t>
            </w:r>
          </w:p>
        </w:tc>
        <w:tc>
          <w:tcPr>
            <w:tcW w:w="4574" w:type="dxa"/>
            <w:tcBorders>
              <w:top w:val="single" w:sz="4" w:space="0" w:color="auto"/>
            </w:tcBorders>
            <w:shd w:val="clear" w:color="auto" w:fill="auto"/>
            <w:vAlign w:val="center"/>
          </w:tcPr>
          <w:p w14:paraId="19390588" w14:textId="77777777" w:rsidR="00F110D9" w:rsidRPr="00F110D9" w:rsidRDefault="00F110D9" w:rsidP="00184153">
            <w:pPr>
              <w:pStyle w:val="Prrafocomn"/>
              <w:spacing w:line="440" w:lineRule="exact"/>
            </w:pPr>
            <w:r w:rsidRPr="00F110D9">
              <w:t>77,0%</w:t>
            </w:r>
          </w:p>
        </w:tc>
      </w:tr>
      <w:tr w:rsidR="00F110D9" w:rsidRPr="00F110D9" w14:paraId="3BCD0248" w14:textId="77777777" w:rsidTr="00F110D9">
        <w:trPr>
          <w:cantSplit/>
          <w:trHeight w:val="337"/>
          <w:jc w:val="center"/>
        </w:trPr>
        <w:tc>
          <w:tcPr>
            <w:tcW w:w="1516" w:type="dxa"/>
            <w:shd w:val="clear" w:color="auto" w:fill="auto"/>
            <w:vAlign w:val="center"/>
          </w:tcPr>
          <w:p w14:paraId="016737DB" w14:textId="77777777" w:rsidR="00F110D9" w:rsidRPr="00F110D9" w:rsidRDefault="00F110D9" w:rsidP="00184153">
            <w:pPr>
              <w:pStyle w:val="Prrafocomn"/>
              <w:spacing w:line="440" w:lineRule="exact"/>
            </w:pPr>
            <w:r w:rsidRPr="00F110D9">
              <w:t>V2</w:t>
            </w:r>
          </w:p>
        </w:tc>
        <w:tc>
          <w:tcPr>
            <w:tcW w:w="2657" w:type="dxa"/>
            <w:shd w:val="clear" w:color="auto" w:fill="auto"/>
            <w:vAlign w:val="center"/>
          </w:tcPr>
          <w:p w14:paraId="6FD66FC6" w14:textId="77777777" w:rsidR="00F110D9" w:rsidRPr="00F110D9" w:rsidRDefault="00F110D9" w:rsidP="00184153">
            <w:pPr>
              <w:pStyle w:val="Prrafocomn"/>
              <w:spacing w:line="440" w:lineRule="exact"/>
            </w:pPr>
            <w:r w:rsidRPr="00F110D9">
              <w:t>0,11</w:t>
            </w:r>
          </w:p>
        </w:tc>
        <w:tc>
          <w:tcPr>
            <w:tcW w:w="4574" w:type="dxa"/>
            <w:shd w:val="clear" w:color="auto" w:fill="auto"/>
            <w:vAlign w:val="center"/>
          </w:tcPr>
          <w:p w14:paraId="108AE702" w14:textId="77777777" w:rsidR="00F110D9" w:rsidRPr="00F110D9" w:rsidRDefault="00F110D9" w:rsidP="00184153">
            <w:pPr>
              <w:pStyle w:val="Prrafocomn"/>
              <w:spacing w:line="440" w:lineRule="exact"/>
            </w:pPr>
            <w:r w:rsidRPr="00F110D9">
              <w:t>43,7%</w:t>
            </w:r>
          </w:p>
        </w:tc>
      </w:tr>
      <w:tr w:rsidR="00F110D9" w:rsidRPr="00F110D9" w14:paraId="3F455DCD" w14:textId="77777777" w:rsidTr="00F110D9">
        <w:trPr>
          <w:cantSplit/>
          <w:trHeight w:val="353"/>
          <w:jc w:val="center"/>
        </w:trPr>
        <w:tc>
          <w:tcPr>
            <w:tcW w:w="1516" w:type="dxa"/>
            <w:shd w:val="clear" w:color="auto" w:fill="auto"/>
            <w:vAlign w:val="center"/>
          </w:tcPr>
          <w:p w14:paraId="42DD53BB" w14:textId="77777777" w:rsidR="00F110D9" w:rsidRPr="00F110D9" w:rsidRDefault="00F110D9" w:rsidP="00184153">
            <w:pPr>
              <w:pStyle w:val="Prrafocomn"/>
              <w:spacing w:line="440" w:lineRule="exact"/>
            </w:pPr>
            <w:r w:rsidRPr="00F110D9">
              <w:t>V3</w:t>
            </w:r>
          </w:p>
        </w:tc>
        <w:tc>
          <w:tcPr>
            <w:tcW w:w="2657" w:type="dxa"/>
            <w:shd w:val="clear" w:color="auto" w:fill="auto"/>
            <w:vAlign w:val="center"/>
          </w:tcPr>
          <w:p w14:paraId="3FE20307" w14:textId="77777777" w:rsidR="00F110D9" w:rsidRPr="00F110D9" w:rsidRDefault="00F110D9" w:rsidP="00184153">
            <w:pPr>
              <w:pStyle w:val="Prrafocomn"/>
              <w:spacing w:line="440" w:lineRule="exact"/>
            </w:pPr>
            <w:r w:rsidRPr="00F110D9">
              <w:t>0,05</w:t>
            </w:r>
          </w:p>
        </w:tc>
        <w:tc>
          <w:tcPr>
            <w:tcW w:w="4574" w:type="dxa"/>
            <w:shd w:val="clear" w:color="auto" w:fill="auto"/>
            <w:vAlign w:val="center"/>
          </w:tcPr>
          <w:p w14:paraId="5C9AF211" w14:textId="77777777" w:rsidR="00F110D9" w:rsidRPr="00F110D9" w:rsidRDefault="00F110D9" w:rsidP="00184153">
            <w:pPr>
              <w:pStyle w:val="Prrafocomn"/>
              <w:spacing w:line="440" w:lineRule="exact"/>
            </w:pPr>
            <w:r w:rsidRPr="00F110D9">
              <w:t>19,2%</w:t>
            </w:r>
          </w:p>
        </w:tc>
      </w:tr>
      <w:tr w:rsidR="00F110D9" w:rsidRPr="00F110D9" w14:paraId="513709DC" w14:textId="77777777" w:rsidTr="00F110D9">
        <w:trPr>
          <w:cantSplit/>
          <w:trHeight w:val="337"/>
          <w:jc w:val="center"/>
        </w:trPr>
        <w:tc>
          <w:tcPr>
            <w:tcW w:w="1516" w:type="dxa"/>
            <w:shd w:val="clear" w:color="auto" w:fill="auto"/>
            <w:vAlign w:val="center"/>
          </w:tcPr>
          <w:p w14:paraId="632C6354" w14:textId="77777777" w:rsidR="00F110D9" w:rsidRPr="00F110D9" w:rsidRDefault="00F110D9" w:rsidP="00184153">
            <w:pPr>
              <w:pStyle w:val="Prrafocomn"/>
              <w:spacing w:line="440" w:lineRule="exact"/>
            </w:pPr>
            <w:r w:rsidRPr="00F110D9">
              <w:t>V4</w:t>
            </w:r>
          </w:p>
        </w:tc>
        <w:tc>
          <w:tcPr>
            <w:tcW w:w="2657" w:type="dxa"/>
            <w:shd w:val="clear" w:color="auto" w:fill="auto"/>
            <w:vAlign w:val="center"/>
          </w:tcPr>
          <w:p w14:paraId="38EB6FE6" w14:textId="77777777" w:rsidR="00F110D9" w:rsidRPr="00F110D9" w:rsidRDefault="00F110D9" w:rsidP="00184153">
            <w:pPr>
              <w:pStyle w:val="Prrafocomn"/>
              <w:spacing w:line="440" w:lineRule="exact"/>
            </w:pPr>
            <w:r w:rsidRPr="00F110D9">
              <w:t>0,10</w:t>
            </w:r>
          </w:p>
        </w:tc>
        <w:tc>
          <w:tcPr>
            <w:tcW w:w="4574" w:type="dxa"/>
            <w:shd w:val="clear" w:color="auto" w:fill="auto"/>
            <w:vAlign w:val="center"/>
          </w:tcPr>
          <w:p w14:paraId="3B3090FD" w14:textId="77777777" w:rsidR="00F110D9" w:rsidRPr="00F110D9" w:rsidRDefault="00F110D9" w:rsidP="00184153">
            <w:pPr>
              <w:pStyle w:val="Prrafocomn"/>
              <w:spacing w:line="440" w:lineRule="exact"/>
            </w:pPr>
            <w:r w:rsidRPr="00F110D9">
              <w:t>37,6%</w:t>
            </w:r>
          </w:p>
        </w:tc>
      </w:tr>
      <w:tr w:rsidR="00F110D9" w:rsidRPr="00F110D9" w14:paraId="044EA1BF" w14:textId="77777777" w:rsidTr="00F110D9">
        <w:trPr>
          <w:cantSplit/>
          <w:trHeight w:val="337"/>
          <w:jc w:val="center"/>
        </w:trPr>
        <w:tc>
          <w:tcPr>
            <w:tcW w:w="1516" w:type="dxa"/>
            <w:shd w:val="clear" w:color="auto" w:fill="auto"/>
            <w:vAlign w:val="center"/>
          </w:tcPr>
          <w:p w14:paraId="47820F7E" w14:textId="77777777" w:rsidR="00F110D9" w:rsidRPr="00F110D9" w:rsidRDefault="00F110D9" w:rsidP="00184153">
            <w:pPr>
              <w:pStyle w:val="Prrafocomn"/>
              <w:spacing w:line="440" w:lineRule="exact"/>
            </w:pPr>
            <w:r w:rsidRPr="00F110D9">
              <w:t>V5</w:t>
            </w:r>
          </w:p>
        </w:tc>
        <w:tc>
          <w:tcPr>
            <w:tcW w:w="2657" w:type="dxa"/>
            <w:shd w:val="clear" w:color="auto" w:fill="auto"/>
            <w:vAlign w:val="center"/>
          </w:tcPr>
          <w:p w14:paraId="6399350E" w14:textId="77777777" w:rsidR="00F110D9" w:rsidRPr="00F110D9" w:rsidRDefault="00F110D9" w:rsidP="00184153">
            <w:pPr>
              <w:pStyle w:val="Prrafocomn"/>
              <w:spacing w:line="440" w:lineRule="exact"/>
            </w:pPr>
            <w:r w:rsidRPr="00F110D9">
              <w:t>0,26</w:t>
            </w:r>
          </w:p>
        </w:tc>
        <w:tc>
          <w:tcPr>
            <w:tcW w:w="4574" w:type="dxa"/>
            <w:shd w:val="clear" w:color="auto" w:fill="auto"/>
            <w:vAlign w:val="center"/>
          </w:tcPr>
          <w:p w14:paraId="07954397" w14:textId="77777777" w:rsidR="00F110D9" w:rsidRPr="00F110D9" w:rsidRDefault="00F110D9" w:rsidP="00184153">
            <w:pPr>
              <w:pStyle w:val="Prrafocomn"/>
              <w:spacing w:line="440" w:lineRule="exact"/>
            </w:pPr>
            <w:r w:rsidRPr="00F110D9">
              <w:t>98,4%</w:t>
            </w:r>
          </w:p>
        </w:tc>
      </w:tr>
      <w:tr w:rsidR="00F110D9" w:rsidRPr="00F110D9" w14:paraId="0831B2DD" w14:textId="77777777" w:rsidTr="00F110D9">
        <w:trPr>
          <w:cantSplit/>
          <w:trHeight w:val="337"/>
          <w:jc w:val="center"/>
        </w:trPr>
        <w:tc>
          <w:tcPr>
            <w:tcW w:w="1516" w:type="dxa"/>
            <w:tcBorders>
              <w:bottom w:val="single" w:sz="4" w:space="0" w:color="auto"/>
            </w:tcBorders>
            <w:shd w:val="clear" w:color="auto" w:fill="auto"/>
            <w:vAlign w:val="center"/>
          </w:tcPr>
          <w:p w14:paraId="579FBE1A" w14:textId="77777777" w:rsidR="00F110D9" w:rsidRPr="00F110D9" w:rsidRDefault="00F110D9" w:rsidP="00184153">
            <w:pPr>
              <w:pStyle w:val="Prrafocomn"/>
              <w:spacing w:line="440" w:lineRule="exact"/>
            </w:pPr>
            <w:r w:rsidRPr="00F110D9">
              <w:t>V6</w:t>
            </w:r>
          </w:p>
        </w:tc>
        <w:tc>
          <w:tcPr>
            <w:tcW w:w="2657" w:type="dxa"/>
            <w:tcBorders>
              <w:bottom w:val="single" w:sz="4" w:space="0" w:color="auto"/>
            </w:tcBorders>
            <w:shd w:val="clear" w:color="auto" w:fill="auto"/>
            <w:vAlign w:val="center"/>
          </w:tcPr>
          <w:p w14:paraId="264CE19C" w14:textId="77777777" w:rsidR="00F110D9" w:rsidRPr="00F110D9" w:rsidRDefault="00F110D9" w:rsidP="00184153">
            <w:pPr>
              <w:pStyle w:val="Prrafocomn"/>
              <w:spacing w:line="440" w:lineRule="exact"/>
            </w:pPr>
            <w:r w:rsidRPr="00F110D9">
              <w:t>0,26</w:t>
            </w:r>
          </w:p>
        </w:tc>
        <w:tc>
          <w:tcPr>
            <w:tcW w:w="4574" w:type="dxa"/>
            <w:tcBorders>
              <w:bottom w:val="single" w:sz="4" w:space="0" w:color="auto"/>
            </w:tcBorders>
            <w:shd w:val="clear" w:color="auto" w:fill="auto"/>
            <w:vAlign w:val="center"/>
          </w:tcPr>
          <w:p w14:paraId="6E77E24E" w14:textId="77777777" w:rsidR="00F110D9" w:rsidRPr="00F110D9" w:rsidRDefault="00F110D9" w:rsidP="00184153">
            <w:pPr>
              <w:pStyle w:val="Prrafocomn"/>
              <w:spacing w:line="440" w:lineRule="exact"/>
            </w:pPr>
            <w:r w:rsidRPr="00F110D9">
              <w:t>100%</w:t>
            </w:r>
          </w:p>
        </w:tc>
      </w:tr>
    </w:tbl>
    <w:p w14:paraId="22A23293" w14:textId="3607E0EF" w:rsidR="005A12F4" w:rsidRPr="00471F54" w:rsidRDefault="00F110D9" w:rsidP="00184153">
      <w:pPr>
        <w:pStyle w:val="Ttulosinternos"/>
        <w:rPr>
          <w:lang w:val="es-AR"/>
        </w:rPr>
      </w:pPr>
      <w:r>
        <w:rPr>
          <w:lang w:val="es-AR"/>
        </w:rPr>
        <w:t>Discusión</w:t>
      </w:r>
    </w:p>
    <w:p w14:paraId="77F35BAE" w14:textId="2C99C135" w:rsidR="00F110D9" w:rsidRPr="00F110D9" w:rsidRDefault="00F110D9" w:rsidP="00184153">
      <w:pPr>
        <w:pStyle w:val="Prrafocomn"/>
        <w:spacing w:line="440" w:lineRule="exact"/>
        <w:rPr>
          <w:lang w:val="es-AR"/>
        </w:rPr>
      </w:pPr>
      <w:r w:rsidRPr="00F110D9">
        <w:rPr>
          <w:lang w:val="es-AR"/>
        </w:rPr>
        <w:t>La ideación, el riesgo y el intento suicida en adolescentes incluye una combinación de factores como la vulnerabilidad genética, la presencia de trastornos psiquiátricos, adversidad en la vida, factores familiares, sociales y culturales (</w:t>
      </w:r>
      <w:proofErr w:type="spellStart"/>
      <w:r w:rsidRPr="00F110D9">
        <w:rPr>
          <w:lang w:val="es-AR"/>
        </w:rPr>
        <w:t>Hawton</w:t>
      </w:r>
      <w:proofErr w:type="spellEnd"/>
      <w:r w:rsidRPr="00F110D9">
        <w:rPr>
          <w:lang w:val="es-AR"/>
        </w:rPr>
        <w:t xml:space="preserve"> et al., 2012; </w:t>
      </w:r>
      <w:proofErr w:type="spellStart"/>
      <w:r w:rsidRPr="00F110D9">
        <w:rPr>
          <w:lang w:val="es-AR"/>
        </w:rPr>
        <w:t>Kann</w:t>
      </w:r>
      <w:proofErr w:type="spellEnd"/>
      <w:r w:rsidRPr="00F110D9">
        <w:rPr>
          <w:lang w:val="es-AR"/>
        </w:rPr>
        <w:t xml:space="preserve"> et al., 2018). Independientemente de la edad, identificar a los individuos que tendrán un intento de suicidio sigue siendo un desafío (Mayes et al., 2020). Así pues, son pocos los recursos con que se cuenta actualmente para la evaluación y detección temprana del riesgo suicida en población latina (</w:t>
      </w:r>
      <w:proofErr w:type="spellStart"/>
      <w:r w:rsidRPr="00F110D9">
        <w:rPr>
          <w:lang w:val="es-AR"/>
        </w:rPr>
        <w:t>Agerbo</w:t>
      </w:r>
      <w:proofErr w:type="spellEnd"/>
      <w:r w:rsidRPr="00F110D9">
        <w:rPr>
          <w:lang w:val="es-AR"/>
        </w:rPr>
        <w:t xml:space="preserve"> et al., 2002; </w:t>
      </w:r>
      <w:proofErr w:type="spellStart"/>
      <w:r w:rsidRPr="00F110D9">
        <w:rPr>
          <w:lang w:val="es-AR"/>
        </w:rPr>
        <w:t>Villacieros</w:t>
      </w:r>
      <w:proofErr w:type="spellEnd"/>
      <w:r w:rsidRPr="00F110D9">
        <w:rPr>
          <w:lang w:val="es-AR"/>
        </w:rPr>
        <w:t xml:space="preserve"> et al., 2016). Por lo tanto, la predicción del comportamiento suicida futuro sigue siendo problemática a lo largo de la vida, pero es particularmente relevante en los adolescentes, donde el suicidio es una de las principales causas de muerte.</w:t>
      </w:r>
    </w:p>
    <w:p w14:paraId="3326DD87" w14:textId="77777777" w:rsidR="00F110D9" w:rsidRDefault="00F110D9" w:rsidP="00184153">
      <w:pPr>
        <w:pStyle w:val="Prrafocomn"/>
        <w:spacing w:line="440" w:lineRule="exact"/>
        <w:rPr>
          <w:lang w:val="es-AR"/>
        </w:rPr>
      </w:pPr>
      <w:r w:rsidRPr="00F110D9">
        <w:rPr>
          <w:lang w:val="es-AR"/>
        </w:rPr>
        <w:t xml:space="preserve">Teniendo en cuenta lo mencionado, el presente estudio tuvo como objetivo desarrollar un método de valoración y pronóstico de niveles de ideación suicida en </w:t>
      </w:r>
      <w:r w:rsidRPr="00F110D9">
        <w:rPr>
          <w:lang w:val="es-AR"/>
        </w:rPr>
        <w:lastRenderedPageBreak/>
        <w:t>adolescentes escolarizados mediante técnicas de análisis multivariado. Como resultados, es necesario mencionar que, el método propuesto en esta investigación logró identificar tres niveles de ideación suicida en los que se observó la prevalencia de un nivel bajo de riesgo en los adolescentes participantes. Empero, existe mayor riesgo suicida en la población femenina, mientras que el riesgo bajo prevalece en la población masculina, lo cual es consistente con los resultados reportados en otros estudios (</w:t>
      </w:r>
      <w:proofErr w:type="spellStart"/>
      <w:r w:rsidRPr="00F110D9">
        <w:rPr>
          <w:lang w:val="es-AR"/>
        </w:rPr>
        <w:t>An</w:t>
      </w:r>
      <w:proofErr w:type="spellEnd"/>
      <w:r w:rsidRPr="00F110D9">
        <w:rPr>
          <w:lang w:val="es-AR"/>
        </w:rPr>
        <w:t xml:space="preserve"> et al., 2010; </w:t>
      </w:r>
      <w:proofErr w:type="spellStart"/>
      <w:r w:rsidRPr="00F110D9">
        <w:rPr>
          <w:lang w:val="es-AR"/>
        </w:rPr>
        <w:t>Baiden</w:t>
      </w:r>
      <w:proofErr w:type="spellEnd"/>
      <w:r w:rsidRPr="00F110D9">
        <w:rPr>
          <w:lang w:val="es-AR"/>
        </w:rPr>
        <w:t xml:space="preserve"> et al., 2017; </w:t>
      </w:r>
      <w:proofErr w:type="spellStart"/>
      <w:r w:rsidRPr="00F110D9">
        <w:rPr>
          <w:lang w:val="es-AR"/>
        </w:rPr>
        <w:t>Bakken</w:t>
      </w:r>
      <w:proofErr w:type="spellEnd"/>
      <w:r w:rsidRPr="00F110D9">
        <w:rPr>
          <w:lang w:val="es-AR"/>
        </w:rPr>
        <w:t xml:space="preserve"> et al., 2012; </w:t>
      </w:r>
      <w:proofErr w:type="spellStart"/>
      <w:r w:rsidRPr="00F110D9">
        <w:rPr>
          <w:lang w:val="es-AR"/>
        </w:rPr>
        <w:t>Chiu</w:t>
      </w:r>
      <w:proofErr w:type="spellEnd"/>
      <w:r w:rsidRPr="00F110D9">
        <w:rPr>
          <w:lang w:val="es-AR"/>
        </w:rPr>
        <w:t xml:space="preserve"> et al., 2017; Lee et al., 2019; Wang et al., 2011) y específicamente en la costa caribe colombiana por (</w:t>
      </w:r>
      <w:proofErr w:type="spellStart"/>
      <w:r w:rsidRPr="00F110D9">
        <w:rPr>
          <w:lang w:val="es-AR"/>
        </w:rPr>
        <w:t>Nuñez</w:t>
      </w:r>
      <w:proofErr w:type="spellEnd"/>
      <w:r w:rsidRPr="00F110D9">
        <w:rPr>
          <w:lang w:val="es-AR"/>
        </w:rPr>
        <w:t xml:space="preserve"> Ariza et al., 2020) quienes manifiestan que es mayor la prevalencia de ideación suicida en mujeres en comparación con los hombres. Sin embargo, cabe destacar que otros estudios han encontrado que los hombres tienen más probabilidades de intentar suicidarse (</w:t>
      </w:r>
      <w:proofErr w:type="spellStart"/>
      <w:r w:rsidRPr="00F110D9">
        <w:rPr>
          <w:lang w:val="es-AR"/>
        </w:rPr>
        <w:t>Bozzay</w:t>
      </w:r>
      <w:proofErr w:type="spellEnd"/>
      <w:r w:rsidRPr="00F110D9">
        <w:rPr>
          <w:lang w:val="es-AR"/>
        </w:rPr>
        <w:t xml:space="preserve"> et al., 2014; </w:t>
      </w:r>
      <w:proofErr w:type="spellStart"/>
      <w:r w:rsidRPr="00F110D9">
        <w:rPr>
          <w:lang w:val="es-AR"/>
        </w:rPr>
        <w:t>Courtet</w:t>
      </w:r>
      <w:proofErr w:type="spellEnd"/>
      <w:r w:rsidRPr="00F110D9">
        <w:rPr>
          <w:lang w:val="es-AR"/>
        </w:rPr>
        <w:t>, 2016).</w:t>
      </w:r>
    </w:p>
    <w:p w14:paraId="492FD1B3" w14:textId="1A2C2715" w:rsidR="00F110D9" w:rsidRDefault="00F110D9" w:rsidP="00184153">
      <w:pPr>
        <w:pStyle w:val="Ttulosinternos"/>
        <w:rPr>
          <w:lang w:val="es-AR"/>
        </w:rPr>
      </w:pPr>
      <w:r w:rsidRPr="00471F54">
        <w:rPr>
          <w:lang w:val="es-AR"/>
        </w:rPr>
        <w:t>Conclusiones</w:t>
      </w:r>
    </w:p>
    <w:p w14:paraId="6E98B3C3" w14:textId="77777777" w:rsidR="00F110D9" w:rsidRPr="00F110D9" w:rsidRDefault="005A12F4" w:rsidP="00184153">
      <w:pPr>
        <w:pStyle w:val="Prrafocomn"/>
        <w:spacing w:line="440" w:lineRule="exact"/>
        <w:rPr>
          <w:lang w:val="es-CO"/>
        </w:rPr>
      </w:pPr>
      <w:r w:rsidRPr="005A12F4">
        <w:rPr>
          <w:lang w:val="es-ES_tradnl"/>
        </w:rPr>
        <w:t xml:space="preserve"> </w:t>
      </w:r>
      <w:r w:rsidR="00F110D9" w:rsidRPr="00F110D9">
        <w:rPr>
          <w:lang w:val="es-CO"/>
        </w:rPr>
        <w:t xml:space="preserve">El procedimiento propuesto en este trabajo de investigación se sustenta en el análisis y combinación sistemática de la técnica de análisis de conglomerados o clúster y las redes Neuronales Artificiales, el cual proporciona un nuevo campo de estudio de factores asociados al riesgo suicida que complementa a estudios tradicionales. Los resultados comprueban la relevancia que tiene el análisis de clúster para identificar grupos de adolescentes con ideación suicida, con lo cual se establecen criterios y métodos para identificar perfiles que caractericen y valoren este fenómeno en adolescentes escolarizados en Colombia. Así mismo, la técnica de Redes Neuronales Artificiales, mostró un alto nivel de diagnóstico correcto (94,6%) para identificar y clasificar individuos adolescentes en los perfiles de ideación suicida identificados en el análisis de conglomerados, con lo cual se proporciona una herramienta valiosa cuando se desea analizar grupos en riesgo latente de suicidio. Es importante anotar que con en este trabajo de investigación, se proporciona a la comunidad científica e instituciones de educación un método útil para evaluar y diagnosticar tempranamente la ideación suicida en adolescentes escolares, facilitando el diseño de programas diferenciados de atención y tratamiento de adolescentes, así como al desarrollo de políticas, planes y programas gubernamentales para su atención, teniendo en cuenta su prevalencia en jóvenes </w:t>
      </w:r>
      <w:r w:rsidR="00F110D9" w:rsidRPr="00F110D9">
        <w:rPr>
          <w:lang w:val="es-CO"/>
        </w:rPr>
        <w:lastRenderedPageBreak/>
        <w:t>adolescentes, sus dificultades interpersonales y de comportamiento (</w:t>
      </w:r>
      <w:proofErr w:type="spellStart"/>
      <w:r w:rsidR="00F110D9" w:rsidRPr="00F110D9">
        <w:rPr>
          <w:lang w:val="es-CO"/>
        </w:rPr>
        <w:t>Kyron</w:t>
      </w:r>
      <w:proofErr w:type="spellEnd"/>
      <w:r w:rsidR="00F110D9" w:rsidRPr="00F110D9">
        <w:rPr>
          <w:lang w:val="es-CO"/>
        </w:rPr>
        <w:t xml:space="preserve"> et al., 2020). Los resultados de este trabajo complementan otras investigaciones como las de Navarro-Obeid, et al., (2021) que aplican estas técnicas multivariadas para analizar otros tipos de patologías y las de Reyes-Ruiz et al., (2019), Valdivia et al., (2015), Sánchez-Loyo et al., (2014) y Sánchez-Sosa et al., (2010) que analizan el riesgo de suicidio en adolescentes mediante otras metodologías. </w:t>
      </w:r>
    </w:p>
    <w:p w14:paraId="66791724" w14:textId="77777777" w:rsidR="007A14D0" w:rsidRDefault="007A14D0">
      <w:pPr>
        <w:rPr>
          <w:b/>
          <w:bCs/>
          <w:iCs/>
          <w:lang w:eastAsia="en-US"/>
        </w:rPr>
      </w:pPr>
      <w:r>
        <w:br w:type="page"/>
      </w:r>
    </w:p>
    <w:p w14:paraId="66876945" w14:textId="0FF288DC" w:rsidR="003A1180" w:rsidRPr="00B47AC4" w:rsidRDefault="00BC764F" w:rsidP="00184153">
      <w:pPr>
        <w:pStyle w:val="Ttulosinternos"/>
        <w:rPr>
          <w:lang w:val="es-AR"/>
        </w:rPr>
      </w:pPr>
      <w:r w:rsidRPr="00B47AC4">
        <w:rPr>
          <w:lang w:val="es-AR"/>
        </w:rPr>
        <w:lastRenderedPageBreak/>
        <w:t>Referencias</w:t>
      </w:r>
    </w:p>
    <w:p w14:paraId="706F2913" w14:textId="77777777"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rPr>
        <w:t xml:space="preserve">Agerbo, E., Nordentoft, M., y Mortensen, P. B. (2002). </w:t>
      </w:r>
      <w:r w:rsidRPr="005A29CE">
        <w:rPr>
          <w:noProof/>
          <w:color w:val="000000"/>
          <w:lang w:val="en-US"/>
        </w:rPr>
        <w:t xml:space="preserve">Familial, psychiatric, and socioeconomic risk factors for suicide in young people: Nested case-control study. </w:t>
      </w:r>
      <w:r w:rsidRPr="005A29CE">
        <w:rPr>
          <w:i/>
          <w:iCs/>
          <w:noProof/>
          <w:color w:val="000000"/>
          <w:lang w:val="en-US"/>
        </w:rPr>
        <w:t xml:space="preserve">British Medical Journal, (325), </w:t>
      </w:r>
      <w:r w:rsidRPr="005A29CE">
        <w:rPr>
          <w:iCs/>
          <w:noProof/>
          <w:color w:val="000000"/>
          <w:lang w:val="en-US"/>
        </w:rPr>
        <w:t>1-5</w:t>
      </w:r>
      <w:r w:rsidRPr="005A29CE">
        <w:rPr>
          <w:noProof/>
          <w:color w:val="000000"/>
          <w:lang w:val="en-US"/>
        </w:rPr>
        <w:t xml:space="preserve">. </w:t>
      </w:r>
      <w:hyperlink r:id="rId27" w:history="1">
        <w:r w:rsidRPr="005A29CE">
          <w:rPr>
            <w:rStyle w:val="Hipervnculo"/>
            <w:noProof/>
            <w:lang w:val="en-US"/>
          </w:rPr>
          <w:t>https://doi.org/10.1136/bmj.325.7355.74</w:t>
        </w:r>
      </w:hyperlink>
      <w:r w:rsidRPr="005A29CE">
        <w:rPr>
          <w:noProof/>
          <w:color w:val="000000"/>
          <w:lang w:val="en-US"/>
        </w:rPr>
        <w:t xml:space="preserve"> </w:t>
      </w:r>
    </w:p>
    <w:p w14:paraId="7387B4A9" w14:textId="77777777"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lang w:val="en-GB"/>
        </w:rPr>
        <w:t xml:space="preserve">Alaka, H., Oyedele, H., Owolabi, A., Kumar, O., Akinade, y Bilal, M. (2017). </w:t>
      </w:r>
      <w:r w:rsidRPr="005A29CE">
        <w:rPr>
          <w:noProof/>
          <w:color w:val="000000"/>
          <w:lang w:val="en-US"/>
        </w:rPr>
        <w:t xml:space="preserve">Systematic Review of Bankruptcy Prediction Models: Towards a Framework for Tool Selection. </w:t>
      </w:r>
      <w:r w:rsidRPr="005A29CE">
        <w:rPr>
          <w:i/>
          <w:iCs/>
          <w:noProof/>
          <w:color w:val="000000"/>
          <w:lang w:val="en-US"/>
        </w:rPr>
        <w:t>Expert Systems with Applications</w:t>
      </w:r>
      <w:r w:rsidRPr="005A29CE">
        <w:rPr>
          <w:i/>
          <w:noProof/>
          <w:color w:val="000000"/>
          <w:lang w:val="en-US"/>
        </w:rPr>
        <w:t>, (94),</w:t>
      </w:r>
      <w:r w:rsidRPr="005A29CE">
        <w:rPr>
          <w:noProof/>
          <w:color w:val="000000"/>
          <w:lang w:val="en-US"/>
        </w:rPr>
        <w:t xml:space="preserve"> 164-184.</w:t>
      </w:r>
    </w:p>
    <w:p w14:paraId="382AB3DA" w14:textId="16688616"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lang w:val="en-US"/>
        </w:rPr>
        <w:t xml:space="preserve">An, H., Ahn, J. H., y Bhang, S. Y. (2010). The association of psychosocial and familial factors with adolescent suicidal ideation: A population-based study. </w:t>
      </w:r>
      <w:r w:rsidRPr="005A29CE">
        <w:rPr>
          <w:i/>
          <w:iCs/>
          <w:noProof/>
          <w:color w:val="000000"/>
        </w:rPr>
        <w:t>Psychiatry Research</w:t>
      </w:r>
      <w:r w:rsidRPr="005A29CE">
        <w:rPr>
          <w:i/>
          <w:noProof/>
          <w:color w:val="000000"/>
        </w:rPr>
        <w:t xml:space="preserve">, </w:t>
      </w:r>
      <w:r w:rsidR="00347F0F" w:rsidRPr="00347F0F">
        <w:rPr>
          <w:i/>
          <w:noProof/>
          <w:color w:val="000000"/>
        </w:rPr>
        <w:t>177</w:t>
      </w:r>
      <w:r w:rsidR="00347F0F" w:rsidRPr="00347F0F">
        <w:rPr>
          <w:iCs/>
          <w:noProof/>
          <w:color w:val="000000"/>
        </w:rPr>
        <w:t>(3), 318–322</w:t>
      </w:r>
      <w:r w:rsidR="00347F0F" w:rsidRPr="00347F0F">
        <w:rPr>
          <w:i/>
          <w:noProof/>
          <w:color w:val="000000"/>
        </w:rPr>
        <w:t>.</w:t>
      </w:r>
      <w:r w:rsidRPr="005A29CE">
        <w:rPr>
          <w:noProof/>
          <w:color w:val="000000"/>
        </w:rPr>
        <w:t xml:space="preserve"> </w:t>
      </w:r>
      <w:hyperlink r:id="rId28" w:history="1">
        <w:r w:rsidRPr="005A29CE">
          <w:rPr>
            <w:rStyle w:val="Hipervnculo"/>
            <w:noProof/>
          </w:rPr>
          <w:t>https://doi.org/10.1016/j.psychres.2010.03.007</w:t>
        </w:r>
      </w:hyperlink>
      <w:r w:rsidRPr="005A29CE">
        <w:rPr>
          <w:noProof/>
          <w:color w:val="000000"/>
        </w:rPr>
        <w:t xml:space="preserve"> </w:t>
      </w:r>
    </w:p>
    <w:p w14:paraId="594280CB" w14:textId="77777777"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rPr>
        <w:t xml:space="preserve">Arroyo López, P. E., y Borja Medina, J. C. (2018). </w:t>
      </w:r>
      <w:r w:rsidRPr="005A29CE">
        <w:rPr>
          <w:i/>
          <w:iCs/>
          <w:noProof/>
          <w:color w:val="000000"/>
        </w:rPr>
        <w:t>Análisis multivariante para la inteligencia de mercados</w:t>
      </w:r>
      <w:r w:rsidRPr="005A29CE">
        <w:rPr>
          <w:noProof/>
          <w:color w:val="000000"/>
        </w:rPr>
        <w:t xml:space="preserve"> (Editorial Digital, Ed.). Instituto Tecnológico y de Estudios Superiores de Monterrey.</w:t>
      </w:r>
    </w:p>
    <w:p w14:paraId="6753DA57" w14:textId="376C8715" w:rsidR="005A29CE" w:rsidRPr="002B0E61"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rPr>
        <w:t>Bahamón Muñetón, M. J., y Alarcón-Vásquez, Y. (2018). Diseño y validación de una escala para evaluar el Riesgo Suicida (ERS) en adolescentes colombianos.</w:t>
      </w:r>
      <w:r w:rsidR="002B0E61">
        <w:rPr>
          <w:noProof/>
          <w:color w:val="000000"/>
        </w:rPr>
        <w:t xml:space="preserve"> </w:t>
      </w:r>
      <w:r w:rsidR="002B0E61" w:rsidRPr="00184153">
        <w:rPr>
          <w:i/>
          <w:iCs/>
          <w:noProof/>
          <w:color w:val="000000"/>
          <w:lang w:val="en-US"/>
        </w:rPr>
        <w:t>Universitas Psychologica, 17</w:t>
      </w:r>
      <w:r w:rsidR="002B0E61" w:rsidRPr="00184153">
        <w:rPr>
          <w:noProof/>
          <w:color w:val="000000"/>
          <w:lang w:val="en-US"/>
        </w:rPr>
        <w:t xml:space="preserve">(1), 1-15. </w:t>
      </w:r>
      <w:hyperlink r:id="rId29" w:history="1">
        <w:r w:rsidR="002B0E61" w:rsidRPr="00184153">
          <w:rPr>
            <w:rStyle w:val="Hipervnculo"/>
            <w:noProof/>
            <w:lang w:val="en-US"/>
          </w:rPr>
          <w:t>https://doi.org/10.11144/Javeriana.upsy 17-4.dvee</w:t>
        </w:r>
      </w:hyperlink>
      <w:r w:rsidR="002B0E61" w:rsidRPr="00184153">
        <w:rPr>
          <w:noProof/>
          <w:color w:val="000000"/>
          <w:lang w:val="en-US"/>
        </w:rPr>
        <w:t xml:space="preserve"> </w:t>
      </w:r>
    </w:p>
    <w:p w14:paraId="16EC1958" w14:textId="006FEE53"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lang w:val="en-US"/>
        </w:rPr>
        <w:t>Baiden, P., Stewart, S. L., y Fallon, B. (2017). The mediating effect of depressive symptoms on the relationship between bullying victimization and non-suicidal self-injury among adolescents: Findings from community and inpatient mental health settings in Ontario, Canada.</w:t>
      </w:r>
      <w:r w:rsidR="002B0E61">
        <w:rPr>
          <w:noProof/>
          <w:color w:val="000000"/>
          <w:lang w:val="en-US"/>
        </w:rPr>
        <w:t xml:space="preserve"> </w:t>
      </w:r>
      <w:r w:rsidR="002B0E61" w:rsidRPr="00184153">
        <w:rPr>
          <w:i/>
          <w:iCs/>
          <w:noProof/>
          <w:color w:val="000000"/>
          <w:lang w:val="en-US"/>
        </w:rPr>
        <w:t xml:space="preserve">Psychiatry research, 255, </w:t>
      </w:r>
      <w:r w:rsidR="002B0E61" w:rsidRPr="00184153">
        <w:rPr>
          <w:noProof/>
          <w:color w:val="000000"/>
          <w:lang w:val="en-US"/>
        </w:rPr>
        <w:t xml:space="preserve">238–247. </w:t>
      </w:r>
      <w:hyperlink r:id="rId30" w:history="1">
        <w:r w:rsidR="002B0E61" w:rsidRPr="00184153">
          <w:rPr>
            <w:rStyle w:val="Hipervnculo"/>
            <w:noProof/>
            <w:lang w:val="en-US"/>
          </w:rPr>
          <w:t>https://doi.org/10.1016/j.psychres.2017.05.018</w:t>
        </w:r>
      </w:hyperlink>
      <w:r w:rsidR="002B0E61" w:rsidRPr="00184153">
        <w:rPr>
          <w:noProof/>
          <w:color w:val="000000"/>
          <w:lang w:val="en-US"/>
        </w:rPr>
        <w:t xml:space="preserve"> </w:t>
      </w:r>
    </w:p>
    <w:p w14:paraId="2A14DA64" w14:textId="77777777" w:rsidR="002B0E61" w:rsidRDefault="005A29CE" w:rsidP="00184153">
      <w:pPr>
        <w:spacing w:line="360" w:lineRule="auto"/>
        <w:ind w:left="708" w:hanging="708"/>
        <w:jc w:val="both"/>
        <w:rPr>
          <w:noProof/>
          <w:color w:val="000000"/>
        </w:rPr>
      </w:pPr>
      <w:r w:rsidRPr="005A29CE">
        <w:rPr>
          <w:noProof/>
          <w:color w:val="000000"/>
          <w:lang w:val="en-US"/>
        </w:rPr>
        <w:t>Baiden, P., Tadeo, S. K., Tonui, B. C., Seastrunk, J. D., y Boateng, G. O. (2020). Association between insufficient sleep and suicidal ideation among adolescents</w:t>
      </w:r>
      <w:r w:rsidRPr="002B0E61">
        <w:rPr>
          <w:noProof/>
          <w:color w:val="000000"/>
          <w:lang w:val="en-US"/>
        </w:rPr>
        <w:t>.</w:t>
      </w:r>
      <w:r w:rsidR="002B0E61">
        <w:rPr>
          <w:noProof/>
          <w:color w:val="000000"/>
          <w:lang w:val="en-US"/>
        </w:rPr>
        <w:t xml:space="preserve"> </w:t>
      </w:r>
      <w:r w:rsidR="002B0E61" w:rsidRPr="00184153">
        <w:rPr>
          <w:i/>
          <w:iCs/>
          <w:noProof/>
          <w:color w:val="000000"/>
          <w:lang w:val="en-US"/>
        </w:rPr>
        <w:t>Psychiatr research</w:t>
      </w:r>
      <w:r w:rsidR="002B0E61" w:rsidRPr="00184153">
        <w:rPr>
          <w:noProof/>
          <w:color w:val="000000"/>
          <w:lang w:val="en-US"/>
        </w:rPr>
        <w:t>, </w:t>
      </w:r>
      <w:r w:rsidR="002B0E61" w:rsidRPr="00184153">
        <w:rPr>
          <w:i/>
          <w:iCs/>
          <w:noProof/>
          <w:color w:val="000000"/>
          <w:lang w:val="en-US"/>
        </w:rPr>
        <w:t>287</w:t>
      </w:r>
      <w:r w:rsidR="002B0E61" w:rsidRPr="00184153">
        <w:rPr>
          <w:noProof/>
          <w:color w:val="000000"/>
          <w:lang w:val="en-US"/>
        </w:rPr>
        <w:t xml:space="preserve">, 112579. </w:t>
      </w:r>
      <w:hyperlink r:id="rId31" w:history="1">
        <w:r w:rsidR="002B0E61" w:rsidRPr="002B0E61">
          <w:rPr>
            <w:rStyle w:val="Hipervnculo"/>
            <w:noProof/>
          </w:rPr>
          <w:t>https://doi.org/10.1016/j.psychres.2019.112579</w:t>
        </w:r>
      </w:hyperlink>
    </w:p>
    <w:p w14:paraId="41620FB2" w14:textId="2F99606C" w:rsidR="005A29CE" w:rsidRPr="00184153" w:rsidRDefault="005A29CE" w:rsidP="00184153">
      <w:pPr>
        <w:spacing w:line="360" w:lineRule="auto"/>
        <w:ind w:left="708" w:hanging="708"/>
        <w:jc w:val="both"/>
        <w:rPr>
          <w:noProof/>
          <w:color w:val="000000"/>
          <w:lang w:val="pt-BR"/>
        </w:rPr>
      </w:pPr>
      <w:r w:rsidRPr="002B0E61">
        <w:rPr>
          <w:noProof/>
        </w:rPr>
        <w:t xml:space="preserve">Bakken, N. W., y Gunter, W. D. (2012). </w:t>
      </w:r>
      <w:r w:rsidRPr="00184153">
        <w:rPr>
          <w:noProof/>
          <w:lang w:val="en-US"/>
        </w:rPr>
        <w:t>Self-Cutting and Suicidal Ideation among Adolescents: Gender Differences in the Causes and Correlates of Self-Injury.</w:t>
      </w:r>
      <w:r w:rsidR="002B0E61" w:rsidRPr="00184153">
        <w:rPr>
          <w:noProof/>
          <w:lang w:val="en-US"/>
        </w:rPr>
        <w:t xml:space="preserve"> </w:t>
      </w:r>
      <w:r w:rsidR="002B0E61" w:rsidRPr="00184153">
        <w:rPr>
          <w:i/>
          <w:iCs/>
          <w:noProof/>
          <w:lang w:val="pt-BR"/>
        </w:rPr>
        <w:t>Deviant Behavior, 33</w:t>
      </w:r>
      <w:r w:rsidR="002B0E61" w:rsidRPr="00184153">
        <w:rPr>
          <w:noProof/>
          <w:lang w:val="pt-BR"/>
        </w:rPr>
        <w:t>(5), 339-356. </w:t>
      </w:r>
      <w:hyperlink r:id="rId32" w:tgtFrame="_blank" w:history="1">
        <w:r w:rsidR="002B0E61" w:rsidRPr="00184153">
          <w:rPr>
            <w:rStyle w:val="Hipervnculo"/>
            <w:noProof/>
            <w:lang w:val="pt-BR"/>
          </w:rPr>
          <w:t>https://doi.org/10.1080/01639625.2011.584054</w:t>
        </w:r>
      </w:hyperlink>
    </w:p>
    <w:p w14:paraId="7C6B0E52" w14:textId="1A326167" w:rsidR="002B0E61" w:rsidRPr="00184153" w:rsidRDefault="002B0E61"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pt-BR"/>
        </w:rPr>
        <w:t xml:space="preserve">Barbosa, L. P., Quevedo, L., da Silva, G.delG., Jansen, K., Pinheiro, R. T., Branco, J., Lara, D., Oses, J., &amp; da Silva, R. A. (2014). </w:t>
      </w:r>
      <w:r w:rsidRPr="00184153">
        <w:rPr>
          <w:noProof/>
          <w:color w:val="000000"/>
          <w:lang w:val="en-US"/>
        </w:rPr>
        <w:t>Childhood trauma and suicide risk in a sample of young individuals aged 14-35 years in southern Brazil. </w:t>
      </w:r>
      <w:r w:rsidRPr="00184153">
        <w:rPr>
          <w:i/>
          <w:iCs/>
          <w:noProof/>
          <w:color w:val="000000"/>
          <w:lang w:val="en-US"/>
        </w:rPr>
        <w:t>Child abuse &amp; neglect</w:t>
      </w:r>
      <w:r w:rsidRPr="00184153">
        <w:rPr>
          <w:noProof/>
          <w:color w:val="000000"/>
          <w:lang w:val="en-US"/>
        </w:rPr>
        <w:t>, </w:t>
      </w:r>
      <w:r w:rsidRPr="00184153">
        <w:rPr>
          <w:i/>
          <w:iCs/>
          <w:noProof/>
          <w:color w:val="000000"/>
          <w:lang w:val="en-US"/>
        </w:rPr>
        <w:t>38</w:t>
      </w:r>
      <w:r w:rsidRPr="00184153">
        <w:rPr>
          <w:noProof/>
          <w:color w:val="000000"/>
          <w:lang w:val="en-US"/>
        </w:rPr>
        <w:t xml:space="preserve">(7), 1191–1196. </w:t>
      </w:r>
      <w:hyperlink r:id="rId33" w:history="1">
        <w:r w:rsidRPr="00184153">
          <w:rPr>
            <w:rStyle w:val="Hipervnculo"/>
            <w:noProof/>
            <w:lang w:val="en-US"/>
          </w:rPr>
          <w:t>https://doi.org/10.1016/j.chiabu.2014.02.008</w:t>
        </w:r>
      </w:hyperlink>
    </w:p>
    <w:p w14:paraId="43A14DD4" w14:textId="1F8458BE"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lang w:val="en-US"/>
        </w:rPr>
        <w:lastRenderedPageBreak/>
        <w:t>Beck, A. T., Steer, R. A., Beck, J. S., y Newman, C. F. (1993). Hopelessness, Depression, Suicidal Ideation, and Clinical Diagnosis of Depressio</w:t>
      </w:r>
      <w:r w:rsidRPr="002B0E61">
        <w:rPr>
          <w:noProof/>
          <w:color w:val="000000"/>
          <w:lang w:val="en-US"/>
        </w:rPr>
        <w:t xml:space="preserve">n. </w:t>
      </w:r>
      <w:r w:rsidRPr="002B0E61">
        <w:rPr>
          <w:i/>
          <w:iCs/>
          <w:noProof/>
          <w:color w:val="000000"/>
          <w:lang w:val="en-US"/>
        </w:rPr>
        <w:t>Suicide and Life‐Threatening</w:t>
      </w:r>
      <w:r w:rsidR="002B0E61">
        <w:rPr>
          <w:i/>
          <w:iCs/>
          <w:noProof/>
          <w:color w:val="000000"/>
          <w:lang w:val="en-US"/>
        </w:rPr>
        <w:t xml:space="preserve"> </w:t>
      </w:r>
      <w:r w:rsidRPr="002B0E61">
        <w:rPr>
          <w:i/>
          <w:iCs/>
          <w:noProof/>
          <w:color w:val="000000"/>
          <w:lang w:val="en-US"/>
        </w:rPr>
        <w:t>Behavior</w:t>
      </w:r>
      <w:r w:rsidR="002B0E61" w:rsidRPr="00184153">
        <w:rPr>
          <w:i/>
          <w:iCs/>
          <w:noProof/>
          <w:color w:val="000000"/>
          <w:lang w:val="en-US"/>
        </w:rPr>
        <w:t>, 23</w:t>
      </w:r>
      <w:r w:rsidR="002B0E61" w:rsidRPr="00184153">
        <w:rPr>
          <w:noProof/>
          <w:color w:val="000000"/>
          <w:lang w:val="en-US"/>
        </w:rPr>
        <w:t>(2), 139–145.</w:t>
      </w:r>
      <w:r w:rsidR="002B0E61" w:rsidRPr="002B0E61">
        <w:rPr>
          <w:noProof/>
          <w:color w:val="000000"/>
          <w:lang w:val="en-US"/>
        </w:rPr>
        <w:t xml:space="preserve"> </w:t>
      </w:r>
      <w:hyperlink r:id="rId34" w:history="1">
        <w:r w:rsidR="002B0E61" w:rsidRPr="002B0E61">
          <w:rPr>
            <w:rStyle w:val="Hipervnculo"/>
            <w:noProof/>
            <w:lang w:val="en-US"/>
          </w:rPr>
          <w:t>https://doi.org/10.1111/j.1943-278X.1993.tb00378.x</w:t>
        </w:r>
      </w:hyperlink>
      <w:r w:rsidR="002B0E61">
        <w:rPr>
          <w:noProof/>
          <w:color w:val="000000"/>
          <w:lang w:val="en-US"/>
        </w:rPr>
        <w:t xml:space="preserve"> </w:t>
      </w:r>
    </w:p>
    <w:p w14:paraId="6EA1D68A" w14:textId="069E91B1" w:rsidR="002B0E61" w:rsidRPr="00184153" w:rsidRDefault="002B0E61"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Bilsen J. (2018). Suicide and Youth: Risk Factors. </w:t>
      </w:r>
      <w:r w:rsidRPr="00184153">
        <w:rPr>
          <w:i/>
          <w:iCs/>
          <w:noProof/>
          <w:color w:val="000000"/>
          <w:lang w:val="en-US"/>
        </w:rPr>
        <w:t>Frontiers in psychiatry</w:t>
      </w:r>
      <w:r w:rsidRPr="00184153">
        <w:rPr>
          <w:noProof/>
          <w:color w:val="000000"/>
          <w:lang w:val="en-US"/>
        </w:rPr>
        <w:t>, </w:t>
      </w:r>
      <w:r w:rsidRPr="00184153">
        <w:rPr>
          <w:i/>
          <w:iCs/>
          <w:noProof/>
          <w:color w:val="000000"/>
          <w:lang w:val="en-US"/>
        </w:rPr>
        <w:t>9</w:t>
      </w:r>
      <w:r w:rsidRPr="00184153">
        <w:rPr>
          <w:noProof/>
          <w:color w:val="000000"/>
          <w:lang w:val="en-US"/>
        </w:rPr>
        <w:t xml:space="preserve">, 540. </w:t>
      </w:r>
      <w:hyperlink r:id="rId35" w:history="1">
        <w:r w:rsidRPr="00184153">
          <w:rPr>
            <w:rStyle w:val="Hipervnculo"/>
            <w:noProof/>
            <w:lang w:val="en-US"/>
          </w:rPr>
          <w:t>https://doi.org/10.3389/fpsyt.2018.00540</w:t>
        </w:r>
      </w:hyperlink>
      <w:r w:rsidRPr="00184153">
        <w:rPr>
          <w:noProof/>
          <w:color w:val="000000"/>
          <w:lang w:val="en-US"/>
        </w:rPr>
        <w:t xml:space="preserve"> </w:t>
      </w:r>
    </w:p>
    <w:p w14:paraId="42C9C5BF" w14:textId="54049544" w:rsidR="002B0E61" w:rsidRDefault="002B0E61" w:rsidP="00184153">
      <w:pPr>
        <w:widowControl w:val="0"/>
        <w:autoSpaceDE w:val="0"/>
        <w:autoSpaceDN w:val="0"/>
        <w:adjustRightInd w:val="0"/>
        <w:spacing w:line="360" w:lineRule="auto"/>
        <w:ind w:left="480" w:hanging="480"/>
        <w:jc w:val="both"/>
        <w:rPr>
          <w:noProof/>
          <w:color w:val="000000"/>
          <w:lang w:val="es-CO"/>
        </w:rPr>
      </w:pPr>
      <w:r w:rsidRPr="00184153">
        <w:rPr>
          <w:noProof/>
          <w:color w:val="000000"/>
          <w:lang w:val="en-US"/>
        </w:rPr>
        <w:t>Bozzay, M. L., Liu, R. T., &amp; Kleiman, E. M. (2014). Gender and age differences in suicide mortality in the context of violent death: findings from a multi-state population-based surveillance system. </w:t>
      </w:r>
      <w:r w:rsidRPr="002B0E61">
        <w:rPr>
          <w:i/>
          <w:iCs/>
          <w:noProof/>
          <w:color w:val="000000"/>
          <w:lang w:val="es-CO"/>
        </w:rPr>
        <w:t>Comprehensive psychiatry</w:t>
      </w:r>
      <w:r w:rsidRPr="002B0E61">
        <w:rPr>
          <w:noProof/>
          <w:color w:val="000000"/>
          <w:lang w:val="es-CO"/>
        </w:rPr>
        <w:t>, </w:t>
      </w:r>
      <w:r w:rsidRPr="002B0E61">
        <w:rPr>
          <w:i/>
          <w:iCs/>
          <w:noProof/>
          <w:color w:val="000000"/>
          <w:lang w:val="es-CO"/>
        </w:rPr>
        <w:t>55</w:t>
      </w:r>
      <w:r w:rsidRPr="002B0E61">
        <w:rPr>
          <w:noProof/>
          <w:color w:val="000000"/>
          <w:lang w:val="es-CO"/>
        </w:rPr>
        <w:t xml:space="preserve">(5), 1077–1084. </w:t>
      </w:r>
      <w:hyperlink r:id="rId36" w:history="1">
        <w:r w:rsidRPr="002B0E61">
          <w:rPr>
            <w:rStyle w:val="Hipervnculo"/>
            <w:noProof/>
            <w:lang w:val="es-CO"/>
          </w:rPr>
          <w:t>https://doi.org/10.1016/j.comppsych.2014.03.017</w:t>
        </w:r>
      </w:hyperlink>
    </w:p>
    <w:p w14:paraId="56BC1520" w14:textId="325EE696" w:rsidR="005A29CE" w:rsidRPr="002B0E61" w:rsidRDefault="005A29CE" w:rsidP="00184153">
      <w:pPr>
        <w:widowControl w:val="0"/>
        <w:autoSpaceDE w:val="0"/>
        <w:autoSpaceDN w:val="0"/>
        <w:adjustRightInd w:val="0"/>
        <w:spacing w:line="360" w:lineRule="auto"/>
        <w:ind w:left="480" w:hanging="480"/>
        <w:jc w:val="both"/>
        <w:rPr>
          <w:noProof/>
          <w:color w:val="000000"/>
          <w:lang w:val="es-CO"/>
        </w:rPr>
      </w:pPr>
      <w:r w:rsidRPr="005A29CE">
        <w:rPr>
          <w:noProof/>
          <w:color w:val="000000"/>
        </w:rPr>
        <w:t xml:space="preserve">Caicedo, E., y López, J. (2009). </w:t>
      </w:r>
      <w:r w:rsidRPr="005A29CE">
        <w:rPr>
          <w:i/>
          <w:iCs/>
          <w:noProof/>
          <w:color w:val="000000"/>
        </w:rPr>
        <w:t>Una Aproximación Práctica a las Redes Neuronales Artificiales</w:t>
      </w:r>
      <w:r w:rsidRPr="005A29CE">
        <w:rPr>
          <w:noProof/>
          <w:color w:val="000000"/>
        </w:rPr>
        <w:t xml:space="preserve"> (Priera). Programa Editorial Univer</w:t>
      </w:r>
      <w:r w:rsidR="00B072E2">
        <w:rPr>
          <w:noProof/>
          <w:color w:val="000000"/>
        </w:rPr>
        <w:t>s</w:t>
      </w:r>
      <w:r w:rsidRPr="005A29CE">
        <w:rPr>
          <w:noProof/>
          <w:color w:val="000000"/>
        </w:rPr>
        <w:t>idad del Valle.</w:t>
      </w:r>
    </w:p>
    <w:p w14:paraId="08836184" w14:textId="77777777" w:rsidR="005A29CE" w:rsidRPr="00184153"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rPr>
        <w:t xml:space="preserve">Catena, A., Ramos, M., y Trujillo, H. (2003). </w:t>
      </w:r>
      <w:r w:rsidRPr="005A29CE">
        <w:rPr>
          <w:i/>
          <w:iCs/>
          <w:noProof/>
          <w:color w:val="000000"/>
        </w:rPr>
        <w:t>Análisis multivariado. Un manual para investigadores.</w:t>
      </w:r>
      <w:r w:rsidRPr="005A29CE">
        <w:rPr>
          <w:noProof/>
          <w:color w:val="000000"/>
        </w:rPr>
        <w:t xml:space="preserve"> </w:t>
      </w:r>
      <w:r w:rsidRPr="00184153">
        <w:rPr>
          <w:noProof/>
          <w:color w:val="000000"/>
          <w:lang w:val="en-US"/>
        </w:rPr>
        <w:t>Biblioteca Nueva, Ed.</w:t>
      </w:r>
    </w:p>
    <w:p w14:paraId="3CD9D723" w14:textId="46755E1D" w:rsidR="002B0E61" w:rsidRPr="00184153" w:rsidRDefault="002B0E61"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Chen, R., An, J., &amp; Ou, J. (2018). Suicidal behaviour among children and adolescents in China. </w:t>
      </w:r>
      <w:r w:rsidRPr="00184153">
        <w:rPr>
          <w:i/>
          <w:iCs/>
          <w:noProof/>
          <w:color w:val="000000"/>
          <w:lang w:val="en-US"/>
        </w:rPr>
        <w:t>The Lancet. Child &amp; adolescent health</w:t>
      </w:r>
      <w:r w:rsidRPr="00184153">
        <w:rPr>
          <w:noProof/>
          <w:color w:val="000000"/>
          <w:lang w:val="en-US"/>
        </w:rPr>
        <w:t>, </w:t>
      </w:r>
      <w:r w:rsidRPr="00184153">
        <w:rPr>
          <w:i/>
          <w:iCs/>
          <w:noProof/>
          <w:color w:val="000000"/>
          <w:lang w:val="en-US"/>
        </w:rPr>
        <w:t>2</w:t>
      </w:r>
      <w:r w:rsidRPr="00184153">
        <w:rPr>
          <w:noProof/>
          <w:color w:val="000000"/>
          <w:lang w:val="en-US"/>
        </w:rPr>
        <w:t xml:space="preserve">(8), 551–553. </w:t>
      </w:r>
      <w:hyperlink r:id="rId37" w:history="1">
        <w:r w:rsidRPr="00184153">
          <w:rPr>
            <w:rStyle w:val="Hipervnculo"/>
            <w:noProof/>
            <w:lang w:val="en-US"/>
          </w:rPr>
          <w:t>https://doi.org/10.1016/S2352-4642(18)30170-6</w:t>
        </w:r>
      </w:hyperlink>
      <w:r w:rsidRPr="00184153">
        <w:rPr>
          <w:noProof/>
          <w:color w:val="000000"/>
          <w:lang w:val="en-US"/>
        </w:rPr>
        <w:t xml:space="preserve"> </w:t>
      </w:r>
    </w:p>
    <w:p w14:paraId="5E76F4C8" w14:textId="77777777" w:rsidR="002B0E61" w:rsidRPr="00184153" w:rsidRDefault="002B0E61"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Chiu, Y. C., Tseng, C. Y., &amp; Lin, F. G. (2017). Gender differences and stage-specific influence of parent-adolescent conflicts on adolescent suicidal ideation. </w:t>
      </w:r>
      <w:r w:rsidRPr="00184153">
        <w:rPr>
          <w:i/>
          <w:iCs/>
          <w:noProof/>
          <w:color w:val="000000"/>
          <w:lang w:val="en-US"/>
        </w:rPr>
        <w:t>Psychiatry research</w:t>
      </w:r>
      <w:r w:rsidRPr="00184153">
        <w:rPr>
          <w:noProof/>
          <w:color w:val="000000"/>
          <w:lang w:val="en-US"/>
        </w:rPr>
        <w:t>, </w:t>
      </w:r>
      <w:r w:rsidRPr="00184153">
        <w:rPr>
          <w:i/>
          <w:iCs/>
          <w:noProof/>
          <w:color w:val="000000"/>
          <w:lang w:val="en-US"/>
        </w:rPr>
        <w:t>255</w:t>
      </w:r>
      <w:r w:rsidRPr="00184153">
        <w:rPr>
          <w:noProof/>
          <w:color w:val="000000"/>
          <w:lang w:val="en-US"/>
        </w:rPr>
        <w:t xml:space="preserve">, 424–431. </w:t>
      </w:r>
      <w:hyperlink r:id="rId38" w:history="1">
        <w:r w:rsidRPr="00184153">
          <w:rPr>
            <w:rStyle w:val="Hipervnculo"/>
            <w:noProof/>
            <w:lang w:val="en-US"/>
          </w:rPr>
          <w:t>https://doi.org/10.1016/j.psychres.2017.06.077</w:t>
        </w:r>
      </w:hyperlink>
      <w:r w:rsidRPr="00184153">
        <w:rPr>
          <w:noProof/>
          <w:color w:val="000000"/>
          <w:lang w:val="en-US"/>
        </w:rPr>
        <w:t xml:space="preserve"> </w:t>
      </w:r>
    </w:p>
    <w:p w14:paraId="5E7CAD1F" w14:textId="3089F973" w:rsidR="005A29CE" w:rsidRPr="00184153" w:rsidRDefault="005A29CE" w:rsidP="00184153">
      <w:pPr>
        <w:widowControl w:val="0"/>
        <w:autoSpaceDE w:val="0"/>
        <w:autoSpaceDN w:val="0"/>
        <w:adjustRightInd w:val="0"/>
        <w:spacing w:line="360" w:lineRule="auto"/>
        <w:ind w:left="480" w:hanging="480"/>
        <w:jc w:val="both"/>
        <w:rPr>
          <w:noProof/>
          <w:color w:val="000000"/>
          <w:lang w:val="en-US"/>
        </w:rPr>
      </w:pPr>
      <w:r w:rsidRPr="007D35DA">
        <w:rPr>
          <w:noProof/>
          <w:color w:val="000000"/>
          <w:lang w:val="en-US"/>
        </w:rPr>
        <w:t>Courtet, P. (2016).</w:t>
      </w:r>
      <w:r w:rsidR="007D35DA" w:rsidRPr="007D35DA">
        <w:rPr>
          <w:noProof/>
          <w:color w:val="000000"/>
          <w:lang w:val="en-US"/>
        </w:rPr>
        <w:t xml:space="preserve"> </w:t>
      </w:r>
      <w:r w:rsidRPr="007D35DA">
        <w:rPr>
          <w:i/>
          <w:iCs/>
          <w:noProof/>
          <w:color w:val="000000"/>
          <w:lang w:val="en-US"/>
        </w:rPr>
        <w:t>Understanding Suicide: From Diagnosis to Personalized Treatment</w:t>
      </w:r>
      <w:r w:rsidRPr="007D35DA">
        <w:rPr>
          <w:noProof/>
          <w:color w:val="000000"/>
          <w:lang w:val="en-US"/>
        </w:rPr>
        <w:t>.</w:t>
      </w:r>
      <w:r w:rsidR="007D35DA" w:rsidRPr="007D35DA">
        <w:rPr>
          <w:noProof/>
          <w:color w:val="000000"/>
          <w:lang w:val="en-US"/>
        </w:rPr>
        <w:t xml:space="preserve"> Springer. </w:t>
      </w:r>
      <w:hyperlink r:id="rId39" w:history="1">
        <w:r w:rsidR="007D35DA" w:rsidRPr="007D35DA">
          <w:rPr>
            <w:rStyle w:val="Hipervnculo"/>
            <w:noProof/>
            <w:lang w:val="en-US"/>
          </w:rPr>
          <w:t>https://doi.org/10.1007/978-3-319-26282-6</w:t>
        </w:r>
      </w:hyperlink>
      <w:r w:rsidR="007D35DA">
        <w:rPr>
          <w:noProof/>
          <w:color w:val="000000"/>
          <w:lang w:val="en-US"/>
        </w:rPr>
        <w:t xml:space="preserve"> </w:t>
      </w:r>
    </w:p>
    <w:p w14:paraId="1B0C34EB" w14:textId="1F474FDC" w:rsidR="007D35DA" w:rsidRDefault="007D35DA" w:rsidP="00184153">
      <w:pPr>
        <w:widowControl w:val="0"/>
        <w:autoSpaceDE w:val="0"/>
        <w:autoSpaceDN w:val="0"/>
        <w:adjustRightInd w:val="0"/>
        <w:spacing w:line="360" w:lineRule="auto"/>
        <w:ind w:left="480" w:hanging="480"/>
        <w:jc w:val="both"/>
        <w:rPr>
          <w:noProof/>
          <w:color w:val="000000"/>
          <w:lang w:val="es-CO"/>
        </w:rPr>
      </w:pPr>
      <w:r w:rsidRPr="00184153">
        <w:rPr>
          <w:noProof/>
          <w:color w:val="000000"/>
          <w:lang w:val="en-US"/>
        </w:rPr>
        <w:t>Crump, C., Sundquist, K., Sundquist, J., &amp; Winkleby, M. A. (2014). Sociodemographic, psychiatric and somatic risk factors for suicide: a Swedish national cohort study. </w:t>
      </w:r>
      <w:r w:rsidRPr="007D35DA">
        <w:rPr>
          <w:i/>
          <w:iCs/>
          <w:noProof/>
          <w:color w:val="000000"/>
          <w:lang w:val="es-CO"/>
        </w:rPr>
        <w:t>Psychological medicine</w:t>
      </w:r>
      <w:r w:rsidRPr="007D35DA">
        <w:rPr>
          <w:noProof/>
          <w:color w:val="000000"/>
          <w:lang w:val="es-CO"/>
        </w:rPr>
        <w:t>, </w:t>
      </w:r>
      <w:r w:rsidRPr="007D35DA">
        <w:rPr>
          <w:i/>
          <w:iCs/>
          <w:noProof/>
          <w:color w:val="000000"/>
          <w:lang w:val="es-CO"/>
        </w:rPr>
        <w:t>44</w:t>
      </w:r>
      <w:r w:rsidRPr="007D35DA">
        <w:rPr>
          <w:noProof/>
          <w:color w:val="000000"/>
          <w:lang w:val="es-CO"/>
        </w:rPr>
        <w:t xml:space="preserve">(2), 279–289. </w:t>
      </w:r>
      <w:hyperlink r:id="rId40" w:history="1">
        <w:r w:rsidRPr="007D35DA">
          <w:rPr>
            <w:rStyle w:val="Hipervnculo"/>
            <w:noProof/>
            <w:lang w:val="es-CO"/>
          </w:rPr>
          <w:t>https://doi.org/10.1017/S0033291713000810</w:t>
        </w:r>
      </w:hyperlink>
    </w:p>
    <w:p w14:paraId="5AB9EE65" w14:textId="175DF89A" w:rsidR="005A29CE" w:rsidRPr="007D35DA" w:rsidRDefault="005A29CE" w:rsidP="00184153">
      <w:pPr>
        <w:widowControl w:val="0"/>
        <w:autoSpaceDE w:val="0"/>
        <w:autoSpaceDN w:val="0"/>
        <w:adjustRightInd w:val="0"/>
        <w:spacing w:line="360" w:lineRule="auto"/>
        <w:ind w:left="480" w:hanging="480"/>
        <w:jc w:val="both"/>
        <w:rPr>
          <w:noProof/>
          <w:color w:val="000000"/>
          <w:lang w:val="es-CO"/>
        </w:rPr>
      </w:pPr>
      <w:r w:rsidRPr="005A29CE">
        <w:rPr>
          <w:noProof/>
          <w:color w:val="000000"/>
        </w:rPr>
        <w:t xml:space="preserve">De la Garza García, J., Morales Serrano, B. N., González Cavazos, B. A., y León Cázares, F. (2013). </w:t>
      </w:r>
      <w:r w:rsidRPr="007D35DA">
        <w:rPr>
          <w:i/>
          <w:iCs/>
          <w:noProof/>
          <w:color w:val="000000"/>
        </w:rPr>
        <w:t>Análisis estadístico multivariable: un enfoque teórico y práctico</w:t>
      </w:r>
      <w:r w:rsidRPr="005A29CE">
        <w:rPr>
          <w:noProof/>
          <w:color w:val="000000"/>
        </w:rPr>
        <w:t>.</w:t>
      </w:r>
      <w:r w:rsidR="007D35DA">
        <w:rPr>
          <w:noProof/>
          <w:color w:val="000000"/>
        </w:rPr>
        <w:t xml:space="preserve"> </w:t>
      </w:r>
      <w:r w:rsidRPr="007D35DA">
        <w:rPr>
          <w:noProof/>
          <w:color w:val="000000"/>
        </w:rPr>
        <w:t>McGraw Hill Education.</w:t>
      </w:r>
    </w:p>
    <w:p w14:paraId="6BA611FF" w14:textId="227E9103"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pt-BR"/>
        </w:rPr>
        <w:t xml:space="preserve">de Sá Sousa, C. M. S., Mascarenhas, M. D. M., Gomes, K. R. O., Rodrigues, M. T. P., Miranda, C. E. S., &amp; Frota, K. M. G. (2020). </w:t>
      </w:r>
      <w:r w:rsidRPr="00184153">
        <w:rPr>
          <w:noProof/>
          <w:color w:val="000000"/>
          <w:lang w:val="en-US"/>
        </w:rPr>
        <w:t>Suicidal ideation and associated factors among high school adolescents. </w:t>
      </w:r>
      <w:r w:rsidRPr="00184153">
        <w:rPr>
          <w:i/>
          <w:iCs/>
          <w:noProof/>
          <w:color w:val="000000"/>
          <w:lang w:val="en-US"/>
        </w:rPr>
        <w:t>Revista de saude publica</w:t>
      </w:r>
      <w:r w:rsidRPr="00184153">
        <w:rPr>
          <w:noProof/>
          <w:color w:val="000000"/>
          <w:lang w:val="en-US"/>
        </w:rPr>
        <w:t>, </w:t>
      </w:r>
      <w:r w:rsidRPr="00184153">
        <w:rPr>
          <w:i/>
          <w:iCs/>
          <w:noProof/>
          <w:color w:val="000000"/>
          <w:lang w:val="en-US"/>
        </w:rPr>
        <w:t>54</w:t>
      </w:r>
      <w:r w:rsidRPr="00184153">
        <w:rPr>
          <w:noProof/>
          <w:color w:val="000000"/>
          <w:lang w:val="en-US"/>
        </w:rPr>
        <w:t xml:space="preserve">, 33. </w:t>
      </w:r>
      <w:hyperlink r:id="rId41" w:history="1">
        <w:r w:rsidRPr="00184153">
          <w:rPr>
            <w:rStyle w:val="Hipervnculo"/>
            <w:noProof/>
            <w:lang w:val="en-US"/>
          </w:rPr>
          <w:t>https://doi.org/10.11606/s1518-8787.2020054001637</w:t>
        </w:r>
      </w:hyperlink>
      <w:r w:rsidRPr="00184153">
        <w:rPr>
          <w:noProof/>
          <w:color w:val="000000"/>
          <w:lang w:val="en-US"/>
        </w:rPr>
        <w:t xml:space="preserve"> </w:t>
      </w:r>
    </w:p>
    <w:p w14:paraId="67A52A17" w14:textId="2BFA92A1"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Goldney R. D. (2016). Suicide prevention: The role of the psychiatrist. </w:t>
      </w:r>
      <w:r w:rsidRPr="00184153">
        <w:rPr>
          <w:i/>
          <w:iCs/>
          <w:noProof/>
          <w:color w:val="000000"/>
          <w:lang w:val="en-US"/>
        </w:rPr>
        <w:t xml:space="preserve">The Australian </w:t>
      </w:r>
      <w:r w:rsidRPr="00184153">
        <w:rPr>
          <w:i/>
          <w:iCs/>
          <w:noProof/>
          <w:color w:val="000000"/>
          <w:lang w:val="en-US"/>
        </w:rPr>
        <w:lastRenderedPageBreak/>
        <w:t>and New Zealand journal of psychiatry</w:t>
      </w:r>
      <w:r w:rsidRPr="00184153">
        <w:rPr>
          <w:noProof/>
          <w:color w:val="000000"/>
          <w:lang w:val="en-US"/>
        </w:rPr>
        <w:t>, </w:t>
      </w:r>
      <w:r w:rsidRPr="00184153">
        <w:rPr>
          <w:i/>
          <w:iCs/>
          <w:noProof/>
          <w:color w:val="000000"/>
          <w:lang w:val="en-US"/>
        </w:rPr>
        <w:t>50</w:t>
      </w:r>
      <w:r w:rsidRPr="00184153">
        <w:rPr>
          <w:noProof/>
          <w:color w:val="000000"/>
          <w:lang w:val="en-US"/>
        </w:rPr>
        <w:t xml:space="preserve">(1), 95–96. </w:t>
      </w:r>
      <w:hyperlink r:id="rId42" w:history="1">
        <w:r w:rsidRPr="00184153">
          <w:rPr>
            <w:rStyle w:val="Hipervnculo"/>
            <w:noProof/>
            <w:lang w:val="en-US"/>
          </w:rPr>
          <w:t>https://doi.org/10.1177/0004867415595718</w:t>
        </w:r>
      </w:hyperlink>
    </w:p>
    <w:p w14:paraId="30ACB98D" w14:textId="7225EBF6"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7D35DA">
        <w:rPr>
          <w:noProof/>
          <w:color w:val="000000"/>
          <w:lang w:val="es-CO"/>
        </w:rPr>
        <w:t xml:space="preserve">Haukka, J., Suominen, K., Partonen, T., &amp; Lönnqvist, J. (2008). </w:t>
      </w:r>
      <w:r w:rsidRPr="00184153">
        <w:rPr>
          <w:noProof/>
          <w:color w:val="000000"/>
          <w:lang w:val="en-US"/>
        </w:rPr>
        <w:t>Determinants and outcomes of serious attempted suicide: a nationwide study in Finland, 1996-2003. </w:t>
      </w:r>
      <w:r w:rsidRPr="00184153">
        <w:rPr>
          <w:i/>
          <w:iCs/>
          <w:noProof/>
          <w:color w:val="000000"/>
          <w:lang w:val="en-US"/>
        </w:rPr>
        <w:t>American journal of epidemiology</w:t>
      </w:r>
      <w:r w:rsidRPr="00184153">
        <w:rPr>
          <w:noProof/>
          <w:color w:val="000000"/>
          <w:lang w:val="en-US"/>
        </w:rPr>
        <w:t>, </w:t>
      </w:r>
      <w:r w:rsidRPr="00184153">
        <w:rPr>
          <w:i/>
          <w:iCs/>
          <w:noProof/>
          <w:color w:val="000000"/>
          <w:lang w:val="en-US"/>
        </w:rPr>
        <w:t>167</w:t>
      </w:r>
      <w:r w:rsidRPr="00184153">
        <w:rPr>
          <w:noProof/>
          <w:color w:val="000000"/>
          <w:lang w:val="en-US"/>
        </w:rPr>
        <w:t xml:space="preserve">(10), 1155–1163. </w:t>
      </w:r>
      <w:hyperlink r:id="rId43" w:history="1">
        <w:r w:rsidRPr="00184153">
          <w:rPr>
            <w:rStyle w:val="Hipervnculo"/>
            <w:noProof/>
            <w:lang w:val="en-US"/>
          </w:rPr>
          <w:t>https://doi.org/10.1093/aje/kwn017</w:t>
        </w:r>
      </w:hyperlink>
    </w:p>
    <w:p w14:paraId="5EFA25BE" w14:textId="24298F00"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Hawton, K., Saunders, K. E., &amp; O'Connor, R. C. (2012). Self-harm and suicide in adolescents. </w:t>
      </w:r>
      <w:r w:rsidRPr="00184153">
        <w:rPr>
          <w:i/>
          <w:iCs/>
          <w:noProof/>
          <w:color w:val="000000"/>
          <w:lang w:val="en-US"/>
        </w:rPr>
        <w:t>Lancet (London, England)</w:t>
      </w:r>
      <w:r w:rsidRPr="00184153">
        <w:rPr>
          <w:noProof/>
          <w:color w:val="000000"/>
          <w:lang w:val="en-US"/>
        </w:rPr>
        <w:t>, </w:t>
      </w:r>
      <w:r w:rsidRPr="00184153">
        <w:rPr>
          <w:i/>
          <w:iCs/>
          <w:noProof/>
          <w:color w:val="000000"/>
          <w:lang w:val="en-US"/>
        </w:rPr>
        <w:t>379</w:t>
      </w:r>
      <w:r w:rsidRPr="00184153">
        <w:rPr>
          <w:noProof/>
          <w:color w:val="000000"/>
          <w:lang w:val="en-US"/>
        </w:rPr>
        <w:t xml:space="preserve">(9834), 2373–2382. </w:t>
      </w:r>
      <w:hyperlink r:id="rId44" w:history="1">
        <w:r w:rsidRPr="00184153">
          <w:rPr>
            <w:rStyle w:val="Hipervnculo"/>
            <w:noProof/>
            <w:lang w:val="en-US"/>
          </w:rPr>
          <w:t>https://doi.org/10.1016/S0140-6736(12)60322-5</w:t>
        </w:r>
      </w:hyperlink>
      <w:r w:rsidRPr="00184153">
        <w:rPr>
          <w:noProof/>
          <w:color w:val="000000"/>
          <w:lang w:val="en-US"/>
        </w:rPr>
        <w:t xml:space="preserve"> </w:t>
      </w:r>
    </w:p>
    <w:p w14:paraId="60D03F43" w14:textId="3964882C" w:rsidR="007D35DA" w:rsidRPr="007D35DA" w:rsidRDefault="007D35DA" w:rsidP="00184153">
      <w:pPr>
        <w:widowControl w:val="0"/>
        <w:autoSpaceDE w:val="0"/>
        <w:autoSpaceDN w:val="0"/>
        <w:adjustRightInd w:val="0"/>
        <w:spacing w:line="360" w:lineRule="auto"/>
        <w:ind w:left="480" w:hanging="480"/>
        <w:jc w:val="both"/>
        <w:rPr>
          <w:noProof/>
          <w:color w:val="000000"/>
          <w:lang w:val="es-CO"/>
        </w:rPr>
      </w:pPr>
      <w:r w:rsidRPr="00184153">
        <w:rPr>
          <w:noProof/>
          <w:color w:val="000000"/>
          <w:lang w:val="en-US"/>
        </w:rPr>
        <w:t>Hoertel, N., Franco, S., Wall, M. M., Oquendo, M. A., Kerridge, B. T., Limosin, F., &amp; Blanco, C. (2015). Mental disorders and risk of suicide attempt: a national prospective study. </w:t>
      </w:r>
      <w:r w:rsidRPr="007D35DA">
        <w:rPr>
          <w:i/>
          <w:iCs/>
          <w:noProof/>
          <w:color w:val="000000"/>
          <w:lang w:val="es-CO"/>
        </w:rPr>
        <w:t>Molecular psychiatry</w:t>
      </w:r>
      <w:r w:rsidRPr="007D35DA">
        <w:rPr>
          <w:noProof/>
          <w:color w:val="000000"/>
          <w:lang w:val="es-CO"/>
        </w:rPr>
        <w:t>, </w:t>
      </w:r>
      <w:r w:rsidRPr="007D35DA">
        <w:rPr>
          <w:i/>
          <w:iCs/>
          <w:noProof/>
          <w:color w:val="000000"/>
          <w:lang w:val="es-CO"/>
        </w:rPr>
        <w:t>20</w:t>
      </w:r>
      <w:r w:rsidRPr="007D35DA">
        <w:rPr>
          <w:noProof/>
          <w:color w:val="000000"/>
          <w:lang w:val="es-CO"/>
        </w:rPr>
        <w:t xml:space="preserve">(6), 718–726. </w:t>
      </w:r>
      <w:hyperlink r:id="rId45" w:history="1">
        <w:r w:rsidRPr="007D35DA">
          <w:rPr>
            <w:rStyle w:val="Hipervnculo"/>
            <w:noProof/>
            <w:lang w:val="es-CO"/>
          </w:rPr>
          <w:t>https://doi.org/10.1038/mp.2015.19</w:t>
        </w:r>
      </w:hyperlink>
      <w:r>
        <w:rPr>
          <w:noProof/>
          <w:color w:val="000000"/>
          <w:lang w:val="es-CO"/>
        </w:rPr>
        <w:t xml:space="preserve"> </w:t>
      </w:r>
    </w:p>
    <w:p w14:paraId="69DD95FD" w14:textId="51FBC5EC" w:rsidR="005A29CE" w:rsidRPr="00184153" w:rsidRDefault="005A29CE" w:rsidP="00184153">
      <w:pPr>
        <w:widowControl w:val="0"/>
        <w:autoSpaceDE w:val="0"/>
        <w:autoSpaceDN w:val="0"/>
        <w:adjustRightInd w:val="0"/>
        <w:spacing w:line="360" w:lineRule="auto"/>
        <w:ind w:left="480" w:hanging="480"/>
        <w:jc w:val="both"/>
        <w:rPr>
          <w:noProof/>
          <w:color w:val="000000"/>
        </w:rPr>
      </w:pPr>
      <w:r w:rsidRPr="007D35DA">
        <w:rPr>
          <w:noProof/>
          <w:color w:val="000000"/>
        </w:rPr>
        <w:t>Instituto Nacional de Medicina Legal y Ciencias Forenses</w:t>
      </w:r>
      <w:r w:rsidR="007D35DA" w:rsidRPr="007D35DA">
        <w:rPr>
          <w:noProof/>
          <w:color w:val="000000"/>
        </w:rPr>
        <w:t xml:space="preserve">. </w:t>
      </w:r>
      <w:r w:rsidRPr="00184153">
        <w:rPr>
          <w:noProof/>
          <w:color w:val="000000"/>
        </w:rPr>
        <w:t>(2019).</w:t>
      </w:r>
      <w:r w:rsidR="007D35DA" w:rsidRPr="00184153">
        <w:rPr>
          <w:noProof/>
          <w:color w:val="000000"/>
        </w:rPr>
        <w:t xml:space="preserve"> </w:t>
      </w:r>
      <w:r w:rsidRPr="00184153">
        <w:rPr>
          <w:i/>
          <w:iCs/>
          <w:noProof/>
          <w:color w:val="000000"/>
        </w:rPr>
        <w:t xml:space="preserve">FORENSIS </w:t>
      </w:r>
      <w:r w:rsidR="007D35DA" w:rsidRPr="00184153">
        <w:rPr>
          <w:i/>
          <w:iCs/>
          <w:noProof/>
          <w:color w:val="000000"/>
        </w:rPr>
        <w:t xml:space="preserve">2018 datos para la vida. </w:t>
      </w:r>
      <w:r w:rsidR="007D35DA" w:rsidRPr="007D35DA">
        <w:rPr>
          <w:noProof/>
          <w:color w:val="000000"/>
        </w:rPr>
        <w:t>Grupo Centro de Referencia Nacional sobre Violencia.</w:t>
      </w:r>
      <w:r w:rsidR="007D35DA">
        <w:rPr>
          <w:noProof/>
          <w:color w:val="000000"/>
        </w:rPr>
        <w:t xml:space="preserve"> </w:t>
      </w:r>
      <w:hyperlink r:id="rId46" w:history="1">
        <w:r w:rsidR="007D35DA" w:rsidRPr="00740E76">
          <w:rPr>
            <w:rStyle w:val="Hipervnculo"/>
            <w:noProof/>
          </w:rPr>
          <w:t>https://www.medicinalegal.gov.co/documents/20143/386932/Forensis+2018.pdf</w:t>
        </w:r>
      </w:hyperlink>
      <w:r w:rsidR="007D35DA">
        <w:rPr>
          <w:noProof/>
          <w:color w:val="000000"/>
        </w:rPr>
        <w:t xml:space="preserve"> </w:t>
      </w:r>
    </w:p>
    <w:p w14:paraId="58279AC5" w14:textId="5C30131F"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7D35DA">
        <w:rPr>
          <w:noProof/>
          <w:color w:val="000000"/>
          <w:lang w:val="es-CO"/>
        </w:rPr>
        <w:t xml:space="preserve">Kamath, P., Reddy, Y. C., &amp; Kandavel, T. (2007). </w:t>
      </w:r>
      <w:r w:rsidRPr="00184153">
        <w:rPr>
          <w:noProof/>
          <w:color w:val="000000"/>
          <w:lang w:val="en-US"/>
        </w:rPr>
        <w:t>Suicidal behavior in obsessive-compulsive disorder. </w:t>
      </w:r>
      <w:r w:rsidRPr="00184153">
        <w:rPr>
          <w:i/>
          <w:iCs/>
          <w:noProof/>
          <w:color w:val="000000"/>
          <w:lang w:val="en-US"/>
        </w:rPr>
        <w:t>The Journal of clinical psychiatry</w:t>
      </w:r>
      <w:r w:rsidRPr="00184153">
        <w:rPr>
          <w:noProof/>
          <w:color w:val="000000"/>
          <w:lang w:val="en-US"/>
        </w:rPr>
        <w:t>, </w:t>
      </w:r>
      <w:r w:rsidRPr="00184153">
        <w:rPr>
          <w:i/>
          <w:iCs/>
          <w:noProof/>
          <w:color w:val="000000"/>
          <w:lang w:val="en-US"/>
        </w:rPr>
        <w:t>68</w:t>
      </w:r>
      <w:r w:rsidRPr="00184153">
        <w:rPr>
          <w:noProof/>
          <w:color w:val="000000"/>
          <w:lang w:val="en-US"/>
        </w:rPr>
        <w:t xml:space="preserve">(11), 1741–1750. </w:t>
      </w:r>
      <w:hyperlink r:id="rId47" w:history="1">
        <w:r w:rsidRPr="00184153">
          <w:rPr>
            <w:rStyle w:val="Hipervnculo"/>
            <w:noProof/>
            <w:lang w:val="en-US"/>
          </w:rPr>
          <w:t>https://doi.org/10.4088/jcp.v68n1114</w:t>
        </w:r>
      </w:hyperlink>
      <w:r w:rsidRPr="00184153">
        <w:rPr>
          <w:noProof/>
          <w:color w:val="000000"/>
          <w:lang w:val="en-US"/>
        </w:rPr>
        <w:t xml:space="preserve"> </w:t>
      </w:r>
    </w:p>
    <w:p w14:paraId="287B6589" w14:textId="6B026C9F"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Kuo, W. H., Gallo, J. J., &amp; Eaton, W. W. (2004). Hopelessness, depression, substance disorder, and suicidality--a 13-year community-based study. </w:t>
      </w:r>
      <w:r w:rsidRPr="00184153">
        <w:rPr>
          <w:i/>
          <w:iCs/>
          <w:noProof/>
          <w:color w:val="000000"/>
          <w:lang w:val="en-US"/>
        </w:rPr>
        <w:t>Social psychiatry and psychiatric epidemiology</w:t>
      </w:r>
      <w:r w:rsidRPr="00184153">
        <w:rPr>
          <w:noProof/>
          <w:color w:val="000000"/>
          <w:lang w:val="en-US"/>
        </w:rPr>
        <w:t>, </w:t>
      </w:r>
      <w:r w:rsidRPr="00184153">
        <w:rPr>
          <w:i/>
          <w:iCs/>
          <w:noProof/>
          <w:color w:val="000000"/>
          <w:lang w:val="en-US"/>
        </w:rPr>
        <w:t>39</w:t>
      </w:r>
      <w:r w:rsidRPr="00184153">
        <w:rPr>
          <w:noProof/>
          <w:color w:val="000000"/>
          <w:lang w:val="en-US"/>
        </w:rPr>
        <w:t xml:space="preserve">(6), 497–501. </w:t>
      </w:r>
      <w:hyperlink r:id="rId48" w:history="1">
        <w:r w:rsidRPr="00184153">
          <w:rPr>
            <w:rStyle w:val="Hipervnculo"/>
            <w:noProof/>
            <w:lang w:val="en-US"/>
          </w:rPr>
          <w:t>https://doi.org/10.1007/s00127-004-0775-z</w:t>
        </w:r>
      </w:hyperlink>
      <w:r w:rsidRPr="00184153">
        <w:rPr>
          <w:noProof/>
          <w:color w:val="000000"/>
          <w:lang w:val="en-US"/>
        </w:rPr>
        <w:t xml:space="preserve"> </w:t>
      </w:r>
    </w:p>
    <w:p w14:paraId="5E0DF7DA" w14:textId="74CA5E2D"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lang w:val="en-US"/>
        </w:rPr>
        <w:t xml:space="preserve">Kyron, M. J., Carrington-Jones, P., Page, A. C., Bartlett, J., y Lawrence, D. (2020). Factors differentiating adolescents who consider suicide and those who attempt: Results from a National Survey of Australian Adolescents. </w:t>
      </w:r>
      <w:r w:rsidRPr="007D35DA">
        <w:rPr>
          <w:i/>
          <w:iCs/>
          <w:noProof/>
          <w:color w:val="000000"/>
          <w:lang w:val="en-US"/>
        </w:rPr>
        <w:t>Australian Journal of Psychology</w:t>
      </w:r>
      <w:r w:rsidR="007D35DA" w:rsidRPr="007D35DA">
        <w:rPr>
          <w:i/>
          <w:iCs/>
          <w:noProof/>
          <w:color w:val="000000"/>
          <w:lang w:val="en-US"/>
        </w:rPr>
        <w:t>, 72</w:t>
      </w:r>
      <w:r w:rsidR="007D35DA" w:rsidRPr="007D35DA">
        <w:rPr>
          <w:noProof/>
          <w:color w:val="000000"/>
          <w:lang w:val="en-US"/>
        </w:rPr>
        <w:t>(2), 145-155</w:t>
      </w:r>
      <w:r w:rsidRPr="007D35DA">
        <w:rPr>
          <w:noProof/>
          <w:color w:val="000000"/>
          <w:lang w:val="en-US"/>
        </w:rPr>
        <w:t xml:space="preserve">. </w:t>
      </w:r>
      <w:hyperlink r:id="rId49" w:history="1">
        <w:r w:rsidR="007D35DA" w:rsidRPr="007D35DA">
          <w:rPr>
            <w:rStyle w:val="Hipervnculo"/>
            <w:noProof/>
            <w:lang w:val="en-US"/>
          </w:rPr>
          <w:t>https://doi.org/10.1111/ajpy.12267</w:t>
        </w:r>
      </w:hyperlink>
      <w:r w:rsidR="007D35DA">
        <w:rPr>
          <w:noProof/>
          <w:color w:val="000000"/>
          <w:lang w:val="en-US"/>
        </w:rPr>
        <w:t xml:space="preserve"> </w:t>
      </w:r>
    </w:p>
    <w:p w14:paraId="159D89F1" w14:textId="1355783B" w:rsidR="007D35DA" w:rsidRPr="007D35DA" w:rsidRDefault="007D35DA" w:rsidP="00184153">
      <w:pPr>
        <w:widowControl w:val="0"/>
        <w:autoSpaceDE w:val="0"/>
        <w:autoSpaceDN w:val="0"/>
        <w:adjustRightInd w:val="0"/>
        <w:spacing w:line="360" w:lineRule="auto"/>
        <w:ind w:left="480" w:hanging="480"/>
        <w:jc w:val="both"/>
        <w:rPr>
          <w:noProof/>
          <w:color w:val="000000"/>
          <w:lang w:val="es-CO"/>
        </w:rPr>
      </w:pPr>
      <w:r w:rsidRPr="00184153">
        <w:rPr>
          <w:noProof/>
          <w:color w:val="000000"/>
          <w:lang w:val="en-US"/>
        </w:rPr>
        <w:t>Lachal, J., Orri, M., Sibeoni, J., Moro, M. R., &amp; Revah-Levy, A. (2015). Metasynthesis of youth suicidal behaviours: perspectives of youth, parents, and health care professionals. </w:t>
      </w:r>
      <w:r w:rsidRPr="007D35DA">
        <w:rPr>
          <w:i/>
          <w:iCs/>
          <w:noProof/>
          <w:color w:val="000000"/>
          <w:lang w:val="es-CO"/>
        </w:rPr>
        <w:t>PloS</w:t>
      </w:r>
      <w:r>
        <w:rPr>
          <w:i/>
          <w:iCs/>
          <w:noProof/>
          <w:color w:val="000000"/>
          <w:lang w:val="es-CO"/>
        </w:rPr>
        <w:t xml:space="preserve"> </w:t>
      </w:r>
      <w:r w:rsidRPr="007D35DA">
        <w:rPr>
          <w:i/>
          <w:iCs/>
          <w:noProof/>
          <w:color w:val="000000"/>
          <w:lang w:val="es-CO"/>
        </w:rPr>
        <w:t>one</w:t>
      </w:r>
      <w:r w:rsidRPr="007D35DA">
        <w:rPr>
          <w:noProof/>
          <w:color w:val="000000"/>
          <w:lang w:val="es-CO"/>
        </w:rPr>
        <w:t>, </w:t>
      </w:r>
      <w:r w:rsidRPr="007D35DA">
        <w:rPr>
          <w:i/>
          <w:iCs/>
          <w:noProof/>
          <w:color w:val="000000"/>
          <w:lang w:val="es-CO"/>
        </w:rPr>
        <w:t>10</w:t>
      </w:r>
      <w:r w:rsidRPr="007D35DA">
        <w:rPr>
          <w:noProof/>
          <w:color w:val="000000"/>
          <w:lang w:val="es-CO"/>
        </w:rPr>
        <w:t>(5),</w:t>
      </w:r>
      <w:r>
        <w:rPr>
          <w:noProof/>
          <w:color w:val="000000"/>
          <w:lang w:val="es-CO"/>
        </w:rPr>
        <w:t xml:space="preserve"> </w:t>
      </w:r>
      <w:r w:rsidRPr="007D35DA">
        <w:rPr>
          <w:noProof/>
          <w:color w:val="000000"/>
          <w:lang w:val="es-CO"/>
        </w:rPr>
        <w:t xml:space="preserve">e0127359. </w:t>
      </w:r>
      <w:hyperlink r:id="rId50" w:history="1">
        <w:r w:rsidRPr="007D35DA">
          <w:rPr>
            <w:rStyle w:val="Hipervnculo"/>
            <w:noProof/>
            <w:lang w:val="es-CO"/>
          </w:rPr>
          <w:t>https://doi.org/10.1371/journal.pone.0127359</w:t>
        </w:r>
      </w:hyperlink>
      <w:r>
        <w:rPr>
          <w:noProof/>
          <w:color w:val="000000"/>
          <w:lang w:val="es-CO"/>
        </w:rPr>
        <w:t xml:space="preserve"> </w:t>
      </w:r>
    </w:p>
    <w:p w14:paraId="4A80C27C" w14:textId="6CE992C2" w:rsidR="007D35DA" w:rsidRPr="00184153" w:rsidRDefault="007D35DA" w:rsidP="00184153">
      <w:pPr>
        <w:widowControl w:val="0"/>
        <w:autoSpaceDE w:val="0"/>
        <w:autoSpaceDN w:val="0"/>
        <w:adjustRightInd w:val="0"/>
        <w:spacing w:line="360" w:lineRule="auto"/>
        <w:ind w:left="480" w:hanging="480"/>
        <w:jc w:val="both"/>
        <w:rPr>
          <w:noProof/>
          <w:color w:val="000000"/>
          <w:lang w:val="en-US"/>
        </w:rPr>
      </w:pPr>
      <w:r w:rsidRPr="007D35DA">
        <w:rPr>
          <w:noProof/>
          <w:color w:val="000000"/>
          <w:lang w:val="es-CO"/>
        </w:rPr>
        <w:t xml:space="preserve">Lee, Y. J., Lee, S. I., &amp; Han, K. (2019). </w:t>
      </w:r>
      <w:r w:rsidRPr="00184153">
        <w:rPr>
          <w:noProof/>
          <w:color w:val="000000"/>
          <w:lang w:val="en-US"/>
        </w:rPr>
        <w:t>Influence of parental stress, depressed mood, and suicidal ideation on adolescents' suicidal ideation : The 2008-2013 Korean National Health and Nutrition Examination Survey. </w:t>
      </w:r>
      <w:r w:rsidRPr="00184153">
        <w:rPr>
          <w:i/>
          <w:iCs/>
          <w:noProof/>
          <w:color w:val="000000"/>
          <w:lang w:val="en-US"/>
        </w:rPr>
        <w:t>Journal of affective disorders</w:t>
      </w:r>
      <w:r w:rsidRPr="00184153">
        <w:rPr>
          <w:noProof/>
          <w:color w:val="000000"/>
          <w:lang w:val="en-US"/>
        </w:rPr>
        <w:t>, </w:t>
      </w:r>
      <w:r w:rsidRPr="00184153">
        <w:rPr>
          <w:i/>
          <w:iCs/>
          <w:noProof/>
          <w:color w:val="000000"/>
          <w:lang w:val="en-US"/>
        </w:rPr>
        <w:t>246</w:t>
      </w:r>
      <w:r w:rsidRPr="00184153">
        <w:rPr>
          <w:noProof/>
          <w:color w:val="000000"/>
          <w:lang w:val="en-US"/>
        </w:rPr>
        <w:t>, 571–</w:t>
      </w:r>
      <w:r w:rsidRPr="00184153">
        <w:rPr>
          <w:noProof/>
          <w:color w:val="000000"/>
          <w:lang w:val="en-US"/>
        </w:rPr>
        <w:lastRenderedPageBreak/>
        <w:t xml:space="preserve">577. </w:t>
      </w:r>
      <w:hyperlink r:id="rId51" w:history="1">
        <w:r w:rsidRPr="00184153">
          <w:rPr>
            <w:rStyle w:val="Hipervnculo"/>
            <w:noProof/>
            <w:lang w:val="en-US"/>
          </w:rPr>
          <w:t>https://doi.org/10.1016/j.jad.2018.12.097</w:t>
        </w:r>
      </w:hyperlink>
      <w:r w:rsidRPr="00184153">
        <w:rPr>
          <w:noProof/>
          <w:color w:val="000000"/>
          <w:lang w:val="en-US"/>
        </w:rPr>
        <w:t xml:space="preserve"> </w:t>
      </w:r>
    </w:p>
    <w:p w14:paraId="3DC61CFE" w14:textId="724CEA6E"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5A29CE">
        <w:rPr>
          <w:noProof/>
          <w:color w:val="000000"/>
          <w:lang w:val="en-US"/>
        </w:rPr>
        <w:t xml:space="preserve">Leenaars, A. A., Dieserud, G., Wenckstern, S., Dyregrov, K., Lester, D., y Lyke, J. (2018). A Multidimensional Theory of Suicide: A Psychological Autopsy Corroborative Study. </w:t>
      </w:r>
      <w:r w:rsidRPr="005A29CE">
        <w:rPr>
          <w:i/>
          <w:noProof/>
          <w:color w:val="000000"/>
          <w:lang w:val="en-US"/>
        </w:rPr>
        <w:t>Crisis, 39</w:t>
      </w:r>
      <w:r w:rsidRPr="005A29CE">
        <w:rPr>
          <w:noProof/>
          <w:color w:val="000000"/>
          <w:lang w:val="en-US"/>
        </w:rPr>
        <w:t xml:space="preserve">, 416-427. </w:t>
      </w:r>
      <w:hyperlink r:id="rId52" w:history="1">
        <w:r w:rsidRPr="005A29CE">
          <w:rPr>
            <w:rStyle w:val="Hipervnculo"/>
            <w:noProof/>
            <w:color w:val="000000"/>
            <w:lang w:val="en-US"/>
          </w:rPr>
          <w:t>https://doi.org/10.1027/0227-5910/a000508</w:t>
        </w:r>
      </w:hyperlink>
      <w:r w:rsidRPr="005A29CE">
        <w:rPr>
          <w:noProof/>
          <w:color w:val="000000"/>
          <w:lang w:val="en-US"/>
        </w:rPr>
        <w:t xml:space="preserve"> </w:t>
      </w:r>
    </w:p>
    <w:p w14:paraId="5D198D15" w14:textId="0111CDDD" w:rsidR="00A84B48" w:rsidRPr="00184153" w:rsidRDefault="00A84B48"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Mayes, T. L., Killian, M., Rush, A. J., Emslie, G. J., Carmody, T., Kennard, B. D., Jha, M. K., King, J., Hughes, J. L., &amp; Trivedi, M. H. (2020). Predicting future suicidal events in adolescents using the Concise Health Risk Tracking Self-Report (CHRT-SR). </w:t>
      </w:r>
      <w:r w:rsidRPr="00184153">
        <w:rPr>
          <w:i/>
          <w:iCs/>
          <w:noProof/>
          <w:color w:val="000000"/>
          <w:lang w:val="en-US"/>
        </w:rPr>
        <w:t>Journal of psychiatric research</w:t>
      </w:r>
      <w:r w:rsidRPr="00184153">
        <w:rPr>
          <w:noProof/>
          <w:color w:val="000000"/>
          <w:lang w:val="en-US"/>
        </w:rPr>
        <w:t>, </w:t>
      </w:r>
      <w:r w:rsidRPr="00184153">
        <w:rPr>
          <w:i/>
          <w:iCs/>
          <w:noProof/>
          <w:color w:val="000000"/>
          <w:lang w:val="en-US"/>
        </w:rPr>
        <w:t>126</w:t>
      </w:r>
      <w:r w:rsidRPr="00184153">
        <w:rPr>
          <w:noProof/>
          <w:color w:val="000000"/>
          <w:lang w:val="en-US"/>
        </w:rPr>
        <w:t xml:space="preserve">, 19–25. </w:t>
      </w:r>
      <w:hyperlink r:id="rId53" w:history="1">
        <w:r w:rsidRPr="00184153">
          <w:rPr>
            <w:rStyle w:val="Hipervnculo"/>
            <w:noProof/>
            <w:lang w:val="en-US"/>
          </w:rPr>
          <w:t>https://doi.org/10.1016/j.jpsychires.2020.04.008</w:t>
        </w:r>
      </w:hyperlink>
      <w:r w:rsidRPr="00184153">
        <w:rPr>
          <w:noProof/>
          <w:color w:val="000000"/>
          <w:lang w:val="en-US"/>
        </w:rPr>
        <w:t xml:space="preserve"> </w:t>
      </w:r>
    </w:p>
    <w:p w14:paraId="3022C3A0" w14:textId="3ADE010B" w:rsidR="005A29CE" w:rsidRPr="005A29CE" w:rsidRDefault="00A84B48" w:rsidP="00184153">
      <w:pPr>
        <w:widowControl w:val="0"/>
        <w:autoSpaceDE w:val="0"/>
        <w:autoSpaceDN w:val="0"/>
        <w:adjustRightInd w:val="0"/>
        <w:spacing w:line="360" w:lineRule="auto"/>
        <w:ind w:left="480" w:hanging="480"/>
        <w:jc w:val="both"/>
        <w:rPr>
          <w:noProof/>
          <w:color w:val="000000"/>
        </w:rPr>
      </w:pPr>
      <w:r>
        <w:rPr>
          <w:noProof/>
          <w:color w:val="000000"/>
          <w:lang w:val="en-US"/>
        </w:rPr>
        <w:t xml:space="preserve"> </w:t>
      </w:r>
      <w:r w:rsidR="005A29CE" w:rsidRPr="005A29CE">
        <w:rPr>
          <w:noProof/>
          <w:color w:val="000000"/>
          <w:lang w:val="en-US"/>
        </w:rPr>
        <w:t xml:space="preserve">McMillan, G. (2013). </w:t>
      </w:r>
      <w:r w:rsidR="005A29CE" w:rsidRPr="005A29CE">
        <w:rPr>
          <w:i/>
          <w:iCs/>
          <w:noProof/>
          <w:color w:val="000000"/>
          <w:lang w:val="en-US"/>
        </w:rPr>
        <w:t>Process/Industrial Instruments and Controls Handbook</w:t>
      </w:r>
      <w:r w:rsidR="005A29CE" w:rsidRPr="005A29CE">
        <w:rPr>
          <w:noProof/>
          <w:color w:val="000000"/>
          <w:lang w:val="en-US"/>
        </w:rPr>
        <w:t xml:space="preserve">. </w:t>
      </w:r>
      <w:r w:rsidR="005A29CE" w:rsidRPr="005A29CE">
        <w:rPr>
          <w:noProof/>
          <w:color w:val="000000"/>
        </w:rPr>
        <w:t>Mc.Graw Hill.</w:t>
      </w:r>
    </w:p>
    <w:p w14:paraId="40B7A1F9" w14:textId="16F0591D" w:rsidR="005A29CE" w:rsidRPr="005A29CE" w:rsidRDefault="00A84B48" w:rsidP="00184153">
      <w:pPr>
        <w:widowControl w:val="0"/>
        <w:autoSpaceDE w:val="0"/>
        <w:autoSpaceDN w:val="0"/>
        <w:adjustRightInd w:val="0"/>
        <w:spacing w:line="360" w:lineRule="auto"/>
        <w:ind w:left="480" w:hanging="480"/>
        <w:jc w:val="both"/>
        <w:rPr>
          <w:noProof/>
          <w:color w:val="000000"/>
        </w:rPr>
      </w:pPr>
      <w:r w:rsidRPr="00A84B48">
        <w:rPr>
          <w:noProof/>
          <w:color w:val="000000"/>
        </w:rPr>
        <w:t>Ministerio de Salud y Protección Social</w:t>
      </w:r>
      <w:r>
        <w:rPr>
          <w:noProof/>
          <w:color w:val="000000"/>
        </w:rPr>
        <w:t xml:space="preserve">. </w:t>
      </w:r>
      <w:r w:rsidR="005A29CE" w:rsidRPr="005A29CE">
        <w:rPr>
          <w:noProof/>
          <w:color w:val="000000"/>
        </w:rPr>
        <w:t xml:space="preserve">(1993). </w:t>
      </w:r>
      <w:r w:rsidR="005A29CE" w:rsidRPr="00A84B48">
        <w:rPr>
          <w:i/>
          <w:iCs/>
          <w:noProof/>
          <w:color w:val="000000"/>
        </w:rPr>
        <w:t>Resolución 8430 de 1993.</w:t>
      </w:r>
      <w:r>
        <w:rPr>
          <w:i/>
          <w:iCs/>
          <w:noProof/>
          <w:color w:val="000000"/>
        </w:rPr>
        <w:t xml:space="preserve"> </w:t>
      </w:r>
      <w:r w:rsidR="005A29CE" w:rsidRPr="00A84B48">
        <w:rPr>
          <w:noProof/>
          <w:color w:val="000000"/>
        </w:rPr>
        <w:t>República de Colombia.</w:t>
      </w:r>
      <w:r>
        <w:rPr>
          <w:noProof/>
          <w:color w:val="000000"/>
        </w:rPr>
        <w:t xml:space="preserve"> </w:t>
      </w:r>
      <w:hyperlink r:id="rId54" w:history="1">
        <w:r w:rsidRPr="00740E76">
          <w:rPr>
            <w:rStyle w:val="Hipervnculo"/>
            <w:noProof/>
          </w:rPr>
          <w:t>https://www.minsalud.gov.co/sites/rid/lists/bibliotecadigital/ride/de/dij/resolucion-8430-de-1993.pdf</w:t>
        </w:r>
      </w:hyperlink>
      <w:r>
        <w:rPr>
          <w:noProof/>
          <w:color w:val="000000"/>
        </w:rPr>
        <w:t xml:space="preserve"> </w:t>
      </w:r>
      <w:r w:rsidRPr="00A84B48">
        <w:rPr>
          <w:noProof/>
          <w:color w:val="000000"/>
        </w:rPr>
        <w:t xml:space="preserve"> </w:t>
      </w:r>
    </w:p>
    <w:p w14:paraId="5FCDA6EB" w14:textId="77BB0316" w:rsidR="005A29CE" w:rsidRPr="005A29CE" w:rsidRDefault="00A84B48" w:rsidP="00184153">
      <w:pPr>
        <w:widowControl w:val="0"/>
        <w:autoSpaceDE w:val="0"/>
        <w:autoSpaceDN w:val="0"/>
        <w:adjustRightInd w:val="0"/>
        <w:spacing w:line="360" w:lineRule="auto"/>
        <w:ind w:left="480" w:hanging="480"/>
        <w:jc w:val="both"/>
        <w:rPr>
          <w:noProof/>
          <w:color w:val="000000"/>
        </w:rPr>
      </w:pPr>
      <w:r w:rsidRPr="00A84B48">
        <w:rPr>
          <w:noProof/>
          <w:color w:val="000000"/>
        </w:rPr>
        <w:t>Ministerio de Salud y Protección Social</w:t>
      </w:r>
      <w:r>
        <w:rPr>
          <w:noProof/>
          <w:color w:val="000000"/>
        </w:rPr>
        <w:t xml:space="preserve">. (2018). </w:t>
      </w:r>
      <w:r w:rsidR="005A29CE" w:rsidRPr="00A84B48">
        <w:rPr>
          <w:i/>
          <w:iCs/>
          <w:noProof/>
          <w:color w:val="000000"/>
        </w:rPr>
        <w:t>Resolución 4886 de 2018</w:t>
      </w:r>
      <w:r w:rsidRPr="00A84B48">
        <w:rPr>
          <w:i/>
          <w:iCs/>
          <w:noProof/>
          <w:color w:val="000000"/>
        </w:rPr>
        <w:t xml:space="preserve">. </w:t>
      </w:r>
      <w:r w:rsidR="005A29CE" w:rsidRPr="00A84B48">
        <w:rPr>
          <w:i/>
          <w:iCs/>
          <w:noProof/>
          <w:color w:val="000000"/>
        </w:rPr>
        <w:t>Política Nacional de Salud Mental</w:t>
      </w:r>
      <w:r w:rsidR="005A29CE" w:rsidRPr="00A84B48">
        <w:rPr>
          <w:noProof/>
          <w:color w:val="000000"/>
        </w:rPr>
        <w:t>.</w:t>
      </w:r>
      <w:r>
        <w:rPr>
          <w:noProof/>
          <w:color w:val="000000"/>
        </w:rPr>
        <w:t xml:space="preserve"> </w:t>
      </w:r>
      <w:r w:rsidRPr="00A84B48">
        <w:rPr>
          <w:noProof/>
          <w:color w:val="000000"/>
        </w:rPr>
        <w:t>República de Colombia.</w:t>
      </w:r>
      <w:r>
        <w:rPr>
          <w:noProof/>
          <w:color w:val="000000"/>
        </w:rPr>
        <w:t xml:space="preserve">  </w:t>
      </w:r>
      <w:hyperlink r:id="rId55" w:history="1">
        <w:r w:rsidRPr="00740E76">
          <w:rPr>
            <w:rStyle w:val="Hipervnculo"/>
            <w:noProof/>
          </w:rPr>
          <w:t>https://www.alcaldiabogota.gov.co/sisjur/normas/Norma1.jsp?i=93348</w:t>
        </w:r>
      </w:hyperlink>
      <w:r>
        <w:rPr>
          <w:noProof/>
          <w:color w:val="000000"/>
        </w:rPr>
        <w:t xml:space="preserve"> </w:t>
      </w:r>
    </w:p>
    <w:p w14:paraId="6F8980ED" w14:textId="429C06A4" w:rsidR="005A29CE" w:rsidRPr="005A29CE" w:rsidRDefault="005A29CE" w:rsidP="00184153">
      <w:pPr>
        <w:widowControl w:val="0"/>
        <w:autoSpaceDE w:val="0"/>
        <w:autoSpaceDN w:val="0"/>
        <w:adjustRightInd w:val="0"/>
        <w:spacing w:line="360" w:lineRule="auto"/>
        <w:ind w:left="480" w:hanging="480"/>
        <w:jc w:val="both"/>
        <w:rPr>
          <w:noProof/>
          <w:color w:val="000000"/>
          <w:lang w:val="en-GB"/>
        </w:rPr>
      </w:pPr>
      <w:bookmarkStart w:id="3" w:name="_Hlk66190700"/>
      <w:r w:rsidRPr="005A29CE">
        <w:rPr>
          <w:noProof/>
          <w:color w:val="000000"/>
        </w:rPr>
        <w:t>Navarro-Obeid, J., De la hoz-Granadillo, E., y Vergara-Álvarez, M. (2021).</w:t>
      </w:r>
      <w:bookmarkEnd w:id="3"/>
      <w:r w:rsidRPr="005A29CE">
        <w:rPr>
          <w:noProof/>
          <w:color w:val="000000"/>
        </w:rPr>
        <w:t xml:space="preserve"> </w:t>
      </w:r>
      <w:r w:rsidRPr="005A29CE">
        <w:rPr>
          <w:noProof/>
          <w:color w:val="000000"/>
          <w:lang w:val="en-GB"/>
        </w:rPr>
        <w:t>Assessment and classification of positive mental health profiles in confinement by COVID-</w:t>
      </w:r>
      <w:r w:rsidRPr="00A84B48">
        <w:rPr>
          <w:noProof/>
          <w:color w:val="000000"/>
          <w:lang w:val="en-GB"/>
        </w:rPr>
        <w:t>19. </w:t>
      </w:r>
      <w:r w:rsidRPr="00A84B48">
        <w:rPr>
          <w:i/>
          <w:iCs/>
          <w:noProof/>
          <w:color w:val="000000"/>
          <w:lang w:val="en-GB"/>
        </w:rPr>
        <w:t>Revista Habanera de Ciencias Médicas</w:t>
      </w:r>
      <w:r w:rsidRPr="00A84B48">
        <w:rPr>
          <w:noProof/>
          <w:color w:val="000000"/>
          <w:lang w:val="en-GB"/>
        </w:rPr>
        <w:t>, </w:t>
      </w:r>
      <w:r w:rsidRPr="00A84B48">
        <w:rPr>
          <w:i/>
          <w:iCs/>
          <w:noProof/>
          <w:color w:val="000000"/>
          <w:lang w:val="en-GB"/>
        </w:rPr>
        <w:t>20</w:t>
      </w:r>
      <w:r w:rsidRPr="00A84B48">
        <w:rPr>
          <w:noProof/>
          <w:color w:val="000000"/>
          <w:lang w:val="en-GB"/>
        </w:rPr>
        <w:t>(1)</w:t>
      </w:r>
      <w:r w:rsidR="00A84B48" w:rsidRPr="00A84B48">
        <w:rPr>
          <w:noProof/>
          <w:color w:val="000000"/>
          <w:lang w:val="en-GB"/>
        </w:rPr>
        <w:t>, 1-19</w:t>
      </w:r>
      <w:r w:rsidRPr="00A84B48">
        <w:rPr>
          <w:noProof/>
          <w:color w:val="000000"/>
          <w:lang w:val="en-GB"/>
        </w:rPr>
        <w:t>.</w:t>
      </w:r>
      <w:r w:rsidR="00A84B48" w:rsidRPr="00A84B48">
        <w:rPr>
          <w:noProof/>
          <w:color w:val="000000"/>
          <w:lang w:val="en-GB"/>
        </w:rPr>
        <w:t xml:space="preserve"> </w:t>
      </w:r>
      <w:hyperlink r:id="rId56" w:history="1">
        <w:r w:rsidR="00A84B48" w:rsidRPr="00A84B48">
          <w:rPr>
            <w:rStyle w:val="Hipervnculo"/>
            <w:noProof/>
            <w:lang w:val="en-GB"/>
          </w:rPr>
          <w:t>http://www.revhabanera.sld.cu/index.php/rhab/article/view/3441</w:t>
        </w:r>
      </w:hyperlink>
      <w:r w:rsidR="00A84B48">
        <w:rPr>
          <w:noProof/>
          <w:color w:val="000000"/>
          <w:lang w:val="en-GB"/>
        </w:rPr>
        <w:t xml:space="preserve"> </w:t>
      </w:r>
    </w:p>
    <w:p w14:paraId="0923F219" w14:textId="77777777" w:rsidR="005A29CE" w:rsidRPr="00A84B48"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lang w:val="en-GB"/>
        </w:rPr>
        <w:t xml:space="preserve">Nuñez Ariza, A., Reyes-Ruiz, L., Sánchez-Villegas, M., Carmona Alvarado, F., Acosta-López, J., y Moya-De Las Salas, E. (2020). </w:t>
      </w:r>
      <w:r w:rsidRPr="005A29CE">
        <w:rPr>
          <w:noProof/>
          <w:color w:val="000000"/>
        </w:rPr>
        <w:t xml:space="preserve">Ideación suicida y funcionalidad familiar en adolescentes del Caribe Colombiano. </w:t>
      </w:r>
      <w:r w:rsidRPr="005A29CE">
        <w:rPr>
          <w:i/>
          <w:iCs/>
          <w:noProof/>
          <w:color w:val="000000"/>
        </w:rPr>
        <w:t xml:space="preserve">AVFT Archivos Venezolanos de </w:t>
      </w:r>
      <w:r w:rsidRPr="00A84B48">
        <w:rPr>
          <w:i/>
          <w:iCs/>
          <w:noProof/>
          <w:color w:val="000000"/>
        </w:rPr>
        <w:t>Farmacología y Terapéutica</w:t>
      </w:r>
      <w:r w:rsidRPr="00A84B48">
        <w:rPr>
          <w:noProof/>
          <w:color w:val="000000"/>
        </w:rPr>
        <w:t xml:space="preserve">, </w:t>
      </w:r>
      <w:r w:rsidRPr="00A84B48">
        <w:rPr>
          <w:i/>
          <w:iCs/>
          <w:noProof/>
          <w:color w:val="000000"/>
        </w:rPr>
        <w:t>39</w:t>
      </w:r>
      <w:r w:rsidRPr="00A84B48">
        <w:rPr>
          <w:noProof/>
          <w:color w:val="000000"/>
        </w:rPr>
        <w:t>(1), 109–116.</w:t>
      </w:r>
    </w:p>
    <w:p w14:paraId="430B4F12" w14:textId="778A1349"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A84B48">
        <w:rPr>
          <w:noProof/>
          <w:color w:val="000000"/>
        </w:rPr>
        <w:t xml:space="preserve">Organización Panamericana de la Salud. (2014). </w:t>
      </w:r>
      <w:r w:rsidR="00A84B48" w:rsidRPr="00A84B48">
        <w:rPr>
          <w:i/>
          <w:iCs/>
          <w:noProof/>
          <w:color w:val="000000"/>
        </w:rPr>
        <w:t>Mortalidad por suicidio en la Región de las Américas. Informe regional 2010-2014</w:t>
      </w:r>
      <w:r w:rsidR="00A84B48">
        <w:rPr>
          <w:i/>
          <w:iCs/>
          <w:noProof/>
          <w:color w:val="000000"/>
        </w:rPr>
        <w:t xml:space="preserve">. </w:t>
      </w:r>
      <w:r w:rsidRPr="00A84B48">
        <w:rPr>
          <w:noProof/>
          <w:color w:val="000000"/>
        </w:rPr>
        <w:t xml:space="preserve">Organización Mundial de la Salud y Organización Panamericana de la Salud. </w:t>
      </w:r>
      <w:hyperlink r:id="rId57" w:history="1">
        <w:r w:rsidR="00A84B48" w:rsidRPr="00A84B48">
          <w:rPr>
            <w:rStyle w:val="Hipervnculo"/>
            <w:noProof/>
          </w:rPr>
          <w:t>http://www.paho.org/hq/index.php?option=com_contentyview=articleyid=10114%3Anew-paho-report-more-than-7-suicides-per-hour-in-the-americasyItemid=1926ylang=es</w:t>
        </w:r>
      </w:hyperlink>
      <w:r w:rsidR="00A84B48">
        <w:rPr>
          <w:noProof/>
          <w:color w:val="000000"/>
        </w:rPr>
        <w:t xml:space="preserve"> </w:t>
      </w:r>
    </w:p>
    <w:p w14:paraId="23E542E7" w14:textId="71F46D4E" w:rsidR="005A29CE" w:rsidRPr="00184153"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rPr>
        <w:t xml:space="preserve">Peña, D. (2002). </w:t>
      </w:r>
      <w:r w:rsidRPr="00A84B48">
        <w:rPr>
          <w:i/>
          <w:iCs/>
          <w:noProof/>
          <w:color w:val="000000"/>
        </w:rPr>
        <w:t>Análisis de datos multivariantes</w:t>
      </w:r>
      <w:r w:rsidR="00A84B48" w:rsidRPr="00A84B48">
        <w:rPr>
          <w:i/>
          <w:iCs/>
          <w:noProof/>
          <w:color w:val="000000"/>
        </w:rPr>
        <w:t>.</w:t>
      </w:r>
      <w:r w:rsidR="00A84B48">
        <w:rPr>
          <w:noProof/>
          <w:color w:val="000000"/>
        </w:rPr>
        <w:t xml:space="preserve"> </w:t>
      </w:r>
      <w:r w:rsidR="00A84B48" w:rsidRPr="00A84B48">
        <w:rPr>
          <w:noProof/>
          <w:color w:val="000000"/>
        </w:rPr>
        <w:t xml:space="preserve">Mcgraw-Hill/Interamericana </w:t>
      </w:r>
      <w:r w:rsidR="00A84B48">
        <w:rPr>
          <w:noProof/>
          <w:color w:val="000000"/>
        </w:rPr>
        <w:t>d</w:t>
      </w:r>
      <w:r w:rsidR="00A84B48" w:rsidRPr="00A84B48">
        <w:rPr>
          <w:noProof/>
          <w:color w:val="000000"/>
        </w:rPr>
        <w:t xml:space="preserve">e </w:t>
      </w:r>
      <w:r w:rsidR="00A84B48" w:rsidRPr="00A84B48">
        <w:rPr>
          <w:noProof/>
          <w:color w:val="000000"/>
        </w:rPr>
        <w:lastRenderedPageBreak/>
        <w:t>España</w:t>
      </w:r>
      <w:r w:rsidR="00A84B48" w:rsidRPr="00184153">
        <w:rPr>
          <w:noProof/>
          <w:color w:val="000000"/>
        </w:rPr>
        <w:t xml:space="preserve">. </w:t>
      </w:r>
    </w:p>
    <w:p w14:paraId="2D4457D5" w14:textId="77777777" w:rsidR="005A29CE" w:rsidRPr="005A29CE" w:rsidRDefault="005A29CE" w:rsidP="00184153">
      <w:pPr>
        <w:spacing w:line="360" w:lineRule="auto"/>
        <w:ind w:left="708" w:hanging="708"/>
        <w:jc w:val="both"/>
        <w:rPr>
          <w:noProof/>
          <w:color w:val="000000"/>
        </w:rPr>
      </w:pPr>
      <w:r w:rsidRPr="005A29CE">
        <w:rPr>
          <w:noProof/>
          <w:color w:val="000000"/>
        </w:rPr>
        <w:t xml:space="preserve">Primananda, M., y Keliat, B. A. (2019). </w:t>
      </w:r>
      <w:r w:rsidRPr="005A29CE">
        <w:rPr>
          <w:noProof/>
          <w:color w:val="000000"/>
          <w:lang w:val="en-US"/>
        </w:rPr>
        <w:t xml:space="preserve">Risk and Protective Factors of Suicidal Ideation in Adolescents. </w:t>
      </w:r>
      <w:r w:rsidRPr="005A29CE">
        <w:rPr>
          <w:i/>
          <w:noProof/>
          <w:color w:val="000000"/>
        </w:rPr>
        <w:t>Comprehensive Child and Adolescent Nursing, 4</w:t>
      </w:r>
      <w:r w:rsidRPr="005A29CE">
        <w:rPr>
          <w:noProof/>
          <w:color w:val="000000"/>
        </w:rPr>
        <w:t xml:space="preserve">(1), 179-188. </w:t>
      </w:r>
      <w:hyperlink r:id="rId58" w:history="1">
        <w:r w:rsidRPr="005A29CE">
          <w:rPr>
            <w:rStyle w:val="Hipervnculo"/>
            <w:noProof/>
          </w:rPr>
          <w:t>https://doi.org/10.1080/24694193.2019.1578439</w:t>
        </w:r>
      </w:hyperlink>
      <w:r w:rsidRPr="005A29CE">
        <w:rPr>
          <w:noProof/>
          <w:color w:val="000000"/>
        </w:rPr>
        <w:t xml:space="preserve"> </w:t>
      </w:r>
    </w:p>
    <w:p w14:paraId="31EA5DE5" w14:textId="77777777"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rPr>
        <w:t xml:space="preserve">Reyes-Ruiz, L., De La Hoz Granadillo, E., y Carmona Alvarado, F. (2019). Método para identificar y pronosticar riesgo suicida perfiles de en adolescentes mediante técnicas de análisis de conglomerado y red neuronal artificial. </w:t>
      </w:r>
      <w:r w:rsidRPr="005A29CE">
        <w:rPr>
          <w:i/>
          <w:iCs/>
          <w:noProof/>
          <w:color w:val="000000"/>
        </w:rPr>
        <w:t>AVFT – Archivos Venezolanos de Farmacología y Terapéutica,</w:t>
      </w:r>
      <w:r w:rsidRPr="005A29CE">
        <w:rPr>
          <w:i/>
          <w:noProof/>
          <w:color w:val="000000"/>
        </w:rPr>
        <w:t xml:space="preserve"> 38</w:t>
      </w:r>
      <w:r w:rsidRPr="005A29CE">
        <w:rPr>
          <w:noProof/>
          <w:color w:val="000000"/>
        </w:rPr>
        <w:t>(2), 115-120.</w:t>
      </w:r>
    </w:p>
    <w:p w14:paraId="1D2D7009" w14:textId="1831208A" w:rsidR="00A84B48" w:rsidRPr="00A84B48" w:rsidRDefault="00A84B48" w:rsidP="00184153">
      <w:pPr>
        <w:widowControl w:val="0"/>
        <w:autoSpaceDE w:val="0"/>
        <w:autoSpaceDN w:val="0"/>
        <w:adjustRightInd w:val="0"/>
        <w:spacing w:line="360" w:lineRule="auto"/>
        <w:ind w:left="480" w:hanging="480"/>
        <w:jc w:val="both"/>
        <w:rPr>
          <w:noProof/>
          <w:color w:val="000000"/>
          <w:lang w:val="es-CO"/>
        </w:rPr>
      </w:pPr>
      <w:r w:rsidRPr="00A84B48">
        <w:rPr>
          <w:noProof/>
          <w:color w:val="000000"/>
          <w:lang w:val="es-CO"/>
        </w:rPr>
        <w:t xml:space="preserve">Runeson, B., Tidemalm, D., Dahlin, M., Lichtenstein, P., &amp; Långström, N. (2010). </w:t>
      </w:r>
      <w:r w:rsidRPr="00184153">
        <w:rPr>
          <w:noProof/>
          <w:color w:val="000000"/>
          <w:lang w:val="en-US"/>
        </w:rPr>
        <w:t>Method of attempted suicide as predictor of subsequent successful suicide: national long term cohort study. </w:t>
      </w:r>
      <w:r w:rsidRPr="00A84B48">
        <w:rPr>
          <w:i/>
          <w:iCs/>
          <w:noProof/>
          <w:color w:val="000000"/>
          <w:lang w:val="es-CO"/>
        </w:rPr>
        <w:t>BMJ (Clinical research ed.)</w:t>
      </w:r>
      <w:r w:rsidRPr="00A84B48">
        <w:rPr>
          <w:noProof/>
          <w:color w:val="000000"/>
          <w:lang w:val="es-CO"/>
        </w:rPr>
        <w:t>, </w:t>
      </w:r>
      <w:r w:rsidRPr="00A84B48">
        <w:rPr>
          <w:i/>
          <w:iCs/>
          <w:noProof/>
          <w:color w:val="000000"/>
          <w:lang w:val="es-CO"/>
        </w:rPr>
        <w:t>341</w:t>
      </w:r>
      <w:r w:rsidRPr="00A84B48">
        <w:rPr>
          <w:noProof/>
          <w:color w:val="000000"/>
          <w:lang w:val="es-CO"/>
        </w:rPr>
        <w:t xml:space="preserve">, c3222. </w:t>
      </w:r>
      <w:hyperlink r:id="rId59" w:history="1">
        <w:r w:rsidRPr="00A84B48">
          <w:rPr>
            <w:rStyle w:val="Hipervnculo"/>
            <w:noProof/>
            <w:lang w:val="es-CO"/>
          </w:rPr>
          <w:t>https://doi.org/10.1136/bmj.c3222</w:t>
        </w:r>
      </w:hyperlink>
      <w:r>
        <w:rPr>
          <w:noProof/>
          <w:color w:val="000000"/>
          <w:lang w:val="es-CO"/>
        </w:rPr>
        <w:t xml:space="preserve"> </w:t>
      </w:r>
    </w:p>
    <w:p w14:paraId="17249E3C" w14:textId="77777777"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rPr>
        <w:t xml:space="preserve">Sánchez-Loyo, L., Morfín, T., García, J., Quintanilla, R., Hernández, H., Contreras, E., y Cruz, J. (2014). Intento de suicidio en adolescentes mexicanos: perspectiva desde el consenso cultural. </w:t>
      </w:r>
      <w:r w:rsidRPr="005A29CE">
        <w:rPr>
          <w:i/>
          <w:iCs/>
          <w:noProof/>
          <w:color w:val="000000"/>
        </w:rPr>
        <w:t>Acta de Investigación Psicológica</w:t>
      </w:r>
      <w:r w:rsidRPr="005A29CE">
        <w:rPr>
          <w:noProof/>
          <w:color w:val="000000"/>
        </w:rPr>
        <w:t xml:space="preserve">, </w:t>
      </w:r>
      <w:r w:rsidRPr="005A29CE">
        <w:rPr>
          <w:i/>
          <w:iCs/>
          <w:noProof/>
          <w:color w:val="000000"/>
        </w:rPr>
        <w:t>4</w:t>
      </w:r>
      <w:r w:rsidRPr="005A29CE">
        <w:rPr>
          <w:noProof/>
          <w:color w:val="000000"/>
        </w:rPr>
        <w:t xml:space="preserve">(1), 1446-1458. </w:t>
      </w:r>
      <w:hyperlink r:id="rId60" w:history="1">
        <w:r w:rsidRPr="005A29CE">
          <w:rPr>
            <w:rStyle w:val="Hipervnculo"/>
            <w:noProof/>
          </w:rPr>
          <w:t>https://doi.org/10.1016/S2007-4719(14)70386-2</w:t>
        </w:r>
      </w:hyperlink>
      <w:r w:rsidRPr="005A29CE">
        <w:rPr>
          <w:noProof/>
          <w:color w:val="000000"/>
        </w:rPr>
        <w:t xml:space="preserve"> </w:t>
      </w:r>
    </w:p>
    <w:p w14:paraId="72D72668" w14:textId="7BBD6427"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5A29CE">
        <w:rPr>
          <w:noProof/>
          <w:color w:val="000000"/>
        </w:rPr>
        <w:t xml:space="preserve">Sánchez-Sosa, J. C., Villarreal-González, M. E., Musitu, G., y Martinez Ferrer, B. (2010). Ideación Suicida en Adolescentes: Un Análisis </w:t>
      </w:r>
      <w:r w:rsidRPr="00A84B48">
        <w:rPr>
          <w:noProof/>
          <w:color w:val="000000"/>
        </w:rPr>
        <w:t xml:space="preserve">Psicosocial. </w:t>
      </w:r>
      <w:r w:rsidRPr="00A84B48">
        <w:rPr>
          <w:i/>
          <w:iCs/>
          <w:noProof/>
          <w:color w:val="000000"/>
        </w:rPr>
        <w:t>Psychosocial Intervention</w:t>
      </w:r>
      <w:r w:rsidR="00A84B48" w:rsidRPr="00A84B48">
        <w:rPr>
          <w:i/>
          <w:iCs/>
          <w:noProof/>
          <w:color w:val="000000"/>
        </w:rPr>
        <w:t>, 19</w:t>
      </w:r>
      <w:r w:rsidR="00A84B48" w:rsidRPr="00A84B48">
        <w:rPr>
          <w:noProof/>
          <w:color w:val="000000"/>
        </w:rPr>
        <w:t>(3), 279-287</w:t>
      </w:r>
      <w:r w:rsidR="00A84B48">
        <w:rPr>
          <w:noProof/>
          <w:color w:val="000000"/>
        </w:rPr>
        <w:t xml:space="preserve">. </w:t>
      </w:r>
      <w:hyperlink r:id="rId61" w:history="1">
        <w:r w:rsidR="00A84B48" w:rsidRPr="00740E76">
          <w:rPr>
            <w:rStyle w:val="Hipervnculo"/>
            <w:noProof/>
          </w:rPr>
          <w:t>https://doi.org/10.5093/in2010v19n3a8</w:t>
        </w:r>
      </w:hyperlink>
      <w:r w:rsidR="00A84B48">
        <w:rPr>
          <w:noProof/>
          <w:color w:val="000000"/>
        </w:rPr>
        <w:t xml:space="preserve"> </w:t>
      </w:r>
      <w:r w:rsidR="00FE1BF7">
        <w:rPr>
          <w:noProof/>
          <w:color w:val="000000"/>
        </w:rPr>
        <w:t xml:space="preserve"> </w:t>
      </w:r>
    </w:p>
    <w:p w14:paraId="42E94FFA" w14:textId="650B7E98" w:rsidR="005A29CE" w:rsidRPr="00184153" w:rsidRDefault="005A29CE"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rPr>
        <w:t>Sánchez-Villegas, M., Reyes-Ruiz, L., Taylor, L.K., Pérez-Ruíz, N.A. and Carmona-Alvarado, F.A. (2021)</w:t>
      </w:r>
      <w:r w:rsidR="00FE1BF7" w:rsidRPr="00184153">
        <w:rPr>
          <w:noProof/>
          <w:color w:val="000000"/>
        </w:rPr>
        <w:t xml:space="preserve">. </w:t>
      </w:r>
      <w:r w:rsidRPr="005A29CE">
        <w:rPr>
          <w:noProof/>
          <w:color w:val="000000"/>
          <w:lang w:val="en-GB"/>
        </w:rPr>
        <w:t>Mental health problems, family functioning and social support among children survivors of Colombia’s armed conflict</w:t>
      </w:r>
      <w:r w:rsidR="00FE1BF7">
        <w:rPr>
          <w:noProof/>
          <w:color w:val="000000"/>
          <w:lang w:val="en-GB"/>
        </w:rPr>
        <w:t xml:space="preserve">. </w:t>
      </w:r>
      <w:r w:rsidRPr="005A29CE">
        <w:rPr>
          <w:i/>
          <w:noProof/>
          <w:color w:val="000000"/>
          <w:lang w:val="en-GB"/>
        </w:rPr>
        <w:t>Journal of Aggression, Conflict and Peace Research, (13),</w:t>
      </w:r>
      <w:r w:rsidRPr="005A29CE">
        <w:rPr>
          <w:noProof/>
          <w:color w:val="000000"/>
          <w:lang w:val="en-GB"/>
        </w:rPr>
        <w:t xml:space="preserve">1, 61-72. </w:t>
      </w:r>
      <w:hyperlink r:id="rId62" w:history="1">
        <w:r w:rsidRPr="00184153">
          <w:rPr>
            <w:rStyle w:val="Hipervnculo"/>
            <w:noProof/>
            <w:lang w:val="en-US"/>
          </w:rPr>
          <w:t>https://doi.org/10.1108/JACPR-08-2020-0535</w:t>
        </w:r>
      </w:hyperlink>
    </w:p>
    <w:p w14:paraId="2E18201A" w14:textId="24D7C2C0" w:rsidR="00FE1BF7" w:rsidRPr="00184153" w:rsidRDefault="00FE1BF7" w:rsidP="00184153">
      <w:pPr>
        <w:spacing w:line="360" w:lineRule="auto"/>
        <w:ind w:left="708" w:hanging="708"/>
        <w:jc w:val="both"/>
        <w:rPr>
          <w:noProof/>
          <w:color w:val="000000"/>
          <w:lang w:val="en-US"/>
        </w:rPr>
      </w:pPr>
      <w:r w:rsidRPr="00184153">
        <w:rPr>
          <w:noProof/>
          <w:color w:val="000000"/>
          <w:lang w:val="pt-BR"/>
        </w:rPr>
        <w:t xml:space="preserve">Silva, A. R., Relva, I. C., &amp; Simões, A. M. (2020). </w:t>
      </w:r>
      <w:r w:rsidRPr="00184153">
        <w:rPr>
          <w:noProof/>
          <w:color w:val="000000"/>
          <w:lang w:val="en-US"/>
        </w:rPr>
        <w:t>Impact of attachment and traits of psychopathy on addictive behaviors of adolescents. </w:t>
      </w:r>
      <w:r w:rsidRPr="00184153">
        <w:rPr>
          <w:i/>
          <w:iCs/>
          <w:noProof/>
          <w:color w:val="000000"/>
          <w:lang w:val="en-US"/>
        </w:rPr>
        <w:t>Revista Interamericana De Psicología/Interamerican Journal of Psychology</w:t>
      </w:r>
      <w:r w:rsidRPr="00184153">
        <w:rPr>
          <w:noProof/>
          <w:color w:val="000000"/>
          <w:lang w:val="en-US"/>
        </w:rPr>
        <w:t>, </w:t>
      </w:r>
      <w:r w:rsidRPr="00184153">
        <w:rPr>
          <w:i/>
          <w:iCs/>
          <w:noProof/>
          <w:color w:val="000000"/>
          <w:lang w:val="en-US"/>
        </w:rPr>
        <w:t>54</w:t>
      </w:r>
      <w:r w:rsidRPr="00184153">
        <w:rPr>
          <w:noProof/>
          <w:color w:val="000000"/>
          <w:lang w:val="en-US"/>
        </w:rPr>
        <w:t xml:space="preserve">(1), e1161. </w:t>
      </w:r>
      <w:hyperlink r:id="rId63" w:history="1">
        <w:r w:rsidRPr="00184153">
          <w:rPr>
            <w:rStyle w:val="Hipervnculo"/>
            <w:noProof/>
            <w:lang w:val="en-US"/>
          </w:rPr>
          <w:t>https://doi.org/10.30849/ripijp.v54i1.1161</w:t>
        </w:r>
      </w:hyperlink>
      <w:r w:rsidRPr="00184153">
        <w:rPr>
          <w:noProof/>
          <w:color w:val="000000"/>
          <w:lang w:val="en-US"/>
        </w:rPr>
        <w:t xml:space="preserve"> </w:t>
      </w:r>
    </w:p>
    <w:p w14:paraId="331FB6A1" w14:textId="79643ABD" w:rsidR="00FE1BF7" w:rsidRPr="00184153" w:rsidRDefault="00FE1BF7" w:rsidP="00184153">
      <w:pPr>
        <w:widowControl w:val="0"/>
        <w:autoSpaceDE w:val="0"/>
        <w:autoSpaceDN w:val="0"/>
        <w:adjustRightInd w:val="0"/>
        <w:spacing w:line="360" w:lineRule="auto"/>
        <w:ind w:left="480" w:hanging="480"/>
        <w:jc w:val="both"/>
        <w:rPr>
          <w:noProof/>
          <w:color w:val="000000"/>
          <w:lang w:val="pt-BR"/>
        </w:rPr>
      </w:pPr>
      <w:r w:rsidRPr="00184153">
        <w:rPr>
          <w:noProof/>
          <w:color w:val="000000"/>
          <w:lang w:val="en-US"/>
        </w:rPr>
        <w:t>Soares, F. C., Hardman, C. M., Rangel Junior, J. F. B., Bezerra, J., Petribú, K., Mota, J., de Barros, M. V. G., &amp; Lima, R. A. (2020). Secular trends in suicidal ideation and associated factors among adolescents. </w:t>
      </w:r>
      <w:r w:rsidRPr="00184153">
        <w:rPr>
          <w:i/>
          <w:iCs/>
          <w:noProof/>
          <w:color w:val="000000"/>
          <w:lang w:val="pt-BR"/>
        </w:rPr>
        <w:t>Revista brasileira de psiquiatria (Sao Paulo, Brazil : 1999)</w:t>
      </w:r>
      <w:r w:rsidRPr="00184153">
        <w:rPr>
          <w:noProof/>
          <w:color w:val="000000"/>
          <w:lang w:val="pt-BR"/>
        </w:rPr>
        <w:t>, </w:t>
      </w:r>
      <w:r w:rsidRPr="00184153">
        <w:rPr>
          <w:i/>
          <w:iCs/>
          <w:noProof/>
          <w:color w:val="000000"/>
          <w:lang w:val="pt-BR"/>
        </w:rPr>
        <w:t>42</w:t>
      </w:r>
      <w:r w:rsidRPr="00184153">
        <w:rPr>
          <w:noProof/>
          <w:color w:val="000000"/>
          <w:lang w:val="pt-BR"/>
        </w:rPr>
        <w:t xml:space="preserve">(5), 475–480. </w:t>
      </w:r>
      <w:hyperlink r:id="rId64" w:history="1">
        <w:r w:rsidRPr="00184153">
          <w:rPr>
            <w:rStyle w:val="Hipervnculo"/>
            <w:noProof/>
            <w:lang w:val="pt-BR"/>
          </w:rPr>
          <w:t>https://doi.org/10.1590/1516-4446-2019-0783</w:t>
        </w:r>
      </w:hyperlink>
      <w:r w:rsidRPr="00184153">
        <w:rPr>
          <w:noProof/>
          <w:color w:val="000000"/>
          <w:lang w:val="pt-BR"/>
        </w:rPr>
        <w:t xml:space="preserve"> </w:t>
      </w:r>
    </w:p>
    <w:p w14:paraId="60E640F5" w14:textId="2211EC9A" w:rsidR="00FE1BF7" w:rsidRPr="00184153" w:rsidRDefault="00FE1BF7"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 xml:space="preserve">Tidemalm, D., Långström, N., Lichtenstein, P., &amp; Runeson, B. (2008). Risk of suicide after suicide attempt according to coexisting psychiatric disorder: Swedish cohort </w:t>
      </w:r>
      <w:r w:rsidRPr="00184153">
        <w:rPr>
          <w:noProof/>
          <w:color w:val="000000"/>
          <w:lang w:val="en-US"/>
        </w:rPr>
        <w:lastRenderedPageBreak/>
        <w:t>study with long term follow-up. </w:t>
      </w:r>
      <w:r w:rsidRPr="00184153">
        <w:rPr>
          <w:i/>
          <w:iCs/>
          <w:noProof/>
          <w:color w:val="000000"/>
          <w:lang w:val="en-US"/>
        </w:rPr>
        <w:t>BMJ (Clinical research ed.)</w:t>
      </w:r>
      <w:r w:rsidRPr="00184153">
        <w:rPr>
          <w:noProof/>
          <w:color w:val="000000"/>
          <w:lang w:val="en-US"/>
        </w:rPr>
        <w:t>, </w:t>
      </w:r>
      <w:r w:rsidRPr="00184153">
        <w:rPr>
          <w:i/>
          <w:iCs/>
          <w:noProof/>
          <w:color w:val="000000"/>
          <w:lang w:val="en-US"/>
        </w:rPr>
        <w:t>337</w:t>
      </w:r>
      <w:r w:rsidRPr="00184153">
        <w:rPr>
          <w:noProof/>
          <w:color w:val="000000"/>
          <w:lang w:val="en-US"/>
        </w:rPr>
        <w:t xml:space="preserve">, a2205. </w:t>
      </w:r>
      <w:hyperlink r:id="rId65" w:history="1">
        <w:r w:rsidRPr="00184153">
          <w:rPr>
            <w:rStyle w:val="Hipervnculo"/>
            <w:noProof/>
            <w:lang w:val="en-US"/>
          </w:rPr>
          <w:t>https://doi.org/10.1136/bmj.a2205</w:t>
        </w:r>
      </w:hyperlink>
      <w:r w:rsidRPr="00184153">
        <w:rPr>
          <w:noProof/>
          <w:color w:val="000000"/>
          <w:lang w:val="en-US"/>
        </w:rPr>
        <w:t xml:space="preserve"> </w:t>
      </w:r>
    </w:p>
    <w:p w14:paraId="5BD8B3E9" w14:textId="5B507DBE" w:rsidR="005A29CE" w:rsidRPr="005A29CE" w:rsidRDefault="005A29CE" w:rsidP="00184153">
      <w:pPr>
        <w:widowControl w:val="0"/>
        <w:autoSpaceDE w:val="0"/>
        <w:autoSpaceDN w:val="0"/>
        <w:adjustRightInd w:val="0"/>
        <w:spacing w:line="360" w:lineRule="auto"/>
        <w:ind w:left="480" w:hanging="480"/>
        <w:jc w:val="both"/>
        <w:rPr>
          <w:noProof/>
          <w:color w:val="000000"/>
        </w:rPr>
      </w:pPr>
      <w:r w:rsidRPr="00184153">
        <w:rPr>
          <w:noProof/>
          <w:color w:val="000000"/>
          <w:lang w:val="en-US"/>
        </w:rPr>
        <w:t xml:space="preserve">Valdivia, M., Silva, D., Sanhueza, F., Cova, F., y Melipillán, R. (2015). </w:t>
      </w:r>
      <w:r w:rsidRPr="005A29CE">
        <w:rPr>
          <w:noProof/>
          <w:color w:val="000000"/>
        </w:rPr>
        <w:t xml:space="preserve">Prevalencia de intento de suicidio adolescente y factores de riesgo asociados en una comuna rural de la provincia de Concepción. </w:t>
      </w:r>
      <w:r w:rsidRPr="005A29CE">
        <w:rPr>
          <w:i/>
          <w:iCs/>
          <w:noProof/>
          <w:color w:val="000000"/>
        </w:rPr>
        <w:t>Rev Med Chile</w:t>
      </w:r>
      <w:r w:rsidRPr="005A29CE">
        <w:rPr>
          <w:i/>
          <w:noProof/>
          <w:color w:val="000000"/>
        </w:rPr>
        <w:t>, (143),</w:t>
      </w:r>
      <w:r w:rsidRPr="005A29CE">
        <w:rPr>
          <w:noProof/>
          <w:color w:val="000000"/>
        </w:rPr>
        <w:t xml:space="preserve"> 320-328.</w:t>
      </w:r>
    </w:p>
    <w:p w14:paraId="745DC86B" w14:textId="511CEB5F" w:rsidR="00FE1BF7" w:rsidRPr="00184153" w:rsidRDefault="00FE1BF7" w:rsidP="00184153">
      <w:pPr>
        <w:widowControl w:val="0"/>
        <w:autoSpaceDE w:val="0"/>
        <w:autoSpaceDN w:val="0"/>
        <w:adjustRightInd w:val="0"/>
        <w:spacing w:line="360" w:lineRule="auto"/>
        <w:ind w:left="480" w:hanging="480"/>
        <w:jc w:val="both"/>
        <w:rPr>
          <w:noProof/>
          <w:color w:val="000000"/>
          <w:lang w:val="en-US"/>
        </w:rPr>
      </w:pPr>
      <w:r w:rsidRPr="00FE1BF7">
        <w:rPr>
          <w:noProof/>
          <w:color w:val="000000"/>
          <w:lang w:val="es-CO"/>
        </w:rPr>
        <w:t xml:space="preserve">Villacieros, M., Bermejo, J. C., Magaña, M., &amp; Fernández-Quijano, I. (2016). </w:t>
      </w:r>
      <w:r w:rsidRPr="00184153">
        <w:rPr>
          <w:noProof/>
          <w:color w:val="000000"/>
          <w:lang w:val="en-US"/>
        </w:rPr>
        <w:t>Psychometric Properties of the Attitudinal Beliefs Questionnaire about Suicidal Behavior (CCCS-18). </w:t>
      </w:r>
      <w:r w:rsidRPr="00184153">
        <w:rPr>
          <w:i/>
          <w:iCs/>
          <w:noProof/>
          <w:color w:val="000000"/>
          <w:lang w:val="en-US"/>
        </w:rPr>
        <w:t>The Spanish journal of psychology</w:t>
      </w:r>
      <w:r w:rsidRPr="00184153">
        <w:rPr>
          <w:noProof/>
          <w:color w:val="000000"/>
          <w:lang w:val="en-US"/>
        </w:rPr>
        <w:t>, </w:t>
      </w:r>
      <w:r w:rsidRPr="00184153">
        <w:rPr>
          <w:i/>
          <w:iCs/>
          <w:noProof/>
          <w:color w:val="000000"/>
          <w:lang w:val="en-US"/>
        </w:rPr>
        <w:t>19</w:t>
      </w:r>
      <w:r w:rsidRPr="00184153">
        <w:rPr>
          <w:noProof/>
          <w:color w:val="000000"/>
          <w:lang w:val="en-US"/>
        </w:rPr>
        <w:t xml:space="preserve">, E68. </w:t>
      </w:r>
      <w:hyperlink r:id="rId66" w:history="1">
        <w:r w:rsidRPr="00184153">
          <w:rPr>
            <w:rStyle w:val="Hipervnculo"/>
            <w:noProof/>
            <w:lang w:val="en-US"/>
          </w:rPr>
          <w:t>https://doi.org/10.1017/sjp.2016.68</w:t>
        </w:r>
      </w:hyperlink>
      <w:r w:rsidRPr="00184153">
        <w:rPr>
          <w:noProof/>
          <w:color w:val="000000"/>
          <w:lang w:val="en-US"/>
        </w:rPr>
        <w:t xml:space="preserve"> </w:t>
      </w:r>
    </w:p>
    <w:p w14:paraId="7FD5A0D5" w14:textId="681EAFBA" w:rsidR="00FE1BF7" w:rsidRPr="00184153" w:rsidRDefault="00FE1BF7"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Wang, R. H., Lai, H. J., Hsu, H. Y., &amp; Hsu, M. T. (2011). Risk and protective factors for suicidal ideation among Taiwanese adolescents. </w:t>
      </w:r>
      <w:r w:rsidRPr="00184153">
        <w:rPr>
          <w:i/>
          <w:iCs/>
          <w:noProof/>
          <w:color w:val="000000"/>
          <w:lang w:val="en-US"/>
        </w:rPr>
        <w:t>Nursing research</w:t>
      </w:r>
      <w:r w:rsidRPr="00184153">
        <w:rPr>
          <w:noProof/>
          <w:color w:val="000000"/>
          <w:lang w:val="en-US"/>
        </w:rPr>
        <w:t>, </w:t>
      </w:r>
      <w:r w:rsidRPr="00184153">
        <w:rPr>
          <w:i/>
          <w:iCs/>
          <w:noProof/>
          <w:color w:val="000000"/>
          <w:lang w:val="en-US"/>
        </w:rPr>
        <w:t>60</w:t>
      </w:r>
      <w:r w:rsidRPr="00184153">
        <w:rPr>
          <w:noProof/>
          <w:color w:val="000000"/>
          <w:lang w:val="en-US"/>
        </w:rPr>
        <w:t xml:space="preserve">(6), 413–421. </w:t>
      </w:r>
      <w:hyperlink r:id="rId67" w:history="1">
        <w:r w:rsidRPr="00184153">
          <w:rPr>
            <w:rStyle w:val="Hipervnculo"/>
            <w:noProof/>
            <w:lang w:val="en-US"/>
          </w:rPr>
          <w:t>https://doi.org/10.1097/NNR.0b013e3182337d83</w:t>
        </w:r>
      </w:hyperlink>
      <w:r w:rsidRPr="00184153">
        <w:rPr>
          <w:noProof/>
          <w:color w:val="000000"/>
          <w:lang w:val="en-US"/>
        </w:rPr>
        <w:t xml:space="preserve"> </w:t>
      </w:r>
    </w:p>
    <w:p w14:paraId="2DAC8727" w14:textId="77777777" w:rsidR="00FE1BF7" w:rsidRPr="00184153" w:rsidRDefault="00FE1BF7" w:rsidP="00184153">
      <w:pPr>
        <w:widowControl w:val="0"/>
        <w:autoSpaceDE w:val="0"/>
        <w:autoSpaceDN w:val="0"/>
        <w:adjustRightInd w:val="0"/>
        <w:spacing w:line="360" w:lineRule="auto"/>
        <w:ind w:left="480" w:hanging="480"/>
        <w:jc w:val="both"/>
        <w:rPr>
          <w:noProof/>
          <w:color w:val="000000"/>
          <w:lang w:val="en-US"/>
        </w:rPr>
      </w:pPr>
      <w:r w:rsidRPr="00184153">
        <w:rPr>
          <w:noProof/>
          <w:color w:val="000000"/>
          <w:lang w:val="en-US"/>
        </w:rPr>
        <w:t>World Health Organization. (‎2018)‎. </w:t>
      </w:r>
      <w:r w:rsidRPr="00184153">
        <w:rPr>
          <w:i/>
          <w:iCs/>
          <w:noProof/>
          <w:color w:val="000000"/>
          <w:lang w:val="en-US"/>
        </w:rPr>
        <w:t>Preventing suicide: a community engagement toolkit.</w:t>
      </w:r>
      <w:r w:rsidRPr="00184153">
        <w:rPr>
          <w:noProof/>
          <w:color w:val="000000"/>
          <w:lang w:val="en-US"/>
        </w:rPr>
        <w:t> World Health Organization. </w:t>
      </w:r>
      <w:hyperlink r:id="rId68" w:history="1">
        <w:r w:rsidRPr="00184153">
          <w:rPr>
            <w:rStyle w:val="Hipervnculo"/>
            <w:noProof/>
            <w:lang w:val="en-US"/>
          </w:rPr>
          <w:t>https://iris.who.int/handle/10665/272860</w:t>
        </w:r>
      </w:hyperlink>
      <w:r w:rsidRPr="00184153">
        <w:rPr>
          <w:noProof/>
          <w:color w:val="000000"/>
          <w:lang w:val="en-US"/>
        </w:rPr>
        <w:t>.</w:t>
      </w:r>
    </w:p>
    <w:p w14:paraId="4CE799E3" w14:textId="6A97F59A" w:rsidR="005A29CE" w:rsidRPr="005A29CE" w:rsidRDefault="005A29CE" w:rsidP="00184153">
      <w:pPr>
        <w:widowControl w:val="0"/>
        <w:autoSpaceDE w:val="0"/>
        <w:autoSpaceDN w:val="0"/>
        <w:adjustRightInd w:val="0"/>
        <w:spacing w:line="360" w:lineRule="auto"/>
        <w:ind w:left="480" w:hanging="480"/>
        <w:jc w:val="both"/>
        <w:rPr>
          <w:noProof/>
          <w:color w:val="000000"/>
          <w:lang w:val="en-US"/>
        </w:rPr>
      </w:pPr>
      <w:r w:rsidRPr="00FE1BF7">
        <w:rPr>
          <w:noProof/>
          <w:color w:val="000000"/>
          <w:lang w:val="en-US"/>
        </w:rPr>
        <w:t xml:space="preserve">World Health Organization. (2019). </w:t>
      </w:r>
      <w:r w:rsidRPr="00FE1BF7">
        <w:rPr>
          <w:i/>
          <w:iCs/>
          <w:noProof/>
          <w:color w:val="000000"/>
          <w:lang w:val="en-US"/>
        </w:rPr>
        <w:t>Suicide data: Key facts.</w:t>
      </w:r>
      <w:r w:rsidRPr="00FE1BF7">
        <w:rPr>
          <w:noProof/>
          <w:color w:val="000000"/>
          <w:lang w:val="en-US"/>
        </w:rPr>
        <w:t xml:space="preserve"> World Health Organization. </w:t>
      </w:r>
      <w:hyperlink r:id="rId69" w:history="1">
        <w:r w:rsidR="00FA42C8" w:rsidRPr="00AA00F8">
          <w:rPr>
            <w:rStyle w:val="Hipervnculo"/>
            <w:noProof/>
            <w:lang w:val="en-US"/>
          </w:rPr>
          <w:t>https://www.who.int/news-room/fact-sheets/detail/suicide</w:t>
        </w:r>
      </w:hyperlink>
      <w:r w:rsidR="00FA42C8">
        <w:rPr>
          <w:noProof/>
          <w:lang w:val="en-US"/>
        </w:rPr>
        <w:t xml:space="preserve"> </w:t>
      </w:r>
    </w:p>
    <w:p w14:paraId="082F801D" w14:textId="77777777" w:rsidR="00537714" w:rsidRPr="00B072E2" w:rsidRDefault="00147EED" w:rsidP="00184153">
      <w:pPr>
        <w:spacing w:line="260" w:lineRule="exact"/>
        <w:jc w:val="right"/>
        <w:rPr>
          <w:lang w:val="en-US"/>
        </w:rPr>
      </w:pPr>
      <w:r w:rsidRPr="00B072E2">
        <w:rPr>
          <w:lang w:val="en-US"/>
        </w:rPr>
        <w:tab/>
      </w:r>
    </w:p>
    <w:p w14:paraId="4E4CDB4E" w14:textId="0ED41170"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B072E2" w:rsidRPr="00B072E2">
        <w:rPr>
          <w:i/>
          <w:iCs/>
          <w:sz w:val="20"/>
          <w:szCs w:val="20"/>
          <w:lang w:val="en-US"/>
        </w:rPr>
        <w:t>2020-06-26</w:t>
      </w:r>
    </w:p>
    <w:p w14:paraId="312A8921" w14:textId="502045D7"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B072E2" w:rsidRPr="00B072E2">
        <w:rPr>
          <w:i/>
          <w:iCs/>
          <w:sz w:val="20"/>
          <w:szCs w:val="20"/>
          <w:lang w:eastAsia="es-ES_tradnl"/>
        </w:rPr>
        <w:t>2023-10-09</w:t>
      </w:r>
    </w:p>
    <w:sectPr w:rsidR="00147EED" w:rsidRPr="00B072E2" w:rsidSect="00686DA9">
      <w:headerReference w:type="even" r:id="rId70"/>
      <w:headerReference w:type="default" r:id="rId71"/>
      <w:footerReference w:type="even" r:id="rId72"/>
      <w:footerReference w:type="default" r:id="rId7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6C30" w14:textId="77777777" w:rsidR="00296579" w:rsidRDefault="00296579" w:rsidP="00C413D4">
      <w:r>
        <w:separator/>
      </w:r>
    </w:p>
  </w:endnote>
  <w:endnote w:type="continuationSeparator" w:id="0">
    <w:p w14:paraId="3C1BBDEF" w14:textId="77777777" w:rsidR="00296579" w:rsidRDefault="002965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CB044B9" w:rsidR="0009689D" w:rsidRDefault="0009689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A29CE">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09689D" w:rsidRDefault="000968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8DF020E" w:rsidR="0009689D" w:rsidRDefault="0009689D"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A29CE">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09689D" w:rsidRDefault="000968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C1F9B" w14:textId="77777777" w:rsidR="00296579" w:rsidRDefault="00296579" w:rsidP="00C413D4">
      <w:r>
        <w:separator/>
      </w:r>
    </w:p>
  </w:footnote>
  <w:footnote w:type="continuationSeparator" w:id="0">
    <w:p w14:paraId="68BF7DB7" w14:textId="77777777" w:rsidR="00296579" w:rsidRDefault="00296579" w:rsidP="00C413D4">
      <w:r>
        <w:continuationSeparator/>
      </w:r>
    </w:p>
  </w:footnote>
  <w:footnote w:id="1">
    <w:p w14:paraId="50BB986B" w14:textId="0A6363CD" w:rsidR="00043211" w:rsidRPr="005E205D" w:rsidRDefault="00043211" w:rsidP="000432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DA6EA5">
        <w:rPr>
          <w:rFonts w:ascii="Times" w:hAnsi="Times"/>
          <w:b/>
          <w:bCs/>
          <w:sz w:val="16"/>
          <w:szCs w:val="16"/>
          <w:lang w:val="en-US"/>
        </w:rPr>
        <w:t>Milgen</w:t>
      </w:r>
      <w:proofErr w:type="spellEnd"/>
      <w:r w:rsidRPr="00DA6EA5">
        <w:rPr>
          <w:rFonts w:ascii="Times" w:hAnsi="Times"/>
          <w:b/>
          <w:bCs/>
          <w:sz w:val="16"/>
          <w:szCs w:val="16"/>
          <w:lang w:val="en-US"/>
        </w:rPr>
        <w:t xml:space="preserve"> Sanchez-Villegas</w:t>
      </w:r>
      <w:r>
        <w:rPr>
          <w:rFonts w:ascii="Times" w:hAnsi="Times"/>
          <w:b/>
          <w:bCs/>
          <w:sz w:val="16"/>
          <w:szCs w:val="16"/>
          <w:lang w:val="en-US"/>
        </w:rPr>
        <w:t xml:space="preserve">: </w:t>
      </w:r>
      <w:hyperlink r:id="rId1" w:history="1">
        <w:r w:rsidR="00C9459A" w:rsidRPr="00740E76">
          <w:rPr>
            <w:rStyle w:val="Hipervnculo"/>
            <w:sz w:val="16"/>
            <w:szCs w:val="16"/>
            <w:lang w:val="en-GB"/>
          </w:rPr>
          <w:t>milgen.sanchez@unisimon.edu.co</w:t>
        </w:r>
      </w:hyperlink>
      <w:r>
        <w:rPr>
          <w:sz w:val="16"/>
          <w:szCs w:val="16"/>
          <w:lang w:val="en-GB"/>
        </w:rPr>
        <w:t xml:space="preserve"> </w:t>
      </w:r>
    </w:p>
  </w:footnote>
  <w:footnote w:id="2">
    <w:p w14:paraId="2B28FF7B" w14:textId="68160807" w:rsidR="007A14D0" w:rsidRPr="007A14D0" w:rsidRDefault="0009689D"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1E72376C" w14:textId="4BE4679B" w:rsidR="007A14D0" w:rsidRPr="007A14D0" w:rsidRDefault="007A14D0">
      <w:pPr>
        <w:pStyle w:val="Textonotapie"/>
        <w:rPr>
          <w:b/>
          <w:bCs/>
          <w:lang w:val="es-AR"/>
        </w:rPr>
      </w:pPr>
      <w:r w:rsidRPr="007A14D0">
        <w:rPr>
          <w:rStyle w:val="Refdenotaalpie"/>
          <w:b/>
          <w:bCs/>
        </w:rPr>
        <w:footnoteRef/>
      </w:r>
      <w:r w:rsidRPr="007A14D0">
        <w:rPr>
          <w:b/>
          <w:bCs/>
        </w:rPr>
        <w:t xml:space="preserve"> </w:t>
      </w:r>
      <w:r>
        <w:rPr>
          <w:b/>
          <w:bCs/>
          <w:i/>
          <w:iCs/>
          <w:sz w:val="16"/>
          <w:szCs w:val="16"/>
          <w:lang w:val="es-AR"/>
        </w:rPr>
        <w:t>Agradecimientos</w:t>
      </w:r>
      <w:r w:rsidRPr="007A14D0">
        <w:rPr>
          <w:b/>
          <w:bCs/>
          <w:sz w:val="16"/>
          <w:szCs w:val="16"/>
          <w:lang w:val="es-AR"/>
        </w:rPr>
        <w:t>:</w:t>
      </w:r>
      <w:r w:rsidRPr="007A14D0">
        <w:rPr>
          <w:b/>
          <w:bCs/>
          <w:sz w:val="16"/>
          <w:szCs w:val="16"/>
          <w:lang w:val="es-AR"/>
        </w:rPr>
        <w:t xml:space="preserve"> </w:t>
      </w:r>
      <w:r>
        <w:rPr>
          <w:sz w:val="16"/>
          <w:szCs w:val="16"/>
          <w:lang w:val="es-AR"/>
        </w:rPr>
        <w:t>e</w:t>
      </w:r>
      <w:r w:rsidRPr="007A14D0">
        <w:rPr>
          <w:sz w:val="16"/>
          <w:szCs w:val="16"/>
          <w:lang w:val="es-AR"/>
        </w:rPr>
        <w:t>l presente estudio contó con el apoyo técnico y financiero del Ministerio de Ciencia, Tecnología e Innovación – Colciencias y la Gobernación del Atlántico, desde la convocatoria 809: Formación de Capital Humano de Alto Nivel para las Regiones – Atlántico 2018 en la modalidad de Maestría Nacional, COLFUTURO y la Universidad Simón Bolívar en Barranquilla, Colombia.</w:t>
      </w:r>
    </w:p>
  </w:footnote>
  <w:footnote w:id="4">
    <w:p w14:paraId="734E4133" w14:textId="0B5CEFEB" w:rsidR="007A14D0" w:rsidRPr="007A14D0" w:rsidRDefault="007A14D0" w:rsidP="008C6995">
      <w:pPr>
        <w:pStyle w:val="Textonotapie"/>
        <w:rPr>
          <w:lang w:val="es-AR"/>
        </w:rPr>
      </w:pPr>
      <w:r w:rsidRPr="00573BBB">
        <w:rPr>
          <w:rStyle w:val="Refdenotaalpie"/>
          <w:b/>
          <w:bCs/>
        </w:rPr>
        <w:footnoteRef/>
      </w:r>
      <w:r>
        <w:t xml:space="preserve"> </w:t>
      </w:r>
      <w:r w:rsidRPr="007A14D0">
        <w:rPr>
          <w:sz w:val="16"/>
          <w:szCs w:val="16"/>
          <w:lang w:val="es-AR"/>
        </w:rPr>
        <w:t>Efraín Javier De la hoz-Granadillo,</w:t>
      </w:r>
      <w:r w:rsidR="008C6995">
        <w:rPr>
          <w:sz w:val="16"/>
          <w:szCs w:val="16"/>
          <w:lang w:val="es-AR"/>
        </w:rPr>
        <w:t xml:space="preserve"> pertenece a la </w:t>
      </w:r>
      <w:r w:rsidR="008C6995" w:rsidRPr="008C6995">
        <w:rPr>
          <w:i/>
          <w:iCs/>
          <w:sz w:val="16"/>
          <w:szCs w:val="16"/>
          <w:lang w:val="es-AR"/>
        </w:rPr>
        <w:t>Facultad de Ingenierías</w:t>
      </w:r>
      <w:r w:rsidR="008C6995">
        <w:rPr>
          <w:i/>
          <w:iCs/>
          <w:sz w:val="16"/>
          <w:szCs w:val="16"/>
          <w:lang w:val="es-AR"/>
        </w:rPr>
        <w:t>,</w:t>
      </w:r>
      <w:r w:rsidRPr="007A14D0">
        <w:rPr>
          <w:sz w:val="16"/>
          <w:szCs w:val="16"/>
          <w:lang w:val="es-AR"/>
        </w:rPr>
        <w:t xml:space="preserve"> </w:t>
      </w:r>
      <w:r w:rsidR="008C6995">
        <w:rPr>
          <w:sz w:val="16"/>
          <w:szCs w:val="16"/>
          <w:lang w:val="es-AR"/>
        </w:rPr>
        <w:t xml:space="preserve">mientras que </w:t>
      </w:r>
      <w:r w:rsidRPr="007A14D0">
        <w:rPr>
          <w:sz w:val="16"/>
          <w:szCs w:val="16"/>
          <w:lang w:val="es-AR"/>
        </w:rPr>
        <w:t xml:space="preserve">Lizeth Reyes-Ruiz </w:t>
      </w:r>
      <w:r w:rsidR="008C6995">
        <w:rPr>
          <w:sz w:val="16"/>
          <w:szCs w:val="16"/>
          <w:lang w:val="es-AR"/>
        </w:rPr>
        <w:t>y</w:t>
      </w:r>
      <w:r w:rsidRPr="007A14D0">
        <w:rPr>
          <w:sz w:val="16"/>
          <w:szCs w:val="16"/>
          <w:lang w:val="es-AR"/>
        </w:rPr>
        <w:t xml:space="preserve"> </w:t>
      </w:r>
      <w:proofErr w:type="spellStart"/>
      <w:r w:rsidRPr="007A14D0">
        <w:rPr>
          <w:sz w:val="16"/>
          <w:szCs w:val="16"/>
          <w:lang w:val="es-AR"/>
        </w:rPr>
        <w:t>Milgen</w:t>
      </w:r>
      <w:proofErr w:type="spellEnd"/>
      <w:r w:rsidRPr="007A14D0">
        <w:rPr>
          <w:sz w:val="16"/>
          <w:szCs w:val="16"/>
          <w:lang w:val="es-AR"/>
        </w:rPr>
        <w:t xml:space="preserve"> </w:t>
      </w:r>
      <w:proofErr w:type="spellStart"/>
      <w:r w:rsidRPr="007A14D0">
        <w:rPr>
          <w:sz w:val="16"/>
          <w:szCs w:val="16"/>
          <w:lang w:val="es-AR"/>
        </w:rPr>
        <w:t>Sanchez</w:t>
      </w:r>
      <w:proofErr w:type="spellEnd"/>
      <w:r w:rsidRPr="007A14D0">
        <w:rPr>
          <w:sz w:val="16"/>
          <w:szCs w:val="16"/>
          <w:lang w:val="es-AR"/>
        </w:rPr>
        <w:t>-Villegas</w:t>
      </w:r>
      <w:r w:rsidR="008C6995">
        <w:rPr>
          <w:sz w:val="16"/>
          <w:szCs w:val="16"/>
          <w:lang w:val="es-AR"/>
        </w:rPr>
        <w:t xml:space="preserve"> pertenecen a la </w:t>
      </w:r>
      <w:r w:rsidR="008C6995" w:rsidRPr="008C6995">
        <w:rPr>
          <w:sz w:val="16"/>
          <w:szCs w:val="16"/>
          <w:lang w:val="es-AR"/>
        </w:rPr>
        <w:t>Facultad de Ciencias Jurídicas y Sociales</w:t>
      </w:r>
      <w:r w:rsidR="008C6995">
        <w:rPr>
          <w:sz w:val="16"/>
          <w:szCs w:val="16"/>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0E886C7B" w:rsidR="0009689D" w:rsidRPr="00714485" w:rsidRDefault="003B0764" w:rsidP="00714485">
    <w:pPr>
      <w:pStyle w:val="Encabezado"/>
      <w:jc w:val="center"/>
      <w:rPr>
        <w:rFonts w:ascii="Times" w:hAnsi="Times" w:cs="Times New Roman (Body CS)"/>
        <w:b/>
        <w:bCs/>
        <w:smallCaps/>
        <w:sz w:val="20"/>
        <w:szCs w:val="20"/>
        <w:lang w:val="es-ES_tradnl"/>
      </w:rPr>
    </w:pPr>
    <w:r>
      <w:rPr>
        <w:rFonts w:ascii="Times" w:hAnsi="Times" w:cs="Times New Roman (Body CS)"/>
        <w:b/>
        <w:bCs/>
        <w:smallCaps/>
        <w:sz w:val="20"/>
        <w:szCs w:val="20"/>
        <w:lang w:val="es-AR"/>
      </w:rPr>
      <w:t>De la hoz-Granadillo</w:t>
    </w:r>
    <w:r>
      <w:rPr>
        <w:rFonts w:ascii="Times" w:hAnsi="Times" w:cs="Times New Roman (Body CS)"/>
        <w:b/>
        <w:bCs/>
        <w:smallCaps/>
        <w:sz w:val="20"/>
        <w:szCs w:val="20"/>
        <w:lang w:val="es-ES"/>
      </w:rPr>
      <w:t xml:space="preserve">, </w:t>
    </w:r>
    <w:r w:rsidR="0009689D" w:rsidRPr="009C36B8">
      <w:rPr>
        <w:rFonts w:ascii="Times" w:hAnsi="Times" w:cs="Times New Roman (Body CS)"/>
        <w:b/>
        <w:bCs/>
        <w:smallCaps/>
        <w:sz w:val="20"/>
        <w:szCs w:val="20"/>
        <w:lang w:val="es-ES"/>
      </w:rPr>
      <w:t>Reyes-Ruiz</w:t>
    </w:r>
    <w:r w:rsidR="0009689D" w:rsidRPr="009C36B8">
      <w:rPr>
        <w:rFonts w:ascii="Times" w:hAnsi="Times" w:cs="Times New Roman (Body CS)"/>
        <w:b/>
        <w:bCs/>
        <w:smallCaps/>
        <w:sz w:val="20"/>
        <w:szCs w:val="20"/>
        <w:lang w:val="es-AR"/>
      </w:rPr>
      <w:t xml:space="preserve">, </w:t>
    </w:r>
    <w:r w:rsidR="0009689D">
      <w:rPr>
        <w:rFonts w:ascii="Times" w:hAnsi="Times" w:cs="Times New Roman (Body CS)"/>
        <w:b/>
        <w:bCs/>
        <w:smallCaps/>
        <w:sz w:val="20"/>
        <w:szCs w:val="20"/>
        <w:lang w:val="es-AR"/>
      </w:rPr>
      <w:t>&amp;</w:t>
    </w:r>
    <w:r w:rsidR="0009689D" w:rsidRPr="009C36B8">
      <w:rPr>
        <w:rFonts w:ascii="Times" w:hAnsi="Times" w:cs="Times New Roman (Body CS)"/>
        <w:b/>
        <w:bCs/>
        <w:smallCaps/>
        <w:sz w:val="20"/>
        <w:szCs w:val="20"/>
        <w:lang w:val="es-AR"/>
      </w:rPr>
      <w:t xml:space="preserve"> </w:t>
    </w:r>
    <w:r w:rsidRPr="009C36B8">
      <w:rPr>
        <w:rFonts w:ascii="Times" w:hAnsi="Times" w:cs="Times New Roman (Body CS)"/>
        <w:b/>
        <w:bCs/>
        <w:smallCaps/>
        <w:sz w:val="20"/>
        <w:szCs w:val="20"/>
        <w:lang w:val="es-ES"/>
      </w:rPr>
      <w:t>Sanchez-Villegas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09689D" w:rsidRDefault="0009689D"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E388A76" w:rsidR="0009689D" w:rsidRDefault="0009689D" w:rsidP="00C413D4">
    <w:pPr>
      <w:pStyle w:val="Encabezado"/>
      <w:jc w:val="right"/>
      <w:rPr>
        <w:rFonts w:ascii="Times" w:hAnsi="Times"/>
        <w:i/>
        <w:sz w:val="18"/>
        <w:szCs w:val="18"/>
        <w:lang w:val="es-ES"/>
      </w:rPr>
    </w:pPr>
    <w:r>
      <w:rPr>
        <w:rFonts w:ascii="Times" w:hAnsi="Times"/>
        <w:i/>
        <w:sz w:val="18"/>
        <w:szCs w:val="18"/>
        <w:lang w:val="es-ES"/>
      </w:rPr>
      <w:t>2023, Vol., 57, No. 2, e1360</w:t>
    </w:r>
  </w:p>
  <w:p w14:paraId="1AAB67EA" w14:textId="77777777" w:rsidR="0009689D" w:rsidRDefault="000968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211"/>
    <w:rsid w:val="00043604"/>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47F0F"/>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7188A"/>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F7170"/>
    <w:rsid w:val="00F07162"/>
    <w:rsid w:val="00F07D24"/>
    <w:rsid w:val="00F110D9"/>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styleId="Mencinsinresolver">
    <w:name w:val="Unresolved Mention"/>
    <w:basedOn w:val="Fuentedeprrafopredeter"/>
    <w:uiPriority w:val="99"/>
    <w:semiHidden/>
    <w:unhideWhenUsed/>
    <w:rsid w:val="0004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diagramLayout" Target="diagrams/layout1.xml"/><Relationship Id="rId42" Type="http://schemas.openxmlformats.org/officeDocument/2006/relationships/hyperlink" Target="https://doi.org/10.1177/0004867415595718" TargetMode="External"/><Relationship Id="rId47" Type="http://schemas.openxmlformats.org/officeDocument/2006/relationships/hyperlink" Target="https://doi.org/10.4088/jcp.v68n1114" TargetMode="External"/><Relationship Id="rId63" Type="http://schemas.openxmlformats.org/officeDocument/2006/relationships/hyperlink" Target="https://doi.org/10.30849/ripijp.v54i1.1161" TargetMode="External"/><Relationship Id="rId68" Type="http://schemas.openxmlformats.org/officeDocument/2006/relationships/hyperlink" Target="https://iris.who.int/handle/10665/272860" TargetMode="External"/><Relationship Id="rId2" Type="http://schemas.openxmlformats.org/officeDocument/2006/relationships/styles" Target="styles.xml"/><Relationship Id="rId16" Type="http://schemas.openxmlformats.org/officeDocument/2006/relationships/hyperlink" Target="https://sipsych.org/" TargetMode="External"/><Relationship Id="rId29" Type="http://schemas.openxmlformats.org/officeDocument/2006/relationships/hyperlink" Target="https://doi.org/10.11144/Javeriana.upsy%2017-4.dvee" TargetMode="External"/><Relationship Id="rId11" Type="http://schemas.openxmlformats.org/officeDocument/2006/relationships/image" Target="media/image2.png"/><Relationship Id="rId24" Type="http://schemas.microsoft.com/office/2007/relationships/diagramDrawing" Target="diagrams/drawing1.xml"/><Relationship Id="rId32" Type="http://schemas.openxmlformats.org/officeDocument/2006/relationships/hyperlink" Target="https://psycnet.apa.org/doi/10.1080/01639625.2011.584054" TargetMode="External"/><Relationship Id="rId37" Type="http://schemas.openxmlformats.org/officeDocument/2006/relationships/hyperlink" Target="https://doi.org/10.1016/S2352-4642(18)30170-6" TargetMode="External"/><Relationship Id="rId40" Type="http://schemas.openxmlformats.org/officeDocument/2006/relationships/hyperlink" Target="https://doi.org/10.1017/S0033291713000810" TargetMode="External"/><Relationship Id="rId45" Type="http://schemas.openxmlformats.org/officeDocument/2006/relationships/hyperlink" Target="https://doi.org/10.1038/mp.2015.19" TargetMode="External"/><Relationship Id="rId53" Type="http://schemas.openxmlformats.org/officeDocument/2006/relationships/hyperlink" Target="https://doi.org/10.1016/j.jpsychires.2020.04.008" TargetMode="External"/><Relationship Id="rId58" Type="http://schemas.openxmlformats.org/officeDocument/2006/relationships/hyperlink" Target="https://doi.org/10.1080/24694193.2019.1578439" TargetMode="External"/><Relationship Id="rId66" Type="http://schemas.openxmlformats.org/officeDocument/2006/relationships/hyperlink" Target="https://doi.org/10.1017/sjp.2016.68"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5093/in2010v19n3a8" TargetMode="External"/><Relationship Id="rId19" Type="http://schemas.openxmlformats.org/officeDocument/2006/relationships/image" Target="media/image5.png"/><Relationship Id="rId14" Type="http://schemas.openxmlformats.org/officeDocument/2006/relationships/hyperlink" Target="https://orcid.org/0000-0002-3732-6499" TargetMode="External"/><Relationship Id="rId22" Type="http://schemas.openxmlformats.org/officeDocument/2006/relationships/diagramQuickStyle" Target="diagrams/quickStyle1.xml"/><Relationship Id="rId27" Type="http://schemas.openxmlformats.org/officeDocument/2006/relationships/hyperlink" Target="https://doi.org/10.1136/bmj.325.7355.74" TargetMode="External"/><Relationship Id="rId30" Type="http://schemas.openxmlformats.org/officeDocument/2006/relationships/hyperlink" Target="https://doi.org/10.1016/j.psychres.2017.05.018" TargetMode="External"/><Relationship Id="rId35" Type="http://schemas.openxmlformats.org/officeDocument/2006/relationships/hyperlink" Target="https://doi.org/10.3389/fpsyt.2018.00540" TargetMode="External"/><Relationship Id="rId43" Type="http://schemas.openxmlformats.org/officeDocument/2006/relationships/hyperlink" Target="https://doi.org/10.1093/aje/kwn017" TargetMode="External"/><Relationship Id="rId48" Type="http://schemas.openxmlformats.org/officeDocument/2006/relationships/hyperlink" Target="https://doi.org/10.1007/s00127-004-0775-z" TargetMode="External"/><Relationship Id="rId56" Type="http://schemas.openxmlformats.org/officeDocument/2006/relationships/hyperlink" Target="http://www.revhabanera.sld.cu/index.php/rhab/article/view/3441" TargetMode="External"/><Relationship Id="rId64" Type="http://schemas.openxmlformats.org/officeDocument/2006/relationships/hyperlink" Target="https://doi.org/10.1590/1516-4446-2019-0783" TargetMode="External"/><Relationship Id="rId69" Type="http://schemas.openxmlformats.org/officeDocument/2006/relationships/hyperlink" Target="https://www.who.int/news-room/fact-sheets/detail/suicide" TargetMode="External"/><Relationship Id="rId8" Type="http://schemas.openxmlformats.org/officeDocument/2006/relationships/image" Target="media/image1.png"/><Relationship Id="rId51" Type="http://schemas.openxmlformats.org/officeDocument/2006/relationships/hyperlink" Target="https://doi.org/10.1016/j.jad.2018.12.097"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orcid.org/0000-0002-9469-8387"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hyperlink" Target="https://doi.org/10.1016/j.chiabu.2014.02.008" TargetMode="External"/><Relationship Id="rId38" Type="http://schemas.openxmlformats.org/officeDocument/2006/relationships/hyperlink" Target="https://doi.org/10.1016/j.psychres.2017.06.077" TargetMode="External"/><Relationship Id="rId46" Type="http://schemas.openxmlformats.org/officeDocument/2006/relationships/hyperlink" Target="https://www.medicinalegal.gov.co/documents/20143/386932/Forensis+2018.pdf" TargetMode="External"/><Relationship Id="rId59" Type="http://schemas.openxmlformats.org/officeDocument/2006/relationships/hyperlink" Target="https://doi.org/10.1136/bmj.c3222" TargetMode="External"/><Relationship Id="rId67" Type="http://schemas.openxmlformats.org/officeDocument/2006/relationships/hyperlink" Target="https://doi.org/10.1097/NNR.0b013e3182337d83" TargetMode="External"/><Relationship Id="rId20" Type="http://schemas.openxmlformats.org/officeDocument/2006/relationships/diagramData" Target="diagrams/data1.xml"/><Relationship Id="rId41" Type="http://schemas.openxmlformats.org/officeDocument/2006/relationships/hyperlink" Target="https://doi.org/10.11606/s1518-8787.2020054001637" TargetMode="External"/><Relationship Id="rId54" Type="http://schemas.openxmlformats.org/officeDocument/2006/relationships/hyperlink" Target="https://www.minsalud.gov.co/sites/rid/Lists/BibliotecaDigital/RIDE/DE/DIJ/RESOLUCION-8430-DE-1993.PDF" TargetMode="External"/><Relationship Id="rId62" Type="http://schemas.openxmlformats.org/officeDocument/2006/relationships/hyperlink" Target="https://doi.org/10.1108/JACPR-08-2020-0535"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orcid.org/0000-0001-7389-3178" TargetMode="External"/><Relationship Id="rId23" Type="http://schemas.openxmlformats.org/officeDocument/2006/relationships/diagramColors" Target="diagrams/colors1.xml"/><Relationship Id="rId28" Type="http://schemas.openxmlformats.org/officeDocument/2006/relationships/hyperlink" Target="https://doi.org/10.1016/j.psychres.2010.03.007" TargetMode="External"/><Relationship Id="rId36" Type="http://schemas.openxmlformats.org/officeDocument/2006/relationships/hyperlink" Target="https://doi.org/10.1016/j.comppsych.2014.03.017" TargetMode="External"/><Relationship Id="rId49" Type="http://schemas.openxmlformats.org/officeDocument/2006/relationships/hyperlink" Target="https://doi.org/10.1111/ajpy.12267" TargetMode="External"/><Relationship Id="rId57" Type="http://schemas.openxmlformats.org/officeDocument/2006/relationships/hyperlink" Target="http://www.paho.org/hq/index.php?option=com_contentyview=articleyid=10114%3Anew-paho-report-more-than-7-suicides-per-hour-in-the-americasyItemid=1926ylang=es" TargetMode="External"/><Relationship Id="rId10" Type="http://schemas.openxmlformats.org/officeDocument/2006/relationships/hyperlink" Target="https://orcid.org/0000-0002-0547-4315" TargetMode="External"/><Relationship Id="rId31" Type="http://schemas.openxmlformats.org/officeDocument/2006/relationships/hyperlink" Target="https://doi.org/10.1016/j.psychres.2019.112579" TargetMode="External"/><Relationship Id="rId44" Type="http://schemas.openxmlformats.org/officeDocument/2006/relationships/hyperlink" Target="https://doi.org/10.1016/S0140-6736(12)60322-5" TargetMode="External"/><Relationship Id="rId52" Type="http://schemas.openxmlformats.org/officeDocument/2006/relationships/hyperlink" Target="https://doi.org/10.1027/0227-5910/a000508" TargetMode="External"/><Relationship Id="rId60" Type="http://schemas.openxmlformats.org/officeDocument/2006/relationships/hyperlink" Target="https://doi.org/10.1016/S2007-4719(14)70386-2" TargetMode="External"/><Relationship Id="rId65" Type="http://schemas.openxmlformats.org/officeDocument/2006/relationships/hyperlink" Target="https://doi.org/10.1136/bmj.a2205"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5196-813X" TargetMode="External"/><Relationship Id="rId13" Type="http://schemas.openxmlformats.org/officeDocument/2006/relationships/hyperlink" Target="https://orcid.org/0000-0001-6647-4696" TargetMode="External"/><Relationship Id="rId18" Type="http://schemas.openxmlformats.org/officeDocument/2006/relationships/image" Target="media/image4.svg"/><Relationship Id="rId39" Type="http://schemas.openxmlformats.org/officeDocument/2006/relationships/hyperlink" Target="https://doi.org/10.1007/978-3-319-26282-6" TargetMode="External"/><Relationship Id="rId34" Type="http://schemas.openxmlformats.org/officeDocument/2006/relationships/hyperlink" Target="https://doi.org/10.1111/j.1943-278X.1993.tb00378.x" TargetMode="External"/><Relationship Id="rId50" Type="http://schemas.openxmlformats.org/officeDocument/2006/relationships/hyperlink" Target="https://doi.org/10.1371/journal.pone.0127359" TargetMode="External"/><Relationship Id="rId55" Type="http://schemas.openxmlformats.org/officeDocument/2006/relationships/hyperlink" Target="https://www.alcaldiabogota.gov.co/sisjur/normas/Norma1.jsp?i=93348" TargetMode="External"/><Relationship Id="rId7" Type="http://schemas.openxmlformats.org/officeDocument/2006/relationships/hyperlink" Target="https://doi.org/10.30849/ripijp.v57i2.1360" TargetMode="External"/><Relationship Id="rId7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ilgen.sanchez@unisimon.edu.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frai\Dropbox\PRODUCCI&#211;N%20PAPER\produccion%202019\JULIO\Paper%20RIS\TABULACION%20%20Ideacion%20suicida%20julio%205%202019-%20para%20Efrain%20De%20la%20Hoz%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Perfil 1</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'Perfil 1'!$Q$60:$Q$65</c:f>
              <c:strCache>
                <c:ptCount val="6"/>
                <c:pt idx="0">
                  <c:v>V1</c:v>
                </c:pt>
                <c:pt idx="1">
                  <c:v>V2</c:v>
                </c:pt>
                <c:pt idx="2">
                  <c:v>V3</c:v>
                </c:pt>
                <c:pt idx="3">
                  <c:v>V4</c:v>
                </c:pt>
                <c:pt idx="4">
                  <c:v>V5</c:v>
                </c:pt>
                <c:pt idx="5">
                  <c:v>V6</c:v>
                </c:pt>
              </c:strCache>
            </c:strRef>
          </c:cat>
          <c:val>
            <c:numRef>
              <c:f>'Perfil 1'!$R$60:$R$65</c:f>
              <c:numCache>
                <c:formatCode>0.0</c:formatCode>
                <c:ptCount val="6"/>
                <c:pt idx="0">
                  <c:v>1.1143451143451144</c:v>
                </c:pt>
                <c:pt idx="1">
                  <c:v>1.1164241164241164</c:v>
                </c:pt>
                <c:pt idx="2">
                  <c:v>1.1185031185031185</c:v>
                </c:pt>
                <c:pt idx="3">
                  <c:v>1.0914760914760915</c:v>
                </c:pt>
                <c:pt idx="4">
                  <c:v>1.0790020790020789</c:v>
                </c:pt>
                <c:pt idx="5">
                  <c:v>1.2266112266112266</c:v>
                </c:pt>
              </c:numCache>
            </c:numRef>
          </c:val>
          <c:smooth val="0"/>
          <c:extLst>
            <c:ext xmlns:c16="http://schemas.microsoft.com/office/drawing/2014/chart" uri="{C3380CC4-5D6E-409C-BE32-E72D297353CC}">
              <c16:uniqueId val="{00000000-28BA-4E7C-86DE-8DF14632E2BD}"/>
            </c:ext>
          </c:extLst>
        </c:ser>
        <c:ser>
          <c:idx val="1"/>
          <c:order val="1"/>
          <c:tx>
            <c:v>Perfil 2</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'Perfil 1'!$Q$60:$Q$65</c:f>
              <c:strCache>
                <c:ptCount val="6"/>
                <c:pt idx="0">
                  <c:v>V1</c:v>
                </c:pt>
                <c:pt idx="1">
                  <c:v>V2</c:v>
                </c:pt>
                <c:pt idx="2">
                  <c:v>V3</c:v>
                </c:pt>
                <c:pt idx="3">
                  <c:v>V4</c:v>
                </c:pt>
                <c:pt idx="4">
                  <c:v>V5</c:v>
                </c:pt>
                <c:pt idx="5">
                  <c:v>V6</c:v>
                </c:pt>
              </c:strCache>
            </c:strRef>
          </c:cat>
          <c:val>
            <c:numRef>
              <c:f>'Perfil 1'!$T$60:$T$65</c:f>
              <c:numCache>
                <c:formatCode>0.0</c:formatCode>
                <c:ptCount val="6"/>
                <c:pt idx="0">
                  <c:v>2.6476190476190475</c:v>
                </c:pt>
                <c:pt idx="1">
                  <c:v>1.8285714285714285</c:v>
                </c:pt>
                <c:pt idx="2">
                  <c:v>1.9142857142857144</c:v>
                </c:pt>
                <c:pt idx="3">
                  <c:v>1.8173076923076923</c:v>
                </c:pt>
                <c:pt idx="4">
                  <c:v>2.038095238095238</c:v>
                </c:pt>
                <c:pt idx="5">
                  <c:v>3.0285714285714285</c:v>
                </c:pt>
              </c:numCache>
            </c:numRef>
          </c:val>
          <c:smooth val="0"/>
          <c:extLst>
            <c:ext xmlns:c16="http://schemas.microsoft.com/office/drawing/2014/chart" uri="{C3380CC4-5D6E-409C-BE32-E72D297353CC}">
              <c16:uniqueId val="{00000001-28BA-4E7C-86DE-8DF14632E2BD}"/>
            </c:ext>
          </c:extLst>
        </c:ser>
        <c:ser>
          <c:idx val="2"/>
          <c:order val="2"/>
          <c:tx>
            <c:v>Perfil 3</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'Perfil 1'!$Q$60:$Q$65</c:f>
              <c:strCache>
                <c:ptCount val="6"/>
                <c:pt idx="0">
                  <c:v>V1</c:v>
                </c:pt>
                <c:pt idx="1">
                  <c:v>V2</c:v>
                </c:pt>
                <c:pt idx="2">
                  <c:v>V3</c:v>
                </c:pt>
                <c:pt idx="3">
                  <c:v>V4</c:v>
                </c:pt>
                <c:pt idx="4">
                  <c:v>V5</c:v>
                </c:pt>
                <c:pt idx="5">
                  <c:v>V6</c:v>
                </c:pt>
              </c:strCache>
            </c:strRef>
          </c:cat>
          <c:val>
            <c:numRef>
              <c:f>'Perfil 1'!$V$60:$V$65</c:f>
              <c:numCache>
                <c:formatCode>0.0</c:formatCode>
                <c:ptCount val="6"/>
                <c:pt idx="0">
                  <c:v>4.7115384615384617</c:v>
                </c:pt>
                <c:pt idx="1">
                  <c:v>4.0961538461538458</c:v>
                </c:pt>
                <c:pt idx="2">
                  <c:v>4.4807692307692308</c:v>
                </c:pt>
                <c:pt idx="3">
                  <c:v>3.9423076923076925</c:v>
                </c:pt>
                <c:pt idx="4">
                  <c:v>4.4038461538461542</c:v>
                </c:pt>
                <c:pt idx="5">
                  <c:v>4.9615384615384617</c:v>
                </c:pt>
              </c:numCache>
            </c:numRef>
          </c:val>
          <c:smooth val="0"/>
          <c:extLst>
            <c:ext xmlns:c16="http://schemas.microsoft.com/office/drawing/2014/chart" uri="{C3380CC4-5D6E-409C-BE32-E72D297353CC}">
              <c16:uniqueId val="{00000002-28BA-4E7C-86DE-8DF14632E2BD}"/>
            </c:ext>
          </c:extLst>
        </c:ser>
        <c:dLbls>
          <c:showLegendKey val="0"/>
          <c:showVal val="0"/>
          <c:showCatName val="0"/>
          <c:showSerName val="0"/>
          <c:showPercent val="0"/>
          <c:showBubbleSize val="0"/>
        </c:dLbls>
        <c:marker val="1"/>
        <c:smooth val="0"/>
        <c:axId val="654228800"/>
        <c:axId val="654231424"/>
      </c:lineChart>
      <c:catAx>
        <c:axId val="65422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654231424"/>
        <c:crosses val="autoZero"/>
        <c:auto val="1"/>
        <c:lblAlgn val="ctr"/>
        <c:lblOffset val="100"/>
        <c:noMultiLvlLbl val="0"/>
      </c:catAx>
      <c:valAx>
        <c:axId val="6542314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65422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7BE151-363B-4FDF-9DAE-CB2957BF8BE6}" type="doc">
      <dgm:prSet loTypeId="urn:microsoft.com/office/officeart/2005/8/layout/bProcess3" loCatId="process" qsTypeId="urn:microsoft.com/office/officeart/2005/8/quickstyle/simple2" qsCatId="simple" csTypeId="urn:microsoft.com/office/officeart/2005/8/colors/accent0_1" csCatId="mainScheme" phldr="1"/>
      <dgm:spPr/>
      <dgm:t>
        <a:bodyPr/>
        <a:lstStyle/>
        <a:p>
          <a:endParaRPr lang="es-CO"/>
        </a:p>
      </dgm:t>
    </dgm:pt>
    <dgm:pt modelId="{FE1A6D16-3686-441F-B857-6A5F99A09D2F}">
      <dgm:prSet phldrT="[Texto]" custT="1"/>
      <dgm:spPr>
        <a:xfrm>
          <a:off x="296179" y="1857"/>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Identificación factores de Riesgo Ideación Suicida (RIS)</a:t>
          </a:r>
        </a:p>
      </dgm:t>
    </dgm:pt>
    <dgm:pt modelId="{D9FF19FD-063E-4879-BC74-C62DBEDF19AC}" type="parTrans" cxnId="{40113D09-589A-4524-8ED9-35EED4AA853F}">
      <dgm:prSet/>
      <dgm:spPr/>
      <dgm:t>
        <a:bodyPr/>
        <a:lstStyle/>
        <a:p>
          <a:endParaRPr lang="es-CO" sz="1200">
            <a:latin typeface="Times New Roman" panose="02020603050405020304" pitchFamily="18" charset="0"/>
            <a:cs typeface="Times New Roman" panose="02020603050405020304" pitchFamily="18" charset="0"/>
          </a:endParaRPr>
        </a:p>
      </dgm:t>
    </dgm:pt>
    <dgm:pt modelId="{2C344F39-2570-476B-8DAF-316C5B35F18A}" type="sibTrans" cxnId="{40113D09-589A-4524-8ED9-35EED4AA853F}">
      <dgm:prSet/>
      <dgm:spPr>
        <a:xfrm>
          <a:off x="1708842" y="380476"/>
          <a:ext cx="294726"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782FB5E-9B3D-4E26-BD1B-685EF41BDCA7}">
      <dgm:prSet phldrT="[Texto]" custT="1"/>
      <dgm:spPr>
        <a:xfrm>
          <a:off x="2035968" y="1857"/>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Aplicación de la técnica de Análisis de Conglomerados</a:t>
          </a:r>
        </a:p>
      </dgm:t>
    </dgm:pt>
    <dgm:pt modelId="{AD69325A-29B2-43B1-A6C6-4E382F1520B5}" type="parTrans" cxnId="{96EDE2F6-0936-46C0-B735-8EDE64731971}">
      <dgm:prSet/>
      <dgm:spPr/>
      <dgm:t>
        <a:bodyPr/>
        <a:lstStyle/>
        <a:p>
          <a:endParaRPr lang="es-CO" sz="1200">
            <a:latin typeface="Times New Roman" panose="02020603050405020304" pitchFamily="18" charset="0"/>
            <a:cs typeface="Times New Roman" panose="02020603050405020304" pitchFamily="18" charset="0"/>
          </a:endParaRPr>
        </a:p>
      </dgm:t>
    </dgm:pt>
    <dgm:pt modelId="{FBA640BB-943A-484F-BEE2-8F2124BF35F3}" type="sibTrans" cxnId="{96EDE2F6-0936-46C0-B735-8EDE64731971}">
      <dgm:prSet/>
      <dgm:spPr>
        <a:xfrm>
          <a:off x="3448631" y="380476"/>
          <a:ext cx="294726"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C9E638C-614C-40D9-9E6D-758860C9CC9D}">
      <dgm:prSet phldrT="[Texto]" custT="1"/>
      <dgm:spPr>
        <a:xfrm>
          <a:off x="3775757" y="1857"/>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Identificación de perfiles característicos de RIS</a:t>
          </a:r>
        </a:p>
      </dgm:t>
    </dgm:pt>
    <dgm:pt modelId="{FC9CAA3D-BC8F-420E-88FB-84AD502CDA76}" type="parTrans" cxnId="{8E44C326-959C-4A9B-91CC-4A67189B2E36}">
      <dgm:prSet/>
      <dgm:spPr/>
      <dgm:t>
        <a:bodyPr/>
        <a:lstStyle/>
        <a:p>
          <a:endParaRPr lang="es-CO" sz="1200">
            <a:latin typeface="Times New Roman" panose="02020603050405020304" pitchFamily="18" charset="0"/>
            <a:cs typeface="Times New Roman" panose="02020603050405020304" pitchFamily="18" charset="0"/>
          </a:endParaRPr>
        </a:p>
      </dgm:t>
    </dgm:pt>
    <dgm:pt modelId="{B0ACDA1C-A560-4045-BABA-C5158730720D}" type="sibTrans" cxnId="{8E44C326-959C-4A9B-91CC-4A67189B2E36}">
      <dgm:prSet/>
      <dgm:spPr>
        <a:xfrm>
          <a:off x="1003411" y="848734"/>
          <a:ext cx="3479577" cy="294726"/>
        </a:xfrm>
        <a:custGeom>
          <a:avLst/>
          <a:gdLst/>
          <a:ahLst/>
          <a:cxnLst/>
          <a:rect l="0" t="0" r="0" b="0"/>
          <a:pathLst>
            <a:path>
              <a:moveTo>
                <a:pt x="3479577" y="0"/>
              </a:moveTo>
              <a:lnTo>
                <a:pt x="3479577" y="164463"/>
              </a:lnTo>
              <a:lnTo>
                <a:pt x="0" y="164463"/>
              </a:lnTo>
              <a:lnTo>
                <a:pt x="0" y="294726"/>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23F4498-A094-483E-A16C-82932CFB040B}">
      <dgm:prSet phldrT="[Texto]" custT="1"/>
      <dgm:spPr>
        <a:xfrm>
          <a:off x="296179" y="2349865"/>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Validación del método</a:t>
          </a:r>
        </a:p>
      </dgm:t>
    </dgm:pt>
    <dgm:pt modelId="{DF1D894C-B44F-418A-ADB3-22A18D8213D7}" type="parTrans" cxnId="{F00474A8-4818-4C37-85C6-467DE5D95E58}">
      <dgm:prSet/>
      <dgm:spPr/>
      <dgm:t>
        <a:bodyPr/>
        <a:lstStyle/>
        <a:p>
          <a:endParaRPr lang="es-CO" sz="1200">
            <a:latin typeface="Times New Roman" panose="02020603050405020304" pitchFamily="18" charset="0"/>
            <a:cs typeface="Times New Roman" panose="02020603050405020304" pitchFamily="18" charset="0"/>
          </a:endParaRPr>
        </a:p>
      </dgm:t>
    </dgm:pt>
    <dgm:pt modelId="{2CC92614-6423-4C93-8E21-BE6E4AF1474D}" type="sibTrans" cxnId="{F00474A8-4818-4C37-85C6-467DE5D95E58}">
      <dgm:prSet/>
      <dgm:spPr>
        <a:xfrm>
          <a:off x="1708842" y="2728483"/>
          <a:ext cx="294726"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38F73D6-2077-487E-B64C-28074191FDB0}">
      <dgm:prSet custT="1"/>
      <dgm:spPr>
        <a:xfrm>
          <a:off x="2035968" y="1175861"/>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Aplicación de la técnica de Red Neuronal Artificial (RNA)</a:t>
          </a:r>
        </a:p>
      </dgm:t>
    </dgm:pt>
    <dgm:pt modelId="{2374B681-963E-4354-A9BF-78430BC4BEE4}" type="parTrans" cxnId="{E110CD3F-CF34-4CDA-97FA-ADBC6647A0DC}">
      <dgm:prSet/>
      <dgm:spPr/>
      <dgm:t>
        <a:bodyPr/>
        <a:lstStyle/>
        <a:p>
          <a:endParaRPr lang="es-CO" sz="1200">
            <a:latin typeface="Times New Roman" panose="02020603050405020304" pitchFamily="18" charset="0"/>
            <a:cs typeface="Times New Roman" panose="02020603050405020304" pitchFamily="18" charset="0"/>
          </a:endParaRPr>
        </a:p>
      </dgm:t>
    </dgm:pt>
    <dgm:pt modelId="{A362F5E3-71CE-4E34-A1BA-EA6B0791DBD6}" type="sibTrans" cxnId="{E110CD3F-CF34-4CDA-97FA-ADBC6647A0DC}">
      <dgm:prSet/>
      <dgm:spPr>
        <a:xfrm>
          <a:off x="3448631" y="1554480"/>
          <a:ext cx="294726"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592F63-D9BF-4E01-AB98-1087A4A7C2F5}">
      <dgm:prSet custT="1"/>
      <dgm:spPr>
        <a:xfrm>
          <a:off x="296179" y="1175861"/>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Valoración de niveles de RIS</a:t>
          </a:r>
        </a:p>
      </dgm:t>
    </dgm:pt>
    <dgm:pt modelId="{51B4B65B-FC9F-449E-AEE7-1E09B1957AFC}" type="parTrans" cxnId="{8CEF55E6-7189-4AC0-81F8-FA163CF29F8F}">
      <dgm:prSet/>
      <dgm:spPr/>
      <dgm:t>
        <a:bodyPr/>
        <a:lstStyle/>
        <a:p>
          <a:endParaRPr lang="es-CO" sz="1200">
            <a:latin typeface="Times New Roman" panose="02020603050405020304" pitchFamily="18" charset="0"/>
            <a:cs typeface="Times New Roman" panose="02020603050405020304" pitchFamily="18" charset="0"/>
          </a:endParaRPr>
        </a:p>
      </dgm:t>
    </dgm:pt>
    <dgm:pt modelId="{E0D8C383-0F69-41B8-ADAF-E13C4184D170}" type="sibTrans" cxnId="{8CEF55E6-7189-4AC0-81F8-FA163CF29F8F}">
      <dgm:prSet/>
      <dgm:spPr>
        <a:xfrm>
          <a:off x="1708842" y="1554480"/>
          <a:ext cx="294726"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2C1357C-DD7E-4D24-93A5-A7FDD8246A8C}">
      <dgm:prSet custT="1"/>
      <dgm:spPr>
        <a:xfrm>
          <a:off x="3775757" y="1175861"/>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Valoración de capacidad predictiva de la RNA</a:t>
          </a:r>
        </a:p>
      </dgm:t>
    </dgm:pt>
    <dgm:pt modelId="{0DC9C8CD-CE3D-49FC-BA19-6AACA7743D30}" type="parTrans" cxnId="{617F7387-717B-433D-96FC-55B063893B5C}">
      <dgm:prSet/>
      <dgm:spPr/>
      <dgm:t>
        <a:bodyPr/>
        <a:lstStyle/>
        <a:p>
          <a:endParaRPr lang="es-CO" sz="1200">
            <a:latin typeface="Times New Roman" panose="02020603050405020304" pitchFamily="18" charset="0"/>
            <a:cs typeface="Times New Roman" panose="02020603050405020304" pitchFamily="18" charset="0"/>
          </a:endParaRPr>
        </a:p>
      </dgm:t>
    </dgm:pt>
    <dgm:pt modelId="{738FC1DF-95AA-4A15-9010-2A648ED64F05}" type="sibTrans" cxnId="{617F7387-717B-433D-96FC-55B063893B5C}">
      <dgm:prSet/>
      <dgm:spPr>
        <a:xfrm>
          <a:off x="1003411" y="2022738"/>
          <a:ext cx="3479577" cy="294726"/>
        </a:xfrm>
        <a:custGeom>
          <a:avLst/>
          <a:gdLst/>
          <a:ahLst/>
          <a:cxnLst/>
          <a:rect l="0" t="0" r="0" b="0"/>
          <a:pathLst>
            <a:path>
              <a:moveTo>
                <a:pt x="3479577" y="0"/>
              </a:moveTo>
              <a:lnTo>
                <a:pt x="3479577" y="164463"/>
              </a:lnTo>
              <a:lnTo>
                <a:pt x="0" y="164463"/>
              </a:lnTo>
              <a:lnTo>
                <a:pt x="0" y="294726"/>
              </a:lnTo>
            </a:path>
          </a:pathLst>
        </a:custGeom>
        <a:noFill/>
        <a:ln w="6350" cap="flat" cmpd="sng" algn="ctr">
          <a:solidFill>
            <a:sysClr val="windowText" lastClr="000000">
              <a:hueOff val="0"/>
              <a:satOff val="0"/>
              <a:lumOff val="0"/>
              <a:alphaOff val="0"/>
            </a:sysClr>
          </a:solidFill>
          <a:prstDash val="solid"/>
          <a:miter lim="800000"/>
          <a:tailEnd type="arrow"/>
        </a:ln>
        <a:effectLst/>
      </dgm:spPr>
      <dgm:t>
        <a:bodyPr/>
        <a:lstStyle/>
        <a:p>
          <a:pPr>
            <a:buNone/>
          </a:pPr>
          <a:endPar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231AB78-F2BC-4E74-AB9E-1D84368D1881}">
      <dgm:prSet custT="1"/>
      <dgm:spPr>
        <a:xfrm>
          <a:off x="2035968" y="2349865"/>
          <a:ext cx="1414462" cy="848677"/>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O"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Modelo de Diagnóstico de RIS</a:t>
          </a:r>
        </a:p>
      </dgm:t>
    </dgm:pt>
    <dgm:pt modelId="{E9EF87B2-33A8-4D42-8BF2-6E5EC48FB0AA}" type="parTrans" cxnId="{7C1EEEBA-2070-4366-928C-7358B2EAE82F}">
      <dgm:prSet/>
      <dgm:spPr/>
      <dgm:t>
        <a:bodyPr/>
        <a:lstStyle/>
        <a:p>
          <a:endParaRPr lang="es-CO" sz="1200">
            <a:latin typeface="Times New Roman" panose="02020603050405020304" pitchFamily="18" charset="0"/>
            <a:cs typeface="Times New Roman" panose="02020603050405020304" pitchFamily="18" charset="0"/>
          </a:endParaRPr>
        </a:p>
      </dgm:t>
    </dgm:pt>
    <dgm:pt modelId="{4922C599-F816-4F8B-AAA4-F416E0B1507A}" type="sibTrans" cxnId="{7C1EEEBA-2070-4366-928C-7358B2EAE82F}">
      <dgm:prSet/>
      <dgm:spPr/>
      <dgm:t>
        <a:bodyPr/>
        <a:lstStyle/>
        <a:p>
          <a:endParaRPr lang="es-CO" sz="1200">
            <a:latin typeface="Times New Roman" panose="02020603050405020304" pitchFamily="18" charset="0"/>
            <a:cs typeface="Times New Roman" panose="02020603050405020304" pitchFamily="18" charset="0"/>
          </a:endParaRPr>
        </a:p>
      </dgm:t>
    </dgm:pt>
    <dgm:pt modelId="{8EB045D1-DC91-4C98-8AEA-E9FC7E63ECC6}" type="pres">
      <dgm:prSet presAssocID="{AA7BE151-363B-4FDF-9DAE-CB2957BF8BE6}" presName="Name0" presStyleCnt="0">
        <dgm:presLayoutVars>
          <dgm:dir/>
          <dgm:resizeHandles val="exact"/>
        </dgm:presLayoutVars>
      </dgm:prSet>
      <dgm:spPr/>
    </dgm:pt>
    <dgm:pt modelId="{BE15E75D-E317-4F42-A2CB-BDBD7433B7B8}" type="pres">
      <dgm:prSet presAssocID="{FE1A6D16-3686-441F-B857-6A5F99A09D2F}" presName="node" presStyleLbl="node1" presStyleIdx="0" presStyleCnt="8">
        <dgm:presLayoutVars>
          <dgm:bulletEnabled val="1"/>
        </dgm:presLayoutVars>
      </dgm:prSet>
      <dgm:spPr/>
    </dgm:pt>
    <dgm:pt modelId="{93B5D242-13E7-4752-81DA-97DE0B25770A}" type="pres">
      <dgm:prSet presAssocID="{2C344F39-2570-476B-8DAF-316C5B35F18A}" presName="sibTrans" presStyleLbl="sibTrans1D1" presStyleIdx="0" presStyleCnt="7"/>
      <dgm:spPr/>
    </dgm:pt>
    <dgm:pt modelId="{70F20698-69D7-48F0-AB07-CF797B64EC28}" type="pres">
      <dgm:prSet presAssocID="{2C344F39-2570-476B-8DAF-316C5B35F18A}" presName="connectorText" presStyleLbl="sibTrans1D1" presStyleIdx="0" presStyleCnt="7"/>
      <dgm:spPr/>
    </dgm:pt>
    <dgm:pt modelId="{3EC698D4-A8DC-4AC4-9BD6-B52124A94AE1}" type="pres">
      <dgm:prSet presAssocID="{8782FB5E-9B3D-4E26-BD1B-685EF41BDCA7}" presName="node" presStyleLbl="node1" presStyleIdx="1" presStyleCnt="8">
        <dgm:presLayoutVars>
          <dgm:bulletEnabled val="1"/>
        </dgm:presLayoutVars>
      </dgm:prSet>
      <dgm:spPr/>
    </dgm:pt>
    <dgm:pt modelId="{ABD943D1-8392-4856-A885-604EF964658A}" type="pres">
      <dgm:prSet presAssocID="{FBA640BB-943A-484F-BEE2-8F2124BF35F3}" presName="sibTrans" presStyleLbl="sibTrans1D1" presStyleIdx="1" presStyleCnt="7"/>
      <dgm:spPr/>
    </dgm:pt>
    <dgm:pt modelId="{883ED016-06E9-4B19-9481-4BC08035D002}" type="pres">
      <dgm:prSet presAssocID="{FBA640BB-943A-484F-BEE2-8F2124BF35F3}" presName="connectorText" presStyleLbl="sibTrans1D1" presStyleIdx="1" presStyleCnt="7"/>
      <dgm:spPr/>
    </dgm:pt>
    <dgm:pt modelId="{C8261B8D-1B71-4C9D-9233-AD0874A0E3B1}" type="pres">
      <dgm:prSet presAssocID="{8C9E638C-614C-40D9-9E6D-758860C9CC9D}" presName="node" presStyleLbl="node1" presStyleIdx="2" presStyleCnt="8">
        <dgm:presLayoutVars>
          <dgm:bulletEnabled val="1"/>
        </dgm:presLayoutVars>
      </dgm:prSet>
      <dgm:spPr/>
    </dgm:pt>
    <dgm:pt modelId="{E0D4C0FB-27A3-445B-89E3-4E975E9BA6DC}" type="pres">
      <dgm:prSet presAssocID="{B0ACDA1C-A560-4045-BABA-C5158730720D}" presName="sibTrans" presStyleLbl="sibTrans1D1" presStyleIdx="2" presStyleCnt="7"/>
      <dgm:spPr/>
    </dgm:pt>
    <dgm:pt modelId="{FD6F6DFF-F1A7-4190-8246-F907673901B0}" type="pres">
      <dgm:prSet presAssocID="{B0ACDA1C-A560-4045-BABA-C5158730720D}" presName="connectorText" presStyleLbl="sibTrans1D1" presStyleIdx="2" presStyleCnt="7"/>
      <dgm:spPr/>
    </dgm:pt>
    <dgm:pt modelId="{E00B3535-62AE-48F7-9782-6643D9FCA35F}" type="pres">
      <dgm:prSet presAssocID="{64592F63-D9BF-4E01-AB98-1087A4A7C2F5}" presName="node" presStyleLbl="node1" presStyleIdx="3" presStyleCnt="8">
        <dgm:presLayoutVars>
          <dgm:bulletEnabled val="1"/>
        </dgm:presLayoutVars>
      </dgm:prSet>
      <dgm:spPr/>
    </dgm:pt>
    <dgm:pt modelId="{10E58A91-745F-45EC-9B7A-B99BD36305B4}" type="pres">
      <dgm:prSet presAssocID="{E0D8C383-0F69-41B8-ADAF-E13C4184D170}" presName="sibTrans" presStyleLbl="sibTrans1D1" presStyleIdx="3" presStyleCnt="7"/>
      <dgm:spPr/>
    </dgm:pt>
    <dgm:pt modelId="{3D6F4E3A-413B-4E26-8FC8-5EA42100F5FB}" type="pres">
      <dgm:prSet presAssocID="{E0D8C383-0F69-41B8-ADAF-E13C4184D170}" presName="connectorText" presStyleLbl="sibTrans1D1" presStyleIdx="3" presStyleCnt="7"/>
      <dgm:spPr/>
    </dgm:pt>
    <dgm:pt modelId="{2C54C5A6-BFE5-4167-9E3C-B5D04C9FD3A9}" type="pres">
      <dgm:prSet presAssocID="{D38F73D6-2077-487E-B64C-28074191FDB0}" presName="node" presStyleLbl="node1" presStyleIdx="4" presStyleCnt="8">
        <dgm:presLayoutVars>
          <dgm:bulletEnabled val="1"/>
        </dgm:presLayoutVars>
      </dgm:prSet>
      <dgm:spPr/>
    </dgm:pt>
    <dgm:pt modelId="{8395EBFF-B947-4213-8DC3-9585837C07E6}" type="pres">
      <dgm:prSet presAssocID="{A362F5E3-71CE-4E34-A1BA-EA6B0791DBD6}" presName="sibTrans" presStyleLbl="sibTrans1D1" presStyleIdx="4" presStyleCnt="7"/>
      <dgm:spPr/>
    </dgm:pt>
    <dgm:pt modelId="{E9E767CF-99AA-4BAC-8893-758E13F610DF}" type="pres">
      <dgm:prSet presAssocID="{A362F5E3-71CE-4E34-A1BA-EA6B0791DBD6}" presName="connectorText" presStyleLbl="sibTrans1D1" presStyleIdx="4" presStyleCnt="7"/>
      <dgm:spPr/>
    </dgm:pt>
    <dgm:pt modelId="{BC4A56B2-F705-4A1F-952F-89BFD630E329}" type="pres">
      <dgm:prSet presAssocID="{C2C1357C-DD7E-4D24-93A5-A7FDD8246A8C}" presName="node" presStyleLbl="node1" presStyleIdx="5" presStyleCnt="8">
        <dgm:presLayoutVars>
          <dgm:bulletEnabled val="1"/>
        </dgm:presLayoutVars>
      </dgm:prSet>
      <dgm:spPr/>
    </dgm:pt>
    <dgm:pt modelId="{8C31B75C-3BF4-4945-B1A8-AACF71DF5A2F}" type="pres">
      <dgm:prSet presAssocID="{738FC1DF-95AA-4A15-9010-2A648ED64F05}" presName="sibTrans" presStyleLbl="sibTrans1D1" presStyleIdx="5" presStyleCnt="7"/>
      <dgm:spPr/>
    </dgm:pt>
    <dgm:pt modelId="{5CB1B3C2-ECC3-412A-A0F2-B4F5796B130B}" type="pres">
      <dgm:prSet presAssocID="{738FC1DF-95AA-4A15-9010-2A648ED64F05}" presName="connectorText" presStyleLbl="sibTrans1D1" presStyleIdx="5" presStyleCnt="7"/>
      <dgm:spPr/>
    </dgm:pt>
    <dgm:pt modelId="{1E587063-A3B0-4B81-8B60-192F7E62B5AA}" type="pres">
      <dgm:prSet presAssocID="{923F4498-A094-483E-A16C-82932CFB040B}" presName="node" presStyleLbl="node1" presStyleIdx="6" presStyleCnt="8">
        <dgm:presLayoutVars>
          <dgm:bulletEnabled val="1"/>
        </dgm:presLayoutVars>
      </dgm:prSet>
      <dgm:spPr/>
    </dgm:pt>
    <dgm:pt modelId="{D75FF98E-7DAD-4652-998E-22B828AA9656}" type="pres">
      <dgm:prSet presAssocID="{2CC92614-6423-4C93-8E21-BE6E4AF1474D}" presName="sibTrans" presStyleLbl="sibTrans1D1" presStyleIdx="6" presStyleCnt="7"/>
      <dgm:spPr/>
    </dgm:pt>
    <dgm:pt modelId="{88A8017C-37E8-41F0-B164-D799460DE24F}" type="pres">
      <dgm:prSet presAssocID="{2CC92614-6423-4C93-8E21-BE6E4AF1474D}" presName="connectorText" presStyleLbl="sibTrans1D1" presStyleIdx="6" presStyleCnt="7"/>
      <dgm:spPr/>
    </dgm:pt>
    <dgm:pt modelId="{B9D72A26-065E-4050-8F4F-52C547122138}" type="pres">
      <dgm:prSet presAssocID="{E231AB78-F2BC-4E74-AB9E-1D84368D1881}" presName="node" presStyleLbl="node1" presStyleIdx="7" presStyleCnt="8">
        <dgm:presLayoutVars>
          <dgm:bulletEnabled val="1"/>
        </dgm:presLayoutVars>
      </dgm:prSet>
      <dgm:spPr/>
    </dgm:pt>
  </dgm:ptLst>
  <dgm:cxnLst>
    <dgm:cxn modelId="{E23FC006-F906-4BC1-B4E7-0A8D1039BB86}" type="presOf" srcId="{738FC1DF-95AA-4A15-9010-2A648ED64F05}" destId="{5CB1B3C2-ECC3-412A-A0F2-B4F5796B130B}" srcOrd="1" destOrd="0" presId="urn:microsoft.com/office/officeart/2005/8/layout/bProcess3"/>
    <dgm:cxn modelId="{40113D09-589A-4524-8ED9-35EED4AA853F}" srcId="{AA7BE151-363B-4FDF-9DAE-CB2957BF8BE6}" destId="{FE1A6D16-3686-441F-B857-6A5F99A09D2F}" srcOrd="0" destOrd="0" parTransId="{D9FF19FD-063E-4879-BC74-C62DBEDF19AC}" sibTransId="{2C344F39-2570-476B-8DAF-316C5B35F18A}"/>
    <dgm:cxn modelId="{E2A9EB14-2A22-4629-8F85-2569C4F81B37}" type="presOf" srcId="{2CC92614-6423-4C93-8E21-BE6E4AF1474D}" destId="{88A8017C-37E8-41F0-B164-D799460DE24F}" srcOrd="1" destOrd="0" presId="urn:microsoft.com/office/officeart/2005/8/layout/bProcess3"/>
    <dgm:cxn modelId="{E5E05317-EB65-40DC-8018-94D9FD0E1C93}" type="presOf" srcId="{2C344F39-2570-476B-8DAF-316C5B35F18A}" destId="{93B5D242-13E7-4752-81DA-97DE0B25770A}" srcOrd="0" destOrd="0" presId="urn:microsoft.com/office/officeart/2005/8/layout/bProcess3"/>
    <dgm:cxn modelId="{DFE9C125-59F5-4AC6-A9DB-DD8E26629F77}" type="presOf" srcId="{FE1A6D16-3686-441F-B857-6A5F99A09D2F}" destId="{BE15E75D-E317-4F42-A2CB-BDBD7433B7B8}" srcOrd="0" destOrd="0" presId="urn:microsoft.com/office/officeart/2005/8/layout/bProcess3"/>
    <dgm:cxn modelId="{8E44C326-959C-4A9B-91CC-4A67189B2E36}" srcId="{AA7BE151-363B-4FDF-9DAE-CB2957BF8BE6}" destId="{8C9E638C-614C-40D9-9E6D-758860C9CC9D}" srcOrd="2" destOrd="0" parTransId="{FC9CAA3D-BC8F-420E-88FB-84AD502CDA76}" sibTransId="{B0ACDA1C-A560-4045-BABA-C5158730720D}"/>
    <dgm:cxn modelId="{14AA0427-AC8E-44DA-BBA5-9DA099E73C22}" type="presOf" srcId="{A362F5E3-71CE-4E34-A1BA-EA6B0791DBD6}" destId="{8395EBFF-B947-4213-8DC3-9585837C07E6}" srcOrd="0" destOrd="0" presId="urn:microsoft.com/office/officeart/2005/8/layout/bProcess3"/>
    <dgm:cxn modelId="{4FBA9C32-D359-4C1F-8956-412CB8C406EC}" type="presOf" srcId="{FBA640BB-943A-484F-BEE2-8F2124BF35F3}" destId="{883ED016-06E9-4B19-9481-4BC08035D002}" srcOrd="1" destOrd="0" presId="urn:microsoft.com/office/officeart/2005/8/layout/bProcess3"/>
    <dgm:cxn modelId="{9B0BBE33-E1A5-4B90-B651-2472193E6D5A}" type="presOf" srcId="{E231AB78-F2BC-4E74-AB9E-1D84368D1881}" destId="{B9D72A26-065E-4050-8F4F-52C547122138}" srcOrd="0" destOrd="0" presId="urn:microsoft.com/office/officeart/2005/8/layout/bProcess3"/>
    <dgm:cxn modelId="{6151023F-F3FB-4366-8354-578EEC614980}" type="presOf" srcId="{8782FB5E-9B3D-4E26-BD1B-685EF41BDCA7}" destId="{3EC698D4-A8DC-4AC4-9BD6-B52124A94AE1}" srcOrd="0" destOrd="0" presId="urn:microsoft.com/office/officeart/2005/8/layout/bProcess3"/>
    <dgm:cxn modelId="{E110CD3F-CF34-4CDA-97FA-ADBC6647A0DC}" srcId="{AA7BE151-363B-4FDF-9DAE-CB2957BF8BE6}" destId="{D38F73D6-2077-487E-B64C-28074191FDB0}" srcOrd="4" destOrd="0" parTransId="{2374B681-963E-4354-A9BF-78430BC4BEE4}" sibTransId="{A362F5E3-71CE-4E34-A1BA-EA6B0791DBD6}"/>
    <dgm:cxn modelId="{CDCEC74B-DA95-449B-BDBA-8813C6018578}" type="presOf" srcId="{C2C1357C-DD7E-4D24-93A5-A7FDD8246A8C}" destId="{BC4A56B2-F705-4A1F-952F-89BFD630E329}" srcOrd="0" destOrd="0" presId="urn:microsoft.com/office/officeart/2005/8/layout/bProcess3"/>
    <dgm:cxn modelId="{ED99A958-83D7-4FE0-A34E-56D0633BBBC9}" type="presOf" srcId="{2C344F39-2570-476B-8DAF-316C5B35F18A}" destId="{70F20698-69D7-48F0-AB07-CF797B64EC28}" srcOrd="1" destOrd="0" presId="urn:microsoft.com/office/officeart/2005/8/layout/bProcess3"/>
    <dgm:cxn modelId="{886B006A-238C-44BE-A532-E8F59153740D}" type="presOf" srcId="{8C9E638C-614C-40D9-9E6D-758860C9CC9D}" destId="{C8261B8D-1B71-4C9D-9233-AD0874A0E3B1}" srcOrd="0" destOrd="0" presId="urn:microsoft.com/office/officeart/2005/8/layout/bProcess3"/>
    <dgm:cxn modelId="{FAA90776-F3B6-464C-8D13-79127A032A77}" type="presOf" srcId="{FBA640BB-943A-484F-BEE2-8F2124BF35F3}" destId="{ABD943D1-8392-4856-A885-604EF964658A}" srcOrd="0" destOrd="0" presId="urn:microsoft.com/office/officeart/2005/8/layout/bProcess3"/>
    <dgm:cxn modelId="{9A4BCA84-B1AD-4242-BF1D-2E0404FE5845}" type="presOf" srcId="{D38F73D6-2077-487E-B64C-28074191FDB0}" destId="{2C54C5A6-BFE5-4167-9E3C-B5D04C9FD3A9}" srcOrd="0" destOrd="0" presId="urn:microsoft.com/office/officeart/2005/8/layout/bProcess3"/>
    <dgm:cxn modelId="{617F7387-717B-433D-96FC-55B063893B5C}" srcId="{AA7BE151-363B-4FDF-9DAE-CB2957BF8BE6}" destId="{C2C1357C-DD7E-4D24-93A5-A7FDD8246A8C}" srcOrd="5" destOrd="0" parTransId="{0DC9C8CD-CE3D-49FC-BA19-6AACA7743D30}" sibTransId="{738FC1DF-95AA-4A15-9010-2A648ED64F05}"/>
    <dgm:cxn modelId="{BCE30390-1505-4AE8-8C9F-F3F1BEE72621}" type="presOf" srcId="{A362F5E3-71CE-4E34-A1BA-EA6B0791DBD6}" destId="{E9E767CF-99AA-4BAC-8893-758E13F610DF}" srcOrd="1" destOrd="0" presId="urn:microsoft.com/office/officeart/2005/8/layout/bProcess3"/>
    <dgm:cxn modelId="{46D365A8-F358-481A-8E67-AE43222143A8}" type="presOf" srcId="{64592F63-D9BF-4E01-AB98-1087A4A7C2F5}" destId="{E00B3535-62AE-48F7-9782-6643D9FCA35F}" srcOrd="0" destOrd="0" presId="urn:microsoft.com/office/officeart/2005/8/layout/bProcess3"/>
    <dgm:cxn modelId="{F00474A8-4818-4C37-85C6-467DE5D95E58}" srcId="{AA7BE151-363B-4FDF-9DAE-CB2957BF8BE6}" destId="{923F4498-A094-483E-A16C-82932CFB040B}" srcOrd="6" destOrd="0" parTransId="{DF1D894C-B44F-418A-ADB3-22A18D8213D7}" sibTransId="{2CC92614-6423-4C93-8E21-BE6E4AF1474D}"/>
    <dgm:cxn modelId="{58D502A9-9425-43D1-80C6-627C252C7DBE}" type="presOf" srcId="{B0ACDA1C-A560-4045-BABA-C5158730720D}" destId="{E0D4C0FB-27A3-445B-89E3-4E975E9BA6DC}" srcOrd="0" destOrd="0" presId="urn:microsoft.com/office/officeart/2005/8/layout/bProcess3"/>
    <dgm:cxn modelId="{F268C7AA-2C83-4B03-82EB-FC5D6BE2A73C}" type="presOf" srcId="{AA7BE151-363B-4FDF-9DAE-CB2957BF8BE6}" destId="{8EB045D1-DC91-4C98-8AEA-E9FC7E63ECC6}" srcOrd="0" destOrd="0" presId="urn:microsoft.com/office/officeart/2005/8/layout/bProcess3"/>
    <dgm:cxn modelId="{305E8AB7-7991-486B-8578-3F81D9D369DB}" type="presOf" srcId="{E0D8C383-0F69-41B8-ADAF-E13C4184D170}" destId="{3D6F4E3A-413B-4E26-8FC8-5EA42100F5FB}" srcOrd="1" destOrd="0" presId="urn:microsoft.com/office/officeart/2005/8/layout/bProcess3"/>
    <dgm:cxn modelId="{7C1EEEBA-2070-4366-928C-7358B2EAE82F}" srcId="{AA7BE151-363B-4FDF-9DAE-CB2957BF8BE6}" destId="{E231AB78-F2BC-4E74-AB9E-1D84368D1881}" srcOrd="7" destOrd="0" parTransId="{E9EF87B2-33A8-4D42-8BF2-6E5EC48FB0AA}" sibTransId="{4922C599-F816-4F8B-AAA4-F416E0B1507A}"/>
    <dgm:cxn modelId="{91E242BB-4BBF-4C1D-9584-FF6400CF0C57}" type="presOf" srcId="{B0ACDA1C-A560-4045-BABA-C5158730720D}" destId="{FD6F6DFF-F1A7-4190-8246-F907673901B0}" srcOrd="1" destOrd="0" presId="urn:microsoft.com/office/officeart/2005/8/layout/bProcess3"/>
    <dgm:cxn modelId="{AEB37ABF-31E6-4294-AB1A-17C3FEF5FBF5}" type="presOf" srcId="{738FC1DF-95AA-4A15-9010-2A648ED64F05}" destId="{8C31B75C-3BF4-4945-B1A8-AACF71DF5A2F}" srcOrd="0" destOrd="0" presId="urn:microsoft.com/office/officeart/2005/8/layout/bProcess3"/>
    <dgm:cxn modelId="{62ED64CC-908D-4922-944D-9182F7AB9649}" type="presOf" srcId="{923F4498-A094-483E-A16C-82932CFB040B}" destId="{1E587063-A3B0-4B81-8B60-192F7E62B5AA}" srcOrd="0" destOrd="0" presId="urn:microsoft.com/office/officeart/2005/8/layout/bProcess3"/>
    <dgm:cxn modelId="{8CEF55E6-7189-4AC0-81F8-FA163CF29F8F}" srcId="{AA7BE151-363B-4FDF-9DAE-CB2957BF8BE6}" destId="{64592F63-D9BF-4E01-AB98-1087A4A7C2F5}" srcOrd="3" destOrd="0" parTransId="{51B4B65B-FC9F-449E-AEE7-1E09B1957AFC}" sibTransId="{E0D8C383-0F69-41B8-ADAF-E13C4184D170}"/>
    <dgm:cxn modelId="{927D73EA-53D4-4918-92BA-EDABB1410896}" type="presOf" srcId="{2CC92614-6423-4C93-8E21-BE6E4AF1474D}" destId="{D75FF98E-7DAD-4652-998E-22B828AA9656}" srcOrd="0" destOrd="0" presId="urn:microsoft.com/office/officeart/2005/8/layout/bProcess3"/>
    <dgm:cxn modelId="{F0F08AF1-6234-4FAF-A015-9D46580C02C9}" type="presOf" srcId="{E0D8C383-0F69-41B8-ADAF-E13C4184D170}" destId="{10E58A91-745F-45EC-9B7A-B99BD36305B4}" srcOrd="0" destOrd="0" presId="urn:microsoft.com/office/officeart/2005/8/layout/bProcess3"/>
    <dgm:cxn modelId="{96EDE2F6-0936-46C0-B735-8EDE64731971}" srcId="{AA7BE151-363B-4FDF-9DAE-CB2957BF8BE6}" destId="{8782FB5E-9B3D-4E26-BD1B-685EF41BDCA7}" srcOrd="1" destOrd="0" parTransId="{AD69325A-29B2-43B1-A6C6-4E382F1520B5}" sibTransId="{FBA640BB-943A-484F-BEE2-8F2124BF35F3}"/>
    <dgm:cxn modelId="{DA03D2B4-686C-49DA-A8AB-80FAB34777CB}" type="presParOf" srcId="{8EB045D1-DC91-4C98-8AEA-E9FC7E63ECC6}" destId="{BE15E75D-E317-4F42-A2CB-BDBD7433B7B8}" srcOrd="0" destOrd="0" presId="urn:microsoft.com/office/officeart/2005/8/layout/bProcess3"/>
    <dgm:cxn modelId="{6BA18F5B-01C3-4E88-BBAD-1120B8F450B1}" type="presParOf" srcId="{8EB045D1-DC91-4C98-8AEA-E9FC7E63ECC6}" destId="{93B5D242-13E7-4752-81DA-97DE0B25770A}" srcOrd="1" destOrd="0" presId="urn:microsoft.com/office/officeart/2005/8/layout/bProcess3"/>
    <dgm:cxn modelId="{7824615C-5817-451A-A0D9-0F6A8544B486}" type="presParOf" srcId="{93B5D242-13E7-4752-81DA-97DE0B25770A}" destId="{70F20698-69D7-48F0-AB07-CF797B64EC28}" srcOrd="0" destOrd="0" presId="urn:microsoft.com/office/officeart/2005/8/layout/bProcess3"/>
    <dgm:cxn modelId="{D035D851-6DA0-47FE-9AC3-8DB9DAB7C088}" type="presParOf" srcId="{8EB045D1-DC91-4C98-8AEA-E9FC7E63ECC6}" destId="{3EC698D4-A8DC-4AC4-9BD6-B52124A94AE1}" srcOrd="2" destOrd="0" presId="urn:microsoft.com/office/officeart/2005/8/layout/bProcess3"/>
    <dgm:cxn modelId="{92CE61D9-7740-460E-9CF1-C40FFE09A890}" type="presParOf" srcId="{8EB045D1-DC91-4C98-8AEA-E9FC7E63ECC6}" destId="{ABD943D1-8392-4856-A885-604EF964658A}" srcOrd="3" destOrd="0" presId="urn:microsoft.com/office/officeart/2005/8/layout/bProcess3"/>
    <dgm:cxn modelId="{470420E2-CB0F-4DA4-A901-9D2F354FD08F}" type="presParOf" srcId="{ABD943D1-8392-4856-A885-604EF964658A}" destId="{883ED016-06E9-4B19-9481-4BC08035D002}" srcOrd="0" destOrd="0" presId="urn:microsoft.com/office/officeart/2005/8/layout/bProcess3"/>
    <dgm:cxn modelId="{DC914E47-147C-44B7-A023-D67C9E5E4E70}" type="presParOf" srcId="{8EB045D1-DC91-4C98-8AEA-E9FC7E63ECC6}" destId="{C8261B8D-1B71-4C9D-9233-AD0874A0E3B1}" srcOrd="4" destOrd="0" presId="urn:microsoft.com/office/officeart/2005/8/layout/bProcess3"/>
    <dgm:cxn modelId="{942A3E5D-B5DE-4448-906F-E2D209DB3C69}" type="presParOf" srcId="{8EB045D1-DC91-4C98-8AEA-E9FC7E63ECC6}" destId="{E0D4C0FB-27A3-445B-89E3-4E975E9BA6DC}" srcOrd="5" destOrd="0" presId="urn:microsoft.com/office/officeart/2005/8/layout/bProcess3"/>
    <dgm:cxn modelId="{AF2065C5-E015-48EE-9C9A-1DC75365009C}" type="presParOf" srcId="{E0D4C0FB-27A3-445B-89E3-4E975E9BA6DC}" destId="{FD6F6DFF-F1A7-4190-8246-F907673901B0}" srcOrd="0" destOrd="0" presId="urn:microsoft.com/office/officeart/2005/8/layout/bProcess3"/>
    <dgm:cxn modelId="{4BC28EA8-D58C-47CB-B82B-F50B95868B35}" type="presParOf" srcId="{8EB045D1-DC91-4C98-8AEA-E9FC7E63ECC6}" destId="{E00B3535-62AE-48F7-9782-6643D9FCA35F}" srcOrd="6" destOrd="0" presId="urn:microsoft.com/office/officeart/2005/8/layout/bProcess3"/>
    <dgm:cxn modelId="{AE450714-1B98-4AF1-97DF-1CDEBF133903}" type="presParOf" srcId="{8EB045D1-DC91-4C98-8AEA-E9FC7E63ECC6}" destId="{10E58A91-745F-45EC-9B7A-B99BD36305B4}" srcOrd="7" destOrd="0" presId="urn:microsoft.com/office/officeart/2005/8/layout/bProcess3"/>
    <dgm:cxn modelId="{9AA4E38D-3DFA-47B7-B12B-B8A42EBAEE7C}" type="presParOf" srcId="{10E58A91-745F-45EC-9B7A-B99BD36305B4}" destId="{3D6F4E3A-413B-4E26-8FC8-5EA42100F5FB}" srcOrd="0" destOrd="0" presId="urn:microsoft.com/office/officeart/2005/8/layout/bProcess3"/>
    <dgm:cxn modelId="{4B67E531-2E51-4B41-A791-CDF295B48E4B}" type="presParOf" srcId="{8EB045D1-DC91-4C98-8AEA-E9FC7E63ECC6}" destId="{2C54C5A6-BFE5-4167-9E3C-B5D04C9FD3A9}" srcOrd="8" destOrd="0" presId="urn:microsoft.com/office/officeart/2005/8/layout/bProcess3"/>
    <dgm:cxn modelId="{5DD7CA50-3851-49D0-ABAA-67FFF5B016AC}" type="presParOf" srcId="{8EB045D1-DC91-4C98-8AEA-E9FC7E63ECC6}" destId="{8395EBFF-B947-4213-8DC3-9585837C07E6}" srcOrd="9" destOrd="0" presId="urn:microsoft.com/office/officeart/2005/8/layout/bProcess3"/>
    <dgm:cxn modelId="{77B7576F-5D21-486A-8671-99B9DE3FFD94}" type="presParOf" srcId="{8395EBFF-B947-4213-8DC3-9585837C07E6}" destId="{E9E767CF-99AA-4BAC-8893-758E13F610DF}" srcOrd="0" destOrd="0" presId="urn:microsoft.com/office/officeart/2005/8/layout/bProcess3"/>
    <dgm:cxn modelId="{4550D281-CE3D-494B-84DF-44E3C24E2C17}" type="presParOf" srcId="{8EB045D1-DC91-4C98-8AEA-E9FC7E63ECC6}" destId="{BC4A56B2-F705-4A1F-952F-89BFD630E329}" srcOrd="10" destOrd="0" presId="urn:microsoft.com/office/officeart/2005/8/layout/bProcess3"/>
    <dgm:cxn modelId="{7D1DA3BF-A0DF-4E2E-83EE-B799D48A288C}" type="presParOf" srcId="{8EB045D1-DC91-4C98-8AEA-E9FC7E63ECC6}" destId="{8C31B75C-3BF4-4945-B1A8-AACF71DF5A2F}" srcOrd="11" destOrd="0" presId="urn:microsoft.com/office/officeart/2005/8/layout/bProcess3"/>
    <dgm:cxn modelId="{E36F20F0-7FDF-475E-9880-067179ABFB25}" type="presParOf" srcId="{8C31B75C-3BF4-4945-B1A8-AACF71DF5A2F}" destId="{5CB1B3C2-ECC3-412A-A0F2-B4F5796B130B}" srcOrd="0" destOrd="0" presId="urn:microsoft.com/office/officeart/2005/8/layout/bProcess3"/>
    <dgm:cxn modelId="{FC6CD9A8-3C08-4DDD-8647-6A464B9F3811}" type="presParOf" srcId="{8EB045D1-DC91-4C98-8AEA-E9FC7E63ECC6}" destId="{1E587063-A3B0-4B81-8B60-192F7E62B5AA}" srcOrd="12" destOrd="0" presId="urn:microsoft.com/office/officeart/2005/8/layout/bProcess3"/>
    <dgm:cxn modelId="{F8993562-698B-4FA8-88C5-DA1A389874BE}" type="presParOf" srcId="{8EB045D1-DC91-4C98-8AEA-E9FC7E63ECC6}" destId="{D75FF98E-7DAD-4652-998E-22B828AA9656}" srcOrd="13" destOrd="0" presId="urn:microsoft.com/office/officeart/2005/8/layout/bProcess3"/>
    <dgm:cxn modelId="{7244F865-CFAD-476A-A086-62144F0D8960}" type="presParOf" srcId="{D75FF98E-7DAD-4652-998E-22B828AA9656}" destId="{88A8017C-37E8-41F0-B164-D799460DE24F}" srcOrd="0" destOrd="0" presId="urn:microsoft.com/office/officeart/2005/8/layout/bProcess3"/>
    <dgm:cxn modelId="{B667314A-7881-475C-8166-206F457A489B}" type="presParOf" srcId="{8EB045D1-DC91-4C98-8AEA-E9FC7E63ECC6}" destId="{B9D72A26-065E-4050-8F4F-52C547122138}" srcOrd="14" destOrd="0" presId="urn:microsoft.com/office/officeart/2005/8/layout/bProcess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B5D242-13E7-4752-81DA-97DE0B25770A}">
      <dsp:nvSpPr>
        <dsp:cNvPr id="0" name=""/>
        <dsp:cNvSpPr/>
      </dsp:nvSpPr>
      <dsp:spPr>
        <a:xfrm>
          <a:off x="1396260" y="320349"/>
          <a:ext cx="247161"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2896" y="364679"/>
        <a:ext cx="0" cy="0"/>
      </dsp:txXfrm>
    </dsp:sp>
    <dsp:sp modelId="{BE15E75D-E317-4F42-A2CB-BDBD7433B7B8}">
      <dsp:nvSpPr>
        <dsp:cNvPr id="0" name=""/>
        <dsp:cNvSpPr/>
      </dsp:nvSpPr>
      <dsp:spPr>
        <a:xfrm>
          <a:off x="190402" y="3772"/>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Identificación factores de Riesgo Ideación Suicida (RIS)</a:t>
          </a:r>
        </a:p>
      </dsp:txBody>
      <dsp:txXfrm>
        <a:off x="190402" y="3772"/>
        <a:ext cx="1207657" cy="724594"/>
      </dsp:txXfrm>
    </dsp:sp>
    <dsp:sp modelId="{ABD943D1-8392-4856-A885-604EF964658A}">
      <dsp:nvSpPr>
        <dsp:cNvPr id="0" name=""/>
        <dsp:cNvSpPr/>
      </dsp:nvSpPr>
      <dsp:spPr>
        <a:xfrm>
          <a:off x="2881678" y="320349"/>
          <a:ext cx="247161"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98315" y="364679"/>
        <a:ext cx="0" cy="0"/>
      </dsp:txXfrm>
    </dsp:sp>
    <dsp:sp modelId="{3EC698D4-A8DC-4AC4-9BD6-B52124A94AE1}">
      <dsp:nvSpPr>
        <dsp:cNvPr id="0" name=""/>
        <dsp:cNvSpPr/>
      </dsp:nvSpPr>
      <dsp:spPr>
        <a:xfrm>
          <a:off x="1675821" y="3772"/>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Aplicación de la técnica de Análisis de Conglomerados</a:t>
          </a:r>
        </a:p>
      </dsp:txBody>
      <dsp:txXfrm>
        <a:off x="1675821" y="3772"/>
        <a:ext cx="1207657" cy="724594"/>
      </dsp:txXfrm>
    </dsp:sp>
    <dsp:sp modelId="{E0D4C0FB-27A3-445B-89E3-4E975E9BA6DC}">
      <dsp:nvSpPr>
        <dsp:cNvPr id="0" name=""/>
        <dsp:cNvSpPr/>
      </dsp:nvSpPr>
      <dsp:spPr>
        <a:xfrm>
          <a:off x="794231" y="726566"/>
          <a:ext cx="2970837" cy="247161"/>
        </a:xfrm>
        <a:custGeom>
          <a:avLst/>
          <a:gdLst/>
          <a:ahLst/>
          <a:cxnLst/>
          <a:rect l="0" t="0" r="0" b="0"/>
          <a:pathLst>
            <a:path>
              <a:moveTo>
                <a:pt x="3479577" y="0"/>
              </a:moveTo>
              <a:lnTo>
                <a:pt x="3479577" y="164463"/>
              </a:lnTo>
              <a:lnTo>
                <a:pt x="0" y="164463"/>
              </a:lnTo>
              <a:lnTo>
                <a:pt x="0" y="294726"/>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205055" y="848757"/>
        <a:ext cx="0" cy="0"/>
      </dsp:txXfrm>
    </dsp:sp>
    <dsp:sp modelId="{C8261B8D-1B71-4C9D-9233-AD0874A0E3B1}">
      <dsp:nvSpPr>
        <dsp:cNvPr id="0" name=""/>
        <dsp:cNvSpPr/>
      </dsp:nvSpPr>
      <dsp:spPr>
        <a:xfrm>
          <a:off x="3161239" y="3772"/>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Identificación de perfiles característicos de RIS</a:t>
          </a:r>
        </a:p>
      </dsp:txBody>
      <dsp:txXfrm>
        <a:off x="3161239" y="3772"/>
        <a:ext cx="1207657" cy="724594"/>
      </dsp:txXfrm>
    </dsp:sp>
    <dsp:sp modelId="{10E58A91-745F-45EC-9B7A-B99BD36305B4}">
      <dsp:nvSpPr>
        <dsp:cNvPr id="0" name=""/>
        <dsp:cNvSpPr/>
      </dsp:nvSpPr>
      <dsp:spPr>
        <a:xfrm>
          <a:off x="1396260" y="1322705"/>
          <a:ext cx="247161"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2896" y="1367034"/>
        <a:ext cx="0" cy="0"/>
      </dsp:txXfrm>
    </dsp:sp>
    <dsp:sp modelId="{E00B3535-62AE-48F7-9782-6643D9FCA35F}">
      <dsp:nvSpPr>
        <dsp:cNvPr id="0" name=""/>
        <dsp:cNvSpPr/>
      </dsp:nvSpPr>
      <dsp:spPr>
        <a:xfrm>
          <a:off x="190402" y="1006127"/>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Valoración de niveles de RIS</a:t>
          </a:r>
        </a:p>
      </dsp:txBody>
      <dsp:txXfrm>
        <a:off x="190402" y="1006127"/>
        <a:ext cx="1207657" cy="724594"/>
      </dsp:txXfrm>
    </dsp:sp>
    <dsp:sp modelId="{8395EBFF-B947-4213-8DC3-9585837C07E6}">
      <dsp:nvSpPr>
        <dsp:cNvPr id="0" name=""/>
        <dsp:cNvSpPr/>
      </dsp:nvSpPr>
      <dsp:spPr>
        <a:xfrm>
          <a:off x="2881678" y="1322705"/>
          <a:ext cx="247161"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98315" y="1367034"/>
        <a:ext cx="0" cy="0"/>
      </dsp:txXfrm>
    </dsp:sp>
    <dsp:sp modelId="{2C54C5A6-BFE5-4167-9E3C-B5D04C9FD3A9}">
      <dsp:nvSpPr>
        <dsp:cNvPr id="0" name=""/>
        <dsp:cNvSpPr/>
      </dsp:nvSpPr>
      <dsp:spPr>
        <a:xfrm>
          <a:off x="1675821" y="1006127"/>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Aplicación de la técnica de Red Neuronal Artificial (RNA)</a:t>
          </a:r>
        </a:p>
      </dsp:txBody>
      <dsp:txXfrm>
        <a:off x="1675821" y="1006127"/>
        <a:ext cx="1207657" cy="724594"/>
      </dsp:txXfrm>
    </dsp:sp>
    <dsp:sp modelId="{8C31B75C-3BF4-4945-B1A8-AACF71DF5A2F}">
      <dsp:nvSpPr>
        <dsp:cNvPr id="0" name=""/>
        <dsp:cNvSpPr/>
      </dsp:nvSpPr>
      <dsp:spPr>
        <a:xfrm>
          <a:off x="794231" y="1728922"/>
          <a:ext cx="2970837" cy="247161"/>
        </a:xfrm>
        <a:custGeom>
          <a:avLst/>
          <a:gdLst/>
          <a:ahLst/>
          <a:cxnLst/>
          <a:rect l="0" t="0" r="0" b="0"/>
          <a:pathLst>
            <a:path>
              <a:moveTo>
                <a:pt x="3479577" y="0"/>
              </a:moveTo>
              <a:lnTo>
                <a:pt x="3479577" y="164463"/>
              </a:lnTo>
              <a:lnTo>
                <a:pt x="0" y="164463"/>
              </a:lnTo>
              <a:lnTo>
                <a:pt x="0" y="294726"/>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205055" y="1851112"/>
        <a:ext cx="0" cy="0"/>
      </dsp:txXfrm>
    </dsp:sp>
    <dsp:sp modelId="{BC4A56B2-F705-4A1F-952F-89BFD630E329}">
      <dsp:nvSpPr>
        <dsp:cNvPr id="0" name=""/>
        <dsp:cNvSpPr/>
      </dsp:nvSpPr>
      <dsp:spPr>
        <a:xfrm>
          <a:off x="3161239" y="1006127"/>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Valoración de capacidad predictiva de la RNA</a:t>
          </a:r>
        </a:p>
      </dsp:txBody>
      <dsp:txXfrm>
        <a:off x="3161239" y="1006127"/>
        <a:ext cx="1207657" cy="724594"/>
      </dsp:txXfrm>
    </dsp:sp>
    <dsp:sp modelId="{D75FF98E-7DAD-4652-998E-22B828AA9656}">
      <dsp:nvSpPr>
        <dsp:cNvPr id="0" name=""/>
        <dsp:cNvSpPr/>
      </dsp:nvSpPr>
      <dsp:spPr>
        <a:xfrm>
          <a:off x="1396260" y="2325060"/>
          <a:ext cx="247161" cy="91440"/>
        </a:xfrm>
        <a:custGeom>
          <a:avLst/>
          <a:gdLst/>
          <a:ahLst/>
          <a:cxnLst/>
          <a:rect l="0" t="0" r="0" b="0"/>
          <a:pathLst>
            <a:path>
              <a:moveTo>
                <a:pt x="0" y="45720"/>
              </a:moveTo>
              <a:lnTo>
                <a:pt x="294726" y="45720"/>
              </a:lnTo>
            </a:path>
          </a:pathLst>
        </a:custGeom>
        <a:noFill/>
        <a:ln w="6350" cap="flat" cmpd="sng" algn="ctr">
          <a:solidFill>
            <a:sysClr val="windowText" lastClr="000000">
              <a:hueOff val="0"/>
              <a:satOff val="0"/>
              <a:lumOff val="0"/>
              <a:alphaOff val="0"/>
            </a:sys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2896" y="2369390"/>
        <a:ext cx="0" cy="0"/>
      </dsp:txXfrm>
    </dsp:sp>
    <dsp:sp modelId="{1E587063-A3B0-4B81-8B60-192F7E62B5AA}">
      <dsp:nvSpPr>
        <dsp:cNvPr id="0" name=""/>
        <dsp:cNvSpPr/>
      </dsp:nvSpPr>
      <dsp:spPr>
        <a:xfrm>
          <a:off x="190402" y="2008483"/>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Validación del método</a:t>
          </a:r>
        </a:p>
      </dsp:txBody>
      <dsp:txXfrm>
        <a:off x="190402" y="2008483"/>
        <a:ext cx="1207657" cy="724594"/>
      </dsp:txXfrm>
    </dsp:sp>
    <dsp:sp modelId="{B9D72A26-065E-4050-8F4F-52C547122138}">
      <dsp:nvSpPr>
        <dsp:cNvPr id="0" name=""/>
        <dsp:cNvSpPr/>
      </dsp:nvSpPr>
      <dsp:spPr>
        <a:xfrm>
          <a:off x="1675821" y="2008483"/>
          <a:ext cx="1207657" cy="724594"/>
        </a:xfrm>
        <a:prstGeom prst="rect">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Modelo de Diagnóstico de RIS</a:t>
          </a:r>
        </a:p>
      </dsp:txBody>
      <dsp:txXfrm>
        <a:off x="1675821" y="2008483"/>
        <a:ext cx="1207657" cy="72459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411B0-244E-48AD-B437-35B6C3A6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22</Pages>
  <Words>6757</Words>
  <Characters>37168</Characters>
  <Application>Microsoft Office Word</Application>
  <DocSecurity>0</DocSecurity>
  <Lines>309</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20</cp:revision>
  <cp:lastPrinted>2020-05-06T22:26:00Z</cp:lastPrinted>
  <dcterms:created xsi:type="dcterms:W3CDTF">2023-10-10T17:56:00Z</dcterms:created>
  <dcterms:modified xsi:type="dcterms:W3CDTF">2023-10-26T13:57:00Z</dcterms:modified>
</cp:coreProperties>
</file>