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1AF0EC" w14:textId="2CDD38D4" w:rsidR="00FB4CDC" w:rsidRPr="00C372E2" w:rsidRDefault="00FB4CDC" w:rsidP="00DB4B30">
      <w:pPr>
        <w:spacing w:after="240"/>
        <w:jc w:val="center"/>
        <w:rPr>
          <w:b/>
          <w:bCs/>
        </w:rPr>
      </w:pPr>
      <w:bookmarkStart w:id="0" w:name="_Hlk41453345"/>
      <w:r w:rsidRPr="00C372E2">
        <w:rPr>
          <w:b/>
          <w:bCs/>
        </w:rPr>
        <w:t xml:space="preserve">Psychometric </w:t>
      </w:r>
      <w:r w:rsidR="00E7178B" w:rsidRPr="00C372E2">
        <w:rPr>
          <w:b/>
          <w:bCs/>
        </w:rPr>
        <w:t xml:space="preserve">Properties </w:t>
      </w:r>
      <w:r w:rsidRPr="00C372E2">
        <w:rPr>
          <w:b/>
          <w:bCs/>
        </w:rPr>
        <w:t xml:space="preserve">of Visual Object and Space Perception (VOSP) in </w:t>
      </w:r>
      <w:r w:rsidR="00E7178B" w:rsidRPr="00C372E2">
        <w:rPr>
          <w:b/>
          <w:bCs/>
        </w:rPr>
        <w:t>Healthy,</w:t>
      </w:r>
      <w:r w:rsidRPr="00C372E2">
        <w:rPr>
          <w:b/>
          <w:bCs/>
        </w:rPr>
        <w:t xml:space="preserve"> </w:t>
      </w:r>
      <w:r w:rsidR="00E7178B" w:rsidRPr="00C372E2">
        <w:rPr>
          <w:b/>
          <w:bCs/>
        </w:rPr>
        <w:t>Older, Thai Adults</w:t>
      </w:r>
      <w:r w:rsidRPr="00C372E2">
        <w:rPr>
          <w:b/>
          <w:bCs/>
        </w:rPr>
        <w:t xml:space="preserve">: </w:t>
      </w:r>
      <w:r w:rsidR="00E7178B" w:rsidRPr="00C372E2">
        <w:rPr>
          <w:b/>
          <w:bCs/>
        </w:rPr>
        <w:t>A Pilot Study</w:t>
      </w:r>
      <w:bookmarkEnd w:id="0"/>
    </w:p>
    <w:p w14:paraId="41A45161" w14:textId="77777777" w:rsidR="005B3304" w:rsidRPr="00C372E2" w:rsidRDefault="005B3304" w:rsidP="00BF6900">
      <w:pPr>
        <w:spacing w:after="240"/>
        <w:ind w:firstLine="0"/>
        <w:jc w:val="left"/>
        <w:rPr>
          <w:b/>
          <w:bCs/>
        </w:rPr>
      </w:pPr>
    </w:p>
    <w:p w14:paraId="30F3BC68" w14:textId="77777777" w:rsidR="001A6A97" w:rsidRPr="00C372E2" w:rsidRDefault="001A6A97" w:rsidP="00DB4B30">
      <w:pPr>
        <w:spacing w:after="240"/>
        <w:rPr>
          <w:b/>
          <w:bCs/>
        </w:rPr>
        <w:sectPr w:rsidR="001A6A97" w:rsidRPr="00C372E2" w:rsidSect="00E7178B">
          <w:headerReference w:type="default" r:id="rId8"/>
          <w:footerReference w:type="default" r:id="rId9"/>
          <w:pgSz w:w="11906" w:h="16838" w:code="9"/>
          <w:pgMar w:top="1440" w:right="1440" w:bottom="1440" w:left="1440" w:header="720" w:footer="720" w:gutter="0"/>
          <w:cols w:space="720"/>
          <w:docGrid w:linePitch="360"/>
        </w:sectPr>
      </w:pPr>
    </w:p>
    <w:p w14:paraId="0881B80A" w14:textId="04240DB8" w:rsidR="00104905" w:rsidRPr="00C372E2" w:rsidRDefault="00104905" w:rsidP="00A50781">
      <w:pPr>
        <w:ind w:firstLine="0"/>
        <w:rPr>
          <w:b/>
          <w:bCs/>
        </w:rPr>
      </w:pPr>
      <w:r w:rsidRPr="00C372E2">
        <w:rPr>
          <w:b/>
          <w:bCs/>
        </w:rPr>
        <w:lastRenderedPageBreak/>
        <w:t>ABSTRACT</w:t>
      </w:r>
    </w:p>
    <w:p w14:paraId="7219C817" w14:textId="0A9ABE77" w:rsidR="002B7345" w:rsidRDefault="002B7345" w:rsidP="00983596">
      <w:pPr>
        <w:ind w:firstLine="0"/>
      </w:pPr>
      <w:r w:rsidRPr="002B7345">
        <w:t>The Visual Object and Space Perception battery (VOSP)</w:t>
      </w:r>
      <w:r w:rsidR="00FD1591">
        <w:t xml:space="preserve"> </w:t>
      </w:r>
      <w:r w:rsidR="00394745">
        <w:t>complies comprehensive tasks</w:t>
      </w:r>
      <w:r w:rsidR="00FD1591">
        <w:t xml:space="preserve"> to </w:t>
      </w:r>
      <w:r w:rsidRPr="002B7345">
        <w:t>assess perception abilities</w:t>
      </w:r>
      <w:r w:rsidR="00394745">
        <w:t>. However, VOSP</w:t>
      </w:r>
      <w:r w:rsidR="00FD1591">
        <w:t xml:space="preserve"> </w:t>
      </w:r>
      <w:r w:rsidRPr="002B7345">
        <w:t xml:space="preserve">has not been validated for Asian populations. This study aimed to obtain </w:t>
      </w:r>
      <w:r w:rsidR="00FD1591">
        <w:t xml:space="preserve">VOSP </w:t>
      </w:r>
      <w:r w:rsidRPr="002B7345">
        <w:t xml:space="preserve">preliminary normative data for older Thai adults. Furthermore, the demographic variables influencing their scoring performance </w:t>
      </w:r>
      <w:r>
        <w:t xml:space="preserve">and </w:t>
      </w:r>
      <w:r w:rsidRPr="002B7345">
        <w:t>the practicality and convenience of VOSP</w:t>
      </w:r>
      <w:r>
        <w:t xml:space="preserve"> were</w:t>
      </w:r>
      <w:r w:rsidRPr="002B7345">
        <w:t xml:space="preserve"> also investigated. Forty healthy, older, Thai adults were recruited and stratified into 8 groups by age, gender, and education. Their preliminary scores for each VOSP subtest were comparable with those from other normative studies, except the Silhouettes and Object Decision subtests. Gender, intelligence quotient, and visual acuity had significant effects on certain VOSP subtest scores. The findings of this study will benefit future national normative study planning in non-native English-speaking countries. </w:t>
      </w:r>
    </w:p>
    <w:p w14:paraId="09C01847" w14:textId="082798B3" w:rsidR="001A6A97" w:rsidRPr="00C372E2" w:rsidRDefault="00983596" w:rsidP="00983596">
      <w:pPr>
        <w:ind w:firstLine="0"/>
      </w:pPr>
      <w:r w:rsidRPr="00C372E2">
        <w:rPr>
          <w:b/>
          <w:bCs/>
        </w:rPr>
        <w:t>Keywords:</w:t>
      </w:r>
      <w:r w:rsidRPr="00C372E2">
        <w:t xml:space="preserve"> Visual perception, Object perception, VOSP, Psychometric properties</w:t>
      </w:r>
      <w:r w:rsidRPr="00C372E2">
        <w:rPr>
          <w:b/>
          <w:bCs/>
        </w:rPr>
        <w:t xml:space="preserve"> </w:t>
      </w:r>
    </w:p>
    <w:p w14:paraId="778B5CF0" w14:textId="38795993" w:rsidR="00983596" w:rsidRPr="00C372E2" w:rsidRDefault="00983596" w:rsidP="00983596">
      <w:pPr>
        <w:ind w:firstLine="0"/>
      </w:pPr>
    </w:p>
    <w:p w14:paraId="319141FE" w14:textId="19B97ED9" w:rsidR="00983596" w:rsidRDefault="00983596" w:rsidP="00983596">
      <w:pPr>
        <w:ind w:firstLine="0"/>
      </w:pPr>
    </w:p>
    <w:p w14:paraId="7C440FFD" w14:textId="5A2666DA" w:rsidR="00830212" w:rsidRDefault="00830212" w:rsidP="00983596">
      <w:pPr>
        <w:ind w:firstLine="0"/>
      </w:pPr>
    </w:p>
    <w:p w14:paraId="0E44A279" w14:textId="7A19B74C" w:rsidR="00830212" w:rsidRDefault="00830212" w:rsidP="00983596">
      <w:pPr>
        <w:ind w:firstLine="0"/>
      </w:pPr>
    </w:p>
    <w:p w14:paraId="4799D96B" w14:textId="7436AC9E" w:rsidR="00830212" w:rsidRDefault="00830212" w:rsidP="00983596">
      <w:pPr>
        <w:ind w:firstLine="0"/>
      </w:pPr>
    </w:p>
    <w:p w14:paraId="708925ED" w14:textId="5880F11A" w:rsidR="00830212" w:rsidRDefault="00830212" w:rsidP="00983596">
      <w:pPr>
        <w:ind w:firstLine="0"/>
      </w:pPr>
    </w:p>
    <w:p w14:paraId="65AE63F6" w14:textId="6E3DB552" w:rsidR="00830212" w:rsidRDefault="00830212" w:rsidP="00983596">
      <w:pPr>
        <w:ind w:firstLine="0"/>
      </w:pPr>
    </w:p>
    <w:p w14:paraId="50620CA4" w14:textId="5C8BC12C" w:rsidR="00830212" w:rsidRDefault="00830212" w:rsidP="00983596">
      <w:pPr>
        <w:ind w:firstLine="0"/>
      </w:pPr>
    </w:p>
    <w:p w14:paraId="787EADC4" w14:textId="77777777" w:rsidR="00830212" w:rsidRPr="00C372E2" w:rsidRDefault="00830212" w:rsidP="00983596">
      <w:pPr>
        <w:ind w:firstLine="0"/>
      </w:pPr>
    </w:p>
    <w:p w14:paraId="1719E62C" w14:textId="1225951E" w:rsidR="00983596" w:rsidRPr="00C372E2" w:rsidRDefault="00983596" w:rsidP="00983596">
      <w:pPr>
        <w:ind w:firstLine="0"/>
      </w:pPr>
    </w:p>
    <w:p w14:paraId="46D64B48" w14:textId="341CC67B" w:rsidR="00967BB1" w:rsidRPr="00C372E2" w:rsidRDefault="00967BB1" w:rsidP="00983596">
      <w:pPr>
        <w:ind w:firstLine="0"/>
        <w:rPr>
          <w:b/>
          <w:bCs/>
        </w:rPr>
      </w:pPr>
      <w:r w:rsidRPr="00C372E2">
        <w:rPr>
          <w:b/>
          <w:bCs/>
        </w:rPr>
        <w:lastRenderedPageBreak/>
        <w:t>INTRODUCTION</w:t>
      </w:r>
    </w:p>
    <w:p w14:paraId="79A6E2BF" w14:textId="2DB60A4B" w:rsidR="00DB4B30" w:rsidRPr="00C372E2" w:rsidRDefault="00951B78" w:rsidP="00ED639B">
      <w:r w:rsidRPr="00C372E2">
        <w:t>In the past few decades, t</w:t>
      </w:r>
      <w:r w:rsidR="001801E0" w:rsidRPr="00C372E2">
        <w:t xml:space="preserve">he visual system </w:t>
      </w:r>
      <w:r w:rsidR="00982FE0" w:rsidRPr="00C372E2">
        <w:t xml:space="preserve">has </w:t>
      </w:r>
      <w:r w:rsidR="00B76FDA" w:rsidRPr="00C372E2">
        <w:t>been</w:t>
      </w:r>
      <w:r w:rsidR="00C70F1B" w:rsidRPr="00C372E2">
        <w:t xml:space="preserve"> subdivided into </w:t>
      </w:r>
      <w:r w:rsidR="00982FE0" w:rsidRPr="00C372E2">
        <w:t xml:space="preserve">2, </w:t>
      </w:r>
      <w:r w:rsidR="00C70F1B" w:rsidRPr="00C372E2">
        <w:t>separate</w:t>
      </w:r>
      <w:r w:rsidR="00982FE0" w:rsidRPr="00C372E2">
        <w:t>,</w:t>
      </w:r>
      <w:r w:rsidR="00C70F1B" w:rsidRPr="00C372E2">
        <w:t xml:space="preserve"> cortical pathway</w:t>
      </w:r>
      <w:r w:rsidR="00982FE0" w:rsidRPr="00C372E2">
        <w:t>s,</w:t>
      </w:r>
      <w:r w:rsidR="00C70F1B" w:rsidRPr="00C372E2">
        <w:t xml:space="preserve"> </w:t>
      </w:r>
      <w:r w:rsidR="00982FE0" w:rsidRPr="00C372E2">
        <w:t>the</w:t>
      </w:r>
      <w:r w:rsidR="00B76FDA" w:rsidRPr="00C372E2">
        <w:t xml:space="preserve"> ventral and dorsal </w:t>
      </w:r>
      <w:r w:rsidR="00253DC5" w:rsidRPr="00C372E2">
        <w:t>pathway</w:t>
      </w:r>
      <w:r w:rsidR="00982FE0" w:rsidRPr="00C372E2">
        <w:t>s</w:t>
      </w:r>
      <w:r w:rsidR="00D65956" w:rsidRPr="00C372E2">
        <w:t>,</w:t>
      </w:r>
      <w:r w:rsidR="00B76FDA" w:rsidRPr="00C372E2">
        <w:t xml:space="preserve"> </w:t>
      </w:r>
      <w:r w:rsidR="00D65956" w:rsidRPr="00C372E2">
        <w:t xml:space="preserve">to </w:t>
      </w:r>
      <w:proofErr w:type="spellStart"/>
      <w:r w:rsidR="00C70F1B" w:rsidRPr="00C372E2">
        <w:t>subserve</w:t>
      </w:r>
      <w:proofErr w:type="spellEnd"/>
      <w:r w:rsidR="00D65956" w:rsidRPr="00C372E2">
        <w:t xml:space="preserve"> the</w:t>
      </w:r>
      <w:r w:rsidR="001801E0" w:rsidRPr="00C372E2">
        <w:t xml:space="preserve"> </w:t>
      </w:r>
      <w:r w:rsidR="007975A3" w:rsidRPr="00C372E2">
        <w:t>identification of an object (</w:t>
      </w:r>
      <w:r w:rsidR="001801E0" w:rsidRPr="00C372E2">
        <w:t>object perception</w:t>
      </w:r>
      <w:r w:rsidR="007975A3" w:rsidRPr="00C372E2">
        <w:t>)</w:t>
      </w:r>
      <w:r w:rsidR="001801E0" w:rsidRPr="00C372E2">
        <w:t xml:space="preserve"> and </w:t>
      </w:r>
      <w:r w:rsidR="007975A3" w:rsidRPr="00C372E2">
        <w:t xml:space="preserve">localization of </w:t>
      </w:r>
      <w:r w:rsidR="00D65956" w:rsidRPr="00C372E2">
        <w:t xml:space="preserve">the </w:t>
      </w:r>
      <w:r w:rsidR="007975A3" w:rsidRPr="00C372E2">
        <w:t>object in space (</w:t>
      </w:r>
      <w:r w:rsidR="001801E0" w:rsidRPr="00C372E2">
        <w:t>space perceptio</w:t>
      </w:r>
      <w:r w:rsidRPr="00C372E2">
        <w:t>n</w:t>
      </w:r>
      <w:r w:rsidR="007975A3" w:rsidRPr="00C372E2">
        <w:t>)</w:t>
      </w:r>
      <w:r w:rsidR="00B76FDA" w:rsidRPr="00C372E2">
        <w:t>, respectively</w:t>
      </w:r>
      <w:r w:rsidR="00D13C0D" w:rsidRPr="00C372E2">
        <w:rPr>
          <w:noProof/>
        </w:rPr>
        <w:t xml:space="preserve"> </w:t>
      </w:r>
      <w:r w:rsidR="003060AC" w:rsidRPr="00C372E2">
        <w:rPr>
          <w:noProof/>
        </w:rPr>
        <w:t>(Mishkin, Ungerleider, &amp; Macko, 1983)</w:t>
      </w:r>
      <w:r w:rsidRPr="00C372E2">
        <w:t xml:space="preserve">. </w:t>
      </w:r>
      <w:r w:rsidR="002D0407" w:rsidRPr="00C372E2">
        <w:t xml:space="preserve">Either object or space perception </w:t>
      </w:r>
      <w:r w:rsidR="00FE6FCC" w:rsidRPr="00C372E2">
        <w:t xml:space="preserve">can </w:t>
      </w:r>
      <w:r w:rsidR="002D0407" w:rsidRPr="00C372E2">
        <w:t>present as selective deficits, even in patients with normal visual acuity</w:t>
      </w:r>
      <w:r w:rsidR="00D13C0D" w:rsidRPr="00C372E2">
        <w:rPr>
          <w:noProof/>
        </w:rPr>
        <w:t xml:space="preserve"> </w:t>
      </w:r>
      <w:r w:rsidR="003060AC" w:rsidRPr="00C372E2">
        <w:rPr>
          <w:noProof/>
        </w:rPr>
        <w:t>(McCarthy &amp; Warrington, 1990; Warrington &amp; James, 1988)</w:t>
      </w:r>
      <w:r w:rsidR="002D0407" w:rsidRPr="00C372E2">
        <w:t xml:space="preserve">. </w:t>
      </w:r>
      <w:r w:rsidR="00C70F1B" w:rsidRPr="00C372E2">
        <w:t xml:space="preserve">A dissociation </w:t>
      </w:r>
      <w:r w:rsidR="00FE6FCC" w:rsidRPr="00C372E2">
        <w:t xml:space="preserve">that was found </w:t>
      </w:r>
      <w:r w:rsidR="00C70F1B" w:rsidRPr="00C372E2">
        <w:t>between object and space perception abilities confirmed</w:t>
      </w:r>
      <w:r w:rsidR="001801E0" w:rsidRPr="00C372E2">
        <w:t xml:space="preserve"> that object and space perception</w:t>
      </w:r>
      <w:r w:rsidR="00390DC6" w:rsidRPr="00C372E2">
        <w:t>s</w:t>
      </w:r>
      <w:r w:rsidR="001801E0" w:rsidRPr="00C372E2">
        <w:t xml:space="preserve"> </w:t>
      </w:r>
      <w:r w:rsidR="00FE6FCC" w:rsidRPr="00C372E2">
        <w:t xml:space="preserve">are </w:t>
      </w:r>
      <w:r w:rsidR="001801E0" w:rsidRPr="00C372E2">
        <w:t>functionally independent domains of visual processing</w:t>
      </w:r>
      <w:r w:rsidR="00D13C0D" w:rsidRPr="00C372E2">
        <w:t xml:space="preserve"> </w:t>
      </w:r>
      <w:r w:rsidR="003060AC" w:rsidRPr="00C372E2">
        <w:rPr>
          <w:noProof/>
        </w:rPr>
        <w:t>(Rapport, Millis, &amp; Bonello, 1998; Turnbull, 1997)</w:t>
      </w:r>
      <w:r w:rsidR="001801E0" w:rsidRPr="00C372E2">
        <w:t>.</w:t>
      </w:r>
      <w:r w:rsidR="00787EB1" w:rsidRPr="00C372E2">
        <w:t xml:space="preserve"> </w:t>
      </w:r>
      <w:r w:rsidR="00A96715" w:rsidRPr="00C372E2">
        <w:t>A n</w:t>
      </w:r>
      <w:r w:rsidR="00787EB1" w:rsidRPr="00C372E2">
        <w:t>euroimaging</w:t>
      </w:r>
      <w:r w:rsidR="00F11B5C" w:rsidRPr="00C372E2">
        <w:t xml:space="preserve"> study by </w:t>
      </w:r>
      <w:r w:rsidR="00F11B5C" w:rsidRPr="00C372E2">
        <w:rPr>
          <w:noProof/>
        </w:rPr>
        <w:t xml:space="preserve">Schintu et al. in 2014 </w:t>
      </w:r>
      <w:r w:rsidR="00787EB1" w:rsidRPr="00C372E2">
        <w:t xml:space="preserve">revealed </w:t>
      </w:r>
      <w:r w:rsidR="005D188F" w:rsidRPr="00C372E2">
        <w:t xml:space="preserve">an </w:t>
      </w:r>
      <w:r w:rsidR="00787EB1" w:rsidRPr="00C372E2">
        <w:t xml:space="preserve">anatomical correlation </w:t>
      </w:r>
      <w:r w:rsidR="005D188F" w:rsidRPr="00C372E2">
        <w:t xml:space="preserve">between </w:t>
      </w:r>
      <w:r w:rsidR="00787EB1" w:rsidRPr="00C372E2">
        <w:t>these two abilities</w:t>
      </w:r>
      <w:r w:rsidR="001F3E6E" w:rsidRPr="00C372E2">
        <w:t xml:space="preserve"> in different brain regions</w:t>
      </w:r>
      <w:r w:rsidR="002D0407" w:rsidRPr="00C372E2">
        <w:t xml:space="preserve">. </w:t>
      </w:r>
      <w:r w:rsidR="005D188F" w:rsidRPr="00C372E2">
        <w:t>The r</w:t>
      </w:r>
      <w:r w:rsidR="0084331B" w:rsidRPr="00C372E2">
        <w:t xml:space="preserve">ight lateral occipital </w:t>
      </w:r>
      <w:r w:rsidR="002D0407" w:rsidRPr="00C372E2">
        <w:t>region</w:t>
      </w:r>
      <w:r w:rsidR="0084331B" w:rsidRPr="00C372E2">
        <w:t xml:space="preserve"> was found to be critical in early perceptual discrimination, whereas </w:t>
      </w:r>
      <w:r w:rsidR="005D188F" w:rsidRPr="00C372E2">
        <w:t xml:space="preserve">the </w:t>
      </w:r>
      <w:r w:rsidR="002D0407" w:rsidRPr="00C372E2">
        <w:t xml:space="preserve">left </w:t>
      </w:r>
      <w:r w:rsidR="0084331B" w:rsidRPr="00C372E2">
        <w:t xml:space="preserve">anterior temporal and frontal regions were found to be critical </w:t>
      </w:r>
      <w:r w:rsidR="00A96715" w:rsidRPr="00C372E2">
        <w:t xml:space="preserve">for </w:t>
      </w:r>
      <w:r w:rsidR="0084331B" w:rsidRPr="00C372E2">
        <w:t xml:space="preserve">more complex forms of object discrimination and recognition. </w:t>
      </w:r>
      <w:r w:rsidR="0039341A" w:rsidRPr="00C372E2">
        <w:t xml:space="preserve">In contrast, </w:t>
      </w:r>
      <w:r w:rsidR="005D188F" w:rsidRPr="00C372E2">
        <w:t xml:space="preserve">the </w:t>
      </w:r>
      <w:r w:rsidR="0039341A" w:rsidRPr="00C372E2">
        <w:t>r</w:t>
      </w:r>
      <w:r w:rsidR="002D0407" w:rsidRPr="00C372E2">
        <w:t>ight inferior parietal and premotor region</w:t>
      </w:r>
      <w:r w:rsidR="005D188F" w:rsidRPr="00C372E2">
        <w:t>s</w:t>
      </w:r>
      <w:r w:rsidR="002D0407" w:rsidRPr="00C372E2">
        <w:t xml:space="preserve"> </w:t>
      </w:r>
      <w:r w:rsidR="00AB117A" w:rsidRPr="00C372E2">
        <w:t>were</w:t>
      </w:r>
      <w:r w:rsidR="005D188F" w:rsidRPr="00C372E2">
        <w:t xml:space="preserve"> </w:t>
      </w:r>
      <w:r w:rsidR="002D0407" w:rsidRPr="00C372E2">
        <w:t>critical for s</w:t>
      </w:r>
      <w:r w:rsidR="0084331B" w:rsidRPr="00C372E2">
        <w:t>pace perception</w:t>
      </w:r>
      <w:r w:rsidR="00344A2C" w:rsidRPr="00C372E2">
        <w:t>.</w:t>
      </w:r>
      <w:r w:rsidR="00D13C0D" w:rsidRPr="00C372E2">
        <w:t xml:space="preserve"> </w:t>
      </w:r>
      <w:r w:rsidR="0039341A" w:rsidRPr="00C372E2">
        <w:t xml:space="preserve">A series of tasks </w:t>
      </w:r>
      <w:r w:rsidR="00AF440D" w:rsidRPr="00C372E2">
        <w:t xml:space="preserve">comprehensively </w:t>
      </w:r>
      <w:r w:rsidR="0039341A" w:rsidRPr="00C372E2">
        <w:t>represent</w:t>
      </w:r>
      <w:r w:rsidR="00C54194" w:rsidRPr="00C372E2">
        <w:t>ing</w:t>
      </w:r>
      <w:r w:rsidR="0039341A" w:rsidRPr="00C372E2">
        <w:t xml:space="preserve"> object </w:t>
      </w:r>
      <w:r w:rsidR="00AF440D" w:rsidRPr="00C372E2">
        <w:t>and</w:t>
      </w:r>
      <w:r w:rsidR="0039341A" w:rsidRPr="00C372E2">
        <w:t xml:space="preserve"> space perception abilities were compiled </w:t>
      </w:r>
      <w:r w:rsidR="00F7053E" w:rsidRPr="00C372E2">
        <w:t xml:space="preserve">as </w:t>
      </w:r>
      <w:r w:rsidR="0039341A" w:rsidRPr="00C372E2">
        <w:t xml:space="preserve">the Visual Object and Space </w:t>
      </w:r>
      <w:r w:rsidR="002A6700" w:rsidRPr="00C372E2">
        <w:t xml:space="preserve">Perception </w:t>
      </w:r>
      <w:r w:rsidR="0039341A" w:rsidRPr="00C372E2">
        <w:t>battery</w:t>
      </w:r>
      <w:r w:rsidR="00D13C0D" w:rsidRPr="00C372E2">
        <w:t xml:space="preserve"> </w:t>
      </w:r>
      <w:r w:rsidR="0039341A" w:rsidRPr="00C372E2">
        <w:t>(VOSP</w:t>
      </w:r>
      <w:r w:rsidR="00D13C0D" w:rsidRPr="00C372E2">
        <w:t xml:space="preserve">; </w:t>
      </w:r>
      <w:r w:rsidR="003060AC" w:rsidRPr="00C372E2">
        <w:rPr>
          <w:noProof/>
        </w:rPr>
        <w:t>Warrington &amp; James, 1991)</w:t>
      </w:r>
      <w:r w:rsidR="002A6700" w:rsidRPr="00C372E2">
        <w:rPr>
          <w:noProof/>
        </w:rPr>
        <w:t>,</w:t>
      </w:r>
      <w:r w:rsidR="00CC4DE3" w:rsidRPr="00C372E2">
        <w:t xml:space="preserve"> </w:t>
      </w:r>
      <w:r w:rsidR="00390DC6" w:rsidRPr="00C372E2">
        <w:t>which was distinct from</w:t>
      </w:r>
      <w:r w:rsidR="00CC4DE3" w:rsidRPr="00C372E2">
        <w:t xml:space="preserve"> other </w:t>
      </w:r>
      <w:r w:rsidR="003A57FC" w:rsidRPr="00C372E2">
        <w:t xml:space="preserve">available </w:t>
      </w:r>
      <w:r w:rsidR="00CC4DE3" w:rsidRPr="00C372E2">
        <w:t>neuropsychological tests for visual perception</w:t>
      </w:r>
      <w:r w:rsidR="00D13C0D" w:rsidRPr="00C372E2">
        <w:t xml:space="preserve"> </w:t>
      </w:r>
      <w:r w:rsidR="003060AC" w:rsidRPr="00C372E2">
        <w:rPr>
          <w:noProof/>
        </w:rPr>
        <w:t>(Strauss, Sherman, &amp; Spreen, 2006)</w:t>
      </w:r>
      <w:r w:rsidR="00AF440D" w:rsidRPr="00C372E2">
        <w:t xml:space="preserve">. </w:t>
      </w:r>
      <w:r w:rsidR="00B76FDA" w:rsidRPr="00C372E2">
        <w:t xml:space="preserve">Therefore, VOSP is a </w:t>
      </w:r>
      <w:r w:rsidR="002A6700" w:rsidRPr="00C372E2">
        <w:t xml:space="preserve">set of </w:t>
      </w:r>
      <w:r w:rsidR="00B76FDA" w:rsidRPr="00C372E2">
        <w:t>comprehensive</w:t>
      </w:r>
      <w:r w:rsidR="002A6700" w:rsidRPr="00C372E2">
        <w:t>,</w:t>
      </w:r>
      <w:r w:rsidR="00B76FDA" w:rsidRPr="00C372E2">
        <w:t xml:space="preserve"> neuropsychological task</w:t>
      </w:r>
      <w:r w:rsidR="002A6700" w:rsidRPr="00C372E2">
        <w:t>s</w:t>
      </w:r>
      <w:r w:rsidR="00B76FDA" w:rsidRPr="00C372E2">
        <w:t xml:space="preserve"> to assess </w:t>
      </w:r>
      <w:r w:rsidR="007975A3" w:rsidRPr="00C372E2">
        <w:t>broad-ranging</w:t>
      </w:r>
      <w:r w:rsidR="00576C60" w:rsidRPr="00C372E2">
        <w:t>,</w:t>
      </w:r>
      <w:r w:rsidR="007975A3" w:rsidRPr="00C372E2">
        <w:t xml:space="preserve"> </w:t>
      </w:r>
      <w:r w:rsidR="00B76FDA" w:rsidRPr="00C372E2">
        <w:t>visuospatial</w:t>
      </w:r>
      <w:r w:rsidR="006C379A" w:rsidRPr="00C372E2">
        <w:t xml:space="preserve"> </w:t>
      </w:r>
      <w:r w:rsidR="00B76FDA" w:rsidRPr="00C372E2">
        <w:t>function</w:t>
      </w:r>
      <w:r w:rsidR="002A6700" w:rsidRPr="00C372E2">
        <w:t>s</w:t>
      </w:r>
      <w:r w:rsidR="00B76FDA" w:rsidRPr="00C372E2">
        <w:t xml:space="preserve"> independently of </w:t>
      </w:r>
      <w:r w:rsidR="002A6700" w:rsidRPr="00C372E2">
        <w:t xml:space="preserve">the </w:t>
      </w:r>
      <w:r w:rsidR="00B76FDA" w:rsidRPr="00C372E2">
        <w:t>motor function</w:t>
      </w:r>
      <w:r w:rsidR="00D13C0D" w:rsidRPr="00C372E2">
        <w:t xml:space="preserve"> </w:t>
      </w:r>
      <w:r w:rsidR="003060AC" w:rsidRPr="00C372E2">
        <w:rPr>
          <w:noProof/>
        </w:rPr>
        <w:t>(Warrington &amp; James, 1991)</w:t>
      </w:r>
      <w:r w:rsidR="00B76FDA" w:rsidRPr="00C372E2">
        <w:t>.</w:t>
      </w:r>
    </w:p>
    <w:p w14:paraId="7DDA664E" w14:textId="52B4CF5A" w:rsidR="00DB4B30" w:rsidRDefault="00253DC5" w:rsidP="00ED639B">
      <w:pPr>
        <w:rPr>
          <w:rFonts w:cstheme="minorBidi"/>
        </w:rPr>
      </w:pPr>
      <w:r w:rsidRPr="00C372E2">
        <w:t xml:space="preserve">VOSP has been used to </w:t>
      </w:r>
      <w:r w:rsidR="006C379A" w:rsidRPr="00C372E2">
        <w:t>characteriz</w:t>
      </w:r>
      <w:r w:rsidR="00576C60" w:rsidRPr="00C372E2">
        <w:t>e the</w:t>
      </w:r>
      <w:r w:rsidR="006C379A" w:rsidRPr="00C372E2">
        <w:t xml:space="preserve"> clinical symptoms </w:t>
      </w:r>
      <w:r w:rsidR="00576C60" w:rsidRPr="00C372E2">
        <w:t xml:space="preserve">of </w:t>
      </w:r>
      <w:r w:rsidR="006C379A" w:rsidRPr="00C372E2">
        <w:t xml:space="preserve">various </w:t>
      </w:r>
      <w:r w:rsidR="00576C60" w:rsidRPr="00C372E2">
        <w:t xml:space="preserve">disease </w:t>
      </w:r>
      <w:r w:rsidR="006C379A" w:rsidRPr="00C372E2">
        <w:t>types</w:t>
      </w:r>
      <w:r w:rsidR="00D1260F" w:rsidRPr="00C372E2">
        <w:t>, but</w:t>
      </w:r>
      <w:r w:rsidR="006C379A" w:rsidRPr="00C372E2">
        <w:t xml:space="preserve"> </w:t>
      </w:r>
      <w:r w:rsidR="00DD1DF8" w:rsidRPr="00C372E2">
        <w:t xml:space="preserve">predominantly neurocognitive disorders </w:t>
      </w:r>
      <w:r w:rsidR="00D1260F" w:rsidRPr="00C372E2">
        <w:t xml:space="preserve">whose </w:t>
      </w:r>
      <w:r w:rsidR="006C379A" w:rsidRPr="00C372E2">
        <w:t xml:space="preserve">pathology </w:t>
      </w:r>
      <w:r w:rsidR="00D1260F" w:rsidRPr="00C372E2">
        <w:t xml:space="preserve">involves the </w:t>
      </w:r>
      <w:bookmarkStart w:id="1" w:name="_Hlk41508971"/>
      <w:proofErr w:type="spellStart"/>
      <w:r w:rsidR="006C379A" w:rsidRPr="00C372E2">
        <w:t>visuop</w:t>
      </w:r>
      <w:r w:rsidR="002657CA" w:rsidRPr="00C372E2">
        <w:t>erceptual</w:t>
      </w:r>
      <w:bookmarkEnd w:id="1"/>
      <w:proofErr w:type="spellEnd"/>
      <w:r w:rsidR="006C379A" w:rsidRPr="00C372E2">
        <w:t xml:space="preserve"> function</w:t>
      </w:r>
      <w:r w:rsidR="00D1260F" w:rsidRPr="00C372E2">
        <w:t>. Examples are</w:t>
      </w:r>
      <w:r w:rsidR="006C379A" w:rsidRPr="00C372E2">
        <w:t xml:space="preserve"> posterior cortical atrophy</w:t>
      </w:r>
      <w:r w:rsidR="00D13C0D" w:rsidRPr="00C372E2">
        <w:rPr>
          <w:noProof/>
        </w:rPr>
        <w:t xml:space="preserve"> </w:t>
      </w:r>
      <w:r w:rsidR="003060AC" w:rsidRPr="00C372E2">
        <w:rPr>
          <w:noProof/>
        </w:rPr>
        <w:t>(Videaud, Torny, Prado-Jean, &amp; Couratier, 2009)</w:t>
      </w:r>
      <w:r w:rsidR="006C379A" w:rsidRPr="00C372E2">
        <w:t xml:space="preserve">, </w:t>
      </w:r>
      <w:r w:rsidR="00DD1DF8" w:rsidRPr="00C372E2">
        <w:t>dementia with Lewy bodies</w:t>
      </w:r>
      <w:r w:rsidR="00D13C0D" w:rsidRPr="00C372E2">
        <w:t xml:space="preserve"> </w:t>
      </w:r>
      <w:r w:rsidR="003060AC" w:rsidRPr="00C372E2">
        <w:rPr>
          <w:noProof/>
        </w:rPr>
        <w:t>(Calderon et al., 2001)</w:t>
      </w:r>
      <w:r w:rsidR="00DD1DF8" w:rsidRPr="00C372E2">
        <w:t xml:space="preserve">, </w:t>
      </w:r>
      <w:r w:rsidR="006C379A" w:rsidRPr="00C372E2">
        <w:t>dementia of Alzheimer</w:t>
      </w:r>
      <w:r w:rsidR="009011B7" w:rsidRPr="00C372E2">
        <w:t>’</w:t>
      </w:r>
      <w:r w:rsidR="006C379A" w:rsidRPr="00C372E2">
        <w:t>s disease</w:t>
      </w:r>
      <w:r w:rsidR="00D13C0D" w:rsidRPr="00C372E2">
        <w:t xml:space="preserve"> </w:t>
      </w:r>
      <w:r w:rsidR="003060AC" w:rsidRPr="00C372E2">
        <w:rPr>
          <w:noProof/>
        </w:rPr>
        <w:t>(Quental, Brucki, &amp; Bueno, 2013)</w:t>
      </w:r>
      <w:r w:rsidR="006C379A" w:rsidRPr="00C372E2">
        <w:t>, and atypical parkinsonian syndrome</w:t>
      </w:r>
      <w:r w:rsidR="00D13C0D" w:rsidRPr="00C372E2">
        <w:t xml:space="preserve"> </w:t>
      </w:r>
      <w:r w:rsidR="003060AC" w:rsidRPr="00C372E2">
        <w:rPr>
          <w:noProof/>
        </w:rPr>
        <w:t>(Bak, Caine, Hearn, &amp; Hodges, 2006)</w:t>
      </w:r>
      <w:r w:rsidR="00DD1DF8" w:rsidRPr="00C372E2">
        <w:t>.</w:t>
      </w:r>
      <w:r w:rsidR="00D3110B" w:rsidRPr="00C372E2">
        <w:t xml:space="preserve"> </w:t>
      </w:r>
      <w:r w:rsidR="00227E1F" w:rsidRPr="00C372E2">
        <w:t>On the other hand</w:t>
      </w:r>
      <w:r w:rsidR="00D3110B" w:rsidRPr="00C372E2">
        <w:t xml:space="preserve">, </w:t>
      </w:r>
      <w:r w:rsidR="00ED6D16" w:rsidRPr="00C372E2">
        <w:t xml:space="preserve">VOSP has been applied to </w:t>
      </w:r>
      <w:r w:rsidR="002657CA" w:rsidRPr="00C372E2">
        <w:t>i</w:t>
      </w:r>
      <w:r w:rsidR="00ED6D16" w:rsidRPr="00C372E2">
        <w:t>ntellectually well-preserved patients to identify subtle visual processing problem</w:t>
      </w:r>
      <w:r w:rsidR="00D1260F" w:rsidRPr="00C372E2">
        <w:t>s,</w:t>
      </w:r>
      <w:r w:rsidR="00ED6D16" w:rsidRPr="00C372E2">
        <w:t xml:space="preserve"> </w:t>
      </w:r>
      <w:r w:rsidR="00D57D8B" w:rsidRPr="00C372E2">
        <w:t xml:space="preserve">such as </w:t>
      </w:r>
      <w:r w:rsidR="00D1260F" w:rsidRPr="00C372E2">
        <w:t xml:space="preserve">those found </w:t>
      </w:r>
      <w:r w:rsidR="00D57D8B" w:rsidRPr="00C372E2">
        <w:t>in</w:t>
      </w:r>
      <w:r w:rsidR="00ED6D16" w:rsidRPr="00C372E2">
        <w:t xml:space="preserve"> schizophrenia</w:t>
      </w:r>
      <w:r w:rsidR="00D57D8B" w:rsidRPr="00C372E2">
        <w:t xml:space="preserve"> patients</w:t>
      </w:r>
      <w:r w:rsidR="00D13C0D" w:rsidRPr="00C372E2">
        <w:t xml:space="preserve"> </w:t>
      </w:r>
      <w:r w:rsidR="003060AC" w:rsidRPr="00C372E2">
        <w:rPr>
          <w:noProof/>
        </w:rPr>
        <w:t>(Gabrovska, Laws, Sinclair, &amp; McKenna, 2003)</w:t>
      </w:r>
      <w:r w:rsidR="00D57D8B" w:rsidRPr="00C372E2">
        <w:t xml:space="preserve">. </w:t>
      </w:r>
      <w:r w:rsidR="00425921" w:rsidRPr="00C372E2">
        <w:t xml:space="preserve">Apart from clinical symptom evaluations, </w:t>
      </w:r>
      <w:r w:rsidR="001F2D94" w:rsidRPr="00C372E2">
        <w:t xml:space="preserve">VOSP has </w:t>
      </w:r>
      <w:r w:rsidR="00425921" w:rsidRPr="00C372E2">
        <w:t xml:space="preserve">also </w:t>
      </w:r>
      <w:r w:rsidR="001F2D94" w:rsidRPr="00C372E2">
        <w:t xml:space="preserve">been used </w:t>
      </w:r>
      <w:r w:rsidR="00425921" w:rsidRPr="00C372E2">
        <w:t>for driver-</w:t>
      </w:r>
      <w:r w:rsidR="001F2D94" w:rsidRPr="00C372E2">
        <w:t>screening assessment</w:t>
      </w:r>
      <w:r w:rsidR="00425921" w:rsidRPr="00C372E2">
        <w:t>s</w:t>
      </w:r>
      <w:r w:rsidR="001F2D94" w:rsidRPr="00C372E2">
        <w:t xml:space="preserve"> </w:t>
      </w:r>
      <w:r w:rsidR="00425921" w:rsidRPr="00C372E2">
        <w:t xml:space="preserve">for </w:t>
      </w:r>
      <w:r w:rsidR="00906073" w:rsidRPr="00C372E2">
        <w:t>dementia</w:t>
      </w:r>
      <w:r w:rsidR="00D13C0D" w:rsidRPr="00C372E2">
        <w:rPr>
          <w:noProof/>
        </w:rPr>
        <w:t xml:space="preserve"> </w:t>
      </w:r>
      <w:r w:rsidR="003060AC" w:rsidRPr="00C372E2">
        <w:rPr>
          <w:noProof/>
        </w:rPr>
        <w:t>(Yamin, Stinchcombe, &amp; Gagnon, 2015)</w:t>
      </w:r>
      <w:r w:rsidR="001F2D94" w:rsidRPr="00C372E2">
        <w:t xml:space="preserve"> and </w:t>
      </w:r>
      <w:r w:rsidR="00906073" w:rsidRPr="00C372E2">
        <w:t>stroke</w:t>
      </w:r>
      <w:r w:rsidR="00D13C0D" w:rsidRPr="00C372E2">
        <w:rPr>
          <w:noProof/>
        </w:rPr>
        <w:t xml:space="preserve"> </w:t>
      </w:r>
      <w:r w:rsidR="003060AC" w:rsidRPr="00C372E2">
        <w:rPr>
          <w:noProof/>
        </w:rPr>
        <w:t>(Radford &amp; Lincoln, 2004)</w:t>
      </w:r>
      <w:r w:rsidR="001F2D94" w:rsidRPr="00C372E2">
        <w:t xml:space="preserve"> p</w:t>
      </w:r>
      <w:r w:rsidR="00906073" w:rsidRPr="00C372E2">
        <w:t>atients</w:t>
      </w:r>
      <w:r w:rsidR="001F2D94" w:rsidRPr="00C372E2">
        <w:t>.</w:t>
      </w:r>
    </w:p>
    <w:p w14:paraId="7D83906D" w14:textId="77777777" w:rsidR="00B2401D" w:rsidRPr="00B2401D" w:rsidRDefault="00B2401D" w:rsidP="00ED639B">
      <w:pPr>
        <w:rPr>
          <w:rFonts w:cstheme="minorBidi" w:hint="cs"/>
        </w:rPr>
      </w:pPr>
    </w:p>
    <w:p w14:paraId="1C5A30A2" w14:textId="3743CAA0" w:rsidR="003A1C58" w:rsidRPr="00C372E2" w:rsidRDefault="00DD2129" w:rsidP="00ED639B">
      <w:r w:rsidRPr="00C372E2">
        <w:lastRenderedPageBreak/>
        <w:t xml:space="preserve">In the original British normative study, </w:t>
      </w:r>
      <w:r w:rsidR="004530A2" w:rsidRPr="00C372E2">
        <w:t xml:space="preserve">although </w:t>
      </w:r>
      <w:r w:rsidRPr="00C372E2">
        <w:t>t</w:t>
      </w:r>
      <w:r w:rsidR="001A1B99" w:rsidRPr="00C372E2">
        <w:t>wo sample</w:t>
      </w:r>
      <w:r w:rsidR="002671C4" w:rsidRPr="00C372E2">
        <w:t xml:space="preserve"> age</w:t>
      </w:r>
      <w:r w:rsidR="00425921" w:rsidRPr="00C372E2">
        <w:t xml:space="preserve"> groups</w:t>
      </w:r>
      <w:r w:rsidR="002671C4" w:rsidRPr="00C372E2">
        <w:t xml:space="preserve"> </w:t>
      </w:r>
      <w:r w:rsidR="004530A2" w:rsidRPr="00C372E2">
        <w:t>(</w:t>
      </w:r>
      <w:r w:rsidR="002671C4" w:rsidRPr="00C372E2">
        <w:t xml:space="preserve">ranging from 20 to 69 years </w:t>
      </w:r>
      <w:r w:rsidR="00425921" w:rsidRPr="00C372E2">
        <w:t>of age</w:t>
      </w:r>
      <w:r w:rsidR="004530A2" w:rsidRPr="00C372E2">
        <w:t>)</w:t>
      </w:r>
      <w:r w:rsidRPr="00C372E2">
        <w:t xml:space="preserve"> </w:t>
      </w:r>
      <w:r w:rsidR="00425921" w:rsidRPr="00C372E2">
        <w:t xml:space="preserve">and </w:t>
      </w:r>
      <w:r w:rsidR="004530A2" w:rsidRPr="00C372E2">
        <w:t xml:space="preserve">an </w:t>
      </w:r>
      <w:r w:rsidRPr="00C372E2">
        <w:t xml:space="preserve">above-average level of intelligence </w:t>
      </w:r>
      <w:r w:rsidR="00425921" w:rsidRPr="00C372E2">
        <w:t xml:space="preserve">were </w:t>
      </w:r>
      <w:r w:rsidRPr="00C372E2">
        <w:t>used</w:t>
      </w:r>
      <w:r w:rsidR="00425921" w:rsidRPr="00C372E2">
        <w:t>,</w:t>
      </w:r>
      <w:r w:rsidRPr="00C372E2">
        <w:t xml:space="preserve"> the effect</w:t>
      </w:r>
      <w:r w:rsidR="004530A2" w:rsidRPr="00C372E2">
        <w:t>s</w:t>
      </w:r>
      <w:r w:rsidRPr="00C372E2">
        <w:t xml:space="preserve"> of gender and education on the test performance</w:t>
      </w:r>
      <w:r w:rsidR="00425921" w:rsidRPr="00C372E2">
        <w:t>s were</w:t>
      </w:r>
      <w:r w:rsidRPr="00C372E2">
        <w:t xml:space="preserve"> not report</w:t>
      </w:r>
      <w:r w:rsidR="008F0811" w:rsidRPr="00C372E2">
        <w:t>ed</w:t>
      </w:r>
      <w:r w:rsidR="00D13C0D" w:rsidRPr="00C372E2">
        <w:rPr>
          <w:noProof/>
        </w:rPr>
        <w:t xml:space="preserve"> </w:t>
      </w:r>
      <w:r w:rsidR="003060AC" w:rsidRPr="00C372E2">
        <w:rPr>
          <w:noProof/>
        </w:rPr>
        <w:t>(Warrington &amp; James, 1991)</w:t>
      </w:r>
      <w:r w:rsidRPr="00C372E2">
        <w:t>.</w:t>
      </w:r>
      <w:r w:rsidR="001A1B99" w:rsidRPr="00C372E2">
        <w:t xml:space="preserve"> </w:t>
      </w:r>
      <w:r w:rsidR="004530A2" w:rsidRPr="00C372E2">
        <w:t>I</w:t>
      </w:r>
      <w:r w:rsidR="008F0811" w:rsidRPr="00C372E2">
        <w:t xml:space="preserve">n </w:t>
      </w:r>
      <w:r w:rsidR="001D62E5" w:rsidRPr="00C372E2">
        <w:t xml:space="preserve">the </w:t>
      </w:r>
      <w:r w:rsidR="004530A2" w:rsidRPr="00C372E2">
        <w:t xml:space="preserve">subsequent </w:t>
      </w:r>
      <w:r w:rsidR="001D62E5" w:rsidRPr="00C372E2">
        <w:t>Spanish Multicenter Normative Studies (NEURONORMA project)</w:t>
      </w:r>
      <w:r w:rsidR="004530A2" w:rsidRPr="00C372E2">
        <w:t>, VOSP was validated using a broader age group that ranged from 18 to above 80 years</w:t>
      </w:r>
      <w:r w:rsidR="001D62E5" w:rsidRPr="00C372E2">
        <w:t xml:space="preserve">. Unfortunately, not all </w:t>
      </w:r>
      <w:r w:rsidR="004530A2" w:rsidRPr="00C372E2">
        <w:t xml:space="preserve">of the </w:t>
      </w:r>
      <w:r w:rsidR="001D62E5" w:rsidRPr="00C372E2">
        <w:t xml:space="preserve">VOSP subtests </w:t>
      </w:r>
      <w:r w:rsidR="002657CA" w:rsidRPr="00C372E2">
        <w:t>were</w:t>
      </w:r>
      <w:r w:rsidR="001D62E5" w:rsidRPr="00C372E2">
        <w:t xml:space="preserve"> included</w:t>
      </w:r>
      <w:r w:rsidR="00D13C0D" w:rsidRPr="00C372E2">
        <w:rPr>
          <w:noProof/>
        </w:rPr>
        <w:t xml:space="preserve"> </w:t>
      </w:r>
      <w:r w:rsidR="003060AC" w:rsidRPr="00C372E2">
        <w:rPr>
          <w:noProof/>
        </w:rPr>
        <w:t>(Calvo et al., 2013; Peña-Casanova et al., 2009)</w:t>
      </w:r>
      <w:r w:rsidR="00344A2C" w:rsidRPr="00C372E2">
        <w:t>.</w:t>
      </w:r>
      <w:r w:rsidR="002671C4" w:rsidRPr="00C372E2">
        <w:t xml:space="preserve"> </w:t>
      </w:r>
      <w:r w:rsidR="00450ECB" w:rsidRPr="00C372E2">
        <w:t xml:space="preserve">The validation study </w:t>
      </w:r>
      <w:r w:rsidR="004530A2" w:rsidRPr="00C372E2">
        <w:t xml:space="preserve">for </w:t>
      </w:r>
      <w:r w:rsidR="002671C4" w:rsidRPr="00C372E2">
        <w:t xml:space="preserve">VOSP </w:t>
      </w:r>
      <w:r w:rsidR="00450ECB" w:rsidRPr="00C372E2">
        <w:t xml:space="preserve">in </w:t>
      </w:r>
      <w:r w:rsidR="004530A2" w:rsidRPr="00C372E2">
        <w:t xml:space="preserve">the </w:t>
      </w:r>
      <w:r w:rsidR="002671C4" w:rsidRPr="00C372E2">
        <w:t xml:space="preserve">American </w:t>
      </w:r>
      <w:r w:rsidR="00450ECB" w:rsidRPr="00C372E2">
        <w:t xml:space="preserve">population </w:t>
      </w:r>
      <w:r w:rsidR="00DE53FE" w:rsidRPr="00C372E2">
        <w:t>specifically focus</w:t>
      </w:r>
      <w:r w:rsidR="00450ECB" w:rsidRPr="00C372E2">
        <w:t>ed</w:t>
      </w:r>
      <w:r w:rsidR="00DE53FE" w:rsidRPr="00C372E2">
        <w:t xml:space="preserve"> on older adults</w:t>
      </w:r>
      <w:r w:rsidR="00D13C0D" w:rsidRPr="00C372E2">
        <w:rPr>
          <w:noProof/>
        </w:rPr>
        <w:t xml:space="preserve"> </w:t>
      </w:r>
      <w:r w:rsidR="003060AC" w:rsidRPr="00C372E2">
        <w:rPr>
          <w:noProof/>
        </w:rPr>
        <w:t>(Bonello, Rapport, &amp; Millis, 1997)</w:t>
      </w:r>
      <w:r w:rsidR="00DE53FE" w:rsidRPr="00C372E2">
        <w:t xml:space="preserve">. The only VOSP validation study in children was done </w:t>
      </w:r>
      <w:r w:rsidR="004E04B2" w:rsidRPr="00C372E2">
        <w:t xml:space="preserve">with </w:t>
      </w:r>
      <w:r w:rsidR="00DE53FE" w:rsidRPr="00C372E2">
        <w:t>German-speaking children aged 8 to 12 years</w:t>
      </w:r>
      <w:r w:rsidR="004E04B2" w:rsidRPr="00C372E2">
        <w:t>,</w:t>
      </w:r>
      <w:r w:rsidR="00DE53FE" w:rsidRPr="00C372E2">
        <w:t xml:space="preserve"> but the sample size was </w:t>
      </w:r>
      <w:r w:rsidR="004E04B2" w:rsidRPr="00C372E2">
        <w:t xml:space="preserve">relatively small at </w:t>
      </w:r>
      <w:r w:rsidR="00DE53FE" w:rsidRPr="00C372E2">
        <w:t xml:space="preserve">30. </w:t>
      </w:r>
      <w:r w:rsidR="004E04B2" w:rsidRPr="00C372E2">
        <w:t>Still</w:t>
      </w:r>
      <w:r w:rsidR="00DE53FE" w:rsidRPr="00C372E2">
        <w:t>, the result</w:t>
      </w:r>
      <w:r w:rsidR="004E04B2" w:rsidRPr="00C372E2">
        <w:t>s</w:t>
      </w:r>
      <w:r w:rsidR="00DE53FE" w:rsidRPr="00C372E2">
        <w:t xml:space="preserve"> of </w:t>
      </w:r>
      <w:r w:rsidR="004E04B2" w:rsidRPr="00C372E2">
        <w:t xml:space="preserve">the German </w:t>
      </w:r>
      <w:r w:rsidR="00DE53FE" w:rsidRPr="00C372E2">
        <w:t>study showed</w:t>
      </w:r>
      <w:r w:rsidR="004E04B2" w:rsidRPr="00C372E2">
        <w:t xml:space="preserve"> that the</w:t>
      </w:r>
      <w:r w:rsidR="00DE53FE" w:rsidRPr="00C372E2">
        <w:t xml:space="preserve"> instructions and aims of VOSP were well comprehended by children</w:t>
      </w:r>
      <w:r w:rsidR="00D13C0D" w:rsidRPr="00C372E2">
        <w:rPr>
          <w:noProof/>
        </w:rPr>
        <w:t xml:space="preserve"> </w:t>
      </w:r>
      <w:r w:rsidR="003060AC" w:rsidRPr="00C372E2">
        <w:rPr>
          <w:noProof/>
        </w:rPr>
        <w:t>(Weber, Pache, Lütschg, &amp; Kaiser, 2004)</w:t>
      </w:r>
      <w:r w:rsidR="00344A2C" w:rsidRPr="00C372E2">
        <w:t>.</w:t>
      </w:r>
    </w:p>
    <w:p w14:paraId="5E37601F" w14:textId="6A9C5ED8" w:rsidR="008F3791" w:rsidRPr="00C372E2" w:rsidRDefault="00892455" w:rsidP="00ED639B">
      <w:bookmarkStart w:id="2" w:name="_Hlk41510242"/>
      <w:r w:rsidRPr="00C372E2">
        <w:t>Even though</w:t>
      </w:r>
      <w:r w:rsidR="001A6B76" w:rsidRPr="00C372E2">
        <w:t xml:space="preserve"> </w:t>
      </w:r>
      <w:r w:rsidR="00302B53" w:rsidRPr="00C372E2">
        <w:t xml:space="preserve">the </w:t>
      </w:r>
      <w:proofErr w:type="spellStart"/>
      <w:r w:rsidR="00BF054B" w:rsidRPr="00C372E2">
        <w:t>visuoperceptual</w:t>
      </w:r>
      <w:proofErr w:type="spellEnd"/>
      <w:r w:rsidR="00BF054B" w:rsidRPr="00C372E2">
        <w:t xml:space="preserve"> tasks </w:t>
      </w:r>
      <w:r w:rsidR="00A8497E" w:rsidRPr="00C372E2">
        <w:t xml:space="preserve">in VOSP </w:t>
      </w:r>
      <w:r w:rsidR="00BF054B" w:rsidRPr="00C372E2">
        <w:t>were considered impervious to cultural factors</w:t>
      </w:r>
      <w:r w:rsidR="00302B53" w:rsidRPr="00C372E2">
        <w:t>,</w:t>
      </w:r>
      <w:r w:rsidR="00BF054B" w:rsidRPr="00C372E2">
        <w:t xml:space="preserve"> </w:t>
      </w:r>
      <w:r w:rsidR="00390DC6" w:rsidRPr="00C372E2">
        <w:t xml:space="preserve">given </w:t>
      </w:r>
      <w:r w:rsidRPr="00C372E2">
        <w:t>that</w:t>
      </w:r>
      <w:r w:rsidR="00BF054B" w:rsidRPr="00C372E2">
        <w:t xml:space="preserve"> </w:t>
      </w:r>
      <w:r w:rsidR="006B3DEB" w:rsidRPr="00C372E2">
        <w:t xml:space="preserve">the test approach </w:t>
      </w:r>
      <w:r w:rsidR="00A8497E" w:rsidRPr="00C372E2">
        <w:t>is</w:t>
      </w:r>
      <w:r w:rsidR="006B3DEB" w:rsidRPr="00C372E2">
        <w:t xml:space="preserve"> not verbal, </w:t>
      </w:r>
      <w:r w:rsidR="00B319B7" w:rsidRPr="00C372E2">
        <w:t>the</w:t>
      </w:r>
      <w:r w:rsidR="006B3DEB" w:rsidRPr="00C372E2">
        <w:t xml:space="preserve"> performance</w:t>
      </w:r>
      <w:r w:rsidR="00302B53" w:rsidRPr="00C372E2">
        <w:t>s of</w:t>
      </w:r>
      <w:r w:rsidR="006B3DEB" w:rsidRPr="00C372E2">
        <w:t xml:space="preserve"> the British</w:t>
      </w:r>
      <w:r w:rsidR="009011B7" w:rsidRPr="00C372E2">
        <w:t>,</w:t>
      </w:r>
      <w:r w:rsidR="006B3DEB" w:rsidRPr="00C372E2">
        <w:t xml:space="preserve"> American</w:t>
      </w:r>
      <w:r w:rsidR="00302B53" w:rsidRPr="00C372E2">
        <w:t>,</w:t>
      </w:r>
      <w:r w:rsidR="006B3DEB" w:rsidRPr="00C372E2">
        <w:t xml:space="preserve"> and Greek population</w:t>
      </w:r>
      <w:r w:rsidR="00302B53" w:rsidRPr="00C372E2">
        <w:t>s</w:t>
      </w:r>
      <w:r w:rsidR="006B3DEB" w:rsidRPr="00C372E2">
        <w:t xml:space="preserve"> </w:t>
      </w:r>
      <w:r w:rsidR="00B319B7" w:rsidRPr="00C372E2">
        <w:t xml:space="preserve">revealed </w:t>
      </w:r>
      <w:r w:rsidR="00302B53" w:rsidRPr="00C372E2">
        <w:t xml:space="preserve">differences </w:t>
      </w:r>
      <w:r w:rsidR="006B3DEB" w:rsidRPr="00C372E2">
        <w:t xml:space="preserve">in </w:t>
      </w:r>
      <w:r w:rsidR="00B319B7" w:rsidRPr="00C372E2">
        <w:t xml:space="preserve">most of </w:t>
      </w:r>
      <w:r w:rsidR="00302B53" w:rsidRPr="00C372E2">
        <w:t xml:space="preserve">the </w:t>
      </w:r>
      <w:r w:rsidR="00B319B7" w:rsidRPr="00C372E2">
        <w:t>VOSP subtests after matching for age</w:t>
      </w:r>
      <w:r w:rsidR="00D13C0D" w:rsidRPr="00C372E2">
        <w:t xml:space="preserve"> </w:t>
      </w:r>
      <w:r w:rsidR="003060AC" w:rsidRPr="00C372E2">
        <w:rPr>
          <w:noProof/>
        </w:rPr>
        <w:t>(Kosmidis, Tsotsi, Karambela, Takou, &amp; Vlahou, 2010)</w:t>
      </w:r>
      <w:r w:rsidR="00B319B7" w:rsidRPr="00C372E2">
        <w:t>.</w:t>
      </w:r>
      <w:r w:rsidR="006B3DEB" w:rsidRPr="00C372E2">
        <w:t xml:space="preserve"> </w:t>
      </w:r>
      <w:r w:rsidR="00302B53" w:rsidRPr="00C372E2">
        <w:t xml:space="preserve">The </w:t>
      </w:r>
      <w:r w:rsidR="008F3791" w:rsidRPr="00C372E2">
        <w:t xml:space="preserve">reported </w:t>
      </w:r>
      <w:r w:rsidR="00302B53" w:rsidRPr="00C372E2">
        <w:t>influences of a</w:t>
      </w:r>
      <w:r w:rsidR="00B319B7" w:rsidRPr="00C372E2">
        <w:t>ge, gender</w:t>
      </w:r>
      <w:r w:rsidR="00302B53" w:rsidRPr="00C372E2">
        <w:t>,</w:t>
      </w:r>
      <w:r w:rsidR="00B319B7" w:rsidRPr="00C372E2">
        <w:t xml:space="preserve"> and education </w:t>
      </w:r>
      <w:r w:rsidR="00302B53" w:rsidRPr="00C372E2">
        <w:t xml:space="preserve">on </w:t>
      </w:r>
      <w:r w:rsidR="008F3791" w:rsidRPr="00C372E2">
        <w:t xml:space="preserve">the </w:t>
      </w:r>
      <w:r w:rsidR="00302B53" w:rsidRPr="00C372E2">
        <w:t>VOSP subtest scores have been</w:t>
      </w:r>
      <w:r w:rsidR="00B319B7" w:rsidRPr="00C372E2">
        <w:t xml:space="preserve"> </w:t>
      </w:r>
      <w:r w:rsidR="008F3791" w:rsidRPr="00C372E2">
        <w:t xml:space="preserve">mixed or </w:t>
      </w:r>
      <w:r w:rsidR="00B319B7" w:rsidRPr="00C372E2">
        <w:t>inconsistent</w:t>
      </w:r>
      <w:r w:rsidR="008F3791" w:rsidRPr="00C372E2">
        <w:t xml:space="preserve"> across</w:t>
      </w:r>
      <w:r w:rsidR="00302B53" w:rsidRPr="00C372E2">
        <w:t xml:space="preserve"> </w:t>
      </w:r>
      <w:r w:rsidR="00B319B7" w:rsidRPr="00C372E2">
        <w:t>different ethnic groups</w:t>
      </w:r>
      <w:r w:rsidR="00D13C0D" w:rsidRPr="00C372E2">
        <w:t xml:space="preserve"> </w:t>
      </w:r>
      <w:r w:rsidR="003060AC" w:rsidRPr="00C372E2">
        <w:rPr>
          <w:noProof/>
        </w:rPr>
        <w:t>(Bonello et al., 1997; Herrera-Guzmán, Peña-Casanova, Lara, Gudayol-Ferre, &amp; Böhm, 2004)</w:t>
      </w:r>
      <w:r w:rsidR="00B319B7" w:rsidRPr="00C372E2">
        <w:t>.</w:t>
      </w:r>
      <w:r w:rsidR="001653E4" w:rsidRPr="00C372E2">
        <w:t xml:space="preserve"> </w:t>
      </w:r>
      <w:r w:rsidR="00302B53" w:rsidRPr="00C372E2">
        <w:t xml:space="preserve">While </w:t>
      </w:r>
      <w:r w:rsidR="001E5399" w:rsidRPr="00C372E2">
        <w:t xml:space="preserve">several </w:t>
      </w:r>
      <w:r w:rsidR="00302B53" w:rsidRPr="00C372E2">
        <w:t>studies</w:t>
      </w:r>
      <w:r w:rsidR="001653E4" w:rsidRPr="00C372E2">
        <w:t xml:space="preserve"> </w:t>
      </w:r>
      <w:r w:rsidR="001E5399" w:rsidRPr="00C372E2">
        <w:t>on</w:t>
      </w:r>
      <w:r w:rsidR="001653E4" w:rsidRPr="00C372E2">
        <w:t xml:space="preserve"> </w:t>
      </w:r>
      <w:r w:rsidR="00302B53" w:rsidRPr="00C372E2">
        <w:t>the</w:t>
      </w:r>
      <w:r w:rsidR="001653E4" w:rsidRPr="00C372E2">
        <w:t xml:space="preserve"> psychometric properties</w:t>
      </w:r>
      <w:r w:rsidR="00302B53" w:rsidRPr="00C372E2">
        <w:t xml:space="preserve"> of VOSP</w:t>
      </w:r>
      <w:r w:rsidR="001653E4" w:rsidRPr="00C372E2">
        <w:t xml:space="preserve"> </w:t>
      </w:r>
      <w:r w:rsidR="00302B53" w:rsidRPr="00C372E2">
        <w:t xml:space="preserve">have been </w:t>
      </w:r>
      <w:r w:rsidR="001653E4" w:rsidRPr="00C372E2">
        <w:t xml:space="preserve">carried out, VOSP has not </w:t>
      </w:r>
      <w:r w:rsidR="00302B53" w:rsidRPr="00C372E2">
        <w:t xml:space="preserve">yet </w:t>
      </w:r>
      <w:r w:rsidR="001653E4" w:rsidRPr="00C372E2">
        <w:t>been validated in Asian population</w:t>
      </w:r>
      <w:r w:rsidR="00302B53" w:rsidRPr="00C372E2">
        <w:t>s</w:t>
      </w:r>
      <w:r w:rsidR="001653E4" w:rsidRPr="00C372E2">
        <w:t>.</w:t>
      </w:r>
      <w:bookmarkEnd w:id="2"/>
      <w:r w:rsidR="00FD27C1" w:rsidRPr="00C372E2">
        <w:t xml:space="preserve"> The </w:t>
      </w:r>
      <w:r w:rsidR="00FC6657" w:rsidRPr="00C372E2">
        <w:t xml:space="preserve">objectives of </w:t>
      </w:r>
      <w:r w:rsidR="008F3791" w:rsidRPr="00C372E2">
        <w:t>the present research</w:t>
      </w:r>
      <w:r w:rsidR="00FD27C1" w:rsidRPr="00C372E2">
        <w:t xml:space="preserve"> </w:t>
      </w:r>
      <w:r w:rsidR="008F3791" w:rsidRPr="00C372E2">
        <w:t>were:</w:t>
      </w:r>
    </w:p>
    <w:p w14:paraId="43BB9F7A" w14:textId="0AEC041F" w:rsidR="009C3DB0" w:rsidRPr="00C372E2" w:rsidRDefault="008F3791" w:rsidP="009C3DB0">
      <w:pPr>
        <w:ind w:left="720" w:hanging="720"/>
      </w:pPr>
      <w:r w:rsidRPr="00C372E2">
        <w:t>(</w:t>
      </w:r>
      <w:r w:rsidR="00FD27C1" w:rsidRPr="00C372E2">
        <w:t>1)</w:t>
      </w:r>
      <w:r w:rsidR="009C3DB0" w:rsidRPr="00C372E2">
        <w:tab/>
        <w:t>T</w:t>
      </w:r>
      <w:r w:rsidRPr="00C372E2">
        <w:t xml:space="preserve">o </w:t>
      </w:r>
      <w:r w:rsidR="00FD27C1" w:rsidRPr="00C372E2">
        <w:t>o</w:t>
      </w:r>
      <w:r w:rsidR="00383D05" w:rsidRPr="00C372E2">
        <w:t>btain preliminary normative data for each VOSP subtest in</w:t>
      </w:r>
      <w:r w:rsidR="009C3DB0" w:rsidRPr="00C372E2">
        <w:t xml:space="preserve"> the</w:t>
      </w:r>
      <w:r w:rsidR="00383D05" w:rsidRPr="00C372E2">
        <w:t xml:space="preserve"> Thai population</w:t>
      </w:r>
      <w:r w:rsidR="009C3DB0" w:rsidRPr="00C372E2">
        <w:t>;</w:t>
      </w:r>
    </w:p>
    <w:p w14:paraId="7D88270B" w14:textId="77A83B9D" w:rsidR="009C3DB0" w:rsidRPr="00C372E2" w:rsidRDefault="008F3791" w:rsidP="009C3DB0">
      <w:pPr>
        <w:ind w:left="720" w:hanging="720"/>
      </w:pPr>
      <w:r w:rsidRPr="00C372E2">
        <w:t>(</w:t>
      </w:r>
      <w:r w:rsidR="00FD27C1" w:rsidRPr="00C372E2">
        <w:t>2)</w:t>
      </w:r>
      <w:r w:rsidR="009C3DB0" w:rsidRPr="00C372E2">
        <w:tab/>
      </w:r>
      <w:r w:rsidR="00FD27C1" w:rsidRPr="00C372E2">
        <w:t>To i</w:t>
      </w:r>
      <w:r w:rsidR="00383D05" w:rsidRPr="00C372E2">
        <w:t xml:space="preserve">dentify </w:t>
      </w:r>
      <w:r w:rsidR="009C3DB0" w:rsidRPr="00C372E2">
        <w:t xml:space="preserve">the </w:t>
      </w:r>
      <w:r w:rsidR="00383D05" w:rsidRPr="00C372E2">
        <w:t>demographic variable</w:t>
      </w:r>
      <w:r w:rsidR="00F91024" w:rsidRPr="00C372E2">
        <w:t>s</w:t>
      </w:r>
      <w:r w:rsidR="00383D05" w:rsidRPr="00C372E2">
        <w:t xml:space="preserve"> </w:t>
      </w:r>
      <w:bookmarkStart w:id="3" w:name="_Hlk38804175"/>
      <w:r w:rsidR="00383D05" w:rsidRPr="00C372E2">
        <w:t>influenc</w:t>
      </w:r>
      <w:r w:rsidR="009C3DB0" w:rsidRPr="00C372E2">
        <w:t>ing</w:t>
      </w:r>
      <w:r w:rsidR="00383D05" w:rsidRPr="00C372E2">
        <w:t xml:space="preserve"> </w:t>
      </w:r>
      <w:r w:rsidR="002110C1" w:rsidRPr="00C372E2">
        <w:t xml:space="preserve">the scoring </w:t>
      </w:r>
      <w:r w:rsidR="00383D05" w:rsidRPr="00C372E2">
        <w:t xml:space="preserve">performance </w:t>
      </w:r>
      <w:r w:rsidR="002110C1" w:rsidRPr="00C372E2">
        <w:t xml:space="preserve">for </w:t>
      </w:r>
      <w:r w:rsidR="00A715F4" w:rsidRPr="00C372E2">
        <w:t>each</w:t>
      </w:r>
      <w:r w:rsidR="00383D05" w:rsidRPr="00C372E2">
        <w:t xml:space="preserve"> VOSP </w:t>
      </w:r>
      <w:r w:rsidR="00A715F4" w:rsidRPr="00C372E2">
        <w:t>subtest</w:t>
      </w:r>
      <w:bookmarkEnd w:id="3"/>
      <w:r w:rsidR="00062E40" w:rsidRPr="00C372E2">
        <w:t>.</w:t>
      </w:r>
      <w:r w:rsidR="00FD27C1" w:rsidRPr="00C372E2">
        <w:t xml:space="preserve"> </w:t>
      </w:r>
      <w:r w:rsidR="00062E40" w:rsidRPr="00C372E2">
        <w:t>This information is essential for</w:t>
      </w:r>
      <w:r w:rsidR="00383D05" w:rsidRPr="00C372E2">
        <w:t xml:space="preserve"> data collection</w:t>
      </w:r>
      <w:r w:rsidR="00062E40" w:rsidRPr="00C372E2">
        <w:t xml:space="preserve"> planning</w:t>
      </w:r>
      <w:r w:rsidR="00383D05" w:rsidRPr="00C372E2">
        <w:t xml:space="preserve"> in </w:t>
      </w:r>
      <w:r w:rsidR="009C3DB0" w:rsidRPr="00C372E2">
        <w:t xml:space="preserve">an </w:t>
      </w:r>
      <w:r w:rsidR="00383D05" w:rsidRPr="00C372E2">
        <w:t>upcoming national normative study</w:t>
      </w:r>
      <w:r w:rsidR="009C3DB0" w:rsidRPr="00C372E2">
        <w:t xml:space="preserve"> in Thailand; and</w:t>
      </w:r>
    </w:p>
    <w:p w14:paraId="318C36B0" w14:textId="676A5C31" w:rsidR="00894D8E" w:rsidRPr="00C372E2" w:rsidRDefault="008F3791" w:rsidP="009C3DB0">
      <w:pPr>
        <w:ind w:left="720" w:hanging="720"/>
      </w:pPr>
      <w:r w:rsidRPr="00C372E2">
        <w:t>(</w:t>
      </w:r>
      <w:r w:rsidR="00FD27C1" w:rsidRPr="00C372E2">
        <w:t>3)</w:t>
      </w:r>
      <w:r w:rsidR="009C3DB0" w:rsidRPr="00C372E2">
        <w:tab/>
      </w:r>
      <w:r w:rsidR="00FD27C1" w:rsidRPr="00C372E2">
        <w:t>To i</w:t>
      </w:r>
      <w:r w:rsidR="00805560" w:rsidRPr="00C372E2">
        <w:t xml:space="preserve">nvestigate the </w:t>
      </w:r>
      <w:r w:rsidR="00E50D17" w:rsidRPr="00C372E2">
        <w:t xml:space="preserve">practicality and convenience </w:t>
      </w:r>
      <w:r w:rsidR="00805560" w:rsidRPr="00C372E2">
        <w:t>of VOSP when administer</w:t>
      </w:r>
      <w:r w:rsidR="009C3DB0" w:rsidRPr="00C372E2">
        <w:t>ed</w:t>
      </w:r>
      <w:r w:rsidR="00805560" w:rsidRPr="00C372E2">
        <w:t xml:space="preserve"> to the Thai population</w:t>
      </w:r>
      <w:r w:rsidR="009C3DB0" w:rsidRPr="00C372E2">
        <w:t>,</w:t>
      </w:r>
      <w:r w:rsidR="00FD27C1" w:rsidRPr="00C372E2">
        <w:t xml:space="preserve"> </w:t>
      </w:r>
      <w:r w:rsidR="00805560" w:rsidRPr="00C372E2">
        <w:t>focus</w:t>
      </w:r>
      <w:r w:rsidR="002657CA" w:rsidRPr="00C372E2">
        <w:t>ing</w:t>
      </w:r>
      <w:r w:rsidR="00805560" w:rsidRPr="00C372E2">
        <w:t xml:space="preserve"> on </w:t>
      </w:r>
      <w:r w:rsidR="009C3DB0" w:rsidRPr="00C372E2">
        <w:t xml:space="preserve">its </w:t>
      </w:r>
      <w:r w:rsidR="00805560" w:rsidRPr="00C372E2">
        <w:t>t</w:t>
      </w:r>
      <w:r w:rsidR="00607F2B" w:rsidRPr="00C372E2">
        <w:t>est</w:t>
      </w:r>
      <w:r w:rsidR="00716C1E" w:rsidRPr="00C372E2">
        <w:t>ing</w:t>
      </w:r>
      <w:r w:rsidR="007E7810" w:rsidRPr="00C372E2">
        <w:t xml:space="preserve"> </w:t>
      </w:r>
      <w:r w:rsidR="00607F2B" w:rsidRPr="00C372E2">
        <w:t xml:space="preserve">time, </w:t>
      </w:r>
      <w:r w:rsidR="009C3DB0" w:rsidRPr="00C372E2">
        <w:t xml:space="preserve">the </w:t>
      </w:r>
      <w:r w:rsidR="00805560" w:rsidRPr="00C372E2">
        <w:t>appropriateness of image size</w:t>
      </w:r>
      <w:r w:rsidR="009C3DB0" w:rsidRPr="00C372E2">
        <w:t>s,</w:t>
      </w:r>
      <w:r w:rsidR="00805560" w:rsidRPr="00C372E2">
        <w:t xml:space="preserve"> and </w:t>
      </w:r>
      <w:r w:rsidR="009C3DB0" w:rsidRPr="00C372E2">
        <w:t xml:space="preserve">the </w:t>
      </w:r>
      <w:r w:rsidR="00805560" w:rsidRPr="00C372E2">
        <w:t>clarity of images and instructions.</w:t>
      </w:r>
    </w:p>
    <w:p w14:paraId="21451E3C" w14:textId="38DC8B1E" w:rsidR="00DB4B30" w:rsidRPr="00C372E2" w:rsidRDefault="005D52DB" w:rsidP="00A50781">
      <w:pPr>
        <w:ind w:firstLine="0"/>
        <w:rPr>
          <w:b/>
          <w:bCs/>
        </w:rPr>
      </w:pPr>
      <w:r w:rsidRPr="00C372E2">
        <w:rPr>
          <w:b/>
          <w:bCs/>
        </w:rPr>
        <w:t>MATERIALS AND METHODS</w:t>
      </w:r>
    </w:p>
    <w:p w14:paraId="1636518E" w14:textId="4EF733C0" w:rsidR="00983596" w:rsidRPr="00C372E2" w:rsidRDefault="00D96583" w:rsidP="00A50781">
      <w:pPr>
        <w:ind w:firstLine="0"/>
        <w:rPr>
          <w:b/>
          <w:bCs/>
          <w:i/>
          <w:iCs/>
        </w:rPr>
      </w:pPr>
      <w:r w:rsidRPr="00C372E2">
        <w:rPr>
          <w:b/>
          <w:bCs/>
          <w:i/>
          <w:iCs/>
        </w:rPr>
        <w:lastRenderedPageBreak/>
        <w:t>Participants</w:t>
      </w:r>
    </w:p>
    <w:p w14:paraId="52138D40" w14:textId="41CD1DBB" w:rsidR="003A1C58" w:rsidRPr="00C372E2" w:rsidRDefault="005D52DB" w:rsidP="00ED639B">
      <w:r w:rsidRPr="00C372E2">
        <w:t xml:space="preserve">This pilot study aimed to examine </w:t>
      </w:r>
      <w:r w:rsidR="00904268" w:rsidRPr="00C372E2">
        <w:t>healthy</w:t>
      </w:r>
      <w:r w:rsidR="00A8497E" w:rsidRPr="00C372E2">
        <w:t>,</w:t>
      </w:r>
      <w:r w:rsidRPr="00C372E2">
        <w:t xml:space="preserve"> </w:t>
      </w:r>
      <w:r w:rsidR="00A8497E" w:rsidRPr="00C372E2">
        <w:t xml:space="preserve">older, Thai </w:t>
      </w:r>
      <w:r w:rsidRPr="00C372E2">
        <w:t>adult</w:t>
      </w:r>
      <w:r w:rsidR="00A8497E" w:rsidRPr="00C372E2">
        <w:t>s</w:t>
      </w:r>
      <w:r w:rsidRPr="00C372E2">
        <w:t xml:space="preserve"> age</w:t>
      </w:r>
      <w:r w:rsidR="00A8497E" w:rsidRPr="00C372E2">
        <w:t>d between</w:t>
      </w:r>
      <w:r w:rsidRPr="00C372E2">
        <w:t xml:space="preserve"> 50 </w:t>
      </w:r>
      <w:r w:rsidR="00A8497E" w:rsidRPr="00C372E2">
        <w:t xml:space="preserve">and </w:t>
      </w:r>
      <w:r w:rsidR="009B6855" w:rsidRPr="00C372E2">
        <w:t>70</w:t>
      </w:r>
      <w:r w:rsidRPr="00C372E2">
        <w:t xml:space="preserve"> years.</w:t>
      </w:r>
      <w:r w:rsidR="00550C05" w:rsidRPr="00C372E2">
        <w:t xml:space="preserve"> As the second objective of this study was to identify </w:t>
      </w:r>
      <w:r w:rsidR="0079174F" w:rsidRPr="00C372E2">
        <w:t xml:space="preserve">any </w:t>
      </w:r>
      <w:r w:rsidR="00550C05" w:rsidRPr="00C372E2">
        <w:t>demographic variables influenc</w:t>
      </w:r>
      <w:r w:rsidR="0079174F" w:rsidRPr="00C372E2">
        <w:t>ing</w:t>
      </w:r>
      <w:r w:rsidR="00550C05" w:rsidRPr="00C372E2">
        <w:t xml:space="preserve"> </w:t>
      </w:r>
      <w:r w:rsidR="002110C1" w:rsidRPr="00C372E2">
        <w:t xml:space="preserve">the scoring </w:t>
      </w:r>
      <w:r w:rsidR="00550C05" w:rsidRPr="00C372E2">
        <w:t xml:space="preserve">performance </w:t>
      </w:r>
      <w:r w:rsidR="002110C1" w:rsidRPr="00C372E2">
        <w:t>for</w:t>
      </w:r>
      <w:r w:rsidR="00550C05" w:rsidRPr="00C372E2">
        <w:t xml:space="preserve"> each VOSP subtest, </w:t>
      </w:r>
      <w:r w:rsidR="00FF0427" w:rsidRPr="00C372E2">
        <w:t xml:space="preserve">a </w:t>
      </w:r>
      <w:r w:rsidR="00550C05" w:rsidRPr="00C372E2">
        <w:t xml:space="preserve">minimum of 40 </w:t>
      </w:r>
      <w:r w:rsidR="00E74FF0" w:rsidRPr="00C372E2">
        <w:t>participant</w:t>
      </w:r>
      <w:r w:rsidR="00550C05" w:rsidRPr="00C372E2">
        <w:t xml:space="preserve">s </w:t>
      </w:r>
      <w:r w:rsidR="00FF0427" w:rsidRPr="00C372E2">
        <w:t xml:space="preserve">were </w:t>
      </w:r>
      <w:r w:rsidR="00550C05" w:rsidRPr="00C372E2">
        <w:t xml:space="preserve">needed to obtain  precision </w:t>
      </w:r>
      <w:r w:rsidR="00645C44" w:rsidRPr="00C372E2">
        <w:t xml:space="preserve">in the </w:t>
      </w:r>
      <w:r w:rsidR="00550C05" w:rsidRPr="00C372E2">
        <w:t>correlations</w:t>
      </w:r>
      <w:r w:rsidR="007C366E" w:rsidRPr="00C372E2">
        <w:t xml:space="preserve"> between the VOSP subtest scores and the demographic variable parameters</w:t>
      </w:r>
      <w:r w:rsidR="00D13C0D" w:rsidRPr="00C372E2">
        <w:t xml:space="preserve"> </w:t>
      </w:r>
      <w:r w:rsidR="003060AC" w:rsidRPr="00C372E2">
        <w:rPr>
          <w:noProof/>
        </w:rPr>
        <w:t>(Hertzog, 2008)</w:t>
      </w:r>
      <w:r w:rsidR="00550C05" w:rsidRPr="00C372E2">
        <w:t xml:space="preserve">. </w:t>
      </w:r>
      <w:r w:rsidRPr="00C372E2">
        <w:t>T</w:t>
      </w:r>
      <w:r w:rsidR="00550C05" w:rsidRPr="00C372E2">
        <w:t>herefore, t</w:t>
      </w:r>
      <w:r w:rsidRPr="00C372E2">
        <w:t xml:space="preserve">he sample </w:t>
      </w:r>
      <w:r w:rsidR="00550C05" w:rsidRPr="00C372E2">
        <w:t xml:space="preserve">of this study </w:t>
      </w:r>
      <w:r w:rsidRPr="00C372E2">
        <w:t>consisted of 40, healthy</w:t>
      </w:r>
      <w:r w:rsidR="0079174F" w:rsidRPr="00C372E2">
        <w:t>,</w:t>
      </w:r>
      <w:r w:rsidRPr="00C372E2">
        <w:t xml:space="preserve"> older adults recruited from the general practitioner outpatient unit of Thammasat </w:t>
      </w:r>
      <w:r w:rsidR="0079174F" w:rsidRPr="00C372E2">
        <w:t xml:space="preserve">University Hospital </w:t>
      </w:r>
      <w:r w:rsidRPr="00C372E2">
        <w:t>by stratified random sampling. The population was stratified</w:t>
      </w:r>
      <w:r w:rsidR="002A0A22" w:rsidRPr="00C372E2">
        <w:t xml:space="preserve"> into 8 groups </w:t>
      </w:r>
      <w:r w:rsidRPr="00C372E2">
        <w:t>by age (50</w:t>
      </w:r>
      <w:r w:rsidR="0079174F" w:rsidRPr="00C372E2">
        <w:t>–</w:t>
      </w:r>
      <w:r w:rsidRPr="00C372E2">
        <w:t>59</w:t>
      </w:r>
      <w:r w:rsidR="0079174F" w:rsidRPr="00C372E2">
        <w:t>,</w:t>
      </w:r>
      <w:r w:rsidRPr="00C372E2">
        <w:t xml:space="preserve"> and 60</w:t>
      </w:r>
      <w:r w:rsidR="00D13C0D" w:rsidRPr="00C372E2">
        <w:t>–</w:t>
      </w:r>
      <w:r w:rsidR="009B6855" w:rsidRPr="00C372E2">
        <w:t>70</w:t>
      </w:r>
      <w:r w:rsidRPr="00C372E2">
        <w:t xml:space="preserve"> years), gender (males</w:t>
      </w:r>
      <w:r w:rsidR="002A0A22" w:rsidRPr="00C372E2">
        <w:t xml:space="preserve"> and</w:t>
      </w:r>
      <w:r w:rsidRPr="00C372E2">
        <w:t xml:space="preserve"> females)</w:t>
      </w:r>
      <w:r w:rsidR="002A0A22" w:rsidRPr="00C372E2">
        <w:t>,</w:t>
      </w:r>
      <w:r w:rsidRPr="00C372E2">
        <w:t xml:space="preserve"> and education</w:t>
      </w:r>
      <w:r w:rsidR="002A0A22" w:rsidRPr="00C372E2">
        <w:t xml:space="preserve"> level</w:t>
      </w:r>
      <w:r w:rsidRPr="00C372E2">
        <w:t xml:space="preserve"> (</w:t>
      </w:r>
      <w:r w:rsidR="00B2432F" w:rsidRPr="00C372E2">
        <w:t xml:space="preserve">≤ </w:t>
      </w:r>
      <w:r w:rsidRPr="00C372E2">
        <w:t>12</w:t>
      </w:r>
      <w:r w:rsidR="002A0A22" w:rsidRPr="00C372E2">
        <w:t xml:space="preserve"> years</w:t>
      </w:r>
      <w:r w:rsidRPr="00C372E2">
        <w:t>,</w:t>
      </w:r>
      <w:r w:rsidR="002A0A22" w:rsidRPr="00C372E2">
        <w:t xml:space="preserve"> and</w:t>
      </w:r>
      <w:r w:rsidRPr="00C372E2">
        <w:t xml:space="preserve"> </w:t>
      </w:r>
      <w:r w:rsidR="00B2432F" w:rsidRPr="00C372E2">
        <w:t xml:space="preserve">&gt; </w:t>
      </w:r>
      <w:r w:rsidRPr="00C372E2">
        <w:t xml:space="preserve">12 years of education). Five </w:t>
      </w:r>
      <w:r w:rsidR="007E2E46" w:rsidRPr="00C372E2">
        <w:t>participant</w:t>
      </w:r>
      <w:r w:rsidRPr="00C372E2">
        <w:t>s were chosen from each group by random sampling.</w:t>
      </w:r>
    </w:p>
    <w:p w14:paraId="0F523A23" w14:textId="51E6EFBE" w:rsidR="00DB4B30" w:rsidRPr="00C372E2" w:rsidRDefault="005D52DB" w:rsidP="00ED639B">
      <w:r w:rsidRPr="00C372E2">
        <w:t>All of the participants were cognitively normal</w:t>
      </w:r>
      <w:r w:rsidR="002A0A22" w:rsidRPr="00C372E2">
        <w:t>,</w:t>
      </w:r>
      <w:r w:rsidRPr="00C372E2">
        <w:t xml:space="preserve"> as indicated by</w:t>
      </w:r>
      <w:r w:rsidR="002A0A22" w:rsidRPr="00C372E2">
        <w:t xml:space="preserve"> having</w:t>
      </w:r>
      <w:r w:rsidRPr="00C372E2">
        <w:t xml:space="preserve"> </w:t>
      </w:r>
      <w:r w:rsidR="002A0A22" w:rsidRPr="00C372E2">
        <w:t xml:space="preserve">a </w:t>
      </w:r>
      <w:r w:rsidRPr="00C372E2">
        <w:t xml:space="preserve">Thai </w:t>
      </w:r>
      <w:r w:rsidR="002A0A22" w:rsidRPr="00C372E2">
        <w:t xml:space="preserve"> State Examination </w:t>
      </w:r>
      <w:r w:rsidRPr="00C372E2">
        <w:t xml:space="preserve">(TMSE) score </w:t>
      </w:r>
      <w:r w:rsidR="002A0A22" w:rsidRPr="00C372E2">
        <w:t xml:space="preserve">of </w:t>
      </w:r>
      <w:r w:rsidRPr="00C372E2">
        <w:t>≥ 24</w:t>
      </w:r>
      <w:r w:rsidR="003B0B6E" w:rsidRPr="00C372E2">
        <w:t xml:space="preserve"> </w:t>
      </w:r>
      <w:r w:rsidR="003060AC" w:rsidRPr="00C372E2">
        <w:rPr>
          <w:noProof/>
        </w:rPr>
        <w:t xml:space="preserve">(Muangpaisan, Assantachai, Sitthichai, Richardson, </w:t>
      </w:r>
      <w:r w:rsidR="00523C06" w:rsidRPr="00C372E2">
        <w:rPr>
          <w:noProof/>
        </w:rPr>
        <w:t>and</w:t>
      </w:r>
      <w:r w:rsidR="003060AC" w:rsidRPr="00C372E2">
        <w:rPr>
          <w:noProof/>
        </w:rPr>
        <w:t xml:space="preserve"> Brayne, 2015)</w:t>
      </w:r>
      <w:r w:rsidR="00344A2C" w:rsidRPr="00C372E2">
        <w:t>.</w:t>
      </w:r>
      <w:r w:rsidRPr="00C372E2">
        <w:t xml:space="preserve"> </w:t>
      </w:r>
      <w:r w:rsidR="002A0A22" w:rsidRPr="00C372E2">
        <w:t>The e</w:t>
      </w:r>
      <w:r w:rsidRPr="00C372E2">
        <w:t>xclusion criteria</w:t>
      </w:r>
      <w:r w:rsidRPr="00C372E2">
        <w:rPr>
          <w:cs/>
        </w:rPr>
        <w:t xml:space="preserve"> </w:t>
      </w:r>
      <w:r w:rsidRPr="00C372E2">
        <w:t xml:space="preserve">were </w:t>
      </w:r>
      <w:r w:rsidR="002A0A22" w:rsidRPr="00C372E2">
        <w:t xml:space="preserve">a </w:t>
      </w:r>
      <w:r w:rsidRPr="00C372E2">
        <w:t xml:space="preserve">personal history of neurological diseases possibly causing </w:t>
      </w:r>
      <w:r w:rsidR="002A0A22" w:rsidRPr="00C372E2">
        <w:t xml:space="preserve">a </w:t>
      </w:r>
      <w:r w:rsidRPr="00C372E2">
        <w:t>cognitive deficit (e.g.</w:t>
      </w:r>
      <w:r w:rsidR="002A0A22" w:rsidRPr="00C372E2">
        <w:t>,</w:t>
      </w:r>
      <w:r w:rsidRPr="00C372E2">
        <w:t xml:space="preserve"> stroke, epilepsy, </w:t>
      </w:r>
      <w:r w:rsidR="002A0A22" w:rsidRPr="00C372E2">
        <w:t xml:space="preserve">or </w:t>
      </w:r>
      <w:r w:rsidRPr="00C372E2">
        <w:t>head injury</w:t>
      </w:r>
      <w:r w:rsidR="00CB47C9" w:rsidRPr="00C372E2">
        <w:t xml:space="preserve">); </w:t>
      </w:r>
      <w:r w:rsidRPr="00C372E2">
        <w:t>psychiatric disorders</w:t>
      </w:r>
      <w:r w:rsidR="00CB47C9" w:rsidRPr="00C372E2">
        <w:t xml:space="preserve">; </w:t>
      </w:r>
      <w:r w:rsidRPr="00C372E2">
        <w:t>current illegal substance usage</w:t>
      </w:r>
      <w:r w:rsidR="00CB47C9" w:rsidRPr="00C372E2">
        <w:t xml:space="preserve">; </w:t>
      </w:r>
      <w:r w:rsidRPr="00C372E2">
        <w:t xml:space="preserve">current usage of medications which debilitate cognition (e.g., </w:t>
      </w:r>
      <w:r w:rsidR="00A27C12" w:rsidRPr="00C372E2">
        <w:t>benzodiazepines</w:t>
      </w:r>
      <w:r w:rsidRPr="00C372E2">
        <w:t xml:space="preserve">, </w:t>
      </w:r>
      <w:r w:rsidR="00A27C12" w:rsidRPr="00C372E2">
        <w:t xml:space="preserve">tricyclic </w:t>
      </w:r>
      <w:r w:rsidRPr="00C372E2">
        <w:t xml:space="preserve">antidepressants, </w:t>
      </w:r>
      <w:r w:rsidR="00A27C12" w:rsidRPr="00C372E2">
        <w:t xml:space="preserve">opioid </w:t>
      </w:r>
      <w:r w:rsidRPr="00C372E2">
        <w:t xml:space="preserve">analgesics, </w:t>
      </w:r>
      <w:r w:rsidR="00A27C12" w:rsidRPr="00C372E2">
        <w:t xml:space="preserve">antiparkinsonian </w:t>
      </w:r>
      <w:r w:rsidRPr="00C372E2">
        <w:t>agents</w:t>
      </w:r>
      <w:r w:rsidR="00CB47C9" w:rsidRPr="00C372E2">
        <w:rPr>
          <w:noProof/>
        </w:rPr>
        <w:t xml:space="preserve">; </w:t>
      </w:r>
      <w:r w:rsidR="003060AC" w:rsidRPr="00C372E2">
        <w:rPr>
          <w:noProof/>
        </w:rPr>
        <w:t>Chew et al., 2008</w:t>
      </w:r>
      <w:r w:rsidR="00CB47C9" w:rsidRPr="00C372E2">
        <w:rPr>
          <w:noProof/>
        </w:rPr>
        <w:t>)</w:t>
      </w:r>
      <w:r w:rsidR="00CB47C9" w:rsidRPr="00C372E2">
        <w:t xml:space="preserve">; </w:t>
      </w:r>
      <w:r w:rsidR="001C03FC" w:rsidRPr="00C372E2">
        <w:t xml:space="preserve">a </w:t>
      </w:r>
      <w:r w:rsidRPr="00C372E2">
        <w:t>history of severe head injury</w:t>
      </w:r>
      <w:r w:rsidR="00CB47C9" w:rsidRPr="00C372E2">
        <w:t xml:space="preserve">; </w:t>
      </w:r>
      <w:r w:rsidR="001C03FC" w:rsidRPr="00C372E2">
        <w:t xml:space="preserve">and </w:t>
      </w:r>
      <w:r w:rsidRPr="00C372E2">
        <w:t>severe sensorial deficit</w:t>
      </w:r>
      <w:r w:rsidR="00D13C0D" w:rsidRPr="00C372E2">
        <w:t xml:space="preserve"> </w:t>
      </w:r>
      <w:r w:rsidRPr="00C372E2">
        <w:t xml:space="preserve">(loss of vision or hearing) which could not be corrected by instruments. Visual acuity </w:t>
      </w:r>
      <w:r w:rsidR="00B84F42" w:rsidRPr="00C372E2">
        <w:t>(VA)</w:t>
      </w:r>
      <w:r w:rsidR="00171B0C" w:rsidRPr="00C372E2">
        <w:t>,</w:t>
      </w:r>
      <w:r w:rsidRPr="00C372E2">
        <w:t xml:space="preserve"> assessed by using the Rosenbaum Pocket Vision Screener</w:t>
      </w:r>
      <w:r w:rsidR="00171B0C" w:rsidRPr="00C372E2">
        <w:t>, was not one of the exclusion criteria; instead, it was utilized</w:t>
      </w:r>
      <w:r w:rsidRPr="00C372E2">
        <w:t xml:space="preserve"> to determine </w:t>
      </w:r>
      <w:r w:rsidR="00171B0C" w:rsidRPr="00C372E2">
        <w:t xml:space="preserve">its </w:t>
      </w:r>
      <w:r w:rsidRPr="00C372E2">
        <w:t xml:space="preserve">influence on the VOSP </w:t>
      </w:r>
      <w:proofErr w:type="spellStart"/>
      <w:r w:rsidRPr="00C372E2">
        <w:t>subscores</w:t>
      </w:r>
      <w:proofErr w:type="spellEnd"/>
      <w:r w:rsidRPr="00C372E2">
        <w:t xml:space="preserve">. </w:t>
      </w:r>
      <w:r w:rsidR="001C03FC" w:rsidRPr="00C372E2">
        <w:t>P</w:t>
      </w:r>
      <w:r w:rsidRPr="00C372E2">
        <w:t>articipant</w:t>
      </w:r>
      <w:r w:rsidR="00344A2C" w:rsidRPr="00C372E2">
        <w:t>s</w:t>
      </w:r>
      <w:r w:rsidRPr="00C372E2">
        <w:t xml:space="preserve"> who failed the shape detection screening were </w:t>
      </w:r>
      <w:r w:rsidR="001C03FC" w:rsidRPr="00C372E2">
        <w:t xml:space="preserve">also </w:t>
      </w:r>
      <w:r w:rsidRPr="00C372E2">
        <w:t>excluded from this study.</w:t>
      </w:r>
    </w:p>
    <w:p w14:paraId="59004E6E" w14:textId="06177EBB" w:rsidR="005D52DB" w:rsidRPr="00C372E2" w:rsidRDefault="005D52DB" w:rsidP="00ED639B">
      <w:r w:rsidRPr="00C372E2">
        <w:t xml:space="preserve">This study was approved by </w:t>
      </w:r>
      <w:r w:rsidR="00CB47C9" w:rsidRPr="00C372E2">
        <w:t xml:space="preserve">the </w:t>
      </w:r>
      <w:r w:rsidRPr="00C372E2">
        <w:t>Human Research Ethics Committee of Thammasat University No.</w:t>
      </w:r>
      <w:r w:rsidR="00CB47C9" w:rsidRPr="00C372E2">
        <w:t xml:space="preserve"> </w:t>
      </w:r>
      <w:r w:rsidRPr="00C372E2">
        <w:t>1 (MTU-EC-PS-1-089/60).</w:t>
      </w:r>
    </w:p>
    <w:p w14:paraId="1C2DAA2E" w14:textId="77777777" w:rsidR="005D52DB" w:rsidRPr="00C372E2" w:rsidRDefault="005D52DB" w:rsidP="00A50781">
      <w:pPr>
        <w:ind w:firstLine="0"/>
        <w:rPr>
          <w:b/>
          <w:bCs/>
        </w:rPr>
      </w:pPr>
      <w:r w:rsidRPr="00C372E2">
        <w:rPr>
          <w:b/>
          <w:bCs/>
        </w:rPr>
        <w:t>MATERIALS</w:t>
      </w:r>
    </w:p>
    <w:p w14:paraId="0B03FCBA" w14:textId="13B00C90" w:rsidR="005D52DB" w:rsidRPr="00C372E2" w:rsidRDefault="000E7744" w:rsidP="00A50781">
      <w:pPr>
        <w:ind w:firstLine="0"/>
        <w:rPr>
          <w:b/>
          <w:bCs/>
          <w:i/>
          <w:iCs/>
        </w:rPr>
      </w:pPr>
      <w:r w:rsidRPr="00C372E2">
        <w:rPr>
          <w:b/>
          <w:bCs/>
          <w:i/>
          <w:iCs/>
        </w:rPr>
        <w:t>VOSP</w:t>
      </w:r>
      <w:r w:rsidR="005D52DB" w:rsidRPr="00C372E2">
        <w:rPr>
          <w:b/>
          <w:bCs/>
          <w:i/>
          <w:iCs/>
        </w:rPr>
        <w:t xml:space="preserve"> Battery </w:t>
      </w:r>
      <w:r w:rsidR="005D52DB" w:rsidRPr="00C372E2">
        <w:rPr>
          <w:b/>
          <w:bCs/>
          <w:i/>
          <w:iCs/>
          <w:cs/>
        </w:rPr>
        <w:t>(</w:t>
      </w:r>
      <w:r w:rsidR="003060AC" w:rsidRPr="00C372E2">
        <w:rPr>
          <w:b/>
          <w:bCs/>
          <w:i/>
          <w:iCs/>
          <w:noProof/>
        </w:rPr>
        <w:t>Warrington &amp; James, 1991)</w:t>
      </w:r>
    </w:p>
    <w:p w14:paraId="1D5F580B" w14:textId="67FDA7AE" w:rsidR="00DB4B30" w:rsidRPr="00C372E2" w:rsidRDefault="002641BC" w:rsidP="00ED639B">
      <w:pPr>
        <w:autoSpaceDE w:val="0"/>
        <w:autoSpaceDN w:val="0"/>
        <w:adjustRightInd w:val="0"/>
      </w:pPr>
      <w:r w:rsidRPr="00C372E2">
        <w:t xml:space="preserve">The </w:t>
      </w:r>
      <w:r w:rsidR="005D52DB" w:rsidRPr="00C372E2">
        <w:t>VOSP battery contains three main subtests</w:t>
      </w:r>
      <w:r w:rsidRPr="00C372E2">
        <w:t xml:space="preserve"> relating to</w:t>
      </w:r>
      <w:r w:rsidR="005D52DB" w:rsidRPr="00C372E2">
        <w:t xml:space="preserve"> shape detection screening, object perception</w:t>
      </w:r>
      <w:r w:rsidRPr="00C372E2">
        <w:t>,</w:t>
      </w:r>
      <w:r w:rsidR="005D52DB" w:rsidRPr="00C372E2">
        <w:t xml:space="preserve"> and space perception. The shape detection screening </w:t>
      </w:r>
      <w:r w:rsidRPr="00C372E2">
        <w:t xml:space="preserve">aims </w:t>
      </w:r>
      <w:r w:rsidR="005D52DB" w:rsidRPr="00C372E2">
        <w:t>to check</w:t>
      </w:r>
      <w:r w:rsidRPr="00C372E2">
        <w:t xml:space="preserve"> the</w:t>
      </w:r>
      <w:r w:rsidR="005D52DB" w:rsidRPr="00C372E2">
        <w:t xml:space="preserve"> visual </w:t>
      </w:r>
      <w:r w:rsidR="005D52DB" w:rsidRPr="00C372E2">
        <w:lastRenderedPageBreak/>
        <w:t>sensory capacities</w:t>
      </w:r>
      <w:r w:rsidR="00D7728B" w:rsidRPr="00C372E2">
        <w:t>; it</w:t>
      </w:r>
      <w:r w:rsidR="005D52DB" w:rsidRPr="00C372E2">
        <w:t xml:space="preserve"> consist</w:t>
      </w:r>
      <w:r w:rsidR="00741327" w:rsidRPr="00C372E2">
        <w:t xml:space="preserve">s </w:t>
      </w:r>
      <w:r w:rsidR="005D52DB" w:rsidRPr="00C372E2">
        <w:t xml:space="preserve">of 20 stimuli, 10 of which contain degraded </w:t>
      </w:r>
      <w:r w:rsidR="009011B7" w:rsidRPr="00C372E2">
        <w:t>“</w:t>
      </w:r>
      <w:r w:rsidR="005D52DB" w:rsidRPr="00C372E2">
        <w:t>X</w:t>
      </w:r>
      <w:r w:rsidR="009011B7" w:rsidRPr="00C372E2">
        <w:t>”</w:t>
      </w:r>
      <w:r w:rsidR="005D52DB" w:rsidRPr="00C372E2">
        <w:t xml:space="preserve">, </w:t>
      </w:r>
      <w:r w:rsidR="00D7728B" w:rsidRPr="00C372E2">
        <w:t xml:space="preserve">while </w:t>
      </w:r>
      <w:r w:rsidR="005D52DB" w:rsidRPr="00C372E2">
        <w:t>the other 10 do not. The participant</w:t>
      </w:r>
      <w:r w:rsidR="00741327" w:rsidRPr="00C372E2">
        <w:t>s</w:t>
      </w:r>
      <w:r w:rsidR="005D52DB" w:rsidRPr="00C372E2">
        <w:t xml:space="preserve"> </w:t>
      </w:r>
      <w:r w:rsidR="00741327" w:rsidRPr="00C372E2">
        <w:t>were</w:t>
      </w:r>
      <w:r w:rsidR="005D52DB" w:rsidRPr="00C372E2">
        <w:t xml:space="preserve"> asked to determine whether </w:t>
      </w:r>
      <w:r w:rsidR="009011B7" w:rsidRPr="00C372E2">
        <w:t>“</w:t>
      </w:r>
      <w:r w:rsidR="005D52DB" w:rsidRPr="00C372E2">
        <w:t>X</w:t>
      </w:r>
      <w:r w:rsidR="009011B7" w:rsidRPr="00C372E2">
        <w:t>”</w:t>
      </w:r>
      <w:r w:rsidR="005D52DB" w:rsidRPr="00C372E2">
        <w:t xml:space="preserve"> </w:t>
      </w:r>
      <w:r w:rsidR="00741327" w:rsidRPr="00C372E2">
        <w:t>wa</w:t>
      </w:r>
      <w:r w:rsidR="005D52DB" w:rsidRPr="00C372E2">
        <w:t xml:space="preserve">s present. </w:t>
      </w:r>
      <w:r w:rsidR="00D7728B" w:rsidRPr="00C372E2">
        <w:t>The c</w:t>
      </w:r>
      <w:r w:rsidR="005D52DB" w:rsidRPr="00C372E2">
        <w:t>ut-off point of</w:t>
      </w:r>
      <w:r w:rsidR="00D7728B" w:rsidRPr="00C372E2">
        <w:t xml:space="preserve"> the</w:t>
      </w:r>
      <w:r w:rsidR="005D52DB" w:rsidRPr="00C372E2">
        <w:t xml:space="preserve"> English version </w:t>
      </w:r>
      <w:r w:rsidR="00741327" w:rsidRPr="00C372E2">
        <w:t>is</w:t>
      </w:r>
      <w:r w:rsidR="005D52DB" w:rsidRPr="00C372E2">
        <w:t xml:space="preserve"> greater than 15 correct. A score of 15 and lower indicate</w:t>
      </w:r>
      <w:r w:rsidR="00741327" w:rsidRPr="00C372E2">
        <w:t>s</w:t>
      </w:r>
      <w:r w:rsidR="00D7728B" w:rsidRPr="00C372E2">
        <w:t xml:space="preserve"> an</w:t>
      </w:r>
      <w:r w:rsidR="005D52DB" w:rsidRPr="00C372E2">
        <w:t xml:space="preserve"> impair</w:t>
      </w:r>
      <w:r w:rsidR="00D7728B" w:rsidRPr="00C372E2">
        <w:t>ed</w:t>
      </w:r>
      <w:r w:rsidR="005D52DB" w:rsidRPr="00C372E2">
        <w:t xml:space="preserve"> visual sensory capacity and suggest</w:t>
      </w:r>
      <w:r w:rsidR="00741327" w:rsidRPr="00C372E2">
        <w:t>s</w:t>
      </w:r>
      <w:r w:rsidR="005D52DB" w:rsidRPr="00C372E2">
        <w:t xml:space="preserve"> the remaining parts should be ceased.</w:t>
      </w:r>
    </w:p>
    <w:p w14:paraId="1AAB16F2" w14:textId="4A02E558" w:rsidR="005D52DB" w:rsidRPr="00C372E2" w:rsidRDefault="005D52DB" w:rsidP="00ED639B">
      <w:pPr>
        <w:autoSpaceDE w:val="0"/>
        <w:autoSpaceDN w:val="0"/>
        <w:adjustRightInd w:val="0"/>
      </w:pPr>
      <w:r w:rsidRPr="00C372E2">
        <w:t xml:space="preserve">The </w:t>
      </w:r>
      <w:r w:rsidR="00D7728B" w:rsidRPr="00C372E2">
        <w:t xml:space="preserve">object perception </w:t>
      </w:r>
      <w:r w:rsidRPr="00C372E2">
        <w:t>part comprise</w:t>
      </w:r>
      <w:r w:rsidR="00741327" w:rsidRPr="00C372E2">
        <w:t>s</w:t>
      </w:r>
      <w:r w:rsidRPr="00C372E2">
        <w:t xml:space="preserve"> four subtests. The Incomplete Letters</w:t>
      </w:r>
      <w:r w:rsidRPr="00C372E2">
        <w:rPr>
          <w:rStyle w:val="st"/>
        </w:rPr>
        <w:t xml:space="preserve"> subtest consists of 20</w:t>
      </w:r>
      <w:r w:rsidR="00E40EDD" w:rsidRPr="00C372E2">
        <w:rPr>
          <w:rStyle w:val="st"/>
        </w:rPr>
        <w:t>,</w:t>
      </w:r>
      <w:r w:rsidRPr="00C372E2">
        <w:rPr>
          <w:rStyle w:val="st"/>
        </w:rPr>
        <w:t xml:space="preserve"> upper-case</w:t>
      </w:r>
      <w:r w:rsidR="00E40EDD" w:rsidRPr="00C372E2">
        <w:rPr>
          <w:rStyle w:val="st"/>
        </w:rPr>
        <w:t>,</w:t>
      </w:r>
      <w:r w:rsidRPr="00C372E2">
        <w:rPr>
          <w:rStyle w:val="st"/>
        </w:rPr>
        <w:t xml:space="preserve"> English </w:t>
      </w:r>
      <w:r w:rsidR="00E40EDD" w:rsidRPr="00C372E2">
        <w:rPr>
          <w:rStyle w:val="st"/>
        </w:rPr>
        <w:t xml:space="preserve">letters </w:t>
      </w:r>
      <w:r w:rsidRPr="00C372E2">
        <w:rPr>
          <w:rStyle w:val="st"/>
        </w:rPr>
        <w:t>which are 70% fragmented</w:t>
      </w:r>
      <w:r w:rsidRPr="00C372E2">
        <w:t xml:space="preserve">. The participants </w:t>
      </w:r>
      <w:r w:rsidR="00D7728B" w:rsidRPr="00C372E2">
        <w:t xml:space="preserve">are </w:t>
      </w:r>
      <w:r w:rsidRPr="00C372E2">
        <w:t xml:space="preserve">required to identify the letters </w:t>
      </w:r>
      <w:r w:rsidRPr="00C372E2">
        <w:rPr>
          <w:cs/>
        </w:rPr>
        <w:t>(</w:t>
      </w:r>
      <w:r w:rsidR="008042A0" w:rsidRPr="00C372E2">
        <w:t>maximum score:</w:t>
      </w:r>
      <w:r w:rsidRPr="00C372E2">
        <w:t xml:space="preserve"> 20</w:t>
      </w:r>
      <w:r w:rsidRPr="00C372E2">
        <w:rPr>
          <w:cs/>
        </w:rPr>
        <w:t>)</w:t>
      </w:r>
      <w:r w:rsidRPr="00C372E2">
        <w:t xml:space="preserve">. </w:t>
      </w:r>
      <w:r w:rsidR="00D7728B" w:rsidRPr="00C372E2">
        <w:t>As</w:t>
      </w:r>
      <w:r w:rsidRPr="00C372E2">
        <w:t xml:space="preserve"> most Thai</w:t>
      </w:r>
      <w:r w:rsidR="00D7728B" w:rsidRPr="00C372E2">
        <w:t>s</w:t>
      </w:r>
      <w:r w:rsidRPr="00C372E2">
        <w:t xml:space="preserve"> are not familiar with English, this subtest</w:t>
      </w:r>
      <w:r w:rsidR="00741327" w:rsidRPr="00C372E2">
        <w:t xml:space="preserve"> was</w:t>
      </w:r>
      <w:r w:rsidRPr="00C372E2">
        <w:t xml:space="preserve"> </w:t>
      </w:r>
      <w:r w:rsidR="00D7728B" w:rsidRPr="00C372E2">
        <w:t>re-</w:t>
      </w:r>
      <w:r w:rsidRPr="00C372E2">
        <w:t xml:space="preserve">created </w:t>
      </w:r>
      <w:r w:rsidR="00D7728B" w:rsidRPr="00C372E2">
        <w:t xml:space="preserve">using </w:t>
      </w:r>
      <w:r w:rsidRPr="00C372E2">
        <w:t>Thai letters</w:t>
      </w:r>
      <w:r w:rsidR="00E40EDD" w:rsidRPr="00C372E2">
        <w:t>; this</w:t>
      </w:r>
      <w:r w:rsidRPr="00C372E2">
        <w:t xml:space="preserve"> </w:t>
      </w:r>
      <w:r w:rsidR="00E40EDD" w:rsidRPr="00C372E2">
        <w:t>is</w:t>
      </w:r>
      <w:r w:rsidRPr="00C372E2">
        <w:t xml:space="preserve"> further described in the </w:t>
      </w:r>
      <w:r w:rsidR="00E40EDD" w:rsidRPr="00C372E2">
        <w:t xml:space="preserve">Procedures </w:t>
      </w:r>
      <w:r w:rsidR="00D7728B" w:rsidRPr="00C372E2">
        <w:t>section</w:t>
      </w:r>
      <w:r w:rsidR="00E40EDD" w:rsidRPr="00C372E2">
        <w:t xml:space="preserve"> of this paper</w:t>
      </w:r>
      <w:r w:rsidRPr="00C372E2">
        <w:t>.</w:t>
      </w:r>
      <w:r w:rsidR="003A1C58" w:rsidRPr="00C372E2">
        <w:t xml:space="preserve"> </w:t>
      </w:r>
      <w:r w:rsidRPr="00C372E2">
        <w:t>The Silhouettes subtest consists of</w:t>
      </w:r>
      <w:r w:rsidR="008230C6" w:rsidRPr="00C372E2">
        <w:t xml:space="preserve"> drawings</w:t>
      </w:r>
      <w:r w:rsidR="00994A30" w:rsidRPr="00C372E2">
        <w:t xml:space="preserve"> of</w:t>
      </w:r>
      <w:r w:rsidRPr="00C372E2">
        <w:t xml:space="preserve"> 15 </w:t>
      </w:r>
      <w:r w:rsidR="008230C6" w:rsidRPr="00C372E2">
        <w:t>animal</w:t>
      </w:r>
      <w:r w:rsidR="00994A30" w:rsidRPr="00C372E2">
        <w:t>s</w:t>
      </w:r>
      <w:r w:rsidR="008230C6" w:rsidRPr="00C372E2">
        <w:t xml:space="preserve"> in </w:t>
      </w:r>
      <w:r w:rsidRPr="00C372E2">
        <w:t xml:space="preserve">silhouette </w:t>
      </w:r>
      <w:bookmarkStart w:id="4" w:name="_Hlk41584515"/>
      <w:r w:rsidRPr="00C372E2">
        <w:t>and 15 inanimate objects</w:t>
      </w:r>
      <w:r w:rsidR="00E40EDD" w:rsidRPr="00C372E2">
        <w:t>, all of</w:t>
      </w:r>
      <w:r w:rsidRPr="00C372E2">
        <w:t xml:space="preserve"> which </w:t>
      </w:r>
      <w:r w:rsidR="00E40EDD" w:rsidRPr="00C372E2">
        <w:t xml:space="preserve">are </w:t>
      </w:r>
      <w:r w:rsidRPr="00C372E2">
        <w:t>depicted from unusual perspectives</w:t>
      </w:r>
      <w:bookmarkEnd w:id="4"/>
      <w:r w:rsidRPr="00C372E2">
        <w:t xml:space="preserve">. The participants </w:t>
      </w:r>
      <w:r w:rsidR="00BD3850" w:rsidRPr="00C372E2">
        <w:t>were</w:t>
      </w:r>
      <w:r w:rsidRPr="00C372E2">
        <w:t xml:space="preserve"> asked to identify the </w:t>
      </w:r>
      <w:r w:rsidR="00994A30" w:rsidRPr="00C372E2">
        <w:t>animals and objects</w:t>
      </w:r>
      <w:r w:rsidRPr="00C372E2">
        <w:t xml:space="preserve"> </w:t>
      </w:r>
      <w:r w:rsidRPr="00C372E2">
        <w:rPr>
          <w:cs/>
        </w:rPr>
        <w:t>(</w:t>
      </w:r>
      <w:r w:rsidR="008042A0" w:rsidRPr="00C372E2">
        <w:t>maximum score:</w:t>
      </w:r>
      <w:r w:rsidRPr="00C372E2">
        <w:t xml:space="preserve"> 30</w:t>
      </w:r>
      <w:r w:rsidRPr="00C372E2">
        <w:rPr>
          <w:cs/>
        </w:rPr>
        <w:t>)</w:t>
      </w:r>
      <w:r w:rsidRPr="00C372E2">
        <w:t xml:space="preserve">. The Object Decision subtest consists of </w:t>
      </w:r>
      <w:r w:rsidRPr="00C372E2">
        <w:rPr>
          <w:cs/>
        </w:rPr>
        <w:t>20</w:t>
      </w:r>
      <w:r w:rsidRPr="00C372E2">
        <w:t xml:space="preserve"> arrays, each of which contains one real object with three distracters. The participants </w:t>
      </w:r>
      <w:r w:rsidR="00741327" w:rsidRPr="00C372E2">
        <w:t>were</w:t>
      </w:r>
      <w:r w:rsidRPr="00C372E2">
        <w:t xml:space="preserve"> asked to identify the real object</w:t>
      </w:r>
      <w:r w:rsidRPr="00C372E2">
        <w:rPr>
          <w:cs/>
        </w:rPr>
        <w:t xml:space="preserve"> (</w:t>
      </w:r>
      <w:r w:rsidR="008042A0" w:rsidRPr="00C372E2">
        <w:t>maximum score:</w:t>
      </w:r>
      <w:r w:rsidRPr="00C372E2">
        <w:t xml:space="preserve"> 20</w:t>
      </w:r>
      <w:r w:rsidRPr="00C372E2">
        <w:rPr>
          <w:cs/>
        </w:rPr>
        <w:t>)</w:t>
      </w:r>
      <w:r w:rsidRPr="00C372E2">
        <w:t xml:space="preserve">. The Progressive Silhouettes subtest consists of two series of stimulus cards, each comprised of 10 silhouette drawings. Each series </w:t>
      </w:r>
      <w:r w:rsidR="00BD3850" w:rsidRPr="00C372E2">
        <w:t>i</w:t>
      </w:r>
      <w:r w:rsidRPr="00C372E2">
        <w:t>s constructed by progressively rotating the silhouettes from an</w:t>
      </w:r>
      <w:r w:rsidRPr="00C372E2">
        <w:rPr>
          <w:cs/>
        </w:rPr>
        <w:t xml:space="preserve"> </w:t>
      </w:r>
      <w:r w:rsidRPr="00C372E2">
        <w:t xml:space="preserve">unusual view until </w:t>
      </w:r>
      <w:r w:rsidR="00BF6900" w:rsidRPr="00C372E2">
        <w:t xml:space="preserve">they are </w:t>
      </w:r>
      <w:r w:rsidRPr="00C372E2">
        <w:t>present</w:t>
      </w:r>
      <w:r w:rsidR="00BF6900" w:rsidRPr="00C372E2">
        <w:t>ed</w:t>
      </w:r>
      <w:r w:rsidRPr="00C372E2">
        <w:t xml:space="preserve"> in </w:t>
      </w:r>
      <w:r w:rsidR="00BF6900" w:rsidRPr="00C372E2">
        <w:t xml:space="preserve">their </w:t>
      </w:r>
      <w:r w:rsidRPr="00C372E2">
        <w:t>usual view</w:t>
      </w:r>
      <w:r w:rsidRPr="00C372E2">
        <w:rPr>
          <w:cs/>
        </w:rPr>
        <w:t>.</w:t>
      </w:r>
      <w:r w:rsidRPr="00C372E2">
        <w:t xml:space="preserve"> The participants were asked to identify </w:t>
      </w:r>
      <w:r w:rsidR="00BF6900" w:rsidRPr="00C372E2">
        <w:t xml:space="preserve">each </w:t>
      </w:r>
      <w:r w:rsidRPr="00C372E2">
        <w:t xml:space="preserve">object as early as possible </w:t>
      </w:r>
      <w:r w:rsidRPr="00C372E2">
        <w:rPr>
          <w:cs/>
        </w:rPr>
        <w:t>(</w:t>
      </w:r>
      <w:r w:rsidRPr="00C372E2">
        <w:t>maximum score</w:t>
      </w:r>
      <w:r w:rsidR="008042A0" w:rsidRPr="00C372E2">
        <w:t>:</w:t>
      </w:r>
      <w:r w:rsidRPr="00C372E2">
        <w:t xml:space="preserve"> 20</w:t>
      </w:r>
      <w:r w:rsidRPr="00C372E2">
        <w:rPr>
          <w:cs/>
        </w:rPr>
        <w:t>).</w:t>
      </w:r>
      <w:r w:rsidRPr="00C372E2">
        <w:t xml:space="preserve"> In this subtest,</w:t>
      </w:r>
      <w:r w:rsidR="00BF6900" w:rsidRPr="00C372E2">
        <w:t xml:space="preserve"> a</w:t>
      </w:r>
      <w:r w:rsidRPr="00C372E2">
        <w:t xml:space="preserve"> lower score </w:t>
      </w:r>
      <w:r w:rsidR="00BF6900" w:rsidRPr="00C372E2">
        <w:t xml:space="preserve">signifies </w:t>
      </w:r>
      <w:r w:rsidR="00B30FA9" w:rsidRPr="00C372E2">
        <w:t xml:space="preserve">a </w:t>
      </w:r>
      <w:r w:rsidRPr="00C372E2">
        <w:t>better performance.</w:t>
      </w:r>
    </w:p>
    <w:p w14:paraId="309C0CC5" w14:textId="0CC98039" w:rsidR="005D52DB" w:rsidRPr="00C372E2" w:rsidRDefault="005D52DB" w:rsidP="000F4534">
      <w:r w:rsidRPr="00C372E2">
        <w:t xml:space="preserve">The Space Perception part comprises four subtests. The Dot Counting subtest consists of 10 stimuli with 5 to 9 dots on each. The participants were asked to identify the number of dots on each stimulus </w:t>
      </w:r>
      <w:r w:rsidRPr="00C372E2">
        <w:rPr>
          <w:cs/>
        </w:rPr>
        <w:t>(</w:t>
      </w:r>
      <w:r w:rsidR="008042A0" w:rsidRPr="00C372E2">
        <w:rPr>
          <w:cs/>
        </w:rPr>
        <w:t>maximum score:</w:t>
      </w:r>
      <w:r w:rsidRPr="00C372E2">
        <w:t xml:space="preserve"> 10</w:t>
      </w:r>
      <w:r w:rsidRPr="00C372E2">
        <w:rPr>
          <w:cs/>
        </w:rPr>
        <w:t>)</w:t>
      </w:r>
      <w:r w:rsidRPr="00C372E2">
        <w:t xml:space="preserve">. The Position Discrimination subtest consists of 20 stimulus cards which display two squares containing dots. The participants were asked to decide which square </w:t>
      </w:r>
      <w:r w:rsidR="000F4534" w:rsidRPr="00C372E2">
        <w:t xml:space="preserve">had </w:t>
      </w:r>
      <w:r w:rsidRPr="00C372E2">
        <w:t xml:space="preserve">the dot </w:t>
      </w:r>
      <w:r w:rsidR="000F4534" w:rsidRPr="00C372E2">
        <w:t xml:space="preserve">located </w:t>
      </w:r>
      <w:r w:rsidRPr="00C372E2">
        <w:t xml:space="preserve">at </w:t>
      </w:r>
      <w:r w:rsidR="000F4534" w:rsidRPr="00C372E2">
        <w:t xml:space="preserve">its </w:t>
      </w:r>
      <w:r w:rsidRPr="00C372E2">
        <w:t xml:space="preserve">center </w:t>
      </w:r>
      <w:r w:rsidRPr="00C372E2">
        <w:rPr>
          <w:cs/>
        </w:rPr>
        <w:t>(</w:t>
      </w:r>
      <w:r w:rsidR="008042A0" w:rsidRPr="00C372E2">
        <w:rPr>
          <w:rFonts w:hint="cs"/>
          <w:cs/>
        </w:rPr>
        <w:t>maximum score:</w:t>
      </w:r>
      <w:r w:rsidRPr="00C372E2">
        <w:t xml:space="preserve"> 20</w:t>
      </w:r>
      <w:r w:rsidRPr="00C372E2">
        <w:rPr>
          <w:cs/>
        </w:rPr>
        <w:t>)</w:t>
      </w:r>
      <w:r w:rsidRPr="00C372E2">
        <w:t>. The Number Location subtest consists of 10 stimuli. On each stimulus, the upper square displays randomly placed numbers</w:t>
      </w:r>
      <w:r w:rsidR="00084961" w:rsidRPr="00C372E2">
        <w:t>,</w:t>
      </w:r>
      <w:r w:rsidRPr="00C372E2">
        <w:t xml:space="preserve"> while the lower square displays a dot. The participants were asked to identify which number </w:t>
      </w:r>
      <w:r w:rsidR="00084961" w:rsidRPr="00C372E2">
        <w:t xml:space="preserve">was located </w:t>
      </w:r>
      <w:r w:rsidRPr="00C372E2">
        <w:t xml:space="preserve">in </w:t>
      </w:r>
      <w:r w:rsidR="00084961" w:rsidRPr="00C372E2">
        <w:t xml:space="preserve">the </w:t>
      </w:r>
      <w:r w:rsidRPr="00C372E2">
        <w:t>position</w:t>
      </w:r>
      <w:r w:rsidR="00084961" w:rsidRPr="00C372E2">
        <w:t xml:space="preserve"> corresponding with that of the </w:t>
      </w:r>
      <w:r w:rsidRPr="00C372E2">
        <w:t xml:space="preserve">dot </w:t>
      </w:r>
      <w:r w:rsidRPr="00C372E2">
        <w:rPr>
          <w:cs/>
        </w:rPr>
        <w:t>(</w:t>
      </w:r>
      <w:r w:rsidRPr="00C372E2">
        <w:t>maximum score</w:t>
      </w:r>
      <w:r w:rsidR="000F4534" w:rsidRPr="00C372E2">
        <w:t>:</w:t>
      </w:r>
      <w:r w:rsidRPr="00C372E2">
        <w:t xml:space="preserve"> 10</w:t>
      </w:r>
      <w:r w:rsidRPr="00C372E2">
        <w:rPr>
          <w:cs/>
        </w:rPr>
        <w:t>)</w:t>
      </w:r>
      <w:r w:rsidRPr="00C372E2">
        <w:t xml:space="preserve">. The Cube Analysis subtest consists of 10 stimuli. The </w:t>
      </w:r>
      <w:r w:rsidR="007E2E46" w:rsidRPr="00C372E2">
        <w:t>participant</w:t>
      </w:r>
      <w:r w:rsidRPr="00C372E2">
        <w:t xml:space="preserve"> is required to determine the number of cubes displayed on each stimul</w:t>
      </w:r>
      <w:r w:rsidR="00BD3850" w:rsidRPr="00C372E2">
        <w:t>us</w:t>
      </w:r>
      <w:r w:rsidRPr="00C372E2">
        <w:t xml:space="preserve"> </w:t>
      </w:r>
      <w:r w:rsidRPr="00C372E2">
        <w:rPr>
          <w:cs/>
        </w:rPr>
        <w:t>(</w:t>
      </w:r>
      <w:r w:rsidR="008042A0" w:rsidRPr="00C372E2">
        <w:t>maximum score:</w:t>
      </w:r>
      <w:r w:rsidRPr="00C372E2">
        <w:t xml:space="preserve"> 10</w:t>
      </w:r>
      <w:r w:rsidRPr="00C372E2">
        <w:rPr>
          <w:cs/>
        </w:rPr>
        <w:t>)</w:t>
      </w:r>
      <w:r w:rsidRPr="00C372E2">
        <w:t>.</w:t>
      </w:r>
    </w:p>
    <w:p w14:paraId="6DA2A6A6" w14:textId="579D54A6" w:rsidR="005D52DB" w:rsidRPr="00C372E2" w:rsidRDefault="005D52DB" w:rsidP="00A50781">
      <w:pPr>
        <w:autoSpaceDE w:val="0"/>
        <w:autoSpaceDN w:val="0"/>
        <w:adjustRightInd w:val="0"/>
        <w:ind w:firstLine="0"/>
        <w:rPr>
          <w:i/>
          <w:iCs/>
        </w:rPr>
      </w:pPr>
      <w:r w:rsidRPr="00C372E2">
        <w:rPr>
          <w:b/>
          <w:bCs/>
          <w:i/>
          <w:iCs/>
        </w:rPr>
        <w:t xml:space="preserve">Thai </w:t>
      </w:r>
      <w:r w:rsidR="003010A1" w:rsidRPr="00C372E2">
        <w:rPr>
          <w:b/>
          <w:bCs/>
          <w:i/>
          <w:iCs/>
        </w:rPr>
        <w:t xml:space="preserve">Mental </w:t>
      </w:r>
      <w:r w:rsidRPr="00C372E2">
        <w:rPr>
          <w:b/>
          <w:bCs/>
          <w:i/>
          <w:iCs/>
        </w:rPr>
        <w:t>State Examination (</w:t>
      </w:r>
      <w:proofErr w:type="spellStart"/>
      <w:r w:rsidR="003060AC" w:rsidRPr="00C372E2">
        <w:rPr>
          <w:b/>
          <w:bCs/>
          <w:i/>
          <w:iCs/>
          <w:noProof/>
        </w:rPr>
        <w:t>Muangpaisan</w:t>
      </w:r>
      <w:proofErr w:type="spellEnd"/>
      <w:r w:rsidR="003060AC" w:rsidRPr="00C372E2">
        <w:rPr>
          <w:b/>
          <w:bCs/>
          <w:i/>
          <w:iCs/>
          <w:noProof/>
        </w:rPr>
        <w:t xml:space="preserve"> et al., 2015)</w:t>
      </w:r>
    </w:p>
    <w:p w14:paraId="2F1CC113" w14:textId="1F5CAF9C" w:rsidR="00DB4B30" w:rsidRPr="00C372E2" w:rsidRDefault="000B1E5B" w:rsidP="00ED639B">
      <w:r w:rsidRPr="00C372E2">
        <w:t>The Thai Mental State Examination (</w:t>
      </w:r>
      <w:r w:rsidR="005D52DB" w:rsidRPr="00C372E2">
        <w:t>TMSE</w:t>
      </w:r>
      <w:r w:rsidRPr="00C372E2">
        <w:t>)</w:t>
      </w:r>
      <w:r w:rsidR="005D52DB" w:rsidRPr="00C372E2">
        <w:t xml:space="preserve"> was developed by</w:t>
      </w:r>
      <w:r w:rsidR="00084961" w:rsidRPr="00C372E2">
        <w:t xml:space="preserve"> the</w:t>
      </w:r>
      <w:r w:rsidR="005D52DB" w:rsidRPr="00C372E2">
        <w:t xml:space="preserve"> Train </w:t>
      </w:r>
      <w:r w:rsidR="00BD3850" w:rsidRPr="00C372E2">
        <w:t>t</w:t>
      </w:r>
      <w:r w:rsidR="005D52DB" w:rsidRPr="00C372E2">
        <w:t xml:space="preserve">he Brain </w:t>
      </w:r>
      <w:r w:rsidR="005D52DB" w:rsidRPr="00C372E2">
        <w:lastRenderedPageBreak/>
        <w:t xml:space="preserve">Forum </w:t>
      </w:r>
      <w:r w:rsidR="00084961" w:rsidRPr="00C372E2">
        <w:t xml:space="preserve">Committee </w:t>
      </w:r>
      <w:r w:rsidR="005D52DB" w:rsidRPr="00C372E2">
        <w:t xml:space="preserve">to use as a bedside screening </w:t>
      </w:r>
      <w:r w:rsidR="00B03C22" w:rsidRPr="00C372E2">
        <w:t>test</w:t>
      </w:r>
      <w:r w:rsidR="00084961" w:rsidRPr="00C372E2">
        <w:t xml:space="preserve"> </w:t>
      </w:r>
      <w:r w:rsidR="005D52DB" w:rsidRPr="00C372E2">
        <w:t>for cognitive impairment. It examines six cognitive functions</w:t>
      </w:r>
      <w:r w:rsidR="00347553" w:rsidRPr="00C372E2">
        <w:t xml:space="preserve">: </w:t>
      </w:r>
      <w:r w:rsidR="005D52DB" w:rsidRPr="00C372E2">
        <w:t>orientation, registration, attention, calculation, language</w:t>
      </w:r>
      <w:r w:rsidR="00347553" w:rsidRPr="00C372E2">
        <w:t>,</w:t>
      </w:r>
      <w:r w:rsidR="005D52DB" w:rsidRPr="00C372E2">
        <w:t xml:space="preserve"> and recall, which </w:t>
      </w:r>
      <w:r w:rsidR="0058640D" w:rsidRPr="00C372E2">
        <w:t>a</w:t>
      </w:r>
      <w:r w:rsidR="005D52DB" w:rsidRPr="00C372E2">
        <w:t xml:space="preserve">re equivalent to the Thai Mini Mental State Examination (MMSE). A score of 23 </w:t>
      </w:r>
      <w:r w:rsidR="00347553" w:rsidRPr="00C372E2">
        <w:t xml:space="preserve">or </w:t>
      </w:r>
      <w:r w:rsidR="005D52DB" w:rsidRPr="00C372E2">
        <w:t>lower indicates cognitive impairment</w:t>
      </w:r>
      <w:r w:rsidR="00347553" w:rsidRPr="00C372E2">
        <w:t>,</w:t>
      </w:r>
      <w:r w:rsidR="005D52DB" w:rsidRPr="00C372E2">
        <w:t xml:space="preserve"> with</w:t>
      </w:r>
      <w:r w:rsidR="00347553" w:rsidRPr="00C372E2">
        <w:t xml:space="preserve"> a</w:t>
      </w:r>
      <w:r w:rsidR="005D52DB" w:rsidRPr="00C372E2">
        <w:t xml:space="preserve"> sensitivity</w:t>
      </w:r>
      <w:r w:rsidR="00347553" w:rsidRPr="00C372E2">
        <w:t xml:space="preserve"> of</w:t>
      </w:r>
      <w:r w:rsidR="005D52DB" w:rsidRPr="00C372E2">
        <w:t xml:space="preserve"> 82%, specificity </w:t>
      </w:r>
      <w:r w:rsidR="00347553" w:rsidRPr="00C372E2">
        <w:t xml:space="preserve">of </w:t>
      </w:r>
      <w:r w:rsidR="005D52DB" w:rsidRPr="00C372E2">
        <w:t>70%</w:t>
      </w:r>
      <w:r w:rsidR="00347553" w:rsidRPr="00C372E2">
        <w:t>,</w:t>
      </w:r>
      <w:r w:rsidR="005D52DB" w:rsidRPr="00C372E2">
        <w:t xml:space="preserve"> and positive predictive value </w:t>
      </w:r>
      <w:r w:rsidR="00347553" w:rsidRPr="00C372E2">
        <w:t xml:space="preserve">of </w:t>
      </w:r>
      <w:r w:rsidR="005D52DB" w:rsidRPr="00C372E2">
        <w:t>73%.</w:t>
      </w:r>
    </w:p>
    <w:p w14:paraId="175CE5E5" w14:textId="34F5D15A" w:rsidR="005D52DB" w:rsidRPr="00C372E2" w:rsidRDefault="005D52DB" w:rsidP="00A50781">
      <w:pPr>
        <w:tabs>
          <w:tab w:val="left" w:pos="2558"/>
        </w:tabs>
        <w:ind w:firstLine="0"/>
        <w:rPr>
          <w:b/>
          <w:bCs/>
          <w:i/>
          <w:iCs/>
        </w:rPr>
      </w:pPr>
      <w:r w:rsidRPr="00C372E2">
        <w:rPr>
          <w:rStyle w:val="st"/>
          <w:b/>
          <w:bCs/>
          <w:i/>
          <w:iCs/>
        </w:rPr>
        <w:t>Standard Progressive Matrices</w:t>
      </w:r>
      <w:r w:rsidRPr="00C372E2" w:rsidDel="00106CDC">
        <w:rPr>
          <w:rStyle w:val="st"/>
          <w:b/>
          <w:bCs/>
          <w:i/>
          <w:iCs/>
        </w:rPr>
        <w:t xml:space="preserve"> </w:t>
      </w:r>
      <w:r w:rsidRPr="00C372E2">
        <w:rPr>
          <w:b/>
          <w:bCs/>
          <w:i/>
          <w:iCs/>
        </w:rPr>
        <w:t>(</w:t>
      </w:r>
      <w:proofErr w:type="spellStart"/>
      <w:r w:rsidR="003060AC" w:rsidRPr="00C372E2">
        <w:rPr>
          <w:b/>
          <w:bCs/>
          <w:i/>
          <w:iCs/>
          <w:noProof/>
        </w:rPr>
        <w:t>Mongkol</w:t>
      </w:r>
      <w:proofErr w:type="spellEnd"/>
      <w:r w:rsidR="003060AC" w:rsidRPr="00C372E2">
        <w:rPr>
          <w:b/>
          <w:bCs/>
          <w:i/>
          <w:iCs/>
          <w:noProof/>
        </w:rPr>
        <w:t>, Visanuyothin, Chanarong, Pavasuthipaisit, &amp; Panyawong, 2012; Raven, 2008)</w:t>
      </w:r>
    </w:p>
    <w:p w14:paraId="61EC3C56" w14:textId="5B921318" w:rsidR="005D52DB" w:rsidRPr="00C372E2" w:rsidRDefault="005D52DB" w:rsidP="00ED639B">
      <w:r w:rsidRPr="00C372E2">
        <w:rPr>
          <w:rStyle w:val="st"/>
        </w:rPr>
        <w:t xml:space="preserve">Standard Progressive Matrices </w:t>
      </w:r>
      <w:r w:rsidR="00347553" w:rsidRPr="00C372E2">
        <w:rPr>
          <w:rStyle w:val="st"/>
        </w:rPr>
        <w:t>are</w:t>
      </w:r>
      <w:r w:rsidR="00347553" w:rsidRPr="00C372E2">
        <w:t xml:space="preserve"> </w:t>
      </w:r>
      <w:r w:rsidRPr="00C372E2">
        <w:t xml:space="preserve">used </w:t>
      </w:r>
      <w:r w:rsidR="00347553" w:rsidRPr="00C372E2">
        <w:t xml:space="preserve">to measure </w:t>
      </w:r>
      <w:r w:rsidRPr="00C372E2">
        <w:t xml:space="preserve">abstract reasoning and </w:t>
      </w:r>
      <w:r w:rsidR="00E7679F" w:rsidRPr="00C372E2">
        <w:t xml:space="preserve">are </w:t>
      </w:r>
      <w:r w:rsidRPr="00C372E2">
        <w:t>regarded as a non-verbal estimate of fluid intelligence. The test consist</w:t>
      </w:r>
      <w:r w:rsidR="0058640D" w:rsidRPr="00C372E2">
        <w:t>s</w:t>
      </w:r>
      <w:r w:rsidRPr="00C372E2">
        <w:t xml:space="preserve"> of five sets (A to E) of 12 items.</w:t>
      </w:r>
      <w:r w:rsidR="003A1C58" w:rsidRPr="00C372E2">
        <w:t xml:space="preserve"> </w:t>
      </w:r>
      <w:r w:rsidR="00347553" w:rsidRPr="00C372E2">
        <w:t>Within a set, e</w:t>
      </w:r>
      <w:r w:rsidRPr="00C372E2">
        <w:t>ach item becomes increasingly difficult and requires greater cognitive capacity to analyze. All items are presented in black ink on a white background.</w:t>
      </w:r>
    </w:p>
    <w:p w14:paraId="3ED38749" w14:textId="0F17C243" w:rsidR="005D52DB" w:rsidRPr="00C372E2" w:rsidRDefault="005D52DB" w:rsidP="00A50781">
      <w:pPr>
        <w:pStyle w:val="Heading1"/>
        <w:spacing w:before="0" w:beforeAutospacing="0" w:after="360" w:afterAutospacing="0" w:line="360" w:lineRule="auto"/>
        <w:ind w:firstLine="0"/>
        <w:rPr>
          <w:rFonts w:ascii="Times New Roman" w:hAnsi="Times New Roman" w:cs="Times New Roman"/>
          <w:i/>
          <w:iCs/>
          <w:sz w:val="24"/>
          <w:szCs w:val="24"/>
        </w:rPr>
      </w:pPr>
      <w:r w:rsidRPr="00C372E2">
        <w:rPr>
          <w:rFonts w:ascii="Times New Roman" w:hAnsi="Times New Roman" w:cs="Times New Roman"/>
          <w:i/>
          <w:iCs/>
          <w:sz w:val="24"/>
          <w:szCs w:val="24"/>
        </w:rPr>
        <w:t xml:space="preserve">Rosenbaum </w:t>
      </w:r>
      <w:r w:rsidR="003010A1" w:rsidRPr="00C372E2">
        <w:rPr>
          <w:rFonts w:ascii="Times New Roman" w:hAnsi="Times New Roman" w:cs="Times New Roman"/>
          <w:i/>
          <w:iCs/>
          <w:sz w:val="24"/>
          <w:szCs w:val="24"/>
        </w:rPr>
        <w:t>Pocket Vision Screener</w:t>
      </w:r>
      <w:r w:rsidR="003010A1" w:rsidRPr="00C372E2">
        <w:rPr>
          <w:rFonts w:ascii="Times New Roman" w:hAnsi="Times New Roman" w:cs="Times New Roman"/>
          <w:i/>
          <w:iCs/>
          <w:noProof/>
          <w:sz w:val="24"/>
          <w:szCs w:val="24"/>
        </w:rPr>
        <w:t xml:space="preserve"> </w:t>
      </w:r>
      <w:r w:rsidR="003060AC" w:rsidRPr="00C372E2">
        <w:rPr>
          <w:rFonts w:ascii="Times New Roman" w:hAnsi="Times New Roman" w:cs="Times New Roman"/>
          <w:i/>
          <w:iCs/>
          <w:noProof/>
          <w:sz w:val="24"/>
          <w:szCs w:val="24"/>
        </w:rPr>
        <w:t>(Rosenbaum, 1982)</w:t>
      </w:r>
    </w:p>
    <w:p w14:paraId="7A178C2D" w14:textId="700F519E" w:rsidR="00DB4B30" w:rsidRPr="00C372E2" w:rsidRDefault="005D52DB" w:rsidP="00DB4B30">
      <w:pPr>
        <w:pStyle w:val="Heading1"/>
        <w:spacing w:before="0" w:beforeAutospacing="0" w:after="360" w:afterAutospacing="0" w:line="360" w:lineRule="auto"/>
        <w:rPr>
          <w:rFonts w:ascii="Times New Roman" w:hAnsi="Times New Roman" w:cs="Times New Roman"/>
          <w:sz w:val="24"/>
          <w:szCs w:val="24"/>
        </w:rPr>
      </w:pPr>
      <w:r w:rsidRPr="00C372E2">
        <w:rPr>
          <w:rFonts w:ascii="Times New Roman" w:hAnsi="Times New Roman" w:cs="Times New Roman"/>
          <w:b w:val="0"/>
          <w:bCs w:val="0"/>
          <w:sz w:val="24"/>
          <w:szCs w:val="24"/>
        </w:rPr>
        <w:t xml:space="preserve">The Rosenbaum pocket vision screener is extensively used in clinical practice to assess </w:t>
      </w:r>
      <w:r w:rsidR="00B84F42" w:rsidRPr="00C372E2">
        <w:rPr>
          <w:rFonts w:ascii="Times New Roman" w:hAnsi="Times New Roman" w:cs="Times New Roman"/>
          <w:b w:val="0"/>
          <w:bCs w:val="0"/>
          <w:sz w:val="24"/>
          <w:szCs w:val="24"/>
        </w:rPr>
        <w:t>VA</w:t>
      </w:r>
      <w:r w:rsidRPr="00C372E2">
        <w:rPr>
          <w:rStyle w:val="st"/>
          <w:rFonts w:ascii="Times New Roman" w:hAnsi="Times New Roman" w:cs="Times New Roman"/>
          <w:b w:val="0"/>
          <w:bCs w:val="0"/>
          <w:sz w:val="24"/>
          <w:szCs w:val="24"/>
        </w:rPr>
        <w:t xml:space="preserve">. In this study, binocular </w:t>
      </w:r>
      <w:r w:rsidR="00B84F42" w:rsidRPr="00C372E2">
        <w:rPr>
          <w:rStyle w:val="st"/>
          <w:rFonts w:ascii="Times New Roman" w:hAnsi="Times New Roman" w:cs="Times New Roman"/>
          <w:b w:val="0"/>
          <w:bCs w:val="0"/>
          <w:sz w:val="24"/>
          <w:szCs w:val="24"/>
        </w:rPr>
        <w:t>VA</w:t>
      </w:r>
      <w:r w:rsidRPr="00C372E2">
        <w:rPr>
          <w:rStyle w:val="st"/>
          <w:rFonts w:ascii="Times New Roman" w:hAnsi="Times New Roman" w:cs="Times New Roman"/>
          <w:b w:val="0"/>
          <w:bCs w:val="0"/>
          <w:sz w:val="24"/>
          <w:szCs w:val="24"/>
        </w:rPr>
        <w:t xml:space="preserve"> was measured using the screener </w:t>
      </w:r>
      <w:r w:rsidR="003F7E75" w:rsidRPr="00C372E2">
        <w:rPr>
          <w:rStyle w:val="st"/>
          <w:rFonts w:ascii="Times New Roman" w:hAnsi="Times New Roman" w:cs="Times New Roman"/>
          <w:b w:val="0"/>
          <w:bCs w:val="0"/>
          <w:sz w:val="24"/>
          <w:szCs w:val="24"/>
        </w:rPr>
        <w:t xml:space="preserve">using </w:t>
      </w:r>
      <w:r w:rsidRPr="00C372E2">
        <w:rPr>
          <w:rStyle w:val="st"/>
          <w:rFonts w:ascii="Times New Roman" w:hAnsi="Times New Roman" w:cs="Times New Roman"/>
          <w:b w:val="0"/>
          <w:bCs w:val="0"/>
          <w:sz w:val="24"/>
          <w:szCs w:val="24"/>
        </w:rPr>
        <w:t xml:space="preserve">the same method </w:t>
      </w:r>
      <w:r w:rsidR="003F7E75" w:rsidRPr="00C372E2">
        <w:rPr>
          <w:rStyle w:val="st"/>
          <w:rFonts w:ascii="Times New Roman" w:hAnsi="Times New Roman" w:cs="Times New Roman"/>
          <w:b w:val="0"/>
          <w:bCs w:val="0"/>
          <w:sz w:val="24"/>
          <w:szCs w:val="24"/>
        </w:rPr>
        <w:t>employed for</w:t>
      </w:r>
      <w:r w:rsidRPr="00C372E2">
        <w:rPr>
          <w:rStyle w:val="st"/>
          <w:rFonts w:ascii="Times New Roman" w:hAnsi="Times New Roman" w:cs="Times New Roman"/>
          <w:b w:val="0"/>
          <w:bCs w:val="0"/>
          <w:sz w:val="24"/>
          <w:szCs w:val="24"/>
        </w:rPr>
        <w:t xml:space="preserve"> monocular measures</w:t>
      </w:r>
      <w:r w:rsidR="003F7E75" w:rsidRPr="00C372E2">
        <w:rPr>
          <w:rStyle w:val="st"/>
          <w:rFonts w:ascii="Times New Roman" w:hAnsi="Times New Roman" w:cs="Times New Roman"/>
          <w:b w:val="0"/>
          <w:bCs w:val="0"/>
          <w:sz w:val="24"/>
          <w:szCs w:val="24"/>
        </w:rPr>
        <w:t>,</w:t>
      </w:r>
      <w:r w:rsidRPr="00C372E2">
        <w:rPr>
          <w:rStyle w:val="st"/>
          <w:rFonts w:ascii="Times New Roman" w:hAnsi="Times New Roman" w:cs="Times New Roman"/>
          <w:b w:val="0"/>
          <w:bCs w:val="0"/>
          <w:sz w:val="24"/>
          <w:szCs w:val="24"/>
        </w:rPr>
        <w:t xml:space="preserve"> and</w:t>
      </w:r>
      <w:r w:rsidR="003F7E75" w:rsidRPr="00C372E2">
        <w:rPr>
          <w:rStyle w:val="st"/>
          <w:rFonts w:ascii="Times New Roman" w:hAnsi="Times New Roman" w:cs="Times New Roman"/>
          <w:b w:val="0"/>
          <w:bCs w:val="0"/>
          <w:sz w:val="24"/>
          <w:szCs w:val="24"/>
        </w:rPr>
        <w:t xml:space="preserve"> it was</w:t>
      </w:r>
      <w:r w:rsidRPr="00C372E2">
        <w:rPr>
          <w:rStyle w:val="st"/>
          <w:rFonts w:ascii="Times New Roman" w:hAnsi="Times New Roman" w:cs="Times New Roman"/>
          <w:b w:val="0"/>
          <w:bCs w:val="0"/>
          <w:sz w:val="24"/>
          <w:szCs w:val="24"/>
        </w:rPr>
        <w:t xml:space="preserve"> scaled accordingly. The participants h</w:t>
      </w:r>
      <w:r w:rsidR="0058640D" w:rsidRPr="00C372E2">
        <w:rPr>
          <w:rStyle w:val="st"/>
          <w:rFonts w:ascii="Times New Roman" w:hAnsi="Times New Roman" w:cs="Times New Roman"/>
          <w:b w:val="0"/>
          <w:bCs w:val="0"/>
          <w:sz w:val="24"/>
          <w:szCs w:val="24"/>
        </w:rPr>
        <w:t>e</w:t>
      </w:r>
      <w:r w:rsidRPr="00C372E2">
        <w:rPr>
          <w:rStyle w:val="st"/>
          <w:rFonts w:ascii="Times New Roman" w:hAnsi="Times New Roman" w:cs="Times New Roman"/>
          <w:b w:val="0"/>
          <w:bCs w:val="0"/>
          <w:sz w:val="24"/>
          <w:szCs w:val="24"/>
        </w:rPr>
        <w:t>ld the vision screener 14 inches from their eyes with both eyes open</w:t>
      </w:r>
      <w:r w:rsidR="003F7E75" w:rsidRPr="00C372E2">
        <w:rPr>
          <w:rStyle w:val="st"/>
          <w:rFonts w:ascii="Times New Roman" w:hAnsi="Times New Roman" w:cs="Times New Roman"/>
          <w:b w:val="0"/>
          <w:bCs w:val="0"/>
          <w:sz w:val="24"/>
          <w:szCs w:val="24"/>
        </w:rPr>
        <w:t>,</w:t>
      </w:r>
      <w:r w:rsidRPr="00C372E2">
        <w:rPr>
          <w:rStyle w:val="st"/>
          <w:rFonts w:ascii="Times New Roman" w:hAnsi="Times New Roman" w:cs="Times New Roman"/>
          <w:b w:val="0"/>
          <w:bCs w:val="0"/>
          <w:sz w:val="24"/>
          <w:szCs w:val="24"/>
        </w:rPr>
        <w:t xml:space="preserve"> using corrective lenses </w:t>
      </w:r>
      <w:r w:rsidR="003F7E75" w:rsidRPr="00C372E2">
        <w:rPr>
          <w:rStyle w:val="st"/>
          <w:rFonts w:ascii="Times New Roman" w:hAnsi="Times New Roman" w:cs="Times New Roman"/>
          <w:b w:val="0"/>
          <w:bCs w:val="0"/>
          <w:sz w:val="24"/>
          <w:szCs w:val="24"/>
        </w:rPr>
        <w:t xml:space="preserve">if </w:t>
      </w:r>
      <w:r w:rsidRPr="00C372E2">
        <w:rPr>
          <w:rStyle w:val="st"/>
          <w:rFonts w:ascii="Times New Roman" w:hAnsi="Times New Roman" w:cs="Times New Roman"/>
          <w:b w:val="0"/>
          <w:bCs w:val="0"/>
          <w:sz w:val="24"/>
          <w:szCs w:val="24"/>
        </w:rPr>
        <w:t>needed. The number demonstrate</w:t>
      </w:r>
      <w:r w:rsidR="0058640D" w:rsidRPr="00C372E2">
        <w:rPr>
          <w:rStyle w:val="st"/>
          <w:rFonts w:ascii="Times New Roman" w:hAnsi="Times New Roman" w:cs="Times New Roman"/>
          <w:b w:val="0"/>
          <w:bCs w:val="0"/>
          <w:sz w:val="24"/>
          <w:szCs w:val="24"/>
        </w:rPr>
        <w:t>s</w:t>
      </w:r>
      <w:r w:rsidRPr="00C372E2">
        <w:rPr>
          <w:rStyle w:val="st"/>
          <w:rFonts w:ascii="Times New Roman" w:hAnsi="Times New Roman" w:cs="Times New Roman"/>
          <w:b w:val="0"/>
          <w:bCs w:val="0"/>
          <w:sz w:val="24"/>
          <w:szCs w:val="24"/>
        </w:rPr>
        <w:t xml:space="preserve"> the distance equivalent in feet when </w:t>
      </w:r>
      <w:r w:rsidR="003F7E75" w:rsidRPr="00C372E2">
        <w:rPr>
          <w:rStyle w:val="st"/>
          <w:rFonts w:ascii="Times New Roman" w:hAnsi="Times New Roman" w:cs="Times New Roman"/>
          <w:b w:val="0"/>
          <w:bCs w:val="0"/>
          <w:sz w:val="24"/>
          <w:szCs w:val="24"/>
        </w:rPr>
        <w:t xml:space="preserve">holding </w:t>
      </w:r>
      <w:r w:rsidRPr="00C372E2">
        <w:rPr>
          <w:rStyle w:val="st"/>
          <w:rFonts w:ascii="Times New Roman" w:hAnsi="Times New Roman" w:cs="Times New Roman"/>
          <w:b w:val="0"/>
          <w:bCs w:val="0"/>
          <w:sz w:val="24"/>
          <w:szCs w:val="24"/>
        </w:rPr>
        <w:t xml:space="preserve">the vision screener at 14 inches. The participants were asked to start reading the line of numbers indicative of 20/70 </w:t>
      </w:r>
      <w:r w:rsidR="00B84F42" w:rsidRPr="00C372E2">
        <w:rPr>
          <w:rStyle w:val="st"/>
          <w:rFonts w:ascii="Times New Roman" w:hAnsi="Times New Roman" w:cs="Times New Roman"/>
          <w:b w:val="0"/>
          <w:bCs w:val="0"/>
          <w:sz w:val="24"/>
          <w:szCs w:val="24"/>
        </w:rPr>
        <w:t>VA</w:t>
      </w:r>
      <w:r w:rsidRPr="00C372E2">
        <w:rPr>
          <w:rStyle w:val="st"/>
          <w:rFonts w:ascii="Times New Roman" w:hAnsi="Times New Roman" w:cs="Times New Roman"/>
          <w:b w:val="0"/>
          <w:bCs w:val="0"/>
          <w:sz w:val="24"/>
          <w:szCs w:val="24"/>
        </w:rPr>
        <w:t xml:space="preserve">. If the participants were able to identify all numbers correctly, they were </w:t>
      </w:r>
      <w:r w:rsidR="003F7E75" w:rsidRPr="00C372E2">
        <w:rPr>
          <w:rStyle w:val="st"/>
          <w:rFonts w:ascii="Times New Roman" w:hAnsi="Times New Roman" w:cs="Times New Roman"/>
          <w:b w:val="0"/>
          <w:bCs w:val="0"/>
          <w:sz w:val="24"/>
          <w:szCs w:val="24"/>
        </w:rPr>
        <w:t>requested</w:t>
      </w:r>
      <w:r w:rsidRPr="00C372E2">
        <w:rPr>
          <w:rStyle w:val="st"/>
          <w:rFonts w:ascii="Times New Roman" w:hAnsi="Times New Roman" w:cs="Times New Roman"/>
          <w:b w:val="0"/>
          <w:bCs w:val="0"/>
          <w:sz w:val="24"/>
          <w:szCs w:val="24"/>
        </w:rPr>
        <w:t xml:space="preserve"> to proceed to the lower line</w:t>
      </w:r>
      <w:r w:rsidR="003F7E75" w:rsidRPr="00C372E2">
        <w:rPr>
          <w:rStyle w:val="st"/>
          <w:rFonts w:ascii="Times New Roman" w:hAnsi="Times New Roman" w:cs="Times New Roman"/>
          <w:b w:val="0"/>
          <w:bCs w:val="0"/>
          <w:sz w:val="24"/>
          <w:szCs w:val="24"/>
        </w:rPr>
        <w:t>,</w:t>
      </w:r>
      <w:r w:rsidRPr="00C372E2">
        <w:rPr>
          <w:rStyle w:val="st"/>
          <w:rFonts w:ascii="Times New Roman" w:hAnsi="Times New Roman" w:cs="Times New Roman"/>
          <w:b w:val="0"/>
          <w:bCs w:val="0"/>
          <w:sz w:val="24"/>
          <w:szCs w:val="24"/>
        </w:rPr>
        <w:t xml:space="preserve"> which contain</w:t>
      </w:r>
      <w:r w:rsidR="003F7E75" w:rsidRPr="00C372E2">
        <w:rPr>
          <w:rStyle w:val="st"/>
          <w:rFonts w:ascii="Times New Roman" w:hAnsi="Times New Roman" w:cs="Times New Roman"/>
          <w:b w:val="0"/>
          <w:bCs w:val="0"/>
          <w:sz w:val="24"/>
          <w:szCs w:val="24"/>
        </w:rPr>
        <w:t>s</w:t>
      </w:r>
      <w:r w:rsidRPr="00C372E2">
        <w:rPr>
          <w:rStyle w:val="st"/>
          <w:rFonts w:ascii="Times New Roman" w:hAnsi="Times New Roman" w:cs="Times New Roman"/>
          <w:b w:val="0"/>
          <w:bCs w:val="0"/>
          <w:sz w:val="24"/>
          <w:szCs w:val="24"/>
        </w:rPr>
        <w:t xml:space="preserve"> smaller numbers. </w:t>
      </w:r>
      <w:r w:rsidR="00B84F42" w:rsidRPr="00C372E2">
        <w:rPr>
          <w:rStyle w:val="st"/>
          <w:rFonts w:ascii="Times New Roman" w:hAnsi="Times New Roman" w:cs="Times New Roman"/>
          <w:b w:val="0"/>
          <w:bCs w:val="0"/>
          <w:sz w:val="24"/>
          <w:szCs w:val="24"/>
        </w:rPr>
        <w:t>VA</w:t>
      </w:r>
      <w:r w:rsidRPr="00C372E2">
        <w:rPr>
          <w:rStyle w:val="st"/>
          <w:rFonts w:ascii="Times New Roman" w:hAnsi="Times New Roman" w:cs="Times New Roman"/>
          <w:b w:val="0"/>
          <w:bCs w:val="0"/>
          <w:sz w:val="24"/>
          <w:szCs w:val="24"/>
        </w:rPr>
        <w:t xml:space="preserve"> was assigned according to the last line read correctly. Normal </w:t>
      </w:r>
      <w:r w:rsidR="00B84F42" w:rsidRPr="00C372E2">
        <w:rPr>
          <w:rStyle w:val="st"/>
          <w:rFonts w:ascii="Times New Roman" w:hAnsi="Times New Roman" w:cs="Times New Roman"/>
          <w:b w:val="0"/>
          <w:bCs w:val="0"/>
          <w:sz w:val="24"/>
          <w:szCs w:val="24"/>
        </w:rPr>
        <w:t>VA</w:t>
      </w:r>
      <w:r w:rsidR="0058640D" w:rsidRPr="00C372E2">
        <w:rPr>
          <w:rStyle w:val="st"/>
          <w:rFonts w:ascii="Times New Roman" w:hAnsi="Times New Roman" w:cs="Times New Roman"/>
          <w:b w:val="0"/>
          <w:bCs w:val="0"/>
          <w:sz w:val="24"/>
          <w:szCs w:val="24"/>
        </w:rPr>
        <w:t xml:space="preserve"> i</w:t>
      </w:r>
      <w:r w:rsidRPr="00C372E2">
        <w:rPr>
          <w:rStyle w:val="st"/>
          <w:rFonts w:ascii="Times New Roman" w:hAnsi="Times New Roman" w:cs="Times New Roman"/>
          <w:b w:val="0"/>
          <w:bCs w:val="0"/>
          <w:sz w:val="24"/>
          <w:szCs w:val="24"/>
        </w:rPr>
        <w:t>s 20/20.</w:t>
      </w:r>
    </w:p>
    <w:p w14:paraId="7C8ECC24" w14:textId="77777777" w:rsidR="005D52DB" w:rsidRPr="00C372E2" w:rsidRDefault="005D52DB" w:rsidP="00A50781">
      <w:pPr>
        <w:ind w:firstLine="0"/>
        <w:rPr>
          <w:b/>
          <w:bCs/>
        </w:rPr>
      </w:pPr>
      <w:r w:rsidRPr="00C372E2">
        <w:rPr>
          <w:b/>
          <w:bCs/>
        </w:rPr>
        <w:t>PROCEDURES</w:t>
      </w:r>
    </w:p>
    <w:p w14:paraId="127D636C" w14:textId="7E4CB936" w:rsidR="00DB4B30" w:rsidRPr="00C372E2" w:rsidRDefault="005D52DB" w:rsidP="00A50781">
      <w:pPr>
        <w:ind w:firstLine="0"/>
        <w:rPr>
          <w:b/>
          <w:bCs/>
          <w:i/>
          <w:iCs/>
        </w:rPr>
      </w:pPr>
      <w:r w:rsidRPr="00C372E2">
        <w:rPr>
          <w:b/>
          <w:bCs/>
          <w:i/>
          <w:iCs/>
        </w:rPr>
        <w:t xml:space="preserve">Linguistic </w:t>
      </w:r>
      <w:r w:rsidR="003010A1" w:rsidRPr="00C372E2">
        <w:rPr>
          <w:b/>
          <w:bCs/>
          <w:i/>
          <w:iCs/>
        </w:rPr>
        <w:t>Validation Procedure</w:t>
      </w:r>
    </w:p>
    <w:p w14:paraId="178D03C5" w14:textId="72A549E1" w:rsidR="005D52DB" w:rsidRPr="00C372E2" w:rsidRDefault="00202F04" w:rsidP="00ED639B">
      <w:r w:rsidRPr="00C372E2">
        <w:t xml:space="preserve">One of the </w:t>
      </w:r>
      <w:r w:rsidR="005D52DB" w:rsidRPr="00C372E2">
        <w:t>researcher</w:t>
      </w:r>
      <w:r w:rsidRPr="00C372E2">
        <w:t>s</w:t>
      </w:r>
      <w:r w:rsidR="005D52DB" w:rsidRPr="00C372E2">
        <w:t xml:space="preserve"> (KJ) </w:t>
      </w:r>
      <w:r w:rsidR="00373468" w:rsidRPr="00C372E2">
        <w:t xml:space="preserve">received </w:t>
      </w:r>
      <w:r w:rsidR="005D52DB" w:rsidRPr="00C372E2">
        <w:t xml:space="preserve">written permission from Pearson Education Ltd. to translate VOSP. The agreement included adaptation of the Incomplete </w:t>
      </w:r>
      <w:r w:rsidR="00373468" w:rsidRPr="00C372E2">
        <w:t xml:space="preserve">Letters </w:t>
      </w:r>
      <w:r w:rsidR="005D52DB" w:rsidRPr="00C372E2">
        <w:t>subtest into Thai letters</w:t>
      </w:r>
      <w:r w:rsidR="005D52DB" w:rsidRPr="00C372E2">
        <w:rPr>
          <w:cs/>
        </w:rPr>
        <w:t xml:space="preserve">. </w:t>
      </w:r>
      <w:r w:rsidR="005D52DB" w:rsidRPr="00C372E2">
        <w:t xml:space="preserve">The instructions were </w:t>
      </w:r>
      <w:r w:rsidR="00BE787B" w:rsidRPr="00C372E2">
        <w:t xml:space="preserve">independently </w:t>
      </w:r>
      <w:r w:rsidR="005D52DB" w:rsidRPr="00C372E2">
        <w:t xml:space="preserve">translated </w:t>
      </w:r>
      <w:r w:rsidR="00373468" w:rsidRPr="00C372E2">
        <w:t>in</w:t>
      </w:r>
      <w:r w:rsidR="005D52DB" w:rsidRPr="00C372E2">
        <w:t>to Thai by two psychiatrists (KJ</w:t>
      </w:r>
      <w:r w:rsidRPr="00C372E2">
        <w:t xml:space="preserve"> and</w:t>
      </w:r>
      <w:r w:rsidR="005D52DB" w:rsidRPr="00C372E2">
        <w:t xml:space="preserve"> BS)</w:t>
      </w:r>
      <w:r w:rsidR="00BE787B" w:rsidRPr="00C372E2">
        <w:t>,</w:t>
      </w:r>
      <w:r w:rsidR="005D52DB" w:rsidRPr="00C372E2">
        <w:t xml:space="preserve"> who have excellent proficiency in </w:t>
      </w:r>
      <w:r w:rsidR="004D02DD" w:rsidRPr="00C372E2">
        <w:t xml:space="preserve">the </w:t>
      </w:r>
      <w:r w:rsidR="005D52DB" w:rsidRPr="00C372E2">
        <w:t>English</w:t>
      </w:r>
      <w:r w:rsidR="004D02DD" w:rsidRPr="00C372E2">
        <w:t xml:space="preserve"> language</w:t>
      </w:r>
      <w:r w:rsidR="005D52DB" w:rsidRPr="00C372E2">
        <w:t xml:space="preserve">. After evaluation by </w:t>
      </w:r>
      <w:r w:rsidR="004D02DD" w:rsidRPr="00C372E2">
        <w:t xml:space="preserve">a </w:t>
      </w:r>
      <w:r w:rsidR="005D52DB" w:rsidRPr="00C372E2">
        <w:t xml:space="preserve">local </w:t>
      </w:r>
      <w:r w:rsidR="005D52DB" w:rsidRPr="00C372E2">
        <w:lastRenderedPageBreak/>
        <w:t xml:space="preserve">expert, the Thai instructions were </w:t>
      </w:r>
      <w:r w:rsidR="004D02DD" w:rsidRPr="00C372E2">
        <w:t>back</w:t>
      </w:r>
      <w:r w:rsidR="004D02DD" w:rsidRPr="00C372E2">
        <w:rPr>
          <w:rFonts w:cstheme="minorBidi" w:hint="cs"/>
          <w:cs/>
        </w:rPr>
        <w:t>-</w:t>
      </w:r>
      <w:r w:rsidR="005D52DB" w:rsidRPr="00C372E2">
        <w:t xml:space="preserve">translated to English by a psychologist who </w:t>
      </w:r>
      <w:r w:rsidR="00514DEE" w:rsidRPr="00C372E2">
        <w:t xml:space="preserve">was not familiar with VOSP and </w:t>
      </w:r>
      <w:r w:rsidR="005D52DB" w:rsidRPr="00C372E2">
        <w:t xml:space="preserve">was bilingual </w:t>
      </w:r>
      <w:r w:rsidRPr="00C372E2">
        <w:t xml:space="preserve">in </w:t>
      </w:r>
      <w:r w:rsidR="005D52DB" w:rsidRPr="00C372E2">
        <w:t>Thai</w:t>
      </w:r>
      <w:r w:rsidRPr="00C372E2">
        <w:t xml:space="preserve"> and</w:t>
      </w:r>
      <w:r w:rsidR="005D52DB" w:rsidRPr="00C372E2">
        <w:t xml:space="preserve"> English. The translated instruction</w:t>
      </w:r>
      <w:r w:rsidR="0058640D" w:rsidRPr="00C372E2">
        <w:t>s</w:t>
      </w:r>
      <w:r w:rsidR="005D52DB" w:rsidRPr="00C372E2">
        <w:t xml:space="preserve"> were then compared </w:t>
      </w:r>
      <w:r w:rsidRPr="00C372E2">
        <w:t xml:space="preserve">with </w:t>
      </w:r>
      <w:r w:rsidR="005D52DB" w:rsidRPr="00C372E2">
        <w:t xml:space="preserve">the original English instructions. The </w:t>
      </w:r>
      <w:r w:rsidRPr="00C372E2">
        <w:t>linguistically</w:t>
      </w:r>
      <w:r w:rsidR="005D52DB" w:rsidRPr="00C372E2">
        <w:t xml:space="preserve"> validated Thai </w:t>
      </w:r>
      <w:r w:rsidR="00514DEE" w:rsidRPr="00C372E2">
        <w:t>ins</w:t>
      </w:r>
      <w:r w:rsidR="005D52DB" w:rsidRPr="00C372E2">
        <w:t>truction</w:t>
      </w:r>
      <w:r w:rsidRPr="00C372E2">
        <w:t>s</w:t>
      </w:r>
      <w:r w:rsidR="005D52DB" w:rsidRPr="00C372E2">
        <w:t xml:space="preserve"> </w:t>
      </w:r>
      <w:r w:rsidR="00514DEE" w:rsidRPr="00C372E2">
        <w:t>were subsequently</w:t>
      </w:r>
      <w:r w:rsidRPr="00C372E2">
        <w:t xml:space="preserve"> used with the</w:t>
      </w:r>
      <w:r w:rsidR="005D52DB" w:rsidRPr="00C372E2">
        <w:t xml:space="preserve"> participants in this study.</w:t>
      </w:r>
    </w:p>
    <w:p w14:paraId="17D65776" w14:textId="13CD57BD" w:rsidR="005D52DB" w:rsidRPr="00C372E2" w:rsidRDefault="005D52DB" w:rsidP="00A50781">
      <w:pPr>
        <w:ind w:firstLine="0"/>
        <w:rPr>
          <w:b/>
          <w:bCs/>
          <w:i/>
          <w:iCs/>
        </w:rPr>
      </w:pPr>
      <w:r w:rsidRPr="00C372E2">
        <w:rPr>
          <w:b/>
          <w:bCs/>
          <w:i/>
          <w:iCs/>
        </w:rPr>
        <w:t xml:space="preserve">Incomplete </w:t>
      </w:r>
      <w:r w:rsidR="003010A1" w:rsidRPr="00C372E2">
        <w:rPr>
          <w:b/>
          <w:bCs/>
          <w:i/>
          <w:iCs/>
        </w:rPr>
        <w:t>Letter</w:t>
      </w:r>
      <w:r w:rsidR="00373468" w:rsidRPr="00C372E2">
        <w:rPr>
          <w:b/>
          <w:bCs/>
          <w:i/>
          <w:iCs/>
        </w:rPr>
        <w:t>s</w:t>
      </w:r>
      <w:r w:rsidR="003010A1" w:rsidRPr="00C372E2">
        <w:rPr>
          <w:b/>
          <w:bCs/>
          <w:i/>
          <w:iCs/>
        </w:rPr>
        <w:t xml:space="preserve"> Subtest Construction</w:t>
      </w:r>
    </w:p>
    <w:p w14:paraId="14E61ADE" w14:textId="7D65EE88" w:rsidR="005D52DB" w:rsidRPr="00C372E2" w:rsidRDefault="005D52DB" w:rsidP="00ED639B">
      <w:r w:rsidRPr="00C372E2">
        <w:t xml:space="preserve">The Incomplete </w:t>
      </w:r>
      <w:r w:rsidR="00373468" w:rsidRPr="00C372E2">
        <w:t xml:space="preserve">Letters </w:t>
      </w:r>
      <w:r w:rsidRPr="00C372E2">
        <w:t>subtest</w:t>
      </w:r>
      <w:r w:rsidR="00D94C54" w:rsidRPr="00C372E2">
        <w:t xml:space="preserve"> using</w:t>
      </w:r>
      <w:r w:rsidRPr="00C372E2">
        <w:t xml:space="preserve"> Thai letters was created according to the following procedures. The Thai letters which </w:t>
      </w:r>
      <w:r w:rsidR="00514DEE" w:rsidRPr="00C372E2">
        <w:t xml:space="preserve">could be </w:t>
      </w:r>
      <w:r w:rsidRPr="00C372E2">
        <w:t xml:space="preserve">potentially confused after fragmentation owing to </w:t>
      </w:r>
      <w:r w:rsidR="00514DEE" w:rsidRPr="00C372E2">
        <w:t xml:space="preserve">their similar </w:t>
      </w:r>
      <w:r w:rsidRPr="00C372E2">
        <w:t xml:space="preserve">orthography </w:t>
      </w:r>
      <w:r w:rsidR="00514DEE" w:rsidRPr="00C372E2">
        <w:t>(</w:t>
      </w:r>
      <w:r w:rsidRPr="00C372E2">
        <w:t>e.g.</w:t>
      </w:r>
      <w:r w:rsidR="00514DEE" w:rsidRPr="00C372E2">
        <w:t>,</w:t>
      </w:r>
      <w:r w:rsidRPr="00C372E2">
        <w:t xml:space="preserve"> </w:t>
      </w:r>
      <w:r w:rsidRPr="00C372E2">
        <w:rPr>
          <w:rFonts w:ascii="Leelawadee UI" w:hAnsi="Leelawadee UI" w:cs="Leelawadee UI" w:hint="cs"/>
          <w:cs/>
        </w:rPr>
        <w:t>ฎ</w:t>
      </w:r>
      <w:r w:rsidRPr="00C372E2">
        <w:rPr>
          <w:cs/>
        </w:rPr>
        <w:t>-</w:t>
      </w:r>
      <w:r w:rsidRPr="00C372E2">
        <w:rPr>
          <w:rFonts w:ascii="Leelawadee UI" w:hAnsi="Leelawadee UI" w:cs="Leelawadee UI" w:hint="cs"/>
          <w:cs/>
        </w:rPr>
        <w:t>ฏ</w:t>
      </w:r>
      <w:r w:rsidRPr="00C372E2">
        <w:t xml:space="preserve">, </w:t>
      </w:r>
      <w:r w:rsidRPr="00C372E2">
        <w:rPr>
          <w:rFonts w:ascii="Leelawadee UI" w:hAnsi="Leelawadee UI" w:cs="Leelawadee UI" w:hint="cs"/>
          <w:cs/>
        </w:rPr>
        <w:t>ช</w:t>
      </w:r>
      <w:r w:rsidRPr="00C372E2">
        <w:rPr>
          <w:cs/>
        </w:rPr>
        <w:t>-</w:t>
      </w:r>
      <w:r w:rsidRPr="00C372E2">
        <w:rPr>
          <w:rFonts w:ascii="Leelawadee UI" w:hAnsi="Leelawadee UI" w:cs="Leelawadee UI" w:hint="cs"/>
          <w:cs/>
        </w:rPr>
        <w:t>ซ</w:t>
      </w:r>
      <w:r w:rsidR="00514DEE" w:rsidRPr="00C372E2">
        <w:rPr>
          <w:rFonts w:ascii="Leelawadee UI" w:hAnsi="Leelawadee UI" w:cs="Leelawadee UI" w:hint="cs"/>
          <w:cs/>
        </w:rPr>
        <w:t>)</w:t>
      </w:r>
      <w:r w:rsidR="00514DEE" w:rsidRPr="00C372E2">
        <w:t xml:space="preserve"> were excluded</w:t>
      </w:r>
      <w:r w:rsidRPr="00C372E2">
        <w:t>. The remaining 35 out of 44 Thai letters were chosen and randomly fragmented into nine</w:t>
      </w:r>
      <w:r w:rsidRPr="00C372E2">
        <w:rPr>
          <w:cs/>
        </w:rPr>
        <w:t xml:space="preserve"> </w:t>
      </w:r>
      <w:r w:rsidRPr="00C372E2">
        <w:t xml:space="preserve">fragmentation levels </w:t>
      </w:r>
      <w:r w:rsidR="00327DF9" w:rsidRPr="00C372E2">
        <w:t xml:space="preserve">ranging </w:t>
      </w:r>
      <w:r w:rsidRPr="00C372E2">
        <w:t xml:space="preserve">from 90 percent to 10 percent, </w:t>
      </w:r>
      <w:r w:rsidR="00327DF9" w:rsidRPr="00C372E2">
        <w:t xml:space="preserve">with a </w:t>
      </w:r>
      <w:r w:rsidRPr="00C372E2">
        <w:t xml:space="preserve">10 percent </w:t>
      </w:r>
      <w:r w:rsidR="00327DF9" w:rsidRPr="00C372E2">
        <w:t>difference between successive</w:t>
      </w:r>
      <w:r w:rsidRPr="00C372E2">
        <w:t xml:space="preserve"> level</w:t>
      </w:r>
      <w:r w:rsidR="00327DF9" w:rsidRPr="00C372E2">
        <w:t>s</w:t>
      </w:r>
      <w:r w:rsidRPr="00C372E2">
        <w:t xml:space="preserve">. The letters were printed in black on the middle of </w:t>
      </w:r>
      <w:r w:rsidR="00327DF9" w:rsidRPr="00C372E2">
        <w:t xml:space="preserve">pieces of </w:t>
      </w:r>
      <w:r w:rsidRPr="00C372E2">
        <w:t>white paper</w:t>
      </w:r>
      <w:r w:rsidR="00327DF9" w:rsidRPr="00C372E2">
        <w:t>, and they were</w:t>
      </w:r>
      <w:r w:rsidRPr="00C372E2">
        <w:t xml:space="preserve"> similar in size </w:t>
      </w:r>
      <w:r w:rsidR="00327DF9" w:rsidRPr="00C372E2">
        <w:t>to the English letters used in</w:t>
      </w:r>
      <w:r w:rsidRPr="00C372E2">
        <w:t xml:space="preserve"> the </w:t>
      </w:r>
      <w:r w:rsidR="00327DF9" w:rsidRPr="00C372E2">
        <w:t xml:space="preserve">original </w:t>
      </w:r>
      <w:r w:rsidRPr="00C372E2">
        <w:t>VOSP stimuli. Th</w:t>
      </w:r>
      <w:r w:rsidR="001A418A" w:rsidRPr="00C372E2">
        <w:t>e</w:t>
      </w:r>
      <w:r w:rsidRPr="00C372E2">
        <w:t xml:space="preserve"> set of </w:t>
      </w:r>
      <w:r w:rsidR="00D94C54" w:rsidRPr="00C372E2">
        <w:t xml:space="preserve">Thai </w:t>
      </w:r>
      <w:r w:rsidRPr="00C372E2">
        <w:t>letters was administered to 10 normal participants</w:t>
      </w:r>
      <w:r w:rsidR="001A418A" w:rsidRPr="00C372E2">
        <w:t>,</w:t>
      </w:r>
      <w:r w:rsidRPr="00C372E2">
        <w:t xml:space="preserve"> who were asked to </w:t>
      </w:r>
      <w:r w:rsidR="00D94C54" w:rsidRPr="00C372E2">
        <w:t xml:space="preserve">arrange  </w:t>
      </w:r>
      <w:r w:rsidRPr="00C372E2">
        <w:t>the letters in graded fragmentation from 90 percent to 10 percent.</w:t>
      </w:r>
      <w:r w:rsidR="00337CEC" w:rsidRPr="00C372E2">
        <w:t xml:space="preserve"> The participants </w:t>
      </w:r>
      <w:r w:rsidR="00907B59" w:rsidRPr="00C372E2">
        <w:t xml:space="preserve">were required to </w:t>
      </w:r>
      <w:r w:rsidR="001A418A" w:rsidRPr="00C372E2">
        <w:t xml:space="preserve">respond </w:t>
      </w:r>
      <w:r w:rsidR="00337CEC" w:rsidRPr="00C372E2">
        <w:t>twice</w:t>
      </w:r>
      <w:r w:rsidR="001A418A" w:rsidRPr="00C372E2">
        <w:t xml:space="preserve">: </w:t>
      </w:r>
      <w:r w:rsidR="00E85D8C" w:rsidRPr="00C372E2">
        <w:t>as soon as they could tentatively identify</w:t>
      </w:r>
      <w:r w:rsidR="001A418A" w:rsidRPr="00C372E2">
        <w:t xml:space="preserve"> </w:t>
      </w:r>
      <w:r w:rsidR="00907DD6" w:rsidRPr="00C372E2">
        <w:t xml:space="preserve">a </w:t>
      </w:r>
      <w:r w:rsidR="001A418A" w:rsidRPr="00C372E2">
        <w:t>letter, and later</w:t>
      </w:r>
      <w:r w:rsidR="00907DD6" w:rsidRPr="00C372E2">
        <w:t>—after further exposure of the letter—</w:t>
      </w:r>
      <w:r w:rsidR="001A418A" w:rsidRPr="00C372E2">
        <w:t xml:space="preserve">when </w:t>
      </w:r>
      <w:r w:rsidR="00907B59" w:rsidRPr="00C372E2">
        <w:t xml:space="preserve">they </w:t>
      </w:r>
      <w:r w:rsidR="001A418A" w:rsidRPr="00C372E2">
        <w:t>could</w:t>
      </w:r>
      <w:r w:rsidR="00907B59" w:rsidRPr="00C372E2">
        <w:t xml:space="preserve"> confident</w:t>
      </w:r>
      <w:r w:rsidR="001A418A" w:rsidRPr="00C372E2">
        <w:t>ly</w:t>
      </w:r>
      <w:r w:rsidR="00907B59" w:rsidRPr="00C372E2">
        <w:t xml:space="preserve"> </w:t>
      </w:r>
      <w:r w:rsidR="00907DD6" w:rsidRPr="00C372E2">
        <w:t>state which</w:t>
      </w:r>
      <w:r w:rsidR="00907B59" w:rsidRPr="00C372E2">
        <w:t xml:space="preserve"> letter</w:t>
      </w:r>
      <w:r w:rsidR="00907DD6" w:rsidRPr="00C372E2">
        <w:t xml:space="preserve"> it wa</w:t>
      </w:r>
      <w:r w:rsidR="00907B59" w:rsidRPr="00C372E2">
        <w:t>s.</w:t>
      </w:r>
      <w:r w:rsidR="00337CEC" w:rsidRPr="00C372E2">
        <w:t xml:space="preserve"> </w:t>
      </w:r>
      <w:r w:rsidRPr="00C372E2">
        <w:t xml:space="preserve">Most of </w:t>
      </w:r>
      <w:r w:rsidR="007E2E46" w:rsidRPr="00C372E2">
        <w:t>participant</w:t>
      </w:r>
      <w:r w:rsidRPr="00C372E2">
        <w:t xml:space="preserve">s were able to determine the letters at 60 to 80 percent fragmentation and were confident to determine the letters at 60 percent fragmentation. The researchers chose 70 percent fragmentation because it harmonized with the original English version. The set of Thai letters was </w:t>
      </w:r>
      <w:r w:rsidR="00D94C54" w:rsidRPr="00C372E2">
        <w:t xml:space="preserve">then </w:t>
      </w:r>
      <w:r w:rsidRPr="00C372E2">
        <w:t>sort</w:t>
      </w:r>
      <w:r w:rsidR="00FC0224" w:rsidRPr="00C372E2">
        <w:t>ed</w:t>
      </w:r>
      <w:r w:rsidRPr="00C372E2">
        <w:t xml:space="preserve"> by frequency</w:t>
      </w:r>
      <w:r w:rsidR="00D13C0D" w:rsidRPr="00C372E2">
        <w:t xml:space="preserve"> </w:t>
      </w:r>
      <w:r w:rsidR="003060AC" w:rsidRPr="00C372E2">
        <w:rPr>
          <w:noProof/>
        </w:rPr>
        <w:t>(Aroonmanakun, Tansiri, &amp; Nittayanuparp, 2009)</w:t>
      </w:r>
      <w:r w:rsidR="00FC0224" w:rsidRPr="00C372E2">
        <w:t>,</w:t>
      </w:r>
      <w:r w:rsidRPr="00C372E2">
        <w:t xml:space="preserve"> and </w:t>
      </w:r>
      <w:r w:rsidR="00FC0224" w:rsidRPr="00C372E2">
        <w:t xml:space="preserve">the </w:t>
      </w:r>
      <w:r w:rsidRPr="00C372E2">
        <w:t xml:space="preserve">22 </w:t>
      </w:r>
      <w:r w:rsidR="00FC0224" w:rsidRPr="00C372E2">
        <w:t>most frequent</w:t>
      </w:r>
      <w:r w:rsidRPr="00C372E2">
        <w:t xml:space="preserve"> out of </w:t>
      </w:r>
      <w:r w:rsidR="00FC0224" w:rsidRPr="00C372E2">
        <w:t xml:space="preserve">the </w:t>
      </w:r>
      <w:r w:rsidRPr="00C372E2">
        <w:t xml:space="preserve">35 letters from the previous step were chosen. </w:t>
      </w:r>
      <w:r w:rsidR="00FC0224" w:rsidRPr="00C372E2">
        <w:t xml:space="preserve">The 2 </w:t>
      </w:r>
      <w:r w:rsidRPr="00C372E2">
        <w:t xml:space="preserve">letters </w:t>
      </w:r>
      <w:r w:rsidR="00FC0224" w:rsidRPr="00C372E2">
        <w:t xml:space="preserve">that had the </w:t>
      </w:r>
      <w:r w:rsidRPr="00C372E2">
        <w:t>highest letter frequency</w:t>
      </w:r>
      <w:r w:rsidR="00FC0224" w:rsidRPr="00C372E2">
        <w:t xml:space="preserve"> (</w:t>
      </w:r>
      <w:r w:rsidR="00FC0224" w:rsidRPr="00C372E2">
        <w:rPr>
          <w:rFonts w:ascii="Leelawadee UI" w:hAnsi="Leelawadee UI" w:cs="Leelawadee UI"/>
        </w:rPr>
        <w:t>ก</w:t>
      </w:r>
      <w:r w:rsidR="00FC0224" w:rsidRPr="00C372E2">
        <w:t xml:space="preserve">, </w:t>
      </w:r>
      <w:r w:rsidR="00FC0224" w:rsidRPr="00C372E2">
        <w:rPr>
          <w:rFonts w:ascii="Leelawadee UI" w:hAnsi="Leelawadee UI" w:cs="Leelawadee UI"/>
        </w:rPr>
        <w:t>อ</w:t>
      </w:r>
      <w:r w:rsidR="00FC0224" w:rsidRPr="00C372E2">
        <w:t xml:space="preserve">) </w:t>
      </w:r>
      <w:r w:rsidRPr="00C372E2">
        <w:t xml:space="preserve">were used as practice items. The practice items were set at 30 percent fragmentation </w:t>
      </w:r>
      <w:r w:rsidR="00FC0224" w:rsidRPr="00C372E2">
        <w:t>to be consistent with t</w:t>
      </w:r>
      <w:r w:rsidRPr="00C372E2">
        <w:t xml:space="preserve">he original test version. The remaining 20 letters were used as the stimuli and were arranged </w:t>
      </w:r>
      <w:r w:rsidR="00D94C54" w:rsidRPr="00C372E2">
        <w:t xml:space="preserve">by </w:t>
      </w:r>
      <w:r w:rsidRPr="00C372E2">
        <w:t>graded difficulty</w:t>
      </w:r>
      <w:r w:rsidR="00D94C54" w:rsidRPr="00C372E2">
        <w:t xml:space="preserve"> level</w:t>
      </w:r>
      <w:r w:rsidRPr="00C372E2">
        <w:t>.</w:t>
      </w:r>
    </w:p>
    <w:p w14:paraId="5AA177AF" w14:textId="0780EB25" w:rsidR="005D52DB" w:rsidRPr="00C372E2" w:rsidRDefault="005D52DB" w:rsidP="00A50781">
      <w:pPr>
        <w:ind w:firstLine="0"/>
        <w:rPr>
          <w:b/>
          <w:bCs/>
          <w:i/>
          <w:iCs/>
        </w:rPr>
      </w:pPr>
      <w:r w:rsidRPr="00C372E2">
        <w:rPr>
          <w:b/>
          <w:bCs/>
          <w:i/>
          <w:iCs/>
        </w:rPr>
        <w:t xml:space="preserve">Data </w:t>
      </w:r>
      <w:r w:rsidR="003010A1" w:rsidRPr="00C372E2">
        <w:rPr>
          <w:b/>
          <w:bCs/>
          <w:i/>
          <w:iCs/>
        </w:rPr>
        <w:t>Collection Sequence</w:t>
      </w:r>
    </w:p>
    <w:p w14:paraId="7F7967E3" w14:textId="529B878E" w:rsidR="005D52DB" w:rsidRPr="00C372E2" w:rsidRDefault="005D52DB" w:rsidP="00ED639B">
      <w:r w:rsidRPr="00C372E2">
        <w:t xml:space="preserve">After informed consent was obtained, </w:t>
      </w:r>
      <w:r w:rsidR="00494C38" w:rsidRPr="00C372E2">
        <w:t xml:space="preserve">the </w:t>
      </w:r>
      <w:r w:rsidRPr="00C372E2">
        <w:t xml:space="preserve">participants were examined </w:t>
      </w:r>
      <w:r w:rsidR="00494C38" w:rsidRPr="00C372E2">
        <w:t xml:space="preserve">in a single session using </w:t>
      </w:r>
      <w:r w:rsidRPr="00C372E2">
        <w:t>all</w:t>
      </w:r>
      <w:r w:rsidR="00494C38" w:rsidRPr="00C372E2">
        <w:t xml:space="preserve"> of</w:t>
      </w:r>
      <w:r w:rsidRPr="00C372E2">
        <w:t xml:space="preserve"> the instruments previously described. </w:t>
      </w:r>
      <w:r w:rsidR="00494C38" w:rsidRPr="00C372E2">
        <w:t>The s</w:t>
      </w:r>
      <w:r w:rsidRPr="00C372E2">
        <w:t xml:space="preserve">equence of the examination </w:t>
      </w:r>
      <w:r w:rsidR="00494C38" w:rsidRPr="00C372E2">
        <w:t xml:space="preserve">was </w:t>
      </w:r>
      <w:r w:rsidR="00F821B1" w:rsidRPr="00C372E2">
        <w:t xml:space="preserve">(1) </w:t>
      </w:r>
      <w:r w:rsidR="00CF0047" w:rsidRPr="00C372E2">
        <w:t xml:space="preserve">the </w:t>
      </w:r>
      <w:r w:rsidR="00494C38" w:rsidRPr="00C372E2">
        <w:t xml:space="preserve">completion of a record form </w:t>
      </w:r>
      <w:r w:rsidR="00CF0047" w:rsidRPr="00C372E2">
        <w:t xml:space="preserve">detailing each individual’s </w:t>
      </w:r>
      <w:r w:rsidRPr="00C372E2">
        <w:t xml:space="preserve">demographic data and medical history, </w:t>
      </w:r>
      <w:r w:rsidR="00F821B1" w:rsidRPr="00C372E2">
        <w:t xml:space="preserve">(2) </w:t>
      </w:r>
      <w:r w:rsidRPr="00C372E2">
        <w:t xml:space="preserve">TMSE screening for </w:t>
      </w:r>
      <w:r w:rsidR="00F821B1" w:rsidRPr="00C372E2">
        <w:t xml:space="preserve">the </w:t>
      </w:r>
      <w:r w:rsidRPr="00C372E2">
        <w:t xml:space="preserve">cognitively normal participants, </w:t>
      </w:r>
      <w:r w:rsidR="00F821B1" w:rsidRPr="00C372E2">
        <w:t xml:space="preserve">(3) </w:t>
      </w:r>
      <w:r w:rsidR="00CF0047" w:rsidRPr="00C372E2">
        <w:t xml:space="preserve">the </w:t>
      </w:r>
      <w:r w:rsidRPr="00C372E2">
        <w:t>VOSP battery</w:t>
      </w:r>
      <w:r w:rsidRPr="00C372E2">
        <w:rPr>
          <w:rStyle w:val="st"/>
        </w:rPr>
        <w:t xml:space="preserve">, </w:t>
      </w:r>
      <w:r w:rsidR="00F821B1" w:rsidRPr="00C372E2">
        <w:rPr>
          <w:rStyle w:val="st"/>
        </w:rPr>
        <w:t xml:space="preserve">(4) </w:t>
      </w:r>
      <w:r w:rsidR="00CF0047" w:rsidRPr="00C372E2">
        <w:rPr>
          <w:rStyle w:val="st"/>
        </w:rPr>
        <w:t xml:space="preserve">the </w:t>
      </w:r>
      <w:r w:rsidRPr="00C372E2">
        <w:rPr>
          <w:rStyle w:val="st"/>
        </w:rPr>
        <w:t>Rosenbaum pocket vision screener</w:t>
      </w:r>
      <w:r w:rsidR="00CF0047" w:rsidRPr="00C372E2">
        <w:t>,</w:t>
      </w:r>
      <w:r w:rsidRPr="00C372E2">
        <w:t xml:space="preserve"> and </w:t>
      </w:r>
      <w:r w:rsidR="00F821B1" w:rsidRPr="00C372E2">
        <w:rPr>
          <w:rStyle w:val="st"/>
        </w:rPr>
        <w:t>(5) the Standard Progressive Matrices</w:t>
      </w:r>
      <w:r w:rsidRPr="00C372E2">
        <w:t xml:space="preserve">. </w:t>
      </w:r>
      <w:r w:rsidR="00F821B1" w:rsidRPr="00C372E2">
        <w:t>The r</w:t>
      </w:r>
      <w:r w:rsidRPr="00C372E2">
        <w:t>esult</w:t>
      </w:r>
      <w:r w:rsidR="00F821B1" w:rsidRPr="00C372E2">
        <w:t>s</w:t>
      </w:r>
      <w:r w:rsidRPr="00C372E2">
        <w:t xml:space="preserve"> of </w:t>
      </w:r>
      <w:r w:rsidRPr="00C372E2">
        <w:lastRenderedPageBreak/>
        <w:t xml:space="preserve">the Shape Detection Screening subtest </w:t>
      </w:r>
      <w:r w:rsidR="00F821B1" w:rsidRPr="00C372E2">
        <w:t xml:space="preserve">of VOSP </w:t>
      </w:r>
      <w:r w:rsidRPr="00C372E2">
        <w:t xml:space="preserve">indicated sufficient </w:t>
      </w:r>
      <w:r w:rsidR="00B84F42" w:rsidRPr="00C372E2">
        <w:t>VA</w:t>
      </w:r>
      <w:r w:rsidRPr="00C372E2">
        <w:t xml:space="preserve"> for enrollment. After the cognitive assessment</w:t>
      </w:r>
      <w:r w:rsidR="00F821B1" w:rsidRPr="00C372E2">
        <w:t>s</w:t>
      </w:r>
      <w:r w:rsidRPr="00C372E2">
        <w:t xml:space="preserve">, </w:t>
      </w:r>
      <w:r w:rsidR="00F821B1" w:rsidRPr="00C372E2">
        <w:t xml:space="preserve">a </w:t>
      </w:r>
      <w:r w:rsidRPr="00C372E2">
        <w:t xml:space="preserve">questionnaire to assess </w:t>
      </w:r>
      <w:r w:rsidR="00F821B1" w:rsidRPr="00C372E2">
        <w:t xml:space="preserve">the </w:t>
      </w:r>
      <w:r w:rsidR="00805560" w:rsidRPr="00C372E2">
        <w:t xml:space="preserve">appropriateness of </w:t>
      </w:r>
      <w:r w:rsidR="00F821B1" w:rsidRPr="00C372E2">
        <w:t xml:space="preserve">the </w:t>
      </w:r>
      <w:r w:rsidR="00805560" w:rsidRPr="00C372E2">
        <w:t>image size</w:t>
      </w:r>
      <w:r w:rsidR="00F821B1" w:rsidRPr="00C372E2">
        <w:t>s</w:t>
      </w:r>
      <w:r w:rsidR="00805560" w:rsidRPr="00C372E2">
        <w:t xml:space="preserve"> and </w:t>
      </w:r>
      <w:r w:rsidR="00F821B1" w:rsidRPr="00C372E2">
        <w:t xml:space="preserve">the </w:t>
      </w:r>
      <w:r w:rsidRPr="00C372E2">
        <w:t xml:space="preserve">clarity of </w:t>
      </w:r>
      <w:r w:rsidR="00F821B1" w:rsidRPr="00C372E2">
        <w:t xml:space="preserve">the </w:t>
      </w:r>
      <w:r w:rsidRPr="00C372E2">
        <w:t xml:space="preserve">images and instructions was </w:t>
      </w:r>
      <w:r w:rsidR="00F821B1" w:rsidRPr="00C372E2">
        <w:t>administered</w:t>
      </w:r>
      <w:r w:rsidRPr="00C372E2">
        <w:t xml:space="preserve">. </w:t>
      </w:r>
      <w:r w:rsidR="00893C0D" w:rsidRPr="00C372E2">
        <w:t>The r</w:t>
      </w:r>
      <w:r w:rsidRPr="00C372E2">
        <w:t>ating</w:t>
      </w:r>
      <w:r w:rsidR="00152986" w:rsidRPr="00C372E2">
        <w:t xml:space="preserve"> score</w:t>
      </w:r>
      <w:r w:rsidR="00893C0D" w:rsidRPr="00C372E2">
        <w:t>s for</w:t>
      </w:r>
      <w:r w:rsidR="00152986" w:rsidRPr="00C372E2">
        <w:t xml:space="preserve"> </w:t>
      </w:r>
      <w:r w:rsidR="00893C0D" w:rsidRPr="00C372E2">
        <w:t xml:space="preserve">the </w:t>
      </w:r>
      <w:r w:rsidR="00152986" w:rsidRPr="00C372E2">
        <w:t>image size</w:t>
      </w:r>
      <w:r w:rsidR="00893C0D" w:rsidRPr="00C372E2">
        <w:t>s</w:t>
      </w:r>
      <w:r w:rsidR="00152986" w:rsidRPr="00C372E2">
        <w:t xml:space="preserve"> and </w:t>
      </w:r>
      <w:r w:rsidR="00893C0D" w:rsidRPr="00C372E2">
        <w:t xml:space="preserve">the </w:t>
      </w:r>
      <w:r w:rsidR="00152986" w:rsidRPr="00C372E2">
        <w:t xml:space="preserve">clarity of </w:t>
      </w:r>
      <w:r w:rsidR="00893C0D" w:rsidRPr="00C372E2">
        <w:t xml:space="preserve">the </w:t>
      </w:r>
      <w:r w:rsidR="00152986" w:rsidRPr="00C372E2">
        <w:t>images and instructions</w:t>
      </w:r>
      <w:r w:rsidRPr="00C372E2">
        <w:t xml:space="preserve"> w</w:t>
      </w:r>
      <w:r w:rsidR="00152986" w:rsidRPr="00C372E2">
        <w:t>ere</w:t>
      </w:r>
      <w:r w:rsidR="00D61523" w:rsidRPr="00C372E2">
        <w:t xml:space="preserve"> </w:t>
      </w:r>
      <w:r w:rsidRPr="00C372E2">
        <w:t xml:space="preserve">1 </w:t>
      </w:r>
      <w:r w:rsidR="00893C0D" w:rsidRPr="00C372E2">
        <w:t>(</w:t>
      </w:r>
      <w:r w:rsidRPr="00C372E2">
        <w:t>terrible</w:t>
      </w:r>
      <w:r w:rsidR="00893C0D" w:rsidRPr="00C372E2">
        <w:t>)</w:t>
      </w:r>
      <w:r w:rsidRPr="00C372E2">
        <w:t xml:space="preserve">, 2 </w:t>
      </w:r>
      <w:r w:rsidR="00893C0D" w:rsidRPr="00C372E2">
        <w:t>(</w:t>
      </w:r>
      <w:r w:rsidR="00E018F3" w:rsidRPr="00C372E2">
        <w:t xml:space="preserve">somewhat </w:t>
      </w:r>
      <w:r w:rsidRPr="00C372E2">
        <w:t>terrible</w:t>
      </w:r>
      <w:r w:rsidR="00893C0D" w:rsidRPr="00C372E2">
        <w:t>)</w:t>
      </w:r>
      <w:r w:rsidRPr="00C372E2">
        <w:t xml:space="preserve">, 3 </w:t>
      </w:r>
      <w:r w:rsidR="00893C0D" w:rsidRPr="00C372E2">
        <w:t>(</w:t>
      </w:r>
      <w:r w:rsidRPr="00C372E2">
        <w:t>fair</w:t>
      </w:r>
      <w:r w:rsidR="00893C0D" w:rsidRPr="00C372E2">
        <w:t>)</w:t>
      </w:r>
      <w:r w:rsidRPr="00C372E2">
        <w:t xml:space="preserve">, 4 </w:t>
      </w:r>
      <w:r w:rsidR="00893C0D" w:rsidRPr="00C372E2">
        <w:t>(</w:t>
      </w:r>
      <w:r w:rsidRPr="00C372E2">
        <w:t>good</w:t>
      </w:r>
      <w:r w:rsidR="00893C0D" w:rsidRPr="00C372E2">
        <w:t>)</w:t>
      </w:r>
      <w:r w:rsidRPr="00C372E2">
        <w:t xml:space="preserve">, </w:t>
      </w:r>
      <w:r w:rsidR="00893C0D" w:rsidRPr="00C372E2">
        <w:t xml:space="preserve">and </w:t>
      </w:r>
      <w:r w:rsidRPr="00C372E2">
        <w:t xml:space="preserve">5 </w:t>
      </w:r>
      <w:r w:rsidR="00893C0D" w:rsidRPr="00C372E2">
        <w:t>(</w:t>
      </w:r>
      <w:r w:rsidRPr="00C372E2">
        <w:t>excellent</w:t>
      </w:r>
      <w:r w:rsidR="00893C0D" w:rsidRPr="00C372E2">
        <w:t>)</w:t>
      </w:r>
      <w:r w:rsidRPr="00C372E2">
        <w:t>. T</w:t>
      </w:r>
      <w:r w:rsidR="00893C0D" w:rsidRPr="00C372E2">
        <w:t>he t</w:t>
      </w:r>
      <w:r w:rsidRPr="00C372E2">
        <w:t>est completion time was record</w:t>
      </w:r>
      <w:r w:rsidR="00893C0D" w:rsidRPr="00C372E2">
        <w:t>ed</w:t>
      </w:r>
      <w:r w:rsidRPr="00C372E2">
        <w:t xml:space="preserve"> for each VOSP subtest. During the assessment</w:t>
      </w:r>
      <w:r w:rsidR="00893C0D" w:rsidRPr="00C372E2">
        <w:t>s</w:t>
      </w:r>
      <w:r w:rsidRPr="00C372E2">
        <w:t xml:space="preserve">, </w:t>
      </w:r>
      <w:r w:rsidR="00893C0D" w:rsidRPr="00C372E2">
        <w:t xml:space="preserve">the </w:t>
      </w:r>
      <w:r w:rsidRPr="00C372E2">
        <w:t>participants were able to request 5</w:t>
      </w:r>
      <w:r w:rsidR="00D13C0D" w:rsidRPr="00C372E2">
        <w:t>–</w:t>
      </w:r>
      <w:r w:rsidRPr="00C372E2">
        <w:t>10 minute break</w:t>
      </w:r>
      <w:r w:rsidR="00893C0D" w:rsidRPr="00C372E2">
        <w:t>s</w:t>
      </w:r>
      <w:r w:rsidRPr="00C372E2">
        <w:t xml:space="preserve"> to minimize fatigue. The participants received a small payment (</w:t>
      </w:r>
      <w:r w:rsidR="00893C0D" w:rsidRPr="00C372E2">
        <w:t xml:space="preserve">equivalent to </w:t>
      </w:r>
      <w:r w:rsidRPr="00C372E2">
        <w:t>9 US dollars) for their participation.</w:t>
      </w:r>
    </w:p>
    <w:p w14:paraId="6F935E35" w14:textId="6DD88A92" w:rsidR="005D52DB" w:rsidRPr="00C372E2" w:rsidRDefault="005D52DB" w:rsidP="00A50781">
      <w:pPr>
        <w:ind w:firstLine="0"/>
        <w:rPr>
          <w:b/>
          <w:bCs/>
          <w:i/>
          <w:iCs/>
        </w:rPr>
      </w:pPr>
      <w:r w:rsidRPr="00C372E2">
        <w:rPr>
          <w:b/>
          <w:bCs/>
          <w:i/>
          <w:iCs/>
        </w:rPr>
        <w:t xml:space="preserve">Statistical </w:t>
      </w:r>
      <w:r w:rsidR="003010A1" w:rsidRPr="00C372E2">
        <w:rPr>
          <w:b/>
          <w:bCs/>
          <w:i/>
          <w:iCs/>
        </w:rPr>
        <w:t>Analysis</w:t>
      </w:r>
    </w:p>
    <w:p w14:paraId="03920314" w14:textId="32D7A08D" w:rsidR="005D52DB" w:rsidRPr="00C372E2" w:rsidRDefault="002110C1" w:rsidP="00ED639B">
      <w:r w:rsidRPr="00C372E2">
        <w:t>PASW Statistics for Windows (version 18; SPSS Inc., Chicago, Ill, USA)</w:t>
      </w:r>
      <w:r w:rsidR="005D52DB" w:rsidRPr="00C372E2">
        <w:t xml:space="preserve"> was used </w:t>
      </w:r>
      <w:r w:rsidRPr="00C372E2">
        <w:t xml:space="preserve">for the </w:t>
      </w:r>
      <w:r w:rsidR="005D52DB" w:rsidRPr="00C372E2">
        <w:t xml:space="preserve">statistical </w:t>
      </w:r>
      <w:r w:rsidRPr="00C372E2">
        <w:t>analyses</w:t>
      </w:r>
      <w:r w:rsidR="005D52DB" w:rsidRPr="00C372E2">
        <w:t xml:space="preserve">. Descriptive statistics were obtained for </w:t>
      </w:r>
      <w:r w:rsidRPr="00C372E2">
        <w:t xml:space="preserve">the </w:t>
      </w:r>
      <w:r w:rsidR="005D52DB" w:rsidRPr="00C372E2">
        <w:t xml:space="preserve">demographic variables, </w:t>
      </w:r>
      <w:r w:rsidRPr="00C372E2">
        <w:t xml:space="preserve">the scoring </w:t>
      </w:r>
      <w:r w:rsidR="005D52DB" w:rsidRPr="00C372E2">
        <w:t xml:space="preserve">performance of the participants </w:t>
      </w:r>
      <w:r w:rsidR="00C45656" w:rsidRPr="00C372E2">
        <w:t xml:space="preserve">for </w:t>
      </w:r>
      <w:r w:rsidR="005D52DB" w:rsidRPr="00C372E2">
        <w:t>each VOSP sub</w:t>
      </w:r>
      <w:r w:rsidR="003264B9" w:rsidRPr="00C372E2">
        <w:t>test</w:t>
      </w:r>
      <w:r w:rsidR="005D52DB" w:rsidRPr="00C372E2">
        <w:t xml:space="preserve">, </w:t>
      </w:r>
      <w:r w:rsidR="00C45656" w:rsidRPr="00C372E2">
        <w:t xml:space="preserve">the </w:t>
      </w:r>
      <w:r w:rsidR="00716C1E" w:rsidRPr="00C372E2">
        <w:t>testing</w:t>
      </w:r>
      <w:r w:rsidR="005D52DB" w:rsidRPr="00C372E2">
        <w:t xml:space="preserve"> time</w:t>
      </w:r>
      <w:r w:rsidR="00C45656" w:rsidRPr="00C372E2">
        <w:t>s,</w:t>
      </w:r>
      <w:r w:rsidR="005D52DB" w:rsidRPr="00C372E2">
        <w:t xml:space="preserve"> and </w:t>
      </w:r>
      <w:r w:rsidR="00C45656" w:rsidRPr="00C372E2">
        <w:t xml:space="preserve">the </w:t>
      </w:r>
      <w:r w:rsidR="005D52DB" w:rsidRPr="00C372E2">
        <w:t>clarity of each VOSP subtest stimuli and instructions. The Shapiro</w:t>
      </w:r>
      <w:r w:rsidR="00D13C0D" w:rsidRPr="00C372E2">
        <w:t>–</w:t>
      </w:r>
      <w:r w:rsidR="005D52DB" w:rsidRPr="00C372E2">
        <w:t>Wilk test was used in normality test</w:t>
      </w:r>
      <w:r w:rsidR="00C45656" w:rsidRPr="00C372E2">
        <w:t>s</w:t>
      </w:r>
      <w:r w:rsidR="005D52DB" w:rsidRPr="00C372E2">
        <w:t xml:space="preserve"> for</w:t>
      </w:r>
      <w:r w:rsidR="00C45656" w:rsidRPr="00C372E2">
        <w:t xml:space="preserve"> the</w:t>
      </w:r>
      <w:r w:rsidR="005D52DB" w:rsidRPr="00C372E2">
        <w:t xml:space="preserve"> demographic variables and VOSP sub</w:t>
      </w:r>
      <w:r w:rsidR="003264B9" w:rsidRPr="00C372E2">
        <w:t xml:space="preserve">test </w:t>
      </w:r>
      <w:r w:rsidR="005D52DB" w:rsidRPr="00C372E2">
        <w:t>scores. The statistical analysis of each variable differe</w:t>
      </w:r>
      <w:r w:rsidR="00C45656" w:rsidRPr="00C372E2">
        <w:t>d,</w:t>
      </w:r>
      <w:r w:rsidR="005D52DB" w:rsidRPr="00C372E2">
        <w:t xml:space="preserve"> depending on </w:t>
      </w:r>
      <w:r w:rsidR="00C45656" w:rsidRPr="00C372E2">
        <w:t xml:space="preserve">the </w:t>
      </w:r>
      <w:r w:rsidR="005D52DB" w:rsidRPr="00C372E2">
        <w:t>distribution of the variable</w:t>
      </w:r>
      <w:r w:rsidR="003264B9" w:rsidRPr="00C372E2">
        <w:t xml:space="preserve"> values</w:t>
      </w:r>
      <w:r w:rsidR="005D52DB" w:rsidRPr="00C372E2">
        <w:t xml:space="preserve">. The data were normally distributed </w:t>
      </w:r>
      <w:r w:rsidR="00C45656" w:rsidRPr="00C372E2">
        <w:t xml:space="preserve">for the </w:t>
      </w:r>
      <w:r w:rsidR="005D52DB" w:rsidRPr="00C372E2">
        <w:t xml:space="preserve">Silhouette and Progressive </w:t>
      </w:r>
      <w:r w:rsidR="00C45656" w:rsidRPr="00C372E2">
        <w:t xml:space="preserve">Silhouette </w:t>
      </w:r>
      <w:r w:rsidR="005D52DB" w:rsidRPr="00C372E2">
        <w:t>subtest scores</w:t>
      </w:r>
      <w:r w:rsidR="00C45656" w:rsidRPr="00C372E2">
        <w:t>,</w:t>
      </w:r>
      <w:r w:rsidR="005D52DB" w:rsidRPr="00C372E2">
        <w:t xml:space="preserve"> and </w:t>
      </w:r>
      <w:r w:rsidR="00C45656" w:rsidRPr="00C372E2">
        <w:t xml:space="preserve">for </w:t>
      </w:r>
      <w:r w:rsidR="005D52DB" w:rsidRPr="00C372E2">
        <w:t xml:space="preserve">IQ. Therefore, the Silhouette and Progressive </w:t>
      </w:r>
      <w:r w:rsidR="00C45656" w:rsidRPr="00C372E2">
        <w:t xml:space="preserve">Silhouette </w:t>
      </w:r>
      <w:r w:rsidR="005D52DB" w:rsidRPr="00C372E2">
        <w:t xml:space="preserve">subtest scores were compared using </w:t>
      </w:r>
      <w:r w:rsidR="00661C7B" w:rsidRPr="00C372E2">
        <w:t>the independent-</w:t>
      </w:r>
      <w:r w:rsidR="005D52DB" w:rsidRPr="00C372E2">
        <w:t>samples t-test</w:t>
      </w:r>
      <w:r w:rsidR="00661C7B" w:rsidRPr="00C372E2">
        <w:t>,</w:t>
      </w:r>
      <w:r w:rsidR="005D52DB" w:rsidRPr="00C372E2">
        <w:t xml:space="preserve"> with a p-value </w:t>
      </w:r>
      <w:r w:rsidR="00661C7B" w:rsidRPr="00C372E2">
        <w:t xml:space="preserve">of </w:t>
      </w:r>
      <w:r w:rsidR="005D52DB" w:rsidRPr="00C372E2">
        <w:t>less than 0.05 considered statistically significant</w:t>
      </w:r>
      <w:r w:rsidR="00661C7B" w:rsidRPr="00C372E2">
        <w:t>,</w:t>
      </w:r>
      <w:r w:rsidR="005D52DB" w:rsidRPr="00C372E2">
        <w:t xml:space="preserve"> in order to consider the influence</w:t>
      </w:r>
      <w:r w:rsidR="00661C7B" w:rsidRPr="00C372E2">
        <w:t>s</w:t>
      </w:r>
      <w:r w:rsidR="005D52DB" w:rsidRPr="00C372E2">
        <w:t xml:space="preserve"> of age</w:t>
      </w:r>
      <w:r w:rsidR="00661C7B" w:rsidRPr="00C372E2">
        <w:t>,</w:t>
      </w:r>
      <w:r w:rsidR="005D52DB" w:rsidRPr="00C372E2">
        <w:t xml:space="preserve"> gender</w:t>
      </w:r>
      <w:r w:rsidR="00661C7B" w:rsidRPr="00C372E2">
        <w:t>,</w:t>
      </w:r>
      <w:r w:rsidR="005D52DB" w:rsidRPr="00C372E2">
        <w:t xml:space="preserve"> and education. For </w:t>
      </w:r>
      <w:r w:rsidR="00661C7B" w:rsidRPr="00C372E2">
        <w:t xml:space="preserve">the </w:t>
      </w:r>
      <w:r w:rsidR="005D52DB" w:rsidRPr="00C372E2">
        <w:t xml:space="preserve">univariate analysis </w:t>
      </w:r>
      <w:r w:rsidR="00661C7B" w:rsidRPr="00C372E2">
        <w:t xml:space="preserve">of </w:t>
      </w:r>
      <w:r w:rsidR="005D52DB" w:rsidRPr="00C372E2">
        <w:t xml:space="preserve">the other VOSP subtest scores and demographic characteristics, nonparametric statistics were performed using </w:t>
      </w:r>
      <w:r w:rsidR="006E7D84" w:rsidRPr="00C372E2">
        <w:t xml:space="preserve">the </w:t>
      </w:r>
      <w:r w:rsidR="005D52DB" w:rsidRPr="00C372E2">
        <w:t>Mann</w:t>
      </w:r>
      <w:r w:rsidR="00D13C0D" w:rsidRPr="00C372E2">
        <w:t>–</w:t>
      </w:r>
      <w:r w:rsidR="005D52DB" w:rsidRPr="00C372E2">
        <w:t>Whitney U test and Spearman</w:t>
      </w:r>
      <w:r w:rsidR="009011B7" w:rsidRPr="00C372E2">
        <w:t>’</w:t>
      </w:r>
      <w:r w:rsidR="005D52DB" w:rsidRPr="00C372E2">
        <w:t>s correlation</w:t>
      </w:r>
      <w:r w:rsidR="006E7D84" w:rsidRPr="00C372E2">
        <w:t>,</w:t>
      </w:r>
      <w:r w:rsidR="005D52DB" w:rsidRPr="00C372E2">
        <w:t xml:space="preserve"> as appropriate.</w:t>
      </w:r>
    </w:p>
    <w:p w14:paraId="7D1028FA" w14:textId="3B48928B" w:rsidR="00983596" w:rsidRPr="00B2401D" w:rsidRDefault="0016404D" w:rsidP="00B2401D">
      <w:pPr>
        <w:rPr>
          <w:rFonts w:hint="cs"/>
        </w:rPr>
      </w:pPr>
      <w:r w:rsidRPr="00C372E2">
        <w:t>As t</w:t>
      </w:r>
      <w:r w:rsidR="005D52DB" w:rsidRPr="00C372E2">
        <w:t xml:space="preserve">his study also aimed at </w:t>
      </w:r>
      <w:r w:rsidRPr="00C372E2">
        <w:t>identifying</w:t>
      </w:r>
      <w:r w:rsidR="005D52DB" w:rsidRPr="00C372E2">
        <w:t xml:space="preserve"> potential</w:t>
      </w:r>
      <w:r w:rsidRPr="00C372E2">
        <w:t>ly</w:t>
      </w:r>
      <w:r w:rsidR="005D52DB" w:rsidRPr="00C372E2">
        <w:t xml:space="preserve"> significant contributions </w:t>
      </w:r>
      <w:r w:rsidR="00BA7061" w:rsidRPr="00C372E2">
        <w:t>by</w:t>
      </w:r>
      <w:r w:rsidRPr="00C372E2">
        <w:t xml:space="preserve"> </w:t>
      </w:r>
      <w:r w:rsidR="005D52DB" w:rsidRPr="00C372E2">
        <w:t xml:space="preserve">demographic variables to the VOSP subtest </w:t>
      </w:r>
      <w:r w:rsidRPr="00C372E2">
        <w:t xml:space="preserve">scoring </w:t>
      </w:r>
      <w:r w:rsidR="005D52DB" w:rsidRPr="00C372E2">
        <w:t>performances,</w:t>
      </w:r>
      <w:r w:rsidR="003264B9" w:rsidRPr="00C372E2">
        <w:t xml:space="preserve"> </w:t>
      </w:r>
      <w:r w:rsidR="005D52DB" w:rsidRPr="00C372E2">
        <w:t>multi</w:t>
      </w:r>
      <w:r w:rsidR="00B6158B" w:rsidRPr="00C372E2">
        <w:t>ple</w:t>
      </w:r>
      <w:r w:rsidR="005D52DB" w:rsidRPr="00C372E2">
        <w:t xml:space="preserve"> linear regression analyses were performed. </w:t>
      </w:r>
      <w:r w:rsidRPr="00C372E2">
        <w:t xml:space="preserve">The </w:t>
      </w:r>
      <w:r w:rsidR="005D52DB" w:rsidRPr="00C372E2">
        <w:t xml:space="preserve">Dot Counting and Number Location subtest scores were refrained from </w:t>
      </w:r>
      <w:r w:rsidR="00BA7061" w:rsidRPr="00C372E2">
        <w:t xml:space="preserve">the </w:t>
      </w:r>
      <w:r w:rsidR="005D52DB" w:rsidRPr="00C372E2">
        <w:t xml:space="preserve">multivariate analysis because </w:t>
      </w:r>
      <w:r w:rsidR="00C90676" w:rsidRPr="00C372E2">
        <w:t xml:space="preserve">the univariate </w:t>
      </w:r>
      <w:r w:rsidR="00A34BDC" w:rsidRPr="00C372E2">
        <w:t xml:space="preserve">analyses of those 2 subtests </w:t>
      </w:r>
      <w:r w:rsidR="00C90676" w:rsidRPr="00C372E2">
        <w:t xml:space="preserve">did not reveal </w:t>
      </w:r>
      <w:r w:rsidR="005D52DB" w:rsidRPr="00C372E2">
        <w:t>statistically significant result</w:t>
      </w:r>
      <w:r w:rsidRPr="00C372E2">
        <w:t>s</w:t>
      </w:r>
      <w:r w:rsidR="005D52DB" w:rsidRPr="00C372E2">
        <w:t xml:space="preserve"> </w:t>
      </w:r>
      <w:r w:rsidR="00CF37ED" w:rsidRPr="00C372E2">
        <w:t>for any of the demographic variables.</w:t>
      </w:r>
      <w:r w:rsidR="00BA7061" w:rsidRPr="00C372E2">
        <w:t xml:space="preserve"> </w:t>
      </w:r>
      <w:r w:rsidR="00A34BDC" w:rsidRPr="00C372E2">
        <w:t>V</w:t>
      </w:r>
      <w:r w:rsidR="00BA7061" w:rsidRPr="00C372E2">
        <w:t xml:space="preserve">ariables were </w:t>
      </w:r>
      <w:r w:rsidR="00A34BDC" w:rsidRPr="00C372E2">
        <w:t xml:space="preserve">only </w:t>
      </w:r>
      <w:r w:rsidR="00BA7061" w:rsidRPr="00C372E2">
        <w:t>included in the regression model for each VOSP subtest if they statistically significantly estimated the VOSP subtest scores, as designated in a goodness-of-fit ANOVA test.</w:t>
      </w:r>
      <w:r w:rsidR="005D52DB" w:rsidRPr="00C372E2">
        <w:t xml:space="preserve"> </w:t>
      </w:r>
      <w:r w:rsidR="00A34BDC" w:rsidRPr="00C372E2">
        <w:t>Consequently</w:t>
      </w:r>
      <w:r w:rsidR="005D52DB" w:rsidRPr="00C372E2">
        <w:t xml:space="preserve">, </w:t>
      </w:r>
      <w:r w:rsidR="00C90676" w:rsidRPr="00C372E2">
        <w:t xml:space="preserve">the </w:t>
      </w:r>
      <w:r w:rsidR="005D52DB" w:rsidRPr="00C372E2">
        <w:t xml:space="preserve">multiple linear regression model </w:t>
      </w:r>
      <w:r w:rsidR="00C90676" w:rsidRPr="00C372E2">
        <w:t xml:space="preserve">for </w:t>
      </w:r>
      <w:r w:rsidR="005D52DB" w:rsidRPr="00C372E2">
        <w:t xml:space="preserve">each VOSP subtest score did not include </w:t>
      </w:r>
      <w:r w:rsidR="00775493" w:rsidRPr="00C372E2">
        <w:t>similar</w:t>
      </w:r>
      <w:r w:rsidR="005D52DB" w:rsidRPr="00C372E2">
        <w:t xml:space="preserve"> demographic variables.</w:t>
      </w:r>
    </w:p>
    <w:p w14:paraId="35555924" w14:textId="77777777" w:rsidR="005D52DB" w:rsidRPr="00C372E2" w:rsidRDefault="005D52DB" w:rsidP="00A50781">
      <w:pPr>
        <w:pStyle w:val="HTMLPreformatted"/>
        <w:spacing w:after="360" w:line="360" w:lineRule="auto"/>
        <w:ind w:firstLine="0"/>
        <w:rPr>
          <w:rFonts w:ascii="Times New Roman" w:hAnsi="Times New Roman" w:cs="Times New Roman"/>
          <w:b/>
          <w:bCs/>
          <w:sz w:val="24"/>
          <w:szCs w:val="24"/>
        </w:rPr>
      </w:pPr>
      <w:r w:rsidRPr="00C372E2">
        <w:rPr>
          <w:rFonts w:ascii="Times New Roman" w:eastAsiaTheme="minorHAnsi" w:hAnsi="Times New Roman" w:cs="Times New Roman"/>
          <w:b/>
          <w:bCs/>
          <w:sz w:val="24"/>
          <w:szCs w:val="24"/>
        </w:rPr>
        <w:lastRenderedPageBreak/>
        <w:t>RESULTS</w:t>
      </w:r>
    </w:p>
    <w:p w14:paraId="26497BA4" w14:textId="2EDD30EA" w:rsidR="005D52DB" w:rsidRDefault="0062647E" w:rsidP="00DB4B30">
      <w:pPr>
        <w:pStyle w:val="HTMLPreformatted"/>
        <w:spacing w:after="360" w:line="360" w:lineRule="auto"/>
        <w:rPr>
          <w:rFonts w:ascii="Times New Roman" w:hAnsi="Times New Roman" w:cs="Times New Roman"/>
          <w:sz w:val="24"/>
          <w:szCs w:val="24"/>
        </w:rPr>
      </w:pPr>
      <w:r w:rsidRPr="00C372E2">
        <w:rPr>
          <w:rFonts w:ascii="Times New Roman" w:hAnsi="Times New Roman" w:cs="Times New Roman"/>
          <w:sz w:val="24"/>
          <w:szCs w:val="24"/>
        </w:rPr>
        <w:t xml:space="preserve">The study cohort was </w:t>
      </w:r>
      <w:r w:rsidR="005D52DB" w:rsidRPr="00C372E2">
        <w:rPr>
          <w:rFonts w:ascii="Times New Roman" w:hAnsi="Times New Roman" w:cs="Times New Roman"/>
          <w:sz w:val="24"/>
          <w:szCs w:val="24"/>
        </w:rPr>
        <w:t>comprised of 40 healthy control</w:t>
      </w:r>
      <w:r w:rsidRPr="00C372E2">
        <w:rPr>
          <w:rFonts w:ascii="Times New Roman" w:hAnsi="Times New Roman" w:cs="Times New Roman"/>
          <w:sz w:val="24"/>
          <w:szCs w:val="24"/>
        </w:rPr>
        <w:t>s, whose demographic characteristics are</w:t>
      </w:r>
      <w:r w:rsidR="005D52DB" w:rsidRPr="00C372E2">
        <w:rPr>
          <w:rFonts w:ascii="Times New Roman" w:hAnsi="Times New Roman" w:cs="Times New Roman"/>
          <w:sz w:val="24"/>
          <w:szCs w:val="24"/>
        </w:rPr>
        <w:t xml:space="preserve"> summarized in </w:t>
      </w:r>
      <w:r w:rsidRPr="00C372E2">
        <w:rPr>
          <w:rFonts w:ascii="Times New Roman" w:hAnsi="Times New Roman" w:cs="Times New Roman"/>
          <w:sz w:val="24"/>
          <w:szCs w:val="24"/>
        </w:rPr>
        <w:t xml:space="preserve">Table </w:t>
      </w:r>
      <w:r w:rsidR="005D52DB" w:rsidRPr="00C372E2">
        <w:rPr>
          <w:rFonts w:ascii="Times New Roman" w:hAnsi="Times New Roman" w:cs="Times New Roman"/>
          <w:sz w:val="24"/>
          <w:szCs w:val="24"/>
        </w:rPr>
        <w:t xml:space="preserve">1. </w:t>
      </w:r>
      <w:r w:rsidRPr="00C372E2">
        <w:rPr>
          <w:rFonts w:ascii="Times New Roman" w:hAnsi="Times New Roman" w:cs="Times New Roman"/>
          <w:sz w:val="24"/>
          <w:szCs w:val="24"/>
        </w:rPr>
        <w:t>The l</w:t>
      </w:r>
      <w:r w:rsidR="005D52DB" w:rsidRPr="00C372E2">
        <w:rPr>
          <w:rFonts w:ascii="Times New Roman" w:hAnsi="Times New Roman" w:cs="Times New Roman"/>
          <w:sz w:val="24"/>
          <w:szCs w:val="24"/>
        </w:rPr>
        <w:t>ow average IQ score on Standard Progressive Matrices of this cohort (</w:t>
      </w:r>
      <w:r w:rsidRPr="00C372E2">
        <w:rPr>
          <w:rFonts w:ascii="Times New Roman" w:hAnsi="Times New Roman" w:cs="Times New Roman"/>
          <w:sz w:val="24"/>
          <w:szCs w:val="24"/>
        </w:rPr>
        <w:t>mean,</w:t>
      </w:r>
      <w:r w:rsidR="005D52DB" w:rsidRPr="00C372E2">
        <w:rPr>
          <w:rFonts w:ascii="Times New Roman" w:hAnsi="Times New Roman" w:cs="Times New Roman"/>
          <w:sz w:val="24"/>
          <w:szCs w:val="24"/>
        </w:rPr>
        <w:t xml:space="preserve"> 87.88</w:t>
      </w:r>
      <w:r w:rsidRPr="00C372E2">
        <w:rPr>
          <w:rFonts w:ascii="Times New Roman" w:hAnsi="Times New Roman" w:cs="Times New Roman"/>
          <w:sz w:val="24"/>
          <w:szCs w:val="24"/>
        </w:rPr>
        <w:t xml:space="preserve">; </w:t>
      </w:r>
      <w:r w:rsidR="005D52DB" w:rsidRPr="00C372E2">
        <w:rPr>
          <w:rFonts w:ascii="Times New Roman" w:hAnsi="Times New Roman" w:cs="Times New Roman"/>
          <w:sz w:val="24"/>
          <w:szCs w:val="24"/>
        </w:rPr>
        <w:t>SD</w:t>
      </w:r>
      <w:r w:rsidRPr="00C372E2">
        <w:rPr>
          <w:rFonts w:ascii="Times New Roman" w:hAnsi="Times New Roman" w:cs="Times New Roman"/>
          <w:sz w:val="24"/>
          <w:szCs w:val="24"/>
        </w:rPr>
        <w:t>,</w:t>
      </w:r>
      <w:r w:rsidR="005D52DB" w:rsidRPr="00C372E2">
        <w:rPr>
          <w:rFonts w:ascii="Times New Roman" w:hAnsi="Times New Roman" w:cs="Times New Roman"/>
          <w:sz w:val="24"/>
          <w:szCs w:val="24"/>
        </w:rPr>
        <w:t xml:space="preserve"> 15.68) </w:t>
      </w:r>
      <w:r w:rsidRPr="00C372E2">
        <w:rPr>
          <w:rFonts w:ascii="Times New Roman" w:hAnsi="Times New Roman" w:cs="Times New Roman"/>
          <w:sz w:val="24"/>
          <w:szCs w:val="24"/>
        </w:rPr>
        <w:t xml:space="preserve">suggests </w:t>
      </w:r>
      <w:r w:rsidR="005D52DB" w:rsidRPr="00C372E2">
        <w:rPr>
          <w:rFonts w:ascii="Times New Roman" w:hAnsi="Times New Roman" w:cs="Times New Roman"/>
          <w:sz w:val="24"/>
          <w:szCs w:val="24"/>
        </w:rPr>
        <w:t>that the performance IQ of this study was lower than the original normative British samples (</w:t>
      </w:r>
      <w:r w:rsidR="002B31FE" w:rsidRPr="00C372E2">
        <w:rPr>
          <w:rFonts w:ascii="Times New Roman" w:hAnsi="Times New Roman" w:cs="Times New Roman"/>
          <w:sz w:val="24"/>
          <w:szCs w:val="24"/>
        </w:rPr>
        <w:t xml:space="preserve">verbal </w:t>
      </w:r>
      <w:r w:rsidR="005D52DB" w:rsidRPr="00C372E2">
        <w:rPr>
          <w:rFonts w:ascii="Times New Roman" w:hAnsi="Times New Roman" w:cs="Times New Roman"/>
          <w:sz w:val="24"/>
          <w:szCs w:val="24"/>
        </w:rPr>
        <w:t>IQ</w:t>
      </w:r>
      <w:r w:rsidR="002B31FE" w:rsidRPr="00C372E2">
        <w:rPr>
          <w:rFonts w:ascii="Times New Roman" w:hAnsi="Times New Roman" w:cs="Times New Roman"/>
          <w:sz w:val="24"/>
          <w:szCs w:val="24"/>
        </w:rPr>
        <w:t>s</w:t>
      </w:r>
      <w:r w:rsidR="005D52DB" w:rsidRPr="00C372E2">
        <w:rPr>
          <w:rFonts w:ascii="Times New Roman" w:hAnsi="Times New Roman" w:cs="Times New Roman"/>
          <w:sz w:val="24"/>
          <w:szCs w:val="24"/>
        </w:rPr>
        <w:t xml:space="preserve"> </w:t>
      </w:r>
      <w:r w:rsidR="002B31FE" w:rsidRPr="00C372E2">
        <w:rPr>
          <w:rFonts w:ascii="Times New Roman" w:hAnsi="Times New Roman" w:cs="Times New Roman"/>
          <w:sz w:val="24"/>
          <w:szCs w:val="24"/>
        </w:rPr>
        <w:t xml:space="preserve">for the two British normative samples, </w:t>
      </w:r>
      <w:r w:rsidR="005D52DB" w:rsidRPr="00C372E2">
        <w:rPr>
          <w:rFonts w:ascii="Times New Roman" w:hAnsi="Times New Roman" w:cs="Times New Roman"/>
          <w:sz w:val="24"/>
          <w:szCs w:val="24"/>
        </w:rPr>
        <w:t xml:space="preserve">tested </w:t>
      </w:r>
      <w:r w:rsidR="002B31FE" w:rsidRPr="00C372E2">
        <w:rPr>
          <w:rFonts w:ascii="Times New Roman" w:hAnsi="Times New Roman" w:cs="Times New Roman"/>
          <w:sz w:val="24"/>
          <w:szCs w:val="24"/>
        </w:rPr>
        <w:t xml:space="preserve">using </w:t>
      </w:r>
      <w:r w:rsidR="005D52DB" w:rsidRPr="00C372E2">
        <w:rPr>
          <w:rFonts w:ascii="Times New Roman" w:hAnsi="Times New Roman" w:cs="Times New Roman"/>
          <w:sz w:val="24"/>
          <w:szCs w:val="24"/>
        </w:rPr>
        <w:t>the National Adult Reading Test</w:t>
      </w:r>
      <w:r w:rsidR="002B31FE" w:rsidRPr="00C372E2">
        <w:rPr>
          <w:rFonts w:ascii="Times New Roman" w:hAnsi="Times New Roman" w:cs="Times New Roman"/>
          <w:sz w:val="24"/>
          <w:szCs w:val="24"/>
        </w:rPr>
        <w:t xml:space="preserve">: </w:t>
      </w:r>
      <w:r w:rsidRPr="00C372E2">
        <w:rPr>
          <w:rFonts w:ascii="Times New Roman" w:hAnsi="Times New Roman" w:cs="Times New Roman"/>
          <w:sz w:val="24"/>
          <w:szCs w:val="24"/>
        </w:rPr>
        <w:t>mean,</w:t>
      </w:r>
      <w:r w:rsidR="005D52DB" w:rsidRPr="00C372E2">
        <w:rPr>
          <w:rFonts w:ascii="Times New Roman" w:hAnsi="Times New Roman" w:cs="Times New Roman"/>
          <w:sz w:val="24"/>
          <w:szCs w:val="24"/>
        </w:rPr>
        <w:t xml:space="preserve"> 109.70, SD</w:t>
      </w:r>
      <w:r w:rsidRPr="00C372E2">
        <w:rPr>
          <w:rFonts w:ascii="Times New Roman" w:hAnsi="Times New Roman" w:cs="Times New Roman"/>
          <w:sz w:val="24"/>
          <w:szCs w:val="24"/>
        </w:rPr>
        <w:t>,</w:t>
      </w:r>
      <w:r w:rsidR="005D52DB" w:rsidRPr="00C372E2">
        <w:rPr>
          <w:rFonts w:ascii="Times New Roman" w:hAnsi="Times New Roman" w:cs="Times New Roman"/>
          <w:sz w:val="24"/>
          <w:szCs w:val="24"/>
        </w:rPr>
        <w:t xml:space="preserve"> 8.50</w:t>
      </w:r>
      <w:r w:rsidR="002B31FE" w:rsidRPr="00C372E2">
        <w:rPr>
          <w:rFonts w:ascii="Times New Roman" w:hAnsi="Times New Roman" w:cs="Times New Roman"/>
          <w:sz w:val="24"/>
          <w:szCs w:val="24"/>
        </w:rPr>
        <w:t>;</w:t>
      </w:r>
      <w:r w:rsidR="005D52DB" w:rsidRPr="00C372E2">
        <w:rPr>
          <w:rFonts w:ascii="Times New Roman" w:hAnsi="Times New Roman" w:cs="Times New Roman"/>
          <w:sz w:val="24"/>
          <w:szCs w:val="24"/>
        </w:rPr>
        <w:t xml:space="preserve"> and </w:t>
      </w:r>
      <w:r w:rsidRPr="00C372E2">
        <w:rPr>
          <w:rFonts w:ascii="Times New Roman" w:hAnsi="Times New Roman" w:cs="Times New Roman"/>
          <w:sz w:val="24"/>
          <w:szCs w:val="24"/>
        </w:rPr>
        <w:t>mean,</w:t>
      </w:r>
      <w:r w:rsidR="005D52DB" w:rsidRPr="00C372E2">
        <w:rPr>
          <w:rFonts w:ascii="Times New Roman" w:hAnsi="Times New Roman" w:cs="Times New Roman"/>
          <w:sz w:val="24"/>
          <w:szCs w:val="24"/>
        </w:rPr>
        <w:t xml:space="preserve"> 110.70, SD 9.30</w:t>
      </w:r>
      <w:r w:rsidR="003A1C58" w:rsidRPr="00C372E2">
        <w:rPr>
          <w:rFonts w:ascii="Times New Roman" w:hAnsi="Times New Roman" w:cs="Times New Roman"/>
          <w:sz w:val="24"/>
          <w:szCs w:val="24"/>
        </w:rPr>
        <w:t xml:space="preserve">; </w:t>
      </w:r>
      <w:r w:rsidR="003060AC" w:rsidRPr="00C372E2">
        <w:rPr>
          <w:rFonts w:ascii="Times New Roman" w:hAnsi="Times New Roman" w:cs="Times New Roman"/>
          <w:noProof/>
          <w:sz w:val="24"/>
          <w:szCs w:val="24"/>
        </w:rPr>
        <w:t>Warrington &amp; James, 1991)</w:t>
      </w:r>
      <w:r w:rsidR="003D108E" w:rsidRPr="00C372E2">
        <w:rPr>
          <w:rFonts w:ascii="Times New Roman" w:hAnsi="Times New Roman" w:cs="Times New Roman"/>
          <w:sz w:val="24"/>
          <w:szCs w:val="24"/>
        </w:rPr>
        <w:t>.</w:t>
      </w:r>
    </w:p>
    <w:p w14:paraId="1B11F340"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b/>
          <w:bCs/>
        </w:rPr>
      </w:pPr>
      <w:r w:rsidRPr="00830212">
        <w:rPr>
          <w:rFonts w:eastAsia="Times New Roman"/>
          <w:b/>
          <w:bCs/>
        </w:rPr>
        <w:t>Table 1</w:t>
      </w:r>
    </w:p>
    <w:p w14:paraId="1AADB04D"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i/>
          <w:iCs/>
        </w:rPr>
      </w:pPr>
      <w:r w:rsidRPr="00830212">
        <w:rPr>
          <w:rFonts w:eastAsia="Times New Roman"/>
          <w:i/>
          <w:iCs/>
        </w:rPr>
        <w:t>Demographic characteristics and binocular visual acuity</w:t>
      </w:r>
    </w:p>
    <w:p w14:paraId="1451297B"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i/>
          <w:iC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0"/>
        <w:gridCol w:w="1633"/>
        <w:gridCol w:w="2127"/>
      </w:tblGrid>
      <w:tr w:rsidR="00830212" w:rsidRPr="00830212" w14:paraId="52415C19" w14:textId="77777777" w:rsidTr="000E1146">
        <w:trPr>
          <w:trHeight w:val="340"/>
        </w:trPr>
        <w:tc>
          <w:tcPr>
            <w:tcW w:w="2263" w:type="dxa"/>
            <w:gridSpan w:val="2"/>
            <w:tcBorders>
              <w:top w:val="single" w:sz="4" w:space="0" w:color="auto"/>
              <w:bottom w:val="single" w:sz="4" w:space="0" w:color="auto"/>
            </w:tcBorders>
            <w:vAlign w:val="center"/>
          </w:tcPr>
          <w:p w14:paraId="08B10D4F"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b/>
                <w:bCs/>
                <w:sz w:val="20"/>
                <w:szCs w:val="20"/>
              </w:rPr>
            </w:pPr>
            <w:r w:rsidRPr="00830212">
              <w:rPr>
                <w:rFonts w:eastAsia="Times New Roman"/>
                <w:b/>
                <w:bCs/>
                <w:sz w:val="20"/>
                <w:szCs w:val="20"/>
              </w:rPr>
              <w:t>Variables</w:t>
            </w:r>
          </w:p>
        </w:tc>
        <w:tc>
          <w:tcPr>
            <w:tcW w:w="2127" w:type="dxa"/>
            <w:tcBorders>
              <w:top w:val="single" w:sz="4" w:space="0" w:color="auto"/>
              <w:bottom w:val="single" w:sz="4" w:space="0" w:color="auto"/>
            </w:tcBorders>
            <w:vAlign w:val="center"/>
          </w:tcPr>
          <w:p w14:paraId="0B5836F7"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b/>
                <w:bCs/>
                <w:sz w:val="20"/>
                <w:szCs w:val="20"/>
              </w:rPr>
            </w:pPr>
            <w:r w:rsidRPr="00830212">
              <w:rPr>
                <w:rFonts w:eastAsia="Times New Roman"/>
                <w:b/>
                <w:bCs/>
                <w:sz w:val="20"/>
                <w:szCs w:val="20"/>
              </w:rPr>
              <w:t>Mean (SD)</w:t>
            </w:r>
          </w:p>
        </w:tc>
      </w:tr>
      <w:tr w:rsidR="00830212" w:rsidRPr="00830212" w14:paraId="6221204A" w14:textId="77777777" w:rsidTr="000E1146">
        <w:trPr>
          <w:trHeight w:val="340"/>
        </w:trPr>
        <w:tc>
          <w:tcPr>
            <w:tcW w:w="2263" w:type="dxa"/>
            <w:gridSpan w:val="2"/>
            <w:tcBorders>
              <w:top w:val="single" w:sz="4" w:space="0" w:color="auto"/>
            </w:tcBorders>
            <w:vAlign w:val="center"/>
          </w:tcPr>
          <w:p w14:paraId="30771807"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r w:rsidRPr="00830212">
              <w:rPr>
                <w:rFonts w:eastAsia="Times New Roman"/>
                <w:sz w:val="20"/>
                <w:szCs w:val="20"/>
              </w:rPr>
              <w:t>Age (years)</w:t>
            </w:r>
          </w:p>
        </w:tc>
        <w:tc>
          <w:tcPr>
            <w:tcW w:w="2127" w:type="dxa"/>
            <w:tcBorders>
              <w:top w:val="single" w:sz="4" w:space="0" w:color="auto"/>
            </w:tcBorders>
            <w:vAlign w:val="center"/>
          </w:tcPr>
          <w:p w14:paraId="63E1A26D"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sz w:val="20"/>
                <w:szCs w:val="20"/>
              </w:rPr>
            </w:pPr>
            <w:r w:rsidRPr="00830212">
              <w:rPr>
                <w:rFonts w:eastAsia="Times New Roman"/>
                <w:sz w:val="20"/>
                <w:szCs w:val="20"/>
              </w:rPr>
              <w:t>59.35 (5.95)</w:t>
            </w:r>
          </w:p>
        </w:tc>
      </w:tr>
      <w:tr w:rsidR="00830212" w:rsidRPr="00830212" w14:paraId="056D78A3" w14:textId="77777777" w:rsidTr="000E1146">
        <w:trPr>
          <w:trHeight w:val="340"/>
        </w:trPr>
        <w:tc>
          <w:tcPr>
            <w:tcW w:w="2263" w:type="dxa"/>
            <w:gridSpan w:val="2"/>
            <w:tcBorders>
              <w:top w:val="single" w:sz="4" w:space="0" w:color="auto"/>
              <w:bottom w:val="single" w:sz="4" w:space="0" w:color="auto"/>
            </w:tcBorders>
            <w:vAlign w:val="center"/>
          </w:tcPr>
          <w:p w14:paraId="2BE097EB"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r w:rsidRPr="00830212">
              <w:rPr>
                <w:rFonts w:eastAsia="Times New Roman"/>
                <w:sz w:val="20"/>
                <w:szCs w:val="20"/>
              </w:rPr>
              <w:t>Gender (male)</w:t>
            </w:r>
          </w:p>
        </w:tc>
        <w:tc>
          <w:tcPr>
            <w:tcW w:w="2127" w:type="dxa"/>
            <w:tcBorders>
              <w:top w:val="single" w:sz="4" w:space="0" w:color="auto"/>
              <w:bottom w:val="single" w:sz="4" w:space="0" w:color="auto"/>
            </w:tcBorders>
            <w:vAlign w:val="center"/>
          </w:tcPr>
          <w:p w14:paraId="6230CE76"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sz w:val="20"/>
                <w:szCs w:val="20"/>
              </w:rPr>
            </w:pPr>
            <w:r w:rsidRPr="00830212">
              <w:rPr>
                <w:rFonts w:eastAsia="Times New Roman"/>
                <w:sz w:val="20"/>
                <w:szCs w:val="20"/>
              </w:rPr>
              <w:t>20 (50.00)*</w:t>
            </w:r>
          </w:p>
        </w:tc>
      </w:tr>
      <w:tr w:rsidR="00830212" w:rsidRPr="00830212" w14:paraId="63A0E34A" w14:textId="77777777" w:rsidTr="000E1146">
        <w:trPr>
          <w:trHeight w:val="340"/>
        </w:trPr>
        <w:tc>
          <w:tcPr>
            <w:tcW w:w="2263" w:type="dxa"/>
            <w:gridSpan w:val="2"/>
            <w:vAlign w:val="center"/>
          </w:tcPr>
          <w:p w14:paraId="53B9AAAE"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r w:rsidRPr="00830212">
              <w:rPr>
                <w:rFonts w:eastAsia="Times New Roman"/>
                <w:sz w:val="20"/>
                <w:szCs w:val="20"/>
              </w:rPr>
              <w:t>Education (years)</w:t>
            </w:r>
          </w:p>
        </w:tc>
        <w:tc>
          <w:tcPr>
            <w:tcW w:w="2127" w:type="dxa"/>
            <w:vAlign w:val="center"/>
          </w:tcPr>
          <w:p w14:paraId="14D5A829"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sz w:val="20"/>
                <w:szCs w:val="20"/>
              </w:rPr>
            </w:pPr>
            <w:r w:rsidRPr="00830212">
              <w:rPr>
                <w:rFonts w:eastAsia="Times New Roman"/>
                <w:sz w:val="20"/>
                <w:szCs w:val="20"/>
              </w:rPr>
              <w:t>10.93 (5.66)</w:t>
            </w:r>
          </w:p>
        </w:tc>
      </w:tr>
      <w:tr w:rsidR="00830212" w:rsidRPr="00830212" w14:paraId="5A890D5D" w14:textId="77777777" w:rsidTr="000E1146">
        <w:trPr>
          <w:trHeight w:val="340"/>
        </w:trPr>
        <w:tc>
          <w:tcPr>
            <w:tcW w:w="2263" w:type="dxa"/>
            <w:gridSpan w:val="2"/>
            <w:tcBorders>
              <w:bottom w:val="single" w:sz="4" w:space="0" w:color="auto"/>
            </w:tcBorders>
            <w:vAlign w:val="center"/>
          </w:tcPr>
          <w:p w14:paraId="2E3C8924"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r w:rsidRPr="00830212">
              <w:rPr>
                <w:rFonts w:eastAsia="Times New Roman"/>
                <w:sz w:val="20"/>
                <w:szCs w:val="20"/>
              </w:rPr>
              <w:t>IQ</w:t>
            </w:r>
          </w:p>
        </w:tc>
        <w:tc>
          <w:tcPr>
            <w:tcW w:w="2127" w:type="dxa"/>
            <w:tcBorders>
              <w:bottom w:val="single" w:sz="4" w:space="0" w:color="auto"/>
            </w:tcBorders>
            <w:vAlign w:val="center"/>
          </w:tcPr>
          <w:p w14:paraId="6365FC33"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sz w:val="20"/>
                <w:szCs w:val="20"/>
              </w:rPr>
            </w:pPr>
            <w:r w:rsidRPr="00830212">
              <w:rPr>
                <w:rFonts w:eastAsia="Times New Roman"/>
                <w:sz w:val="20"/>
                <w:szCs w:val="20"/>
              </w:rPr>
              <w:t>87.88 (15.68)</w:t>
            </w:r>
          </w:p>
        </w:tc>
      </w:tr>
      <w:tr w:rsidR="00830212" w:rsidRPr="00830212" w14:paraId="01433E34" w14:textId="77777777" w:rsidTr="000E1146">
        <w:trPr>
          <w:trHeight w:val="340"/>
        </w:trPr>
        <w:tc>
          <w:tcPr>
            <w:tcW w:w="630" w:type="dxa"/>
            <w:tcBorders>
              <w:top w:val="single" w:sz="4" w:space="0" w:color="auto"/>
              <w:left w:val="nil"/>
              <w:bottom w:val="nil"/>
              <w:right w:val="nil"/>
            </w:tcBorders>
            <w:vAlign w:val="center"/>
          </w:tcPr>
          <w:p w14:paraId="56D284A5"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r w:rsidRPr="00830212">
              <w:rPr>
                <w:rFonts w:eastAsia="Times New Roman"/>
                <w:sz w:val="20"/>
                <w:szCs w:val="20"/>
              </w:rPr>
              <w:t>VA</w:t>
            </w:r>
          </w:p>
        </w:tc>
        <w:tc>
          <w:tcPr>
            <w:tcW w:w="1633" w:type="dxa"/>
            <w:tcBorders>
              <w:top w:val="single" w:sz="4" w:space="0" w:color="auto"/>
              <w:left w:val="nil"/>
              <w:bottom w:val="nil"/>
              <w:right w:val="nil"/>
            </w:tcBorders>
            <w:vAlign w:val="center"/>
          </w:tcPr>
          <w:p w14:paraId="6537A24E"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r w:rsidRPr="00830212">
              <w:rPr>
                <w:rFonts w:eastAsia="Times New Roman"/>
                <w:sz w:val="20"/>
                <w:szCs w:val="20"/>
              </w:rPr>
              <w:t>20/20</w:t>
            </w:r>
          </w:p>
        </w:tc>
        <w:tc>
          <w:tcPr>
            <w:tcW w:w="2127" w:type="dxa"/>
            <w:tcBorders>
              <w:top w:val="single" w:sz="4" w:space="0" w:color="auto"/>
              <w:left w:val="nil"/>
              <w:bottom w:val="nil"/>
              <w:right w:val="nil"/>
            </w:tcBorders>
            <w:vAlign w:val="center"/>
          </w:tcPr>
          <w:p w14:paraId="225A678D"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sz w:val="20"/>
                <w:szCs w:val="20"/>
              </w:rPr>
            </w:pPr>
            <w:r w:rsidRPr="00830212">
              <w:rPr>
                <w:rFonts w:eastAsia="Times New Roman"/>
                <w:sz w:val="20"/>
                <w:szCs w:val="20"/>
              </w:rPr>
              <w:t>15 (37.50)*</w:t>
            </w:r>
          </w:p>
        </w:tc>
      </w:tr>
      <w:tr w:rsidR="00830212" w:rsidRPr="00830212" w14:paraId="4BE4BD91" w14:textId="77777777" w:rsidTr="000E1146">
        <w:trPr>
          <w:trHeight w:val="340"/>
        </w:trPr>
        <w:tc>
          <w:tcPr>
            <w:tcW w:w="630" w:type="dxa"/>
            <w:tcBorders>
              <w:top w:val="nil"/>
              <w:left w:val="nil"/>
              <w:bottom w:val="nil"/>
              <w:right w:val="nil"/>
            </w:tcBorders>
            <w:vAlign w:val="center"/>
          </w:tcPr>
          <w:p w14:paraId="0BB60A4A"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p>
        </w:tc>
        <w:tc>
          <w:tcPr>
            <w:tcW w:w="1633" w:type="dxa"/>
            <w:tcBorders>
              <w:top w:val="nil"/>
              <w:left w:val="nil"/>
              <w:bottom w:val="nil"/>
              <w:right w:val="nil"/>
            </w:tcBorders>
            <w:vAlign w:val="center"/>
          </w:tcPr>
          <w:p w14:paraId="61B5719A"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r w:rsidRPr="00830212">
              <w:rPr>
                <w:rFonts w:eastAsia="Times New Roman"/>
                <w:sz w:val="20"/>
                <w:szCs w:val="20"/>
              </w:rPr>
              <w:t>20/25</w:t>
            </w:r>
          </w:p>
        </w:tc>
        <w:tc>
          <w:tcPr>
            <w:tcW w:w="2127" w:type="dxa"/>
            <w:tcBorders>
              <w:top w:val="nil"/>
              <w:left w:val="nil"/>
              <w:bottom w:val="nil"/>
              <w:right w:val="nil"/>
            </w:tcBorders>
            <w:vAlign w:val="center"/>
          </w:tcPr>
          <w:p w14:paraId="08D4198C"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sz w:val="20"/>
                <w:szCs w:val="20"/>
              </w:rPr>
            </w:pPr>
            <w:r w:rsidRPr="00830212">
              <w:rPr>
                <w:rFonts w:eastAsia="Times New Roman"/>
                <w:sz w:val="20"/>
                <w:szCs w:val="20"/>
              </w:rPr>
              <w:t>15 (37.50)*</w:t>
            </w:r>
          </w:p>
        </w:tc>
      </w:tr>
      <w:tr w:rsidR="00830212" w:rsidRPr="00830212" w14:paraId="480E9A7F" w14:textId="77777777" w:rsidTr="000E1146">
        <w:trPr>
          <w:trHeight w:val="340"/>
        </w:trPr>
        <w:tc>
          <w:tcPr>
            <w:tcW w:w="630" w:type="dxa"/>
            <w:tcBorders>
              <w:top w:val="nil"/>
              <w:left w:val="nil"/>
              <w:bottom w:val="nil"/>
              <w:right w:val="nil"/>
            </w:tcBorders>
            <w:vAlign w:val="center"/>
          </w:tcPr>
          <w:p w14:paraId="214935E0"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p>
        </w:tc>
        <w:tc>
          <w:tcPr>
            <w:tcW w:w="1633" w:type="dxa"/>
            <w:tcBorders>
              <w:top w:val="nil"/>
              <w:left w:val="nil"/>
              <w:bottom w:val="nil"/>
              <w:right w:val="nil"/>
            </w:tcBorders>
            <w:vAlign w:val="center"/>
          </w:tcPr>
          <w:p w14:paraId="10A48FD2"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r w:rsidRPr="00830212">
              <w:rPr>
                <w:rFonts w:eastAsia="Times New Roman"/>
                <w:sz w:val="20"/>
                <w:szCs w:val="20"/>
              </w:rPr>
              <w:t>20/30</w:t>
            </w:r>
          </w:p>
        </w:tc>
        <w:tc>
          <w:tcPr>
            <w:tcW w:w="2127" w:type="dxa"/>
            <w:tcBorders>
              <w:top w:val="nil"/>
              <w:left w:val="nil"/>
              <w:bottom w:val="nil"/>
              <w:right w:val="nil"/>
            </w:tcBorders>
            <w:vAlign w:val="center"/>
          </w:tcPr>
          <w:p w14:paraId="142E1CAB"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sz w:val="20"/>
                <w:szCs w:val="20"/>
              </w:rPr>
            </w:pPr>
            <w:r w:rsidRPr="00830212">
              <w:rPr>
                <w:rFonts w:eastAsia="Times New Roman"/>
                <w:sz w:val="20"/>
                <w:szCs w:val="20"/>
              </w:rPr>
              <w:t>5 (12.50)*</w:t>
            </w:r>
          </w:p>
        </w:tc>
      </w:tr>
      <w:tr w:rsidR="00830212" w:rsidRPr="00830212" w14:paraId="2CAF0F27" w14:textId="77777777" w:rsidTr="000E1146">
        <w:trPr>
          <w:trHeight w:val="340"/>
        </w:trPr>
        <w:tc>
          <w:tcPr>
            <w:tcW w:w="630" w:type="dxa"/>
            <w:tcBorders>
              <w:top w:val="nil"/>
              <w:left w:val="nil"/>
              <w:bottom w:val="nil"/>
              <w:right w:val="nil"/>
            </w:tcBorders>
            <w:vAlign w:val="center"/>
          </w:tcPr>
          <w:p w14:paraId="7349D3D3"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p>
        </w:tc>
        <w:tc>
          <w:tcPr>
            <w:tcW w:w="1633" w:type="dxa"/>
            <w:tcBorders>
              <w:top w:val="nil"/>
              <w:left w:val="nil"/>
              <w:bottom w:val="nil"/>
              <w:right w:val="nil"/>
            </w:tcBorders>
            <w:vAlign w:val="center"/>
          </w:tcPr>
          <w:p w14:paraId="72502FC0"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r w:rsidRPr="00830212">
              <w:rPr>
                <w:rFonts w:eastAsia="Times New Roman"/>
                <w:sz w:val="20"/>
                <w:szCs w:val="20"/>
              </w:rPr>
              <w:t>20/40</w:t>
            </w:r>
          </w:p>
        </w:tc>
        <w:tc>
          <w:tcPr>
            <w:tcW w:w="2127" w:type="dxa"/>
            <w:tcBorders>
              <w:top w:val="nil"/>
              <w:left w:val="nil"/>
              <w:bottom w:val="nil"/>
              <w:right w:val="nil"/>
            </w:tcBorders>
            <w:vAlign w:val="center"/>
          </w:tcPr>
          <w:p w14:paraId="0944BA63"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sz w:val="20"/>
                <w:szCs w:val="20"/>
              </w:rPr>
            </w:pPr>
            <w:r w:rsidRPr="00830212">
              <w:rPr>
                <w:rFonts w:eastAsia="Times New Roman"/>
                <w:sz w:val="20"/>
                <w:szCs w:val="20"/>
              </w:rPr>
              <w:t>3 (7.50)*</w:t>
            </w:r>
          </w:p>
        </w:tc>
      </w:tr>
      <w:tr w:rsidR="00830212" w:rsidRPr="00830212" w14:paraId="0EEA3471" w14:textId="77777777" w:rsidTr="000E1146">
        <w:trPr>
          <w:trHeight w:val="340"/>
        </w:trPr>
        <w:tc>
          <w:tcPr>
            <w:tcW w:w="630" w:type="dxa"/>
            <w:tcBorders>
              <w:top w:val="nil"/>
              <w:left w:val="nil"/>
              <w:bottom w:val="single" w:sz="4" w:space="0" w:color="auto"/>
              <w:right w:val="nil"/>
            </w:tcBorders>
            <w:vAlign w:val="center"/>
          </w:tcPr>
          <w:p w14:paraId="52E524EE"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p>
        </w:tc>
        <w:tc>
          <w:tcPr>
            <w:tcW w:w="1633" w:type="dxa"/>
            <w:tcBorders>
              <w:top w:val="nil"/>
              <w:left w:val="nil"/>
              <w:bottom w:val="single" w:sz="4" w:space="0" w:color="auto"/>
              <w:right w:val="nil"/>
            </w:tcBorders>
            <w:vAlign w:val="center"/>
          </w:tcPr>
          <w:p w14:paraId="3BC6AF87"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r w:rsidRPr="00830212">
              <w:rPr>
                <w:rFonts w:eastAsia="Times New Roman"/>
                <w:sz w:val="20"/>
                <w:szCs w:val="20"/>
              </w:rPr>
              <w:t>20/50</w:t>
            </w:r>
          </w:p>
        </w:tc>
        <w:tc>
          <w:tcPr>
            <w:tcW w:w="2127" w:type="dxa"/>
            <w:tcBorders>
              <w:top w:val="nil"/>
              <w:left w:val="nil"/>
              <w:bottom w:val="single" w:sz="4" w:space="0" w:color="auto"/>
              <w:right w:val="nil"/>
            </w:tcBorders>
            <w:vAlign w:val="center"/>
          </w:tcPr>
          <w:p w14:paraId="5048AB8E"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center"/>
              <w:rPr>
                <w:rFonts w:eastAsia="Times New Roman"/>
                <w:sz w:val="20"/>
                <w:szCs w:val="20"/>
              </w:rPr>
            </w:pPr>
            <w:r w:rsidRPr="00830212">
              <w:rPr>
                <w:rFonts w:eastAsia="Times New Roman"/>
                <w:sz w:val="20"/>
                <w:szCs w:val="20"/>
              </w:rPr>
              <w:t>2 (5.00)*</w:t>
            </w:r>
          </w:p>
        </w:tc>
      </w:tr>
    </w:tbl>
    <w:p w14:paraId="76AA4C75" w14:textId="0656F950" w:rsid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r w:rsidRPr="00830212">
        <w:rPr>
          <w:rFonts w:eastAsia="Times New Roman"/>
          <w:i/>
          <w:iCs/>
          <w:sz w:val="20"/>
          <w:szCs w:val="20"/>
        </w:rPr>
        <w:t xml:space="preserve">Note. </w:t>
      </w:r>
      <w:r w:rsidRPr="00830212">
        <w:rPr>
          <w:rFonts w:eastAsia="Times New Roman"/>
          <w:sz w:val="20"/>
          <w:szCs w:val="20"/>
          <w:vertAlign w:val="superscript"/>
        </w:rPr>
        <w:t>*</w:t>
      </w:r>
      <w:r w:rsidRPr="00830212">
        <w:rPr>
          <w:rFonts w:eastAsia="Times New Roman"/>
          <w:sz w:val="20"/>
          <w:szCs w:val="20"/>
          <w:cs/>
        </w:rPr>
        <w:t xml:space="preserve"> </w:t>
      </w:r>
      <w:r w:rsidRPr="00830212">
        <w:rPr>
          <w:rFonts w:eastAsia="Times New Roman"/>
          <w:sz w:val="20"/>
          <w:szCs w:val="20"/>
        </w:rPr>
        <w:t xml:space="preserve">Number (percent) data are shown. SD, standard deviation; </w:t>
      </w:r>
      <w:bookmarkStart w:id="5" w:name="_Hlk36062714"/>
      <w:r w:rsidRPr="00830212">
        <w:rPr>
          <w:rFonts w:eastAsia="Times New Roman"/>
          <w:sz w:val="20"/>
          <w:szCs w:val="20"/>
        </w:rPr>
        <w:t>IQ, intelligence quotient; VA, visual acuity.</w:t>
      </w:r>
      <w:bookmarkEnd w:id="5"/>
    </w:p>
    <w:p w14:paraId="51A71C3F" w14:textId="77777777" w:rsidR="00830212" w:rsidRPr="00830212" w:rsidRDefault="00830212" w:rsidP="00830212">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p>
    <w:p w14:paraId="17274356" w14:textId="2A56D6C9" w:rsidR="00C84EF3" w:rsidRDefault="00A25884" w:rsidP="00830212">
      <w:pPr>
        <w:pStyle w:val="HTMLPreformatted"/>
        <w:spacing w:after="360" w:line="360" w:lineRule="auto"/>
        <w:rPr>
          <w:rFonts w:ascii="Times New Roman" w:hAnsi="Times New Roman" w:cs="Times New Roman"/>
          <w:sz w:val="24"/>
          <w:szCs w:val="24"/>
        </w:rPr>
        <w:sectPr w:rsidR="00C84EF3" w:rsidSect="006A1817">
          <w:pgSz w:w="11906" w:h="16838" w:code="9"/>
          <w:pgMar w:top="1440" w:right="1440" w:bottom="1440" w:left="1440" w:header="720" w:footer="720" w:gutter="0"/>
          <w:cols w:space="720"/>
          <w:docGrid w:linePitch="360"/>
        </w:sectPr>
      </w:pPr>
      <w:r w:rsidRPr="00C372E2">
        <w:rPr>
          <w:rFonts w:ascii="Times New Roman" w:hAnsi="Times New Roman" w:cs="Times New Roman"/>
          <w:sz w:val="24"/>
          <w:szCs w:val="24"/>
        </w:rPr>
        <w:t>A comparison of t</w:t>
      </w:r>
      <w:r w:rsidR="000E0E72" w:rsidRPr="00C372E2">
        <w:rPr>
          <w:rFonts w:ascii="Times New Roman" w:hAnsi="Times New Roman" w:cs="Times New Roman"/>
          <w:sz w:val="24"/>
          <w:szCs w:val="24"/>
        </w:rPr>
        <w:t xml:space="preserve">he descriptive statistics </w:t>
      </w:r>
      <w:r w:rsidRPr="00C372E2">
        <w:rPr>
          <w:rFonts w:ascii="Times New Roman" w:hAnsi="Times New Roman" w:cs="Times New Roman"/>
          <w:sz w:val="24"/>
          <w:szCs w:val="24"/>
        </w:rPr>
        <w:t xml:space="preserve">relating to the </w:t>
      </w:r>
      <w:r w:rsidR="000E0E72" w:rsidRPr="00C372E2">
        <w:rPr>
          <w:rFonts w:ascii="Times New Roman" w:hAnsi="Times New Roman" w:cs="Times New Roman"/>
          <w:sz w:val="24"/>
          <w:szCs w:val="24"/>
        </w:rPr>
        <w:t>Thai VOSP subtest score</w:t>
      </w:r>
      <w:r w:rsidR="003D108E" w:rsidRPr="00C372E2">
        <w:rPr>
          <w:rFonts w:ascii="Times New Roman" w:hAnsi="Times New Roman" w:cs="Times New Roman"/>
          <w:sz w:val="24"/>
          <w:szCs w:val="24"/>
        </w:rPr>
        <w:t>s</w:t>
      </w:r>
      <w:r w:rsidR="000E0E72" w:rsidRPr="00C372E2">
        <w:rPr>
          <w:rFonts w:ascii="Times New Roman" w:hAnsi="Times New Roman" w:cs="Times New Roman"/>
          <w:sz w:val="24"/>
          <w:szCs w:val="24"/>
        </w:rPr>
        <w:t xml:space="preserve"> </w:t>
      </w:r>
      <w:r w:rsidRPr="00C372E2">
        <w:rPr>
          <w:rFonts w:ascii="Times New Roman" w:hAnsi="Times New Roman" w:cs="Times New Roman"/>
          <w:sz w:val="24"/>
          <w:szCs w:val="24"/>
        </w:rPr>
        <w:t xml:space="preserve"> and the </w:t>
      </w:r>
      <w:r w:rsidR="00327ED9" w:rsidRPr="00C372E2">
        <w:rPr>
          <w:rFonts w:ascii="Times New Roman" w:hAnsi="Times New Roman" w:cs="Times New Roman"/>
          <w:sz w:val="24"/>
          <w:szCs w:val="24"/>
        </w:rPr>
        <w:t>British</w:t>
      </w:r>
      <w:r w:rsidR="00D13C0D" w:rsidRPr="00C372E2">
        <w:rPr>
          <w:rFonts w:ascii="Times New Roman" w:hAnsi="Times New Roman" w:cs="Times New Roman"/>
          <w:sz w:val="24"/>
          <w:szCs w:val="24"/>
        </w:rPr>
        <w:t xml:space="preserve"> </w:t>
      </w:r>
      <w:r w:rsidR="003060AC" w:rsidRPr="00C372E2">
        <w:rPr>
          <w:rFonts w:ascii="Times New Roman" w:hAnsi="Times New Roman" w:cs="Times New Roman"/>
          <w:noProof/>
          <w:sz w:val="24"/>
          <w:szCs w:val="24"/>
        </w:rPr>
        <w:t>(Warrington &amp; James, 1991)</w:t>
      </w:r>
      <w:r w:rsidR="00327ED9" w:rsidRPr="00C372E2">
        <w:rPr>
          <w:rFonts w:ascii="Times New Roman" w:hAnsi="Times New Roman" w:cs="Times New Roman"/>
          <w:sz w:val="24"/>
          <w:szCs w:val="24"/>
        </w:rPr>
        <w:t>, American</w:t>
      </w:r>
      <w:r w:rsidR="00D13C0D" w:rsidRPr="00C372E2">
        <w:rPr>
          <w:rFonts w:ascii="Times New Roman" w:hAnsi="Times New Roman" w:cs="Times New Roman"/>
          <w:sz w:val="24"/>
          <w:szCs w:val="24"/>
        </w:rPr>
        <w:t xml:space="preserve"> </w:t>
      </w:r>
      <w:r w:rsidR="003060AC" w:rsidRPr="00C372E2">
        <w:rPr>
          <w:rFonts w:ascii="Times New Roman" w:hAnsi="Times New Roman" w:cs="Times New Roman"/>
          <w:noProof/>
          <w:sz w:val="24"/>
          <w:szCs w:val="24"/>
        </w:rPr>
        <w:t>(Bonello et al., 1997)</w:t>
      </w:r>
      <w:r w:rsidRPr="00C372E2">
        <w:rPr>
          <w:rFonts w:ascii="Times New Roman" w:hAnsi="Times New Roman" w:cs="Times New Roman"/>
          <w:noProof/>
          <w:sz w:val="24"/>
          <w:szCs w:val="24"/>
        </w:rPr>
        <w:t>,</w:t>
      </w:r>
      <w:r w:rsidR="00327ED9" w:rsidRPr="00C372E2">
        <w:rPr>
          <w:rFonts w:ascii="Times New Roman" w:hAnsi="Times New Roman" w:cs="Times New Roman"/>
          <w:sz w:val="24"/>
          <w:szCs w:val="24"/>
        </w:rPr>
        <w:t xml:space="preserve"> and Spanish</w:t>
      </w:r>
      <w:r w:rsidR="00D13C0D" w:rsidRPr="00C372E2">
        <w:rPr>
          <w:rFonts w:ascii="Times New Roman" w:hAnsi="Times New Roman" w:cs="Times New Roman"/>
          <w:sz w:val="24"/>
          <w:szCs w:val="24"/>
        </w:rPr>
        <w:t xml:space="preserve"> </w:t>
      </w:r>
      <w:r w:rsidR="003060AC" w:rsidRPr="00C372E2">
        <w:rPr>
          <w:rFonts w:ascii="Times New Roman" w:hAnsi="Times New Roman" w:cs="Times New Roman"/>
          <w:noProof/>
          <w:sz w:val="24"/>
          <w:szCs w:val="24"/>
        </w:rPr>
        <w:t>(Herrera-Guzmán et al., 2004)</w:t>
      </w:r>
      <w:r w:rsidR="00327ED9" w:rsidRPr="00C372E2">
        <w:rPr>
          <w:rFonts w:ascii="Times New Roman" w:hAnsi="Times New Roman" w:cs="Times New Roman"/>
          <w:sz w:val="24"/>
          <w:szCs w:val="24"/>
        </w:rPr>
        <w:t xml:space="preserve"> normative data</w:t>
      </w:r>
      <w:r w:rsidR="000E0E72" w:rsidRPr="00C372E2">
        <w:rPr>
          <w:rFonts w:ascii="Times New Roman" w:hAnsi="Times New Roman" w:cs="Times New Roman"/>
          <w:sz w:val="24"/>
          <w:szCs w:val="24"/>
        </w:rPr>
        <w:t xml:space="preserve"> </w:t>
      </w:r>
      <w:r w:rsidRPr="00C372E2">
        <w:rPr>
          <w:rFonts w:ascii="Times New Roman" w:hAnsi="Times New Roman" w:cs="Times New Roman"/>
          <w:sz w:val="24"/>
          <w:szCs w:val="24"/>
        </w:rPr>
        <w:t>is</w:t>
      </w:r>
      <w:r w:rsidR="002B31FE" w:rsidRPr="00C372E2">
        <w:rPr>
          <w:rFonts w:ascii="Times New Roman" w:hAnsi="Times New Roman" w:cs="Times New Roman"/>
          <w:sz w:val="24"/>
          <w:szCs w:val="24"/>
        </w:rPr>
        <w:t xml:space="preserve"> detailed </w:t>
      </w:r>
      <w:r w:rsidR="000E0E72" w:rsidRPr="00C372E2">
        <w:rPr>
          <w:rFonts w:ascii="Times New Roman" w:hAnsi="Times New Roman" w:cs="Times New Roman"/>
          <w:sz w:val="24"/>
          <w:szCs w:val="24"/>
        </w:rPr>
        <w:t>in Table 2.</w:t>
      </w:r>
      <w:r w:rsidR="00327ED9" w:rsidRPr="00C372E2">
        <w:rPr>
          <w:rFonts w:ascii="Times New Roman" w:hAnsi="Times New Roman" w:cs="Times New Roman"/>
          <w:sz w:val="24"/>
          <w:szCs w:val="24"/>
        </w:rPr>
        <w:t xml:space="preserve"> </w:t>
      </w:r>
      <w:r w:rsidRPr="00C372E2">
        <w:rPr>
          <w:rFonts w:ascii="Times New Roman" w:hAnsi="Times New Roman" w:cs="Times New Roman"/>
          <w:sz w:val="24"/>
          <w:szCs w:val="24"/>
        </w:rPr>
        <w:t xml:space="preserve">The </w:t>
      </w:r>
      <w:r w:rsidR="002D1C05" w:rsidRPr="00C372E2">
        <w:rPr>
          <w:rFonts w:ascii="Times New Roman" w:hAnsi="Times New Roman" w:cs="Times New Roman"/>
          <w:sz w:val="24"/>
          <w:szCs w:val="24"/>
        </w:rPr>
        <w:t>Silhouettes, Object Decision</w:t>
      </w:r>
      <w:r w:rsidRPr="00C372E2">
        <w:rPr>
          <w:rFonts w:ascii="Times New Roman" w:hAnsi="Times New Roman" w:cs="Times New Roman"/>
          <w:sz w:val="24"/>
          <w:szCs w:val="24"/>
        </w:rPr>
        <w:t>,</w:t>
      </w:r>
      <w:r w:rsidR="002D1C05" w:rsidRPr="00C372E2">
        <w:rPr>
          <w:rFonts w:ascii="Times New Roman" w:hAnsi="Times New Roman" w:cs="Times New Roman"/>
          <w:sz w:val="24"/>
          <w:szCs w:val="24"/>
        </w:rPr>
        <w:t xml:space="preserve"> and Progressive Silhouettes subtests had high amount</w:t>
      </w:r>
      <w:r w:rsidRPr="00C372E2">
        <w:rPr>
          <w:rFonts w:ascii="Times New Roman" w:hAnsi="Times New Roman" w:cs="Times New Roman"/>
          <w:sz w:val="24"/>
          <w:szCs w:val="24"/>
        </w:rPr>
        <w:t>s</w:t>
      </w:r>
      <w:r w:rsidR="002D1C05" w:rsidRPr="00C372E2">
        <w:rPr>
          <w:rFonts w:ascii="Times New Roman" w:hAnsi="Times New Roman" w:cs="Times New Roman"/>
          <w:sz w:val="24"/>
          <w:szCs w:val="24"/>
        </w:rPr>
        <w:t xml:space="preserve"> of score dispersion</w:t>
      </w:r>
      <w:r w:rsidRPr="00C372E2">
        <w:rPr>
          <w:rFonts w:ascii="Times New Roman" w:hAnsi="Times New Roman" w:cs="Times New Roman"/>
          <w:sz w:val="24"/>
          <w:szCs w:val="24"/>
        </w:rPr>
        <w:t>,</w:t>
      </w:r>
      <w:r w:rsidR="002D1C05" w:rsidRPr="00C372E2">
        <w:rPr>
          <w:rFonts w:ascii="Times New Roman" w:hAnsi="Times New Roman" w:cs="Times New Roman"/>
          <w:sz w:val="24"/>
          <w:szCs w:val="24"/>
        </w:rPr>
        <w:t xml:space="preserve"> as indicated by </w:t>
      </w:r>
      <w:r w:rsidRPr="00C372E2">
        <w:rPr>
          <w:rFonts w:ascii="Times New Roman" w:hAnsi="Times New Roman" w:cs="Times New Roman"/>
          <w:sz w:val="24"/>
          <w:szCs w:val="24"/>
        </w:rPr>
        <w:t xml:space="preserve">their </w:t>
      </w:r>
      <w:r w:rsidR="002D1C05" w:rsidRPr="00C372E2">
        <w:rPr>
          <w:rFonts w:ascii="Times New Roman" w:hAnsi="Times New Roman" w:cs="Times New Roman"/>
          <w:sz w:val="24"/>
          <w:szCs w:val="24"/>
        </w:rPr>
        <w:t>high standard deviation values</w:t>
      </w:r>
      <w:r w:rsidRPr="00C372E2">
        <w:rPr>
          <w:rFonts w:ascii="Times New Roman" w:hAnsi="Times New Roman" w:cs="Times New Roman"/>
          <w:sz w:val="24"/>
          <w:szCs w:val="24"/>
        </w:rPr>
        <w:t>; this was in</w:t>
      </w:r>
      <w:r w:rsidR="002D1C05" w:rsidRPr="00C372E2">
        <w:rPr>
          <w:rFonts w:ascii="Times New Roman" w:hAnsi="Times New Roman" w:cs="Times New Roman"/>
          <w:sz w:val="24"/>
          <w:szCs w:val="24"/>
        </w:rPr>
        <w:t xml:space="preserve"> contrast to the</w:t>
      </w:r>
      <w:r w:rsidRPr="00C372E2">
        <w:rPr>
          <w:rFonts w:ascii="Times New Roman" w:hAnsi="Times New Roman" w:cs="Times New Roman"/>
          <w:sz w:val="24"/>
          <w:szCs w:val="24"/>
        </w:rPr>
        <w:t xml:space="preserve"> results for the</w:t>
      </w:r>
      <w:r w:rsidR="002D1C05" w:rsidRPr="00C372E2">
        <w:rPr>
          <w:rFonts w:ascii="Times New Roman" w:hAnsi="Times New Roman" w:cs="Times New Roman"/>
          <w:sz w:val="24"/>
          <w:szCs w:val="24"/>
        </w:rPr>
        <w:t xml:space="preserve"> other VOSP subtests. </w:t>
      </w:r>
      <w:r w:rsidRPr="00C372E2">
        <w:rPr>
          <w:rFonts w:ascii="Times New Roman" w:hAnsi="Times New Roman" w:cs="Times New Roman"/>
          <w:sz w:val="24"/>
          <w:szCs w:val="24"/>
        </w:rPr>
        <w:t>The c</w:t>
      </w:r>
      <w:r w:rsidR="008C09CD" w:rsidRPr="00C372E2">
        <w:rPr>
          <w:rFonts w:ascii="Times New Roman" w:hAnsi="Times New Roman" w:cs="Times New Roman"/>
          <w:sz w:val="24"/>
          <w:szCs w:val="24"/>
        </w:rPr>
        <w:t>haracteristic</w:t>
      </w:r>
      <w:r w:rsidR="00CE70A0" w:rsidRPr="00C372E2">
        <w:rPr>
          <w:rFonts w:ascii="Times New Roman" w:hAnsi="Times New Roman" w:cs="Times New Roman"/>
          <w:sz w:val="24"/>
          <w:szCs w:val="24"/>
        </w:rPr>
        <w:t>s</w:t>
      </w:r>
      <w:r w:rsidR="008C09CD" w:rsidRPr="00C372E2">
        <w:rPr>
          <w:rFonts w:ascii="Times New Roman" w:hAnsi="Times New Roman" w:cs="Times New Roman"/>
          <w:sz w:val="24"/>
          <w:szCs w:val="24"/>
        </w:rPr>
        <w:t xml:space="preserve"> of</w:t>
      </w:r>
      <w:r w:rsidR="00327ED9" w:rsidRPr="00C372E2">
        <w:rPr>
          <w:rFonts w:ascii="Times New Roman" w:hAnsi="Times New Roman" w:cs="Times New Roman"/>
          <w:sz w:val="24"/>
          <w:szCs w:val="24"/>
        </w:rPr>
        <w:t xml:space="preserve"> </w:t>
      </w:r>
      <w:r w:rsidR="008C09CD" w:rsidRPr="00C372E2">
        <w:rPr>
          <w:rFonts w:ascii="Times New Roman" w:hAnsi="Times New Roman" w:cs="Times New Roman"/>
          <w:sz w:val="24"/>
          <w:szCs w:val="24"/>
        </w:rPr>
        <w:t xml:space="preserve">the </w:t>
      </w:r>
      <w:r w:rsidR="00327ED9" w:rsidRPr="00C372E2">
        <w:rPr>
          <w:rFonts w:ascii="Times New Roman" w:hAnsi="Times New Roman" w:cs="Times New Roman"/>
          <w:sz w:val="24"/>
          <w:szCs w:val="24"/>
        </w:rPr>
        <w:t>Thai VOSP subtest</w:t>
      </w:r>
      <w:r w:rsidR="003D108E" w:rsidRPr="00C372E2">
        <w:rPr>
          <w:rFonts w:ascii="Times New Roman" w:hAnsi="Times New Roman" w:cs="Times New Roman"/>
          <w:sz w:val="24"/>
          <w:szCs w:val="24"/>
        </w:rPr>
        <w:t xml:space="preserve"> score</w:t>
      </w:r>
      <w:r w:rsidR="00CE70A0" w:rsidRPr="00C372E2">
        <w:rPr>
          <w:rFonts w:ascii="Times New Roman" w:hAnsi="Times New Roman" w:cs="Times New Roman"/>
          <w:sz w:val="24"/>
          <w:szCs w:val="24"/>
        </w:rPr>
        <w:t>s</w:t>
      </w:r>
      <w:r w:rsidR="00327ED9" w:rsidRPr="00C372E2">
        <w:rPr>
          <w:rFonts w:ascii="Times New Roman" w:hAnsi="Times New Roman" w:cs="Times New Roman"/>
          <w:sz w:val="24"/>
          <w:szCs w:val="24"/>
        </w:rPr>
        <w:t xml:space="preserve"> were</w:t>
      </w:r>
      <w:r w:rsidR="00327ED9" w:rsidRPr="00C372E2">
        <w:rPr>
          <w:rFonts w:ascii="Times New Roman" w:hAnsi="Times New Roman" w:cs="Times New Roman"/>
          <w:sz w:val="24"/>
          <w:szCs w:val="24"/>
          <w:cs/>
        </w:rPr>
        <w:t xml:space="preserve"> </w:t>
      </w:r>
      <w:bookmarkStart w:id="6" w:name="_Hlk38806573"/>
      <w:r w:rsidRPr="00C372E2">
        <w:rPr>
          <w:rFonts w:ascii="Times New Roman" w:hAnsi="Times New Roman" w:cs="Times New Roman"/>
          <w:sz w:val="24"/>
          <w:szCs w:val="24"/>
        </w:rPr>
        <w:t xml:space="preserve">comparable </w:t>
      </w:r>
      <w:r w:rsidR="00327ED9" w:rsidRPr="00C372E2">
        <w:rPr>
          <w:rFonts w:ascii="Times New Roman" w:hAnsi="Times New Roman" w:cs="Times New Roman"/>
          <w:sz w:val="24"/>
          <w:szCs w:val="24"/>
        </w:rPr>
        <w:t>with the other national normative data</w:t>
      </w:r>
      <w:r w:rsidRPr="00C372E2">
        <w:rPr>
          <w:rFonts w:ascii="Times New Roman" w:hAnsi="Times New Roman" w:cs="Times New Roman"/>
          <w:sz w:val="24"/>
          <w:szCs w:val="24"/>
        </w:rPr>
        <w:t>,</w:t>
      </w:r>
      <w:r w:rsidR="00327ED9" w:rsidRPr="00C372E2">
        <w:rPr>
          <w:rFonts w:ascii="Times New Roman" w:hAnsi="Times New Roman" w:cs="Times New Roman"/>
          <w:sz w:val="24"/>
          <w:szCs w:val="24"/>
        </w:rPr>
        <w:t xml:space="preserve"> </w:t>
      </w:r>
      <w:bookmarkEnd w:id="6"/>
      <w:r w:rsidR="00327ED9" w:rsidRPr="00C372E2">
        <w:rPr>
          <w:rFonts w:ascii="Times New Roman" w:hAnsi="Times New Roman" w:cs="Times New Roman"/>
          <w:sz w:val="24"/>
          <w:szCs w:val="24"/>
        </w:rPr>
        <w:t>except for</w:t>
      </w:r>
      <w:r w:rsidR="00CF4BA1" w:rsidRPr="00C372E2">
        <w:rPr>
          <w:rFonts w:ascii="Times New Roman" w:hAnsi="Times New Roman" w:cs="Times New Roman"/>
          <w:sz w:val="24"/>
          <w:szCs w:val="24"/>
        </w:rPr>
        <w:t xml:space="preserve"> the</w:t>
      </w:r>
      <w:r w:rsidR="00327ED9" w:rsidRPr="00C372E2">
        <w:rPr>
          <w:rFonts w:ascii="Times New Roman" w:hAnsi="Times New Roman" w:cs="Times New Roman"/>
          <w:sz w:val="24"/>
          <w:szCs w:val="24"/>
        </w:rPr>
        <w:t xml:space="preserve"> Silhouettes</w:t>
      </w:r>
      <w:r w:rsidR="0030439A" w:rsidRPr="00C372E2">
        <w:rPr>
          <w:rFonts w:ascii="Times New Roman" w:hAnsi="Times New Roman" w:cs="Times New Roman"/>
          <w:sz w:val="24"/>
          <w:szCs w:val="24"/>
        </w:rPr>
        <w:t xml:space="preserve"> and</w:t>
      </w:r>
      <w:r w:rsidR="00327ED9" w:rsidRPr="00C372E2">
        <w:rPr>
          <w:rFonts w:ascii="Times New Roman" w:hAnsi="Times New Roman" w:cs="Times New Roman"/>
          <w:sz w:val="24"/>
          <w:szCs w:val="24"/>
        </w:rPr>
        <w:t xml:space="preserve"> Object Decision subtests.</w:t>
      </w:r>
      <w:r w:rsidR="00840784" w:rsidRPr="00C372E2">
        <w:rPr>
          <w:rFonts w:ascii="Times New Roman" w:hAnsi="Times New Roman" w:cs="Times New Roman"/>
          <w:sz w:val="24"/>
          <w:szCs w:val="24"/>
          <w:cs/>
        </w:rPr>
        <w:t xml:space="preserve"> </w:t>
      </w:r>
      <w:r w:rsidR="00C31A6B" w:rsidRPr="00C372E2">
        <w:rPr>
          <w:rFonts w:ascii="Times New Roman" w:hAnsi="Times New Roman" w:cs="Times New Roman"/>
          <w:sz w:val="24"/>
          <w:szCs w:val="24"/>
        </w:rPr>
        <w:t xml:space="preserve">The </w:t>
      </w:r>
      <w:r w:rsidR="00A0131A" w:rsidRPr="00C372E2">
        <w:rPr>
          <w:rFonts w:ascii="Times New Roman" w:hAnsi="Times New Roman" w:cs="Times New Roman"/>
          <w:sz w:val="24"/>
          <w:szCs w:val="24"/>
        </w:rPr>
        <w:t>fifth</w:t>
      </w:r>
      <w:r w:rsidR="00C31A6B" w:rsidRPr="00C372E2">
        <w:rPr>
          <w:rFonts w:ascii="Times New Roman" w:hAnsi="Times New Roman" w:cs="Times New Roman"/>
          <w:sz w:val="24"/>
          <w:szCs w:val="24"/>
        </w:rPr>
        <w:t xml:space="preserve"> percentile cut-off score of </w:t>
      </w:r>
      <w:r w:rsidR="00CF4BA1" w:rsidRPr="00C372E2">
        <w:rPr>
          <w:rFonts w:ascii="Times New Roman" w:hAnsi="Times New Roman" w:cs="Times New Roman"/>
          <w:sz w:val="24"/>
          <w:szCs w:val="24"/>
        </w:rPr>
        <w:t xml:space="preserve">the </w:t>
      </w:r>
      <w:r w:rsidR="00C31A6B" w:rsidRPr="00C372E2">
        <w:rPr>
          <w:rFonts w:ascii="Times New Roman" w:hAnsi="Times New Roman" w:cs="Times New Roman"/>
          <w:sz w:val="24"/>
          <w:szCs w:val="24"/>
        </w:rPr>
        <w:t xml:space="preserve">Progressive Silhouettes subtest was higher than the mean because </w:t>
      </w:r>
      <w:r w:rsidR="00CF4BA1" w:rsidRPr="00C372E2">
        <w:rPr>
          <w:rFonts w:ascii="Times New Roman" w:hAnsi="Times New Roman" w:cs="Times New Roman"/>
          <w:sz w:val="24"/>
          <w:szCs w:val="24"/>
        </w:rPr>
        <w:t xml:space="preserve">the </w:t>
      </w:r>
      <w:r w:rsidR="00C31A6B" w:rsidRPr="00C372E2">
        <w:rPr>
          <w:rFonts w:ascii="Times New Roman" w:hAnsi="Times New Roman" w:cs="Times New Roman"/>
          <w:sz w:val="24"/>
          <w:szCs w:val="24"/>
        </w:rPr>
        <w:t xml:space="preserve">lower score </w:t>
      </w:r>
      <w:r w:rsidR="00CF4BA1" w:rsidRPr="00C372E2">
        <w:rPr>
          <w:rFonts w:ascii="Times New Roman" w:hAnsi="Times New Roman" w:cs="Times New Roman"/>
          <w:sz w:val="24"/>
          <w:szCs w:val="24"/>
        </w:rPr>
        <w:t xml:space="preserve">for </w:t>
      </w:r>
      <w:r w:rsidR="00C31A6B" w:rsidRPr="00C372E2">
        <w:rPr>
          <w:rFonts w:ascii="Times New Roman" w:hAnsi="Times New Roman" w:cs="Times New Roman"/>
          <w:sz w:val="24"/>
          <w:szCs w:val="24"/>
        </w:rPr>
        <w:t>this subtest reflect</w:t>
      </w:r>
      <w:r w:rsidR="00CF4BA1" w:rsidRPr="00C372E2">
        <w:rPr>
          <w:rFonts w:ascii="Times New Roman" w:hAnsi="Times New Roman" w:cs="Times New Roman"/>
          <w:sz w:val="24"/>
          <w:szCs w:val="24"/>
        </w:rPr>
        <w:t>ed a</w:t>
      </w:r>
      <w:r w:rsidR="00C31A6B" w:rsidRPr="00C372E2">
        <w:rPr>
          <w:rFonts w:ascii="Times New Roman" w:hAnsi="Times New Roman" w:cs="Times New Roman"/>
          <w:sz w:val="24"/>
          <w:szCs w:val="24"/>
        </w:rPr>
        <w:t xml:space="preserve"> higher performance</w:t>
      </w:r>
    </w:p>
    <w:p w14:paraId="00E341DF" w14:textId="77777777" w:rsidR="00C84EF3" w:rsidRPr="00C84EF3" w:rsidRDefault="00C84EF3" w:rsidP="00C84EF3">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b/>
          <w:bCs/>
          <w:i/>
          <w:iCs/>
        </w:rPr>
      </w:pPr>
      <w:r w:rsidRPr="00C84EF3">
        <w:rPr>
          <w:rFonts w:eastAsia="Times New Roman"/>
          <w:b/>
          <w:bCs/>
        </w:rPr>
        <w:lastRenderedPageBreak/>
        <w:t>Table 2</w:t>
      </w:r>
    </w:p>
    <w:p w14:paraId="2962B08D" w14:textId="77777777" w:rsidR="00C84EF3" w:rsidRPr="00C84EF3" w:rsidRDefault="00C84EF3" w:rsidP="00C84EF3">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i/>
          <w:iCs/>
        </w:rPr>
      </w:pPr>
      <w:r w:rsidRPr="00C84EF3">
        <w:rPr>
          <w:rFonts w:eastAsia="Times New Roman"/>
          <w:i/>
          <w:iCs/>
        </w:rPr>
        <w:t>Descriptive statistics for each VOSP subtest scores comparing to British, American, and Spanish normative data</w:t>
      </w:r>
    </w:p>
    <w:p w14:paraId="4A1BCEF7" w14:textId="77777777" w:rsidR="00C84EF3" w:rsidRPr="00C84EF3" w:rsidRDefault="00C84EF3" w:rsidP="00C84EF3">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rPr>
      </w:pPr>
    </w:p>
    <w:tbl>
      <w:tblPr>
        <w:tblStyle w:val="TableGrid"/>
        <w:tblW w:w="0" w:type="auto"/>
        <w:jc w:val="center"/>
        <w:tblLayout w:type="fixed"/>
        <w:tblLook w:val="04A0" w:firstRow="1" w:lastRow="0" w:firstColumn="1" w:lastColumn="0" w:noHBand="0" w:noVBand="1"/>
      </w:tblPr>
      <w:tblGrid>
        <w:gridCol w:w="2835"/>
        <w:gridCol w:w="1020"/>
        <w:gridCol w:w="1474"/>
        <w:gridCol w:w="1644"/>
        <w:gridCol w:w="1361"/>
        <w:gridCol w:w="1247"/>
        <w:gridCol w:w="1361"/>
        <w:gridCol w:w="1644"/>
        <w:gridCol w:w="1474"/>
      </w:tblGrid>
      <w:tr w:rsidR="00C84EF3" w:rsidRPr="00C84EF3" w14:paraId="1BC98F6D" w14:textId="77777777" w:rsidTr="000E1146">
        <w:trPr>
          <w:trHeight w:val="624"/>
          <w:jc w:val="center"/>
        </w:trPr>
        <w:tc>
          <w:tcPr>
            <w:tcW w:w="2835" w:type="dxa"/>
            <w:tcBorders>
              <w:top w:val="single" w:sz="4" w:space="0" w:color="auto"/>
              <w:left w:val="nil"/>
              <w:bottom w:val="single" w:sz="4" w:space="0" w:color="auto"/>
              <w:right w:val="single" w:sz="4" w:space="0" w:color="auto"/>
            </w:tcBorders>
          </w:tcPr>
          <w:p w14:paraId="27DFB27C" w14:textId="77777777" w:rsidR="00C84EF3" w:rsidRPr="00C84EF3" w:rsidRDefault="00C84EF3" w:rsidP="00C84EF3">
            <w:pPr>
              <w:widowControl/>
              <w:tabs>
                <w:tab w:val="clear" w:pos="720"/>
              </w:tabs>
              <w:spacing w:before="60" w:after="0" w:line="240" w:lineRule="auto"/>
              <w:ind w:firstLine="0"/>
              <w:jc w:val="center"/>
              <w:rPr>
                <w:rFonts w:eastAsia="Calibri"/>
                <w:b/>
                <w:bCs/>
                <w:sz w:val="20"/>
                <w:szCs w:val="20"/>
                <w:cs/>
              </w:rPr>
            </w:pPr>
            <w:r w:rsidRPr="00C84EF3">
              <w:rPr>
                <w:rFonts w:eastAsia="Calibri"/>
                <w:b/>
                <w:bCs/>
                <w:sz w:val="20"/>
                <w:szCs w:val="20"/>
              </w:rPr>
              <w:t>VOSP subtests (score)</w:t>
            </w:r>
          </w:p>
        </w:tc>
        <w:tc>
          <w:tcPr>
            <w:tcW w:w="5499" w:type="dxa"/>
            <w:gridSpan w:val="4"/>
            <w:tcBorders>
              <w:top w:val="single" w:sz="4" w:space="0" w:color="auto"/>
              <w:left w:val="single" w:sz="4" w:space="0" w:color="auto"/>
              <w:bottom w:val="single" w:sz="4" w:space="0" w:color="auto"/>
              <w:right w:val="single" w:sz="4" w:space="0" w:color="auto"/>
            </w:tcBorders>
          </w:tcPr>
          <w:p w14:paraId="4BCF0BA0" w14:textId="77777777" w:rsidR="00C84EF3" w:rsidRPr="00C84EF3" w:rsidRDefault="00C84EF3" w:rsidP="00C84EF3">
            <w:pPr>
              <w:widowControl/>
              <w:tabs>
                <w:tab w:val="clear" w:pos="720"/>
              </w:tabs>
              <w:spacing w:before="60" w:after="0" w:line="240" w:lineRule="auto"/>
              <w:ind w:firstLine="0"/>
              <w:jc w:val="center"/>
              <w:rPr>
                <w:rFonts w:eastAsia="Calibri"/>
                <w:b/>
                <w:bCs/>
                <w:sz w:val="20"/>
                <w:szCs w:val="20"/>
              </w:rPr>
            </w:pPr>
            <w:r w:rsidRPr="00C84EF3">
              <w:rPr>
                <w:rFonts w:eastAsia="Calibri"/>
                <w:b/>
                <w:bCs/>
                <w:sz w:val="20"/>
                <w:szCs w:val="20"/>
              </w:rPr>
              <w:t>Thai data</w:t>
            </w:r>
          </w:p>
          <w:p w14:paraId="60FDC507"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(n = 40)</w:t>
            </w:r>
          </w:p>
        </w:tc>
        <w:tc>
          <w:tcPr>
            <w:tcW w:w="2608" w:type="dxa"/>
            <w:gridSpan w:val="2"/>
            <w:tcBorders>
              <w:top w:val="single" w:sz="4" w:space="0" w:color="auto"/>
              <w:left w:val="single" w:sz="4" w:space="0" w:color="auto"/>
              <w:bottom w:val="single" w:sz="4" w:space="0" w:color="auto"/>
              <w:right w:val="single" w:sz="4" w:space="0" w:color="auto"/>
            </w:tcBorders>
          </w:tcPr>
          <w:p w14:paraId="027C7776" w14:textId="77777777" w:rsidR="00C84EF3" w:rsidRPr="00C84EF3" w:rsidRDefault="00C84EF3" w:rsidP="00C84EF3">
            <w:pPr>
              <w:widowControl/>
              <w:tabs>
                <w:tab w:val="clear" w:pos="720"/>
              </w:tabs>
              <w:spacing w:before="60" w:after="0" w:line="240" w:lineRule="auto"/>
              <w:ind w:firstLine="0"/>
              <w:jc w:val="center"/>
              <w:rPr>
                <w:rFonts w:eastAsia="Calibri"/>
                <w:b/>
                <w:bCs/>
                <w:sz w:val="20"/>
                <w:szCs w:val="20"/>
                <w:vertAlign w:val="superscript"/>
              </w:rPr>
            </w:pPr>
            <w:r w:rsidRPr="00C84EF3">
              <w:rPr>
                <w:rFonts w:eastAsia="Calibri"/>
                <w:b/>
                <w:bCs/>
                <w:sz w:val="20"/>
                <w:szCs w:val="20"/>
              </w:rPr>
              <w:t>British data</w:t>
            </w:r>
            <w:r w:rsidRPr="00C84EF3">
              <w:rPr>
                <w:rFonts w:eastAsia="Calibri"/>
                <w:b/>
                <w:bCs/>
                <w:sz w:val="20"/>
                <w:szCs w:val="20"/>
                <w:vertAlign w:val="superscript"/>
              </w:rPr>
              <w:t>7</w:t>
            </w:r>
          </w:p>
          <w:p w14:paraId="7BFF9C24"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(n = 160)</w:t>
            </w:r>
          </w:p>
        </w:tc>
        <w:tc>
          <w:tcPr>
            <w:tcW w:w="1644" w:type="dxa"/>
            <w:tcBorders>
              <w:top w:val="single" w:sz="4" w:space="0" w:color="auto"/>
              <w:left w:val="single" w:sz="4" w:space="0" w:color="auto"/>
              <w:bottom w:val="single" w:sz="4" w:space="0" w:color="auto"/>
              <w:right w:val="single" w:sz="4" w:space="0" w:color="auto"/>
            </w:tcBorders>
          </w:tcPr>
          <w:p w14:paraId="18160CB7" w14:textId="77777777" w:rsidR="00C84EF3" w:rsidRPr="00C84EF3" w:rsidRDefault="00C84EF3" w:rsidP="00C84EF3">
            <w:pPr>
              <w:widowControl/>
              <w:tabs>
                <w:tab w:val="clear" w:pos="720"/>
              </w:tabs>
              <w:spacing w:before="60" w:after="0" w:line="240" w:lineRule="auto"/>
              <w:ind w:firstLine="0"/>
              <w:jc w:val="center"/>
              <w:rPr>
                <w:rFonts w:eastAsia="Calibri"/>
                <w:b/>
                <w:bCs/>
                <w:sz w:val="20"/>
                <w:szCs w:val="20"/>
                <w:vertAlign w:val="superscript"/>
              </w:rPr>
            </w:pPr>
            <w:r w:rsidRPr="00C84EF3">
              <w:rPr>
                <w:rFonts w:eastAsia="Calibri"/>
                <w:b/>
                <w:bCs/>
                <w:sz w:val="20"/>
                <w:szCs w:val="20"/>
              </w:rPr>
              <w:t>American data</w:t>
            </w:r>
            <w:r w:rsidRPr="00C84EF3">
              <w:rPr>
                <w:rFonts w:eastAsia="Calibri"/>
                <w:b/>
                <w:bCs/>
                <w:sz w:val="20"/>
                <w:szCs w:val="20"/>
                <w:vertAlign w:val="superscript"/>
              </w:rPr>
              <w:t>18</w:t>
            </w:r>
          </w:p>
          <w:p w14:paraId="20F287CC"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(n = 111)</w:t>
            </w:r>
          </w:p>
        </w:tc>
        <w:tc>
          <w:tcPr>
            <w:tcW w:w="1474" w:type="dxa"/>
            <w:tcBorders>
              <w:top w:val="single" w:sz="4" w:space="0" w:color="auto"/>
              <w:left w:val="single" w:sz="4" w:space="0" w:color="auto"/>
              <w:bottom w:val="single" w:sz="4" w:space="0" w:color="auto"/>
              <w:right w:val="single" w:sz="4" w:space="0" w:color="FFFFFF"/>
            </w:tcBorders>
          </w:tcPr>
          <w:p w14:paraId="1350633F" w14:textId="77777777" w:rsidR="00C84EF3" w:rsidRPr="00C84EF3" w:rsidRDefault="00C84EF3" w:rsidP="00C84EF3">
            <w:pPr>
              <w:widowControl/>
              <w:tabs>
                <w:tab w:val="clear" w:pos="720"/>
              </w:tabs>
              <w:spacing w:before="60" w:after="0" w:line="240" w:lineRule="auto"/>
              <w:ind w:firstLine="0"/>
              <w:jc w:val="center"/>
              <w:rPr>
                <w:rFonts w:eastAsia="Calibri"/>
                <w:b/>
                <w:bCs/>
                <w:sz w:val="20"/>
                <w:szCs w:val="20"/>
                <w:vertAlign w:val="superscript"/>
              </w:rPr>
            </w:pPr>
            <w:r w:rsidRPr="00C84EF3">
              <w:rPr>
                <w:rFonts w:eastAsia="Calibri"/>
                <w:b/>
                <w:bCs/>
                <w:sz w:val="20"/>
                <w:szCs w:val="20"/>
              </w:rPr>
              <w:t>Spanish data</w:t>
            </w:r>
            <w:r w:rsidRPr="00C84EF3">
              <w:rPr>
                <w:rFonts w:eastAsia="Calibri"/>
                <w:b/>
                <w:bCs/>
                <w:sz w:val="20"/>
                <w:szCs w:val="20"/>
                <w:vertAlign w:val="superscript"/>
              </w:rPr>
              <w:t>21</w:t>
            </w:r>
          </w:p>
          <w:p w14:paraId="0DFC1BF7"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(n = 90)</w:t>
            </w:r>
          </w:p>
        </w:tc>
      </w:tr>
      <w:tr w:rsidR="00C84EF3" w:rsidRPr="00C84EF3" w14:paraId="7838AF78" w14:textId="77777777" w:rsidTr="000E1146">
        <w:trPr>
          <w:trHeight w:val="368"/>
          <w:jc w:val="center"/>
        </w:trPr>
        <w:tc>
          <w:tcPr>
            <w:tcW w:w="2835" w:type="dxa"/>
            <w:tcBorders>
              <w:top w:val="single" w:sz="4" w:space="0" w:color="auto"/>
              <w:left w:val="nil"/>
              <w:bottom w:val="single" w:sz="4" w:space="0" w:color="auto"/>
              <w:right w:val="single" w:sz="4" w:space="0" w:color="auto"/>
            </w:tcBorders>
          </w:tcPr>
          <w:p w14:paraId="1E900105"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p>
        </w:tc>
        <w:tc>
          <w:tcPr>
            <w:tcW w:w="1020" w:type="dxa"/>
            <w:tcBorders>
              <w:top w:val="single" w:sz="4" w:space="0" w:color="auto"/>
              <w:left w:val="single" w:sz="4" w:space="0" w:color="auto"/>
              <w:bottom w:val="single" w:sz="4" w:space="0" w:color="auto"/>
              <w:right w:val="single" w:sz="4" w:space="0" w:color="FFFFFF"/>
            </w:tcBorders>
          </w:tcPr>
          <w:p w14:paraId="1583EE0B" w14:textId="77777777" w:rsidR="00C84EF3" w:rsidRPr="00C84EF3" w:rsidRDefault="00C84EF3" w:rsidP="00C84EF3">
            <w:pPr>
              <w:widowControl/>
              <w:tabs>
                <w:tab w:val="clear" w:pos="720"/>
              </w:tabs>
              <w:spacing w:before="60" w:after="0" w:line="240" w:lineRule="auto"/>
              <w:ind w:firstLine="0"/>
              <w:jc w:val="center"/>
              <w:rPr>
                <w:rFonts w:eastAsia="Calibri"/>
                <w:b/>
                <w:bCs/>
                <w:sz w:val="20"/>
                <w:szCs w:val="20"/>
              </w:rPr>
            </w:pPr>
            <w:r w:rsidRPr="00C84EF3">
              <w:rPr>
                <w:rFonts w:eastAsia="Calibri"/>
                <w:b/>
                <w:bCs/>
                <w:sz w:val="20"/>
                <w:szCs w:val="20"/>
              </w:rPr>
              <w:t>Min-max</w:t>
            </w:r>
          </w:p>
        </w:tc>
        <w:tc>
          <w:tcPr>
            <w:tcW w:w="1474" w:type="dxa"/>
            <w:tcBorders>
              <w:top w:val="single" w:sz="4" w:space="0" w:color="auto"/>
              <w:left w:val="single" w:sz="4" w:space="0" w:color="FFFFFF"/>
              <w:bottom w:val="single" w:sz="4" w:space="0" w:color="auto"/>
              <w:right w:val="single" w:sz="4" w:space="0" w:color="FFFFFF"/>
            </w:tcBorders>
          </w:tcPr>
          <w:p w14:paraId="014FCB94" w14:textId="77777777" w:rsidR="00C84EF3" w:rsidRPr="00C84EF3" w:rsidRDefault="00C84EF3" w:rsidP="00C84EF3">
            <w:pPr>
              <w:widowControl/>
              <w:tabs>
                <w:tab w:val="clear" w:pos="720"/>
              </w:tabs>
              <w:spacing w:before="60" w:after="0" w:line="240" w:lineRule="auto"/>
              <w:ind w:firstLine="0"/>
              <w:jc w:val="center"/>
              <w:rPr>
                <w:rFonts w:eastAsia="Calibri"/>
                <w:b/>
                <w:bCs/>
                <w:sz w:val="20"/>
                <w:szCs w:val="20"/>
              </w:rPr>
            </w:pPr>
            <w:r w:rsidRPr="00C84EF3">
              <w:rPr>
                <w:rFonts w:eastAsia="Calibri"/>
                <w:b/>
                <w:bCs/>
                <w:sz w:val="20"/>
                <w:szCs w:val="20"/>
              </w:rPr>
              <w:t>Median (IQR)</w:t>
            </w:r>
          </w:p>
        </w:tc>
        <w:tc>
          <w:tcPr>
            <w:tcW w:w="1644" w:type="dxa"/>
            <w:tcBorders>
              <w:top w:val="single" w:sz="4" w:space="0" w:color="auto"/>
              <w:left w:val="single" w:sz="4" w:space="0" w:color="FFFFFF"/>
              <w:bottom w:val="single" w:sz="4" w:space="0" w:color="auto"/>
              <w:right w:val="single" w:sz="4" w:space="0" w:color="FFFFFF"/>
            </w:tcBorders>
          </w:tcPr>
          <w:p w14:paraId="6D41AD5A" w14:textId="77777777" w:rsidR="00C84EF3" w:rsidRPr="00C84EF3" w:rsidRDefault="00C84EF3" w:rsidP="00C84EF3">
            <w:pPr>
              <w:widowControl/>
              <w:tabs>
                <w:tab w:val="clear" w:pos="720"/>
              </w:tabs>
              <w:spacing w:before="60" w:after="0" w:line="240" w:lineRule="auto"/>
              <w:ind w:firstLine="0"/>
              <w:jc w:val="center"/>
              <w:rPr>
                <w:rFonts w:eastAsia="Calibri"/>
                <w:b/>
                <w:bCs/>
                <w:sz w:val="20"/>
                <w:szCs w:val="20"/>
              </w:rPr>
            </w:pPr>
            <w:r w:rsidRPr="00C84EF3">
              <w:rPr>
                <w:rFonts w:eastAsia="Calibri"/>
                <w:b/>
                <w:bCs/>
                <w:sz w:val="20"/>
                <w:szCs w:val="20"/>
              </w:rPr>
              <w:t>Mean (SD)</w:t>
            </w:r>
          </w:p>
        </w:tc>
        <w:tc>
          <w:tcPr>
            <w:tcW w:w="1361" w:type="dxa"/>
            <w:tcBorders>
              <w:top w:val="single" w:sz="4" w:space="0" w:color="auto"/>
              <w:left w:val="single" w:sz="4" w:space="0" w:color="FFFFFF"/>
              <w:bottom w:val="single" w:sz="4" w:space="0" w:color="auto"/>
              <w:right w:val="single" w:sz="4" w:space="0" w:color="auto"/>
            </w:tcBorders>
          </w:tcPr>
          <w:p w14:paraId="0BA44591" w14:textId="77777777" w:rsidR="00C84EF3" w:rsidRPr="00C84EF3" w:rsidRDefault="00C84EF3" w:rsidP="00C84EF3">
            <w:pPr>
              <w:widowControl/>
              <w:tabs>
                <w:tab w:val="clear" w:pos="720"/>
              </w:tabs>
              <w:spacing w:before="60" w:after="0" w:line="240" w:lineRule="auto"/>
              <w:ind w:firstLine="0"/>
              <w:jc w:val="center"/>
              <w:rPr>
                <w:rFonts w:eastAsia="Calibri"/>
                <w:b/>
                <w:bCs/>
                <w:sz w:val="20"/>
                <w:szCs w:val="20"/>
              </w:rPr>
            </w:pPr>
            <w:r w:rsidRPr="00C84EF3">
              <w:rPr>
                <w:rFonts w:eastAsia="Calibri"/>
                <w:b/>
                <w:bCs/>
                <w:sz w:val="20"/>
                <w:szCs w:val="20"/>
              </w:rPr>
              <w:t>5</w:t>
            </w:r>
            <w:r w:rsidRPr="00C84EF3">
              <w:rPr>
                <w:rFonts w:eastAsia="Calibri"/>
                <w:b/>
                <w:bCs/>
                <w:sz w:val="20"/>
                <w:szCs w:val="20"/>
                <w:vertAlign w:val="superscript"/>
              </w:rPr>
              <w:t>th</w:t>
            </w:r>
            <w:r w:rsidRPr="00C84EF3">
              <w:rPr>
                <w:rFonts w:eastAsia="Calibri"/>
                <w:b/>
                <w:bCs/>
                <w:sz w:val="20"/>
                <w:szCs w:val="20"/>
              </w:rPr>
              <w:t xml:space="preserve"> percentile</w:t>
            </w:r>
            <w:r w:rsidRPr="00C84EF3">
              <w:rPr>
                <w:rFonts w:eastAsia="Calibri"/>
                <w:b/>
                <w:bCs/>
                <w:sz w:val="20"/>
                <w:szCs w:val="20"/>
              </w:rPr>
              <w:br/>
              <w:t>cut-off</w:t>
            </w:r>
          </w:p>
        </w:tc>
        <w:tc>
          <w:tcPr>
            <w:tcW w:w="1247" w:type="dxa"/>
            <w:tcBorders>
              <w:top w:val="single" w:sz="4" w:space="0" w:color="auto"/>
              <w:left w:val="single" w:sz="4" w:space="0" w:color="auto"/>
              <w:bottom w:val="single" w:sz="4" w:space="0" w:color="auto"/>
              <w:right w:val="single" w:sz="4" w:space="0" w:color="FFFFFF"/>
            </w:tcBorders>
          </w:tcPr>
          <w:p w14:paraId="380D9209"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b/>
                <w:bCs/>
                <w:sz w:val="20"/>
                <w:szCs w:val="20"/>
              </w:rPr>
              <w:t>Mean (SD)</w:t>
            </w:r>
          </w:p>
        </w:tc>
        <w:tc>
          <w:tcPr>
            <w:tcW w:w="1361" w:type="dxa"/>
            <w:tcBorders>
              <w:top w:val="single" w:sz="4" w:space="0" w:color="auto"/>
              <w:left w:val="single" w:sz="4" w:space="0" w:color="FFFFFF"/>
              <w:bottom w:val="single" w:sz="4" w:space="0" w:color="auto"/>
              <w:right w:val="single" w:sz="4" w:space="0" w:color="auto"/>
            </w:tcBorders>
          </w:tcPr>
          <w:p w14:paraId="7BA82C3F" w14:textId="77777777" w:rsidR="00C84EF3" w:rsidRPr="00C84EF3" w:rsidRDefault="00C84EF3" w:rsidP="00C84EF3">
            <w:pPr>
              <w:widowControl/>
              <w:tabs>
                <w:tab w:val="clear" w:pos="720"/>
              </w:tabs>
              <w:spacing w:before="60" w:after="0" w:line="240" w:lineRule="auto"/>
              <w:ind w:firstLine="0"/>
              <w:jc w:val="center"/>
              <w:rPr>
                <w:rFonts w:eastAsia="Calibri"/>
                <w:b/>
                <w:bCs/>
                <w:sz w:val="20"/>
                <w:szCs w:val="20"/>
                <w:highlight w:val="yellow"/>
              </w:rPr>
            </w:pPr>
            <w:r w:rsidRPr="00C84EF3">
              <w:rPr>
                <w:rFonts w:eastAsia="Calibri"/>
                <w:b/>
                <w:bCs/>
                <w:sz w:val="20"/>
                <w:szCs w:val="20"/>
              </w:rPr>
              <w:t>5</w:t>
            </w:r>
            <w:r w:rsidRPr="00C84EF3">
              <w:rPr>
                <w:rFonts w:eastAsia="Calibri"/>
                <w:b/>
                <w:bCs/>
                <w:sz w:val="20"/>
                <w:szCs w:val="20"/>
                <w:vertAlign w:val="superscript"/>
              </w:rPr>
              <w:t>th</w:t>
            </w:r>
            <w:r w:rsidRPr="00C84EF3">
              <w:rPr>
                <w:rFonts w:eastAsia="Calibri"/>
                <w:b/>
                <w:bCs/>
                <w:sz w:val="20"/>
                <w:szCs w:val="20"/>
              </w:rPr>
              <w:t xml:space="preserve"> percentile</w:t>
            </w:r>
            <w:r w:rsidRPr="00C84EF3">
              <w:rPr>
                <w:rFonts w:eastAsia="Calibri"/>
                <w:b/>
                <w:bCs/>
                <w:sz w:val="20"/>
                <w:szCs w:val="20"/>
              </w:rPr>
              <w:br/>
              <w:t>cut-off</w:t>
            </w:r>
          </w:p>
        </w:tc>
        <w:tc>
          <w:tcPr>
            <w:tcW w:w="1644" w:type="dxa"/>
            <w:tcBorders>
              <w:top w:val="single" w:sz="4" w:space="0" w:color="auto"/>
              <w:left w:val="single" w:sz="4" w:space="0" w:color="auto"/>
              <w:bottom w:val="single" w:sz="4" w:space="0" w:color="auto"/>
              <w:right w:val="single" w:sz="4" w:space="0" w:color="auto"/>
            </w:tcBorders>
          </w:tcPr>
          <w:p w14:paraId="7DB669F0"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b/>
                <w:bCs/>
                <w:sz w:val="20"/>
                <w:szCs w:val="20"/>
              </w:rPr>
              <w:t>Mean (SD)</w:t>
            </w:r>
          </w:p>
        </w:tc>
        <w:tc>
          <w:tcPr>
            <w:tcW w:w="1474" w:type="dxa"/>
            <w:tcBorders>
              <w:top w:val="single" w:sz="4" w:space="0" w:color="auto"/>
              <w:left w:val="single" w:sz="4" w:space="0" w:color="auto"/>
              <w:bottom w:val="single" w:sz="4" w:space="0" w:color="auto"/>
              <w:right w:val="single" w:sz="4" w:space="0" w:color="FFFFFF"/>
            </w:tcBorders>
          </w:tcPr>
          <w:p w14:paraId="5A0B2288"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b/>
                <w:bCs/>
                <w:sz w:val="20"/>
                <w:szCs w:val="20"/>
              </w:rPr>
              <w:t>Mean (SD)</w:t>
            </w:r>
          </w:p>
        </w:tc>
      </w:tr>
      <w:tr w:rsidR="00C84EF3" w:rsidRPr="00C84EF3" w14:paraId="201F15D5" w14:textId="77777777" w:rsidTr="000E1146">
        <w:trPr>
          <w:trHeight w:val="340"/>
          <w:jc w:val="center"/>
        </w:trPr>
        <w:tc>
          <w:tcPr>
            <w:tcW w:w="2835" w:type="dxa"/>
            <w:tcBorders>
              <w:top w:val="single" w:sz="4" w:space="0" w:color="auto"/>
              <w:left w:val="nil"/>
              <w:bottom w:val="single" w:sz="4" w:space="0" w:color="FFFFFF"/>
              <w:right w:val="single" w:sz="4" w:space="0" w:color="auto"/>
            </w:tcBorders>
          </w:tcPr>
          <w:p w14:paraId="31B0764C" w14:textId="77777777" w:rsidR="00C84EF3" w:rsidRPr="00C84EF3" w:rsidRDefault="00C84EF3" w:rsidP="00C84EF3">
            <w:pPr>
              <w:widowControl/>
              <w:tabs>
                <w:tab w:val="clear" w:pos="720"/>
              </w:tabs>
              <w:spacing w:before="60" w:after="0" w:line="240" w:lineRule="auto"/>
              <w:ind w:firstLine="0"/>
              <w:jc w:val="left"/>
              <w:rPr>
                <w:rFonts w:eastAsia="Calibri"/>
                <w:b/>
                <w:bCs/>
                <w:sz w:val="20"/>
                <w:szCs w:val="20"/>
              </w:rPr>
            </w:pPr>
            <w:r w:rsidRPr="00C84EF3">
              <w:rPr>
                <w:rFonts w:eastAsia="Calibri"/>
                <w:b/>
                <w:bCs/>
                <w:sz w:val="20"/>
                <w:szCs w:val="20"/>
              </w:rPr>
              <w:t xml:space="preserve">   Shape Detection</w:t>
            </w:r>
            <w:r w:rsidRPr="00C84EF3">
              <w:rPr>
                <w:rFonts w:eastAsia="Calibri"/>
                <w:b/>
                <w:bCs/>
                <w:sz w:val="20"/>
                <w:szCs w:val="20"/>
                <w:cs/>
              </w:rPr>
              <w:t xml:space="preserve"> </w:t>
            </w:r>
            <w:r w:rsidRPr="00C84EF3">
              <w:rPr>
                <w:rFonts w:eastAsia="Calibri"/>
                <w:b/>
                <w:bCs/>
                <w:sz w:val="20"/>
                <w:szCs w:val="20"/>
              </w:rPr>
              <w:t>(20)</w:t>
            </w:r>
          </w:p>
        </w:tc>
        <w:tc>
          <w:tcPr>
            <w:tcW w:w="1020" w:type="dxa"/>
            <w:tcBorders>
              <w:top w:val="single" w:sz="4" w:space="0" w:color="auto"/>
              <w:left w:val="single" w:sz="4" w:space="0" w:color="auto"/>
              <w:bottom w:val="single" w:sz="4" w:space="0" w:color="FFFFFF"/>
              <w:right w:val="single" w:sz="4" w:space="0" w:color="FFFFFF"/>
            </w:tcBorders>
          </w:tcPr>
          <w:p w14:paraId="59B70412"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18–20</w:t>
            </w:r>
          </w:p>
        </w:tc>
        <w:tc>
          <w:tcPr>
            <w:tcW w:w="1474" w:type="dxa"/>
            <w:tcBorders>
              <w:top w:val="single" w:sz="4" w:space="0" w:color="auto"/>
              <w:left w:val="single" w:sz="4" w:space="0" w:color="FFFFFF"/>
              <w:bottom w:val="single" w:sz="4" w:space="0" w:color="FFFFFF"/>
              <w:right w:val="single" w:sz="4" w:space="0" w:color="FFFFFF"/>
            </w:tcBorders>
          </w:tcPr>
          <w:p w14:paraId="5D2404CC"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20 (20–20)</w:t>
            </w:r>
          </w:p>
        </w:tc>
        <w:tc>
          <w:tcPr>
            <w:tcW w:w="1644" w:type="dxa"/>
            <w:tcBorders>
              <w:top w:val="single" w:sz="4" w:space="0" w:color="auto"/>
              <w:left w:val="single" w:sz="4" w:space="0" w:color="FFFFFF"/>
              <w:bottom w:val="single" w:sz="4" w:space="0" w:color="FFFFFF"/>
              <w:right w:val="single" w:sz="4" w:space="0" w:color="FFFFFF"/>
            </w:tcBorders>
          </w:tcPr>
          <w:p w14:paraId="49D8F348"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19.88 (0.40)</w:t>
            </w:r>
          </w:p>
        </w:tc>
        <w:tc>
          <w:tcPr>
            <w:tcW w:w="1361" w:type="dxa"/>
            <w:tcBorders>
              <w:top w:val="single" w:sz="4" w:space="0" w:color="auto"/>
              <w:left w:val="single" w:sz="4" w:space="0" w:color="FFFFFF"/>
              <w:bottom w:val="single" w:sz="4" w:space="0" w:color="FFFFFF"/>
              <w:right w:val="single" w:sz="4" w:space="0" w:color="auto"/>
            </w:tcBorders>
          </w:tcPr>
          <w:p w14:paraId="22F9DD96"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w:t>
            </w:r>
          </w:p>
        </w:tc>
        <w:tc>
          <w:tcPr>
            <w:tcW w:w="1247" w:type="dxa"/>
            <w:tcBorders>
              <w:top w:val="single" w:sz="4" w:space="0" w:color="auto"/>
              <w:left w:val="single" w:sz="4" w:space="0" w:color="auto"/>
              <w:bottom w:val="single" w:sz="4" w:space="0" w:color="FFFFFF"/>
              <w:right w:val="single" w:sz="4" w:space="0" w:color="FFFFFF"/>
            </w:tcBorders>
          </w:tcPr>
          <w:p w14:paraId="66B68175"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19.92 (0.33)</w:t>
            </w:r>
          </w:p>
        </w:tc>
        <w:tc>
          <w:tcPr>
            <w:tcW w:w="1361" w:type="dxa"/>
            <w:tcBorders>
              <w:top w:val="single" w:sz="4" w:space="0" w:color="auto"/>
              <w:left w:val="single" w:sz="4" w:space="0" w:color="FFFFFF"/>
              <w:bottom w:val="single" w:sz="4" w:space="0" w:color="FFFFFF"/>
              <w:right w:val="single" w:sz="4" w:space="0" w:color="auto"/>
            </w:tcBorders>
          </w:tcPr>
          <w:p w14:paraId="029147AA"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w:t>
            </w:r>
          </w:p>
        </w:tc>
        <w:tc>
          <w:tcPr>
            <w:tcW w:w="1644" w:type="dxa"/>
            <w:tcBorders>
              <w:top w:val="single" w:sz="4" w:space="0" w:color="auto"/>
              <w:left w:val="single" w:sz="4" w:space="0" w:color="auto"/>
              <w:bottom w:val="single" w:sz="4" w:space="0" w:color="FFFFFF"/>
              <w:right w:val="single" w:sz="4" w:space="0" w:color="auto"/>
            </w:tcBorders>
          </w:tcPr>
          <w:p w14:paraId="1A76F64A"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w:t>
            </w:r>
          </w:p>
        </w:tc>
        <w:tc>
          <w:tcPr>
            <w:tcW w:w="1474" w:type="dxa"/>
            <w:tcBorders>
              <w:top w:val="single" w:sz="4" w:space="0" w:color="auto"/>
              <w:left w:val="single" w:sz="4" w:space="0" w:color="auto"/>
              <w:bottom w:val="single" w:sz="4" w:space="0" w:color="FFFFFF"/>
              <w:right w:val="single" w:sz="4" w:space="0" w:color="FFFFFF"/>
            </w:tcBorders>
          </w:tcPr>
          <w:p w14:paraId="60D32AD5"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w:t>
            </w:r>
          </w:p>
        </w:tc>
      </w:tr>
      <w:tr w:rsidR="00C84EF3" w:rsidRPr="00C84EF3" w14:paraId="25A8F529" w14:textId="77777777" w:rsidTr="000E1146">
        <w:trPr>
          <w:trHeight w:val="312"/>
          <w:jc w:val="center"/>
        </w:trPr>
        <w:tc>
          <w:tcPr>
            <w:tcW w:w="2835" w:type="dxa"/>
            <w:tcBorders>
              <w:top w:val="single" w:sz="4" w:space="0" w:color="FFFFFF"/>
              <w:left w:val="nil"/>
              <w:bottom w:val="single" w:sz="4" w:space="0" w:color="FFFFFF"/>
              <w:right w:val="single" w:sz="4" w:space="0" w:color="auto"/>
            </w:tcBorders>
            <w:shd w:val="clear" w:color="auto" w:fill="auto"/>
          </w:tcPr>
          <w:p w14:paraId="639547CC" w14:textId="77777777" w:rsidR="00C84EF3" w:rsidRPr="00C84EF3" w:rsidRDefault="00C84EF3" w:rsidP="00C84EF3">
            <w:pPr>
              <w:widowControl/>
              <w:tabs>
                <w:tab w:val="clear" w:pos="720"/>
              </w:tabs>
              <w:spacing w:after="0" w:line="240" w:lineRule="auto"/>
              <w:ind w:firstLine="0"/>
              <w:jc w:val="left"/>
              <w:rPr>
                <w:rFonts w:eastAsia="Calibri"/>
                <w:b/>
                <w:bCs/>
                <w:sz w:val="20"/>
                <w:szCs w:val="20"/>
              </w:rPr>
            </w:pPr>
            <w:r w:rsidRPr="00C84EF3">
              <w:rPr>
                <w:rFonts w:eastAsia="Calibri"/>
                <w:b/>
                <w:bCs/>
                <w:sz w:val="20"/>
                <w:szCs w:val="20"/>
              </w:rPr>
              <w:t>Object Perception</w:t>
            </w:r>
          </w:p>
        </w:tc>
        <w:tc>
          <w:tcPr>
            <w:tcW w:w="1020" w:type="dxa"/>
            <w:tcBorders>
              <w:top w:val="single" w:sz="4" w:space="0" w:color="FFFFFF"/>
              <w:left w:val="single" w:sz="4" w:space="0" w:color="auto"/>
              <w:bottom w:val="single" w:sz="4" w:space="0" w:color="FFFFFF"/>
              <w:right w:val="single" w:sz="4" w:space="0" w:color="FFFFFF"/>
            </w:tcBorders>
            <w:shd w:val="clear" w:color="auto" w:fill="auto"/>
          </w:tcPr>
          <w:p w14:paraId="70F03885" w14:textId="77777777" w:rsidR="00C84EF3" w:rsidRPr="00C84EF3" w:rsidRDefault="00C84EF3" w:rsidP="00C84EF3">
            <w:pPr>
              <w:widowControl/>
              <w:tabs>
                <w:tab w:val="clear" w:pos="720"/>
              </w:tabs>
              <w:spacing w:after="0" w:line="240" w:lineRule="auto"/>
              <w:ind w:firstLine="0"/>
              <w:jc w:val="center"/>
              <w:rPr>
                <w:rFonts w:eastAsia="Calibri"/>
                <w:sz w:val="20"/>
                <w:szCs w:val="20"/>
              </w:rPr>
            </w:pPr>
          </w:p>
        </w:tc>
        <w:tc>
          <w:tcPr>
            <w:tcW w:w="1474" w:type="dxa"/>
            <w:tcBorders>
              <w:top w:val="single" w:sz="4" w:space="0" w:color="FFFFFF"/>
              <w:left w:val="single" w:sz="4" w:space="0" w:color="FFFFFF"/>
              <w:bottom w:val="single" w:sz="4" w:space="0" w:color="FFFFFF"/>
              <w:right w:val="single" w:sz="4" w:space="0" w:color="FFFFFF"/>
            </w:tcBorders>
            <w:shd w:val="clear" w:color="auto" w:fill="auto"/>
          </w:tcPr>
          <w:p w14:paraId="4AB5373C" w14:textId="77777777" w:rsidR="00C84EF3" w:rsidRPr="00C84EF3" w:rsidRDefault="00C84EF3" w:rsidP="00C84EF3">
            <w:pPr>
              <w:widowControl/>
              <w:tabs>
                <w:tab w:val="clear" w:pos="720"/>
              </w:tabs>
              <w:spacing w:after="0" w:line="240" w:lineRule="auto"/>
              <w:ind w:firstLine="0"/>
              <w:jc w:val="center"/>
              <w:rPr>
                <w:rFonts w:eastAsia="Calibri"/>
                <w:sz w:val="20"/>
                <w:szCs w:val="20"/>
              </w:rPr>
            </w:pPr>
          </w:p>
        </w:tc>
        <w:tc>
          <w:tcPr>
            <w:tcW w:w="1644" w:type="dxa"/>
            <w:tcBorders>
              <w:top w:val="single" w:sz="4" w:space="0" w:color="FFFFFF"/>
              <w:left w:val="single" w:sz="4" w:space="0" w:color="FFFFFF"/>
              <w:bottom w:val="single" w:sz="4" w:space="0" w:color="FFFFFF"/>
              <w:right w:val="single" w:sz="4" w:space="0" w:color="FFFFFF"/>
            </w:tcBorders>
            <w:shd w:val="clear" w:color="auto" w:fill="auto"/>
          </w:tcPr>
          <w:p w14:paraId="2514C873" w14:textId="77777777" w:rsidR="00C84EF3" w:rsidRPr="00C84EF3" w:rsidRDefault="00C84EF3" w:rsidP="00C84EF3">
            <w:pPr>
              <w:widowControl/>
              <w:tabs>
                <w:tab w:val="clear" w:pos="720"/>
              </w:tabs>
              <w:spacing w:after="0" w:line="240" w:lineRule="auto"/>
              <w:ind w:firstLine="0"/>
              <w:jc w:val="center"/>
              <w:rPr>
                <w:rFonts w:eastAsia="Calibri"/>
                <w:sz w:val="20"/>
                <w:szCs w:val="20"/>
              </w:rPr>
            </w:pPr>
          </w:p>
        </w:tc>
        <w:tc>
          <w:tcPr>
            <w:tcW w:w="1361" w:type="dxa"/>
            <w:tcBorders>
              <w:top w:val="single" w:sz="4" w:space="0" w:color="FFFFFF"/>
              <w:left w:val="single" w:sz="4" w:space="0" w:color="FFFFFF"/>
              <w:bottom w:val="single" w:sz="4" w:space="0" w:color="FFFFFF"/>
              <w:right w:val="single" w:sz="4" w:space="0" w:color="auto"/>
            </w:tcBorders>
            <w:shd w:val="clear" w:color="auto" w:fill="auto"/>
          </w:tcPr>
          <w:p w14:paraId="295A9A7A" w14:textId="77777777" w:rsidR="00C84EF3" w:rsidRPr="00C84EF3" w:rsidRDefault="00C84EF3" w:rsidP="00C84EF3">
            <w:pPr>
              <w:widowControl/>
              <w:tabs>
                <w:tab w:val="clear" w:pos="720"/>
              </w:tabs>
              <w:spacing w:after="0" w:line="240" w:lineRule="auto"/>
              <w:ind w:firstLine="0"/>
              <w:jc w:val="center"/>
              <w:rPr>
                <w:rFonts w:eastAsia="Calibri"/>
                <w:sz w:val="20"/>
                <w:szCs w:val="20"/>
              </w:rPr>
            </w:pPr>
          </w:p>
        </w:tc>
        <w:tc>
          <w:tcPr>
            <w:tcW w:w="1247" w:type="dxa"/>
            <w:tcBorders>
              <w:top w:val="single" w:sz="4" w:space="0" w:color="FFFFFF"/>
              <w:left w:val="single" w:sz="4" w:space="0" w:color="auto"/>
              <w:bottom w:val="single" w:sz="4" w:space="0" w:color="FFFFFF"/>
              <w:right w:val="single" w:sz="4" w:space="0" w:color="FFFFFF"/>
            </w:tcBorders>
            <w:shd w:val="clear" w:color="auto" w:fill="auto"/>
          </w:tcPr>
          <w:p w14:paraId="13E504BA" w14:textId="77777777" w:rsidR="00C84EF3" w:rsidRPr="00C84EF3" w:rsidRDefault="00C84EF3" w:rsidP="00C84EF3">
            <w:pPr>
              <w:widowControl/>
              <w:tabs>
                <w:tab w:val="clear" w:pos="720"/>
              </w:tabs>
              <w:spacing w:after="0" w:line="240" w:lineRule="auto"/>
              <w:ind w:firstLine="0"/>
              <w:jc w:val="center"/>
              <w:rPr>
                <w:rFonts w:eastAsia="Calibri"/>
                <w:sz w:val="20"/>
                <w:szCs w:val="20"/>
              </w:rPr>
            </w:pPr>
          </w:p>
        </w:tc>
        <w:tc>
          <w:tcPr>
            <w:tcW w:w="1361" w:type="dxa"/>
            <w:tcBorders>
              <w:top w:val="single" w:sz="4" w:space="0" w:color="FFFFFF"/>
              <w:left w:val="single" w:sz="4" w:space="0" w:color="FFFFFF"/>
              <w:bottom w:val="single" w:sz="4" w:space="0" w:color="FFFFFF"/>
              <w:right w:val="single" w:sz="4" w:space="0" w:color="auto"/>
            </w:tcBorders>
            <w:shd w:val="clear" w:color="auto" w:fill="auto"/>
          </w:tcPr>
          <w:p w14:paraId="53F31535" w14:textId="77777777" w:rsidR="00C84EF3" w:rsidRPr="00C84EF3" w:rsidRDefault="00C84EF3" w:rsidP="00C84EF3">
            <w:pPr>
              <w:widowControl/>
              <w:tabs>
                <w:tab w:val="clear" w:pos="720"/>
              </w:tabs>
              <w:spacing w:after="0" w:line="240" w:lineRule="auto"/>
              <w:ind w:firstLine="0"/>
              <w:jc w:val="center"/>
              <w:rPr>
                <w:rFonts w:eastAsia="Calibri"/>
                <w:sz w:val="20"/>
                <w:szCs w:val="20"/>
              </w:rPr>
            </w:pPr>
          </w:p>
        </w:tc>
        <w:tc>
          <w:tcPr>
            <w:tcW w:w="1644" w:type="dxa"/>
            <w:tcBorders>
              <w:top w:val="single" w:sz="4" w:space="0" w:color="FFFFFF"/>
              <w:left w:val="single" w:sz="4" w:space="0" w:color="auto"/>
              <w:bottom w:val="single" w:sz="4" w:space="0" w:color="FFFFFF"/>
              <w:right w:val="single" w:sz="4" w:space="0" w:color="auto"/>
            </w:tcBorders>
            <w:shd w:val="clear" w:color="auto" w:fill="auto"/>
          </w:tcPr>
          <w:p w14:paraId="2F817097" w14:textId="77777777" w:rsidR="00C84EF3" w:rsidRPr="00C84EF3" w:rsidRDefault="00C84EF3" w:rsidP="00C84EF3">
            <w:pPr>
              <w:widowControl/>
              <w:tabs>
                <w:tab w:val="clear" w:pos="720"/>
              </w:tabs>
              <w:spacing w:after="0" w:line="240" w:lineRule="auto"/>
              <w:ind w:firstLine="0"/>
              <w:jc w:val="center"/>
              <w:rPr>
                <w:rFonts w:eastAsia="Calibri"/>
                <w:sz w:val="20"/>
                <w:szCs w:val="20"/>
              </w:rPr>
            </w:pPr>
          </w:p>
        </w:tc>
        <w:tc>
          <w:tcPr>
            <w:tcW w:w="1474" w:type="dxa"/>
            <w:tcBorders>
              <w:top w:val="single" w:sz="4" w:space="0" w:color="FFFFFF"/>
              <w:left w:val="single" w:sz="4" w:space="0" w:color="auto"/>
              <w:bottom w:val="single" w:sz="4" w:space="0" w:color="FFFFFF"/>
              <w:right w:val="single" w:sz="4" w:space="0" w:color="FFFFFF"/>
            </w:tcBorders>
            <w:shd w:val="clear" w:color="auto" w:fill="auto"/>
          </w:tcPr>
          <w:p w14:paraId="13C91EA2" w14:textId="77777777" w:rsidR="00C84EF3" w:rsidRPr="00C84EF3" w:rsidRDefault="00C84EF3" w:rsidP="00C84EF3">
            <w:pPr>
              <w:widowControl/>
              <w:tabs>
                <w:tab w:val="clear" w:pos="720"/>
              </w:tabs>
              <w:spacing w:after="0" w:line="240" w:lineRule="auto"/>
              <w:ind w:firstLine="0"/>
              <w:jc w:val="center"/>
              <w:rPr>
                <w:rFonts w:eastAsia="Calibri"/>
                <w:sz w:val="20"/>
                <w:szCs w:val="20"/>
              </w:rPr>
            </w:pPr>
          </w:p>
        </w:tc>
      </w:tr>
      <w:tr w:rsidR="00C84EF3" w:rsidRPr="00C84EF3" w14:paraId="33DFF3E8" w14:textId="77777777" w:rsidTr="000E1146">
        <w:trPr>
          <w:trHeight w:val="312"/>
          <w:jc w:val="center"/>
        </w:trPr>
        <w:tc>
          <w:tcPr>
            <w:tcW w:w="2835" w:type="dxa"/>
            <w:tcBorders>
              <w:top w:val="single" w:sz="4" w:space="0" w:color="FFFFFF"/>
              <w:left w:val="nil"/>
              <w:bottom w:val="single" w:sz="4" w:space="0" w:color="FFFFFF"/>
              <w:right w:val="single" w:sz="4" w:space="0" w:color="auto"/>
            </w:tcBorders>
          </w:tcPr>
          <w:p w14:paraId="5DD1E43C" w14:textId="77777777" w:rsidR="00C84EF3" w:rsidRPr="00C84EF3" w:rsidRDefault="00C84EF3" w:rsidP="00C84EF3">
            <w:pPr>
              <w:widowControl/>
              <w:tabs>
                <w:tab w:val="clear" w:pos="720"/>
              </w:tabs>
              <w:spacing w:after="0" w:line="240" w:lineRule="auto"/>
              <w:ind w:firstLine="0"/>
              <w:jc w:val="left"/>
              <w:rPr>
                <w:rFonts w:eastAsia="Calibri"/>
                <w:b/>
                <w:bCs/>
                <w:sz w:val="20"/>
                <w:szCs w:val="20"/>
              </w:rPr>
            </w:pPr>
            <w:r w:rsidRPr="00C84EF3">
              <w:rPr>
                <w:rFonts w:eastAsia="Calibri"/>
                <w:b/>
                <w:bCs/>
                <w:sz w:val="20"/>
                <w:szCs w:val="20"/>
              </w:rPr>
              <w:t xml:space="preserve">   Incomplete Letters (20)</w:t>
            </w:r>
          </w:p>
        </w:tc>
        <w:tc>
          <w:tcPr>
            <w:tcW w:w="1020" w:type="dxa"/>
            <w:tcBorders>
              <w:top w:val="single" w:sz="4" w:space="0" w:color="FFFFFF"/>
              <w:left w:val="single" w:sz="4" w:space="0" w:color="auto"/>
              <w:bottom w:val="single" w:sz="4" w:space="0" w:color="FFFFFF"/>
              <w:right w:val="single" w:sz="4" w:space="0" w:color="FFFFFF"/>
            </w:tcBorders>
          </w:tcPr>
          <w:p w14:paraId="582DB06E"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15–20</w:t>
            </w:r>
          </w:p>
        </w:tc>
        <w:tc>
          <w:tcPr>
            <w:tcW w:w="1474" w:type="dxa"/>
            <w:tcBorders>
              <w:top w:val="single" w:sz="4" w:space="0" w:color="FFFFFF"/>
              <w:left w:val="single" w:sz="4" w:space="0" w:color="FFFFFF"/>
              <w:bottom w:val="single" w:sz="4" w:space="0" w:color="FFFFFF"/>
              <w:right w:val="single" w:sz="4" w:space="0" w:color="FFFFFF"/>
            </w:tcBorders>
          </w:tcPr>
          <w:p w14:paraId="6BD6559C"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20 (18–20)</w:t>
            </w:r>
          </w:p>
        </w:tc>
        <w:tc>
          <w:tcPr>
            <w:tcW w:w="1644" w:type="dxa"/>
            <w:tcBorders>
              <w:top w:val="single" w:sz="4" w:space="0" w:color="FFFFFF"/>
              <w:left w:val="single" w:sz="4" w:space="0" w:color="FFFFFF"/>
              <w:bottom w:val="single" w:sz="4" w:space="0" w:color="FFFFFF"/>
              <w:right w:val="single" w:sz="4" w:space="0" w:color="FFFFFF"/>
            </w:tcBorders>
          </w:tcPr>
          <w:p w14:paraId="189F1FDC"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19.13 (1.16)</w:t>
            </w:r>
          </w:p>
        </w:tc>
        <w:tc>
          <w:tcPr>
            <w:tcW w:w="1361" w:type="dxa"/>
            <w:tcBorders>
              <w:top w:val="single" w:sz="4" w:space="0" w:color="FFFFFF"/>
              <w:left w:val="single" w:sz="4" w:space="0" w:color="FFFFFF"/>
              <w:bottom w:val="single" w:sz="4" w:space="0" w:color="FFFFFF"/>
              <w:right w:val="single" w:sz="4" w:space="0" w:color="auto"/>
            </w:tcBorders>
          </w:tcPr>
          <w:p w14:paraId="2B95FAD6"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17</w:t>
            </w:r>
          </w:p>
        </w:tc>
        <w:tc>
          <w:tcPr>
            <w:tcW w:w="1247" w:type="dxa"/>
            <w:tcBorders>
              <w:top w:val="single" w:sz="4" w:space="0" w:color="FFFFFF"/>
              <w:left w:val="single" w:sz="4" w:space="0" w:color="auto"/>
              <w:bottom w:val="single" w:sz="4" w:space="0" w:color="FFFFFF"/>
              <w:right w:val="single" w:sz="4" w:space="0" w:color="FFFFFF"/>
            </w:tcBorders>
          </w:tcPr>
          <w:p w14:paraId="33C4BB42"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18.8 (1.4)</w:t>
            </w:r>
          </w:p>
        </w:tc>
        <w:tc>
          <w:tcPr>
            <w:tcW w:w="1361" w:type="dxa"/>
            <w:tcBorders>
              <w:top w:val="single" w:sz="4" w:space="0" w:color="FFFFFF"/>
              <w:left w:val="single" w:sz="4" w:space="0" w:color="FFFFFF"/>
              <w:bottom w:val="single" w:sz="4" w:space="0" w:color="FFFFFF"/>
              <w:right w:val="single" w:sz="4" w:space="0" w:color="auto"/>
            </w:tcBorders>
          </w:tcPr>
          <w:p w14:paraId="1D50B2D0"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16</w:t>
            </w:r>
          </w:p>
        </w:tc>
        <w:tc>
          <w:tcPr>
            <w:tcW w:w="1644" w:type="dxa"/>
            <w:tcBorders>
              <w:top w:val="single" w:sz="4" w:space="0" w:color="FFFFFF"/>
              <w:left w:val="single" w:sz="4" w:space="0" w:color="auto"/>
              <w:bottom w:val="single" w:sz="4" w:space="0" w:color="FFFFFF"/>
              <w:right w:val="single" w:sz="4" w:space="0" w:color="auto"/>
            </w:tcBorders>
          </w:tcPr>
          <w:p w14:paraId="3BE89541"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19.46 (0.73)</w:t>
            </w:r>
          </w:p>
        </w:tc>
        <w:tc>
          <w:tcPr>
            <w:tcW w:w="1474" w:type="dxa"/>
            <w:tcBorders>
              <w:top w:val="single" w:sz="4" w:space="0" w:color="FFFFFF"/>
              <w:left w:val="single" w:sz="4" w:space="0" w:color="auto"/>
              <w:bottom w:val="single" w:sz="4" w:space="0" w:color="FFFFFF"/>
              <w:right w:val="single" w:sz="4" w:space="0" w:color="FFFFFF"/>
            </w:tcBorders>
          </w:tcPr>
          <w:p w14:paraId="64B2A139"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19.14 (1.04)</w:t>
            </w:r>
          </w:p>
        </w:tc>
      </w:tr>
      <w:tr w:rsidR="00C84EF3" w:rsidRPr="00C84EF3" w14:paraId="33C00756" w14:textId="77777777" w:rsidTr="000E1146">
        <w:trPr>
          <w:trHeight w:val="312"/>
          <w:jc w:val="center"/>
        </w:trPr>
        <w:tc>
          <w:tcPr>
            <w:tcW w:w="2835" w:type="dxa"/>
            <w:tcBorders>
              <w:top w:val="single" w:sz="4" w:space="0" w:color="FFFFFF"/>
              <w:left w:val="nil"/>
              <w:bottom w:val="single" w:sz="4" w:space="0" w:color="FFFFFF"/>
              <w:right w:val="single" w:sz="4" w:space="0" w:color="auto"/>
            </w:tcBorders>
          </w:tcPr>
          <w:p w14:paraId="319CC9D9" w14:textId="77777777" w:rsidR="00C84EF3" w:rsidRPr="00C84EF3" w:rsidRDefault="00C84EF3" w:rsidP="00C84EF3">
            <w:pPr>
              <w:widowControl/>
              <w:tabs>
                <w:tab w:val="clear" w:pos="720"/>
              </w:tabs>
              <w:spacing w:after="0" w:line="240" w:lineRule="auto"/>
              <w:ind w:firstLine="0"/>
              <w:jc w:val="left"/>
              <w:rPr>
                <w:rFonts w:eastAsia="Calibri"/>
                <w:b/>
                <w:bCs/>
                <w:sz w:val="20"/>
                <w:szCs w:val="20"/>
              </w:rPr>
            </w:pPr>
            <w:r w:rsidRPr="00C84EF3">
              <w:rPr>
                <w:rFonts w:eastAsia="Calibri"/>
                <w:b/>
                <w:bCs/>
                <w:sz w:val="20"/>
                <w:szCs w:val="20"/>
              </w:rPr>
              <w:t xml:space="preserve">   Silhouettes (30)</w:t>
            </w:r>
          </w:p>
        </w:tc>
        <w:tc>
          <w:tcPr>
            <w:tcW w:w="1020" w:type="dxa"/>
            <w:tcBorders>
              <w:top w:val="single" w:sz="4" w:space="0" w:color="FFFFFF"/>
              <w:left w:val="single" w:sz="4" w:space="0" w:color="auto"/>
              <w:bottom w:val="single" w:sz="4" w:space="0" w:color="FFFFFF"/>
              <w:right w:val="single" w:sz="4" w:space="0" w:color="FFFFFF"/>
            </w:tcBorders>
          </w:tcPr>
          <w:p w14:paraId="66F85702"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8–26</w:t>
            </w:r>
          </w:p>
        </w:tc>
        <w:tc>
          <w:tcPr>
            <w:tcW w:w="1474" w:type="dxa"/>
            <w:tcBorders>
              <w:top w:val="single" w:sz="4" w:space="0" w:color="FFFFFF"/>
              <w:left w:val="single" w:sz="4" w:space="0" w:color="FFFFFF"/>
              <w:bottom w:val="single" w:sz="4" w:space="0" w:color="FFFFFF"/>
              <w:right w:val="single" w:sz="4" w:space="0" w:color="FFFFFF"/>
            </w:tcBorders>
          </w:tcPr>
          <w:p w14:paraId="602EC503"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18 (16–21)</w:t>
            </w:r>
          </w:p>
        </w:tc>
        <w:tc>
          <w:tcPr>
            <w:tcW w:w="1644" w:type="dxa"/>
            <w:tcBorders>
              <w:top w:val="single" w:sz="4" w:space="0" w:color="FFFFFF"/>
              <w:left w:val="single" w:sz="4" w:space="0" w:color="FFFFFF"/>
              <w:bottom w:val="single" w:sz="4" w:space="0" w:color="FFFFFF"/>
              <w:right w:val="single" w:sz="4" w:space="0" w:color="FFFFFF"/>
            </w:tcBorders>
          </w:tcPr>
          <w:p w14:paraId="7D48E365"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17.85 (3.89)</w:t>
            </w:r>
          </w:p>
        </w:tc>
        <w:tc>
          <w:tcPr>
            <w:tcW w:w="1361" w:type="dxa"/>
            <w:tcBorders>
              <w:top w:val="single" w:sz="4" w:space="0" w:color="FFFFFF"/>
              <w:left w:val="single" w:sz="4" w:space="0" w:color="FFFFFF"/>
              <w:bottom w:val="single" w:sz="4" w:space="0" w:color="FFFFFF"/>
              <w:right w:val="single" w:sz="4" w:space="0" w:color="auto"/>
            </w:tcBorders>
          </w:tcPr>
          <w:p w14:paraId="70489BB0"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11</w:t>
            </w:r>
          </w:p>
        </w:tc>
        <w:tc>
          <w:tcPr>
            <w:tcW w:w="1247" w:type="dxa"/>
            <w:tcBorders>
              <w:top w:val="single" w:sz="4" w:space="0" w:color="FFFFFF"/>
              <w:left w:val="single" w:sz="4" w:space="0" w:color="auto"/>
              <w:bottom w:val="single" w:sz="4" w:space="0" w:color="FFFFFF"/>
              <w:right w:val="single" w:sz="4" w:space="0" w:color="FFFFFF"/>
            </w:tcBorders>
          </w:tcPr>
          <w:p w14:paraId="2C89B4D6"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22.2 (4.0)</w:t>
            </w:r>
          </w:p>
        </w:tc>
        <w:tc>
          <w:tcPr>
            <w:tcW w:w="1361" w:type="dxa"/>
            <w:tcBorders>
              <w:top w:val="single" w:sz="4" w:space="0" w:color="FFFFFF"/>
              <w:left w:val="single" w:sz="4" w:space="0" w:color="FFFFFF"/>
              <w:bottom w:val="single" w:sz="4" w:space="0" w:color="FFFFFF"/>
              <w:right w:val="single" w:sz="4" w:space="0" w:color="auto"/>
            </w:tcBorders>
          </w:tcPr>
          <w:p w14:paraId="39EB3FFF"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15</w:t>
            </w:r>
          </w:p>
        </w:tc>
        <w:tc>
          <w:tcPr>
            <w:tcW w:w="1644" w:type="dxa"/>
            <w:tcBorders>
              <w:top w:val="single" w:sz="4" w:space="0" w:color="FFFFFF"/>
              <w:left w:val="single" w:sz="4" w:space="0" w:color="auto"/>
              <w:bottom w:val="single" w:sz="4" w:space="0" w:color="FFFFFF"/>
              <w:right w:val="single" w:sz="4" w:space="0" w:color="auto"/>
            </w:tcBorders>
          </w:tcPr>
          <w:p w14:paraId="1102F3B4"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20.40 (3.77)</w:t>
            </w:r>
          </w:p>
        </w:tc>
        <w:tc>
          <w:tcPr>
            <w:tcW w:w="1474" w:type="dxa"/>
            <w:tcBorders>
              <w:top w:val="single" w:sz="4" w:space="0" w:color="FFFFFF"/>
              <w:left w:val="single" w:sz="4" w:space="0" w:color="auto"/>
              <w:bottom w:val="single" w:sz="4" w:space="0" w:color="FFFFFF"/>
              <w:right w:val="single" w:sz="4" w:space="0" w:color="FFFFFF"/>
            </w:tcBorders>
          </w:tcPr>
          <w:p w14:paraId="394C009B"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19.74 (4.26)</w:t>
            </w:r>
          </w:p>
        </w:tc>
      </w:tr>
      <w:tr w:rsidR="00C84EF3" w:rsidRPr="00C84EF3" w14:paraId="5ACF2C5F" w14:textId="77777777" w:rsidTr="000E1146">
        <w:trPr>
          <w:trHeight w:val="312"/>
          <w:jc w:val="center"/>
        </w:trPr>
        <w:tc>
          <w:tcPr>
            <w:tcW w:w="2835" w:type="dxa"/>
            <w:tcBorders>
              <w:top w:val="single" w:sz="4" w:space="0" w:color="FFFFFF"/>
              <w:left w:val="nil"/>
              <w:bottom w:val="single" w:sz="4" w:space="0" w:color="FFFFFF"/>
              <w:right w:val="single" w:sz="4" w:space="0" w:color="auto"/>
            </w:tcBorders>
          </w:tcPr>
          <w:p w14:paraId="68E63D97" w14:textId="77777777" w:rsidR="00C84EF3" w:rsidRPr="00C84EF3" w:rsidRDefault="00C84EF3" w:rsidP="00C84EF3">
            <w:pPr>
              <w:widowControl/>
              <w:tabs>
                <w:tab w:val="clear" w:pos="720"/>
              </w:tabs>
              <w:spacing w:after="0" w:line="240" w:lineRule="auto"/>
              <w:ind w:firstLine="0"/>
              <w:jc w:val="left"/>
              <w:rPr>
                <w:rFonts w:eastAsia="Calibri"/>
                <w:b/>
                <w:bCs/>
                <w:sz w:val="20"/>
                <w:szCs w:val="20"/>
              </w:rPr>
            </w:pPr>
            <w:r w:rsidRPr="00C84EF3">
              <w:rPr>
                <w:rFonts w:eastAsia="Calibri"/>
                <w:b/>
                <w:bCs/>
                <w:sz w:val="20"/>
                <w:szCs w:val="20"/>
              </w:rPr>
              <w:t xml:space="preserve">   Object Decision (20)</w:t>
            </w:r>
          </w:p>
        </w:tc>
        <w:tc>
          <w:tcPr>
            <w:tcW w:w="1020" w:type="dxa"/>
            <w:tcBorders>
              <w:top w:val="single" w:sz="4" w:space="0" w:color="FFFFFF"/>
              <w:left w:val="single" w:sz="4" w:space="0" w:color="auto"/>
              <w:bottom w:val="single" w:sz="4" w:space="0" w:color="FFFFFF"/>
              <w:right w:val="single" w:sz="4" w:space="0" w:color="FFFFFF"/>
            </w:tcBorders>
          </w:tcPr>
          <w:p w14:paraId="63D5B168"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7–20</w:t>
            </w:r>
          </w:p>
        </w:tc>
        <w:tc>
          <w:tcPr>
            <w:tcW w:w="1474" w:type="dxa"/>
            <w:tcBorders>
              <w:top w:val="single" w:sz="4" w:space="0" w:color="FFFFFF"/>
              <w:left w:val="single" w:sz="4" w:space="0" w:color="FFFFFF"/>
              <w:bottom w:val="single" w:sz="4" w:space="0" w:color="FFFFFF"/>
              <w:right w:val="single" w:sz="4" w:space="0" w:color="FFFFFF"/>
            </w:tcBorders>
          </w:tcPr>
          <w:p w14:paraId="1803BDAC"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16 (14–17)</w:t>
            </w:r>
          </w:p>
        </w:tc>
        <w:tc>
          <w:tcPr>
            <w:tcW w:w="1644" w:type="dxa"/>
            <w:tcBorders>
              <w:top w:val="single" w:sz="4" w:space="0" w:color="FFFFFF"/>
              <w:left w:val="single" w:sz="4" w:space="0" w:color="FFFFFF"/>
              <w:bottom w:val="single" w:sz="4" w:space="0" w:color="FFFFFF"/>
              <w:right w:val="single" w:sz="4" w:space="0" w:color="FFFFFF"/>
            </w:tcBorders>
          </w:tcPr>
          <w:p w14:paraId="62902F9F"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15.13 (2.62)</w:t>
            </w:r>
          </w:p>
        </w:tc>
        <w:tc>
          <w:tcPr>
            <w:tcW w:w="1361" w:type="dxa"/>
            <w:tcBorders>
              <w:top w:val="single" w:sz="4" w:space="0" w:color="FFFFFF"/>
              <w:left w:val="single" w:sz="4" w:space="0" w:color="FFFFFF"/>
              <w:bottom w:val="single" w:sz="4" w:space="0" w:color="FFFFFF"/>
              <w:right w:val="single" w:sz="4" w:space="0" w:color="auto"/>
            </w:tcBorders>
          </w:tcPr>
          <w:p w14:paraId="507FD32F"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9</w:t>
            </w:r>
          </w:p>
        </w:tc>
        <w:tc>
          <w:tcPr>
            <w:tcW w:w="1247" w:type="dxa"/>
            <w:tcBorders>
              <w:top w:val="single" w:sz="4" w:space="0" w:color="FFFFFF"/>
              <w:left w:val="single" w:sz="4" w:space="0" w:color="auto"/>
              <w:bottom w:val="single" w:sz="4" w:space="0" w:color="FFFFFF"/>
              <w:right w:val="single" w:sz="4" w:space="0" w:color="FFFFFF"/>
            </w:tcBorders>
          </w:tcPr>
          <w:p w14:paraId="52D5858B"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17.7 (1.9)</w:t>
            </w:r>
          </w:p>
        </w:tc>
        <w:tc>
          <w:tcPr>
            <w:tcW w:w="1361" w:type="dxa"/>
            <w:tcBorders>
              <w:top w:val="single" w:sz="4" w:space="0" w:color="FFFFFF"/>
              <w:left w:val="single" w:sz="4" w:space="0" w:color="FFFFFF"/>
              <w:bottom w:val="single" w:sz="4" w:space="0" w:color="FFFFFF"/>
              <w:right w:val="single" w:sz="4" w:space="0" w:color="auto"/>
            </w:tcBorders>
          </w:tcPr>
          <w:p w14:paraId="64710CAC"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14</w:t>
            </w:r>
          </w:p>
        </w:tc>
        <w:tc>
          <w:tcPr>
            <w:tcW w:w="1644" w:type="dxa"/>
            <w:tcBorders>
              <w:top w:val="single" w:sz="4" w:space="0" w:color="FFFFFF"/>
              <w:left w:val="single" w:sz="4" w:space="0" w:color="auto"/>
              <w:bottom w:val="single" w:sz="4" w:space="0" w:color="FFFFFF"/>
              <w:right w:val="single" w:sz="4" w:space="0" w:color="auto"/>
            </w:tcBorders>
          </w:tcPr>
          <w:p w14:paraId="600000E4"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17.54 (1.89)</w:t>
            </w:r>
          </w:p>
        </w:tc>
        <w:tc>
          <w:tcPr>
            <w:tcW w:w="1474" w:type="dxa"/>
            <w:tcBorders>
              <w:top w:val="single" w:sz="4" w:space="0" w:color="FFFFFF"/>
              <w:left w:val="single" w:sz="4" w:space="0" w:color="auto"/>
              <w:bottom w:val="single" w:sz="4" w:space="0" w:color="FFFFFF"/>
              <w:right w:val="single" w:sz="4" w:space="0" w:color="FFFFFF"/>
            </w:tcBorders>
          </w:tcPr>
          <w:p w14:paraId="7B2F25EF"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16.38 (2.53)</w:t>
            </w:r>
          </w:p>
        </w:tc>
      </w:tr>
      <w:tr w:rsidR="00C84EF3" w:rsidRPr="00C84EF3" w14:paraId="01808CC7" w14:textId="77777777" w:rsidTr="000E1146">
        <w:trPr>
          <w:trHeight w:val="312"/>
          <w:jc w:val="center"/>
        </w:trPr>
        <w:tc>
          <w:tcPr>
            <w:tcW w:w="2835" w:type="dxa"/>
            <w:tcBorders>
              <w:top w:val="single" w:sz="4" w:space="0" w:color="FFFFFF"/>
              <w:left w:val="nil"/>
              <w:bottom w:val="single" w:sz="4" w:space="0" w:color="FFFFFF"/>
              <w:right w:val="single" w:sz="4" w:space="0" w:color="auto"/>
            </w:tcBorders>
          </w:tcPr>
          <w:p w14:paraId="58E61DBD" w14:textId="77777777" w:rsidR="00C84EF3" w:rsidRPr="00C84EF3" w:rsidRDefault="00C84EF3" w:rsidP="00C84EF3">
            <w:pPr>
              <w:widowControl/>
              <w:tabs>
                <w:tab w:val="clear" w:pos="720"/>
              </w:tabs>
              <w:spacing w:after="0" w:line="240" w:lineRule="auto"/>
              <w:ind w:firstLine="0"/>
              <w:jc w:val="left"/>
              <w:rPr>
                <w:rFonts w:eastAsia="Calibri"/>
                <w:b/>
                <w:bCs/>
                <w:sz w:val="20"/>
                <w:szCs w:val="20"/>
              </w:rPr>
            </w:pPr>
            <w:r w:rsidRPr="00C84EF3">
              <w:rPr>
                <w:rFonts w:eastAsia="Calibri"/>
                <w:b/>
                <w:bCs/>
                <w:sz w:val="20"/>
                <w:szCs w:val="20"/>
              </w:rPr>
              <w:t xml:space="preserve">   Progressive Silhouettes* (20)</w:t>
            </w:r>
          </w:p>
        </w:tc>
        <w:tc>
          <w:tcPr>
            <w:tcW w:w="1020" w:type="dxa"/>
            <w:tcBorders>
              <w:top w:val="single" w:sz="4" w:space="0" w:color="FFFFFF"/>
              <w:left w:val="single" w:sz="4" w:space="0" w:color="auto"/>
              <w:bottom w:val="single" w:sz="4" w:space="0" w:color="FFFFFF"/>
              <w:right w:val="single" w:sz="4" w:space="0" w:color="FFFFFF"/>
            </w:tcBorders>
          </w:tcPr>
          <w:p w14:paraId="0F0FC4B7"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5–16</w:t>
            </w:r>
          </w:p>
        </w:tc>
        <w:tc>
          <w:tcPr>
            <w:tcW w:w="1474" w:type="dxa"/>
            <w:tcBorders>
              <w:top w:val="single" w:sz="4" w:space="0" w:color="FFFFFF"/>
              <w:left w:val="single" w:sz="4" w:space="0" w:color="FFFFFF"/>
              <w:bottom w:val="single" w:sz="4" w:space="0" w:color="FFFFFF"/>
              <w:right w:val="single" w:sz="4" w:space="0" w:color="FFFFFF"/>
            </w:tcBorders>
          </w:tcPr>
          <w:p w14:paraId="6AFA46EB"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11 (9–13)</w:t>
            </w:r>
          </w:p>
        </w:tc>
        <w:tc>
          <w:tcPr>
            <w:tcW w:w="1644" w:type="dxa"/>
            <w:tcBorders>
              <w:top w:val="single" w:sz="4" w:space="0" w:color="FFFFFF"/>
              <w:left w:val="single" w:sz="4" w:space="0" w:color="FFFFFF"/>
              <w:bottom w:val="single" w:sz="4" w:space="0" w:color="FFFFFF"/>
              <w:right w:val="single" w:sz="4" w:space="0" w:color="FFFFFF"/>
            </w:tcBorders>
          </w:tcPr>
          <w:p w14:paraId="1E7F862E"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10.95 (2.86)</w:t>
            </w:r>
          </w:p>
        </w:tc>
        <w:tc>
          <w:tcPr>
            <w:tcW w:w="1361" w:type="dxa"/>
            <w:tcBorders>
              <w:top w:val="single" w:sz="4" w:space="0" w:color="FFFFFF"/>
              <w:left w:val="single" w:sz="4" w:space="0" w:color="FFFFFF"/>
              <w:bottom w:val="single" w:sz="4" w:space="0" w:color="FFFFFF"/>
              <w:right w:val="single" w:sz="4" w:space="0" w:color="auto"/>
            </w:tcBorders>
          </w:tcPr>
          <w:p w14:paraId="1D4B6044"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15</w:t>
            </w:r>
          </w:p>
        </w:tc>
        <w:tc>
          <w:tcPr>
            <w:tcW w:w="1247" w:type="dxa"/>
            <w:tcBorders>
              <w:top w:val="single" w:sz="4" w:space="0" w:color="FFFFFF"/>
              <w:left w:val="single" w:sz="4" w:space="0" w:color="auto"/>
              <w:bottom w:val="single" w:sz="4" w:space="0" w:color="FFFFFF"/>
              <w:right w:val="single" w:sz="4" w:space="0" w:color="FFFFFF"/>
            </w:tcBorders>
          </w:tcPr>
          <w:p w14:paraId="6FB8C41A"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10.8 (2.5)</w:t>
            </w:r>
          </w:p>
        </w:tc>
        <w:tc>
          <w:tcPr>
            <w:tcW w:w="1361" w:type="dxa"/>
            <w:tcBorders>
              <w:top w:val="single" w:sz="4" w:space="0" w:color="FFFFFF"/>
              <w:left w:val="single" w:sz="4" w:space="0" w:color="FFFFFF"/>
              <w:bottom w:val="single" w:sz="4" w:space="0" w:color="FFFFFF"/>
              <w:right w:val="single" w:sz="4" w:space="0" w:color="auto"/>
            </w:tcBorders>
          </w:tcPr>
          <w:p w14:paraId="1E480A84"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15</w:t>
            </w:r>
          </w:p>
        </w:tc>
        <w:tc>
          <w:tcPr>
            <w:tcW w:w="1644" w:type="dxa"/>
            <w:tcBorders>
              <w:top w:val="single" w:sz="4" w:space="0" w:color="FFFFFF"/>
              <w:left w:val="single" w:sz="4" w:space="0" w:color="auto"/>
              <w:bottom w:val="single" w:sz="4" w:space="0" w:color="FFFFFF"/>
              <w:right w:val="single" w:sz="4" w:space="0" w:color="auto"/>
            </w:tcBorders>
          </w:tcPr>
          <w:p w14:paraId="4CC8212D"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9.62 (2.20)</w:t>
            </w:r>
          </w:p>
        </w:tc>
        <w:tc>
          <w:tcPr>
            <w:tcW w:w="1474" w:type="dxa"/>
            <w:tcBorders>
              <w:top w:val="single" w:sz="4" w:space="0" w:color="FFFFFF"/>
              <w:left w:val="single" w:sz="4" w:space="0" w:color="auto"/>
              <w:bottom w:val="single" w:sz="4" w:space="0" w:color="FFFFFF"/>
              <w:right w:val="single" w:sz="4" w:space="0" w:color="FFFFFF"/>
            </w:tcBorders>
          </w:tcPr>
          <w:p w14:paraId="34AD902B"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10.89 (2.55)</w:t>
            </w:r>
          </w:p>
        </w:tc>
      </w:tr>
      <w:tr w:rsidR="00C84EF3" w:rsidRPr="00C84EF3" w14:paraId="0F124445" w14:textId="77777777" w:rsidTr="000E1146">
        <w:trPr>
          <w:trHeight w:val="312"/>
          <w:jc w:val="center"/>
        </w:trPr>
        <w:tc>
          <w:tcPr>
            <w:tcW w:w="2835" w:type="dxa"/>
            <w:tcBorders>
              <w:top w:val="single" w:sz="4" w:space="0" w:color="FFFFFF"/>
              <w:left w:val="nil"/>
              <w:bottom w:val="single" w:sz="4" w:space="0" w:color="FFFFFF"/>
              <w:right w:val="single" w:sz="4" w:space="0" w:color="auto"/>
            </w:tcBorders>
            <w:shd w:val="clear" w:color="auto" w:fill="auto"/>
          </w:tcPr>
          <w:p w14:paraId="3BA568E3" w14:textId="77777777" w:rsidR="00C84EF3" w:rsidRPr="00C84EF3" w:rsidRDefault="00C84EF3" w:rsidP="00C84EF3">
            <w:pPr>
              <w:widowControl/>
              <w:tabs>
                <w:tab w:val="clear" w:pos="720"/>
              </w:tabs>
              <w:spacing w:after="0" w:line="240" w:lineRule="auto"/>
              <w:ind w:firstLine="0"/>
              <w:jc w:val="left"/>
              <w:rPr>
                <w:rFonts w:eastAsia="Calibri"/>
                <w:b/>
                <w:bCs/>
                <w:sz w:val="20"/>
                <w:szCs w:val="20"/>
              </w:rPr>
            </w:pPr>
            <w:r w:rsidRPr="00C84EF3">
              <w:rPr>
                <w:rFonts w:eastAsia="Calibri"/>
                <w:b/>
                <w:bCs/>
                <w:sz w:val="20"/>
                <w:szCs w:val="20"/>
              </w:rPr>
              <w:t>Space Perception</w:t>
            </w:r>
          </w:p>
        </w:tc>
        <w:tc>
          <w:tcPr>
            <w:tcW w:w="1020" w:type="dxa"/>
            <w:tcBorders>
              <w:top w:val="single" w:sz="4" w:space="0" w:color="FFFFFF"/>
              <w:left w:val="single" w:sz="4" w:space="0" w:color="auto"/>
              <w:bottom w:val="single" w:sz="4" w:space="0" w:color="FFFFFF"/>
              <w:right w:val="single" w:sz="4" w:space="0" w:color="FFFFFF"/>
            </w:tcBorders>
            <w:shd w:val="clear" w:color="auto" w:fill="auto"/>
          </w:tcPr>
          <w:p w14:paraId="53B5A7F4" w14:textId="77777777" w:rsidR="00C84EF3" w:rsidRPr="00C84EF3" w:rsidRDefault="00C84EF3" w:rsidP="00C84EF3">
            <w:pPr>
              <w:widowControl/>
              <w:tabs>
                <w:tab w:val="clear" w:pos="720"/>
              </w:tabs>
              <w:spacing w:after="0" w:line="240" w:lineRule="auto"/>
              <w:ind w:firstLine="0"/>
              <w:jc w:val="center"/>
              <w:rPr>
                <w:rFonts w:eastAsia="Calibri"/>
                <w:sz w:val="20"/>
                <w:szCs w:val="20"/>
              </w:rPr>
            </w:pPr>
          </w:p>
        </w:tc>
        <w:tc>
          <w:tcPr>
            <w:tcW w:w="1474" w:type="dxa"/>
            <w:tcBorders>
              <w:top w:val="single" w:sz="4" w:space="0" w:color="FFFFFF"/>
              <w:left w:val="single" w:sz="4" w:space="0" w:color="FFFFFF"/>
              <w:bottom w:val="single" w:sz="4" w:space="0" w:color="FFFFFF"/>
              <w:right w:val="single" w:sz="4" w:space="0" w:color="FFFFFF"/>
            </w:tcBorders>
            <w:shd w:val="clear" w:color="auto" w:fill="auto"/>
          </w:tcPr>
          <w:p w14:paraId="7AF918A0" w14:textId="77777777" w:rsidR="00C84EF3" w:rsidRPr="00C84EF3" w:rsidRDefault="00C84EF3" w:rsidP="00C84EF3">
            <w:pPr>
              <w:widowControl/>
              <w:tabs>
                <w:tab w:val="clear" w:pos="720"/>
              </w:tabs>
              <w:spacing w:after="0" w:line="240" w:lineRule="auto"/>
              <w:ind w:firstLine="0"/>
              <w:jc w:val="center"/>
              <w:rPr>
                <w:rFonts w:eastAsia="Calibri"/>
                <w:sz w:val="20"/>
                <w:szCs w:val="20"/>
              </w:rPr>
            </w:pPr>
          </w:p>
        </w:tc>
        <w:tc>
          <w:tcPr>
            <w:tcW w:w="1644" w:type="dxa"/>
            <w:tcBorders>
              <w:top w:val="single" w:sz="4" w:space="0" w:color="FFFFFF"/>
              <w:left w:val="single" w:sz="4" w:space="0" w:color="FFFFFF"/>
              <w:bottom w:val="single" w:sz="4" w:space="0" w:color="FFFFFF"/>
              <w:right w:val="single" w:sz="4" w:space="0" w:color="FFFFFF"/>
            </w:tcBorders>
            <w:shd w:val="clear" w:color="auto" w:fill="auto"/>
          </w:tcPr>
          <w:p w14:paraId="41329BED" w14:textId="77777777" w:rsidR="00C84EF3" w:rsidRPr="00C84EF3" w:rsidRDefault="00C84EF3" w:rsidP="00C84EF3">
            <w:pPr>
              <w:widowControl/>
              <w:tabs>
                <w:tab w:val="clear" w:pos="720"/>
              </w:tabs>
              <w:spacing w:after="0" w:line="240" w:lineRule="auto"/>
              <w:ind w:firstLine="0"/>
              <w:jc w:val="center"/>
              <w:rPr>
                <w:rFonts w:eastAsia="Calibri"/>
                <w:sz w:val="20"/>
                <w:szCs w:val="20"/>
              </w:rPr>
            </w:pPr>
          </w:p>
        </w:tc>
        <w:tc>
          <w:tcPr>
            <w:tcW w:w="1361" w:type="dxa"/>
            <w:tcBorders>
              <w:top w:val="single" w:sz="4" w:space="0" w:color="FFFFFF"/>
              <w:left w:val="single" w:sz="4" w:space="0" w:color="FFFFFF"/>
              <w:bottom w:val="single" w:sz="4" w:space="0" w:color="FFFFFF"/>
              <w:right w:val="single" w:sz="4" w:space="0" w:color="auto"/>
            </w:tcBorders>
            <w:shd w:val="clear" w:color="auto" w:fill="auto"/>
          </w:tcPr>
          <w:p w14:paraId="4D9498DB" w14:textId="77777777" w:rsidR="00C84EF3" w:rsidRPr="00C84EF3" w:rsidRDefault="00C84EF3" w:rsidP="00C84EF3">
            <w:pPr>
              <w:widowControl/>
              <w:tabs>
                <w:tab w:val="clear" w:pos="720"/>
              </w:tabs>
              <w:spacing w:after="0" w:line="240" w:lineRule="auto"/>
              <w:ind w:firstLine="0"/>
              <w:jc w:val="center"/>
              <w:rPr>
                <w:rFonts w:eastAsia="Calibri"/>
                <w:sz w:val="20"/>
                <w:szCs w:val="20"/>
              </w:rPr>
            </w:pPr>
          </w:p>
        </w:tc>
        <w:tc>
          <w:tcPr>
            <w:tcW w:w="1247" w:type="dxa"/>
            <w:tcBorders>
              <w:top w:val="single" w:sz="4" w:space="0" w:color="FFFFFF"/>
              <w:left w:val="single" w:sz="4" w:space="0" w:color="auto"/>
              <w:bottom w:val="single" w:sz="4" w:space="0" w:color="FFFFFF"/>
              <w:right w:val="single" w:sz="4" w:space="0" w:color="FFFFFF"/>
            </w:tcBorders>
            <w:shd w:val="clear" w:color="auto" w:fill="auto"/>
          </w:tcPr>
          <w:p w14:paraId="58B8E784" w14:textId="77777777" w:rsidR="00C84EF3" w:rsidRPr="00C84EF3" w:rsidRDefault="00C84EF3" w:rsidP="00C84EF3">
            <w:pPr>
              <w:widowControl/>
              <w:tabs>
                <w:tab w:val="clear" w:pos="720"/>
              </w:tabs>
              <w:spacing w:after="0" w:line="240" w:lineRule="auto"/>
              <w:ind w:firstLine="0"/>
              <w:jc w:val="center"/>
              <w:rPr>
                <w:rFonts w:eastAsia="Calibri"/>
                <w:sz w:val="20"/>
                <w:szCs w:val="20"/>
              </w:rPr>
            </w:pPr>
          </w:p>
        </w:tc>
        <w:tc>
          <w:tcPr>
            <w:tcW w:w="1361" w:type="dxa"/>
            <w:tcBorders>
              <w:top w:val="single" w:sz="4" w:space="0" w:color="FFFFFF"/>
              <w:left w:val="single" w:sz="4" w:space="0" w:color="FFFFFF"/>
              <w:bottom w:val="single" w:sz="4" w:space="0" w:color="FFFFFF"/>
              <w:right w:val="single" w:sz="4" w:space="0" w:color="auto"/>
            </w:tcBorders>
            <w:shd w:val="clear" w:color="auto" w:fill="auto"/>
          </w:tcPr>
          <w:p w14:paraId="4896AA9D" w14:textId="77777777" w:rsidR="00C84EF3" w:rsidRPr="00C84EF3" w:rsidRDefault="00C84EF3" w:rsidP="00C84EF3">
            <w:pPr>
              <w:widowControl/>
              <w:tabs>
                <w:tab w:val="clear" w:pos="720"/>
              </w:tabs>
              <w:spacing w:after="0" w:line="240" w:lineRule="auto"/>
              <w:ind w:firstLine="0"/>
              <w:jc w:val="center"/>
              <w:rPr>
                <w:rFonts w:eastAsia="Calibri"/>
                <w:sz w:val="20"/>
                <w:szCs w:val="20"/>
              </w:rPr>
            </w:pPr>
          </w:p>
        </w:tc>
        <w:tc>
          <w:tcPr>
            <w:tcW w:w="1644" w:type="dxa"/>
            <w:tcBorders>
              <w:top w:val="single" w:sz="4" w:space="0" w:color="FFFFFF"/>
              <w:left w:val="single" w:sz="4" w:space="0" w:color="auto"/>
              <w:bottom w:val="single" w:sz="4" w:space="0" w:color="FFFFFF"/>
              <w:right w:val="single" w:sz="4" w:space="0" w:color="auto"/>
            </w:tcBorders>
            <w:shd w:val="clear" w:color="auto" w:fill="auto"/>
          </w:tcPr>
          <w:p w14:paraId="571C25F2" w14:textId="77777777" w:rsidR="00C84EF3" w:rsidRPr="00C84EF3" w:rsidRDefault="00C84EF3" w:rsidP="00C84EF3">
            <w:pPr>
              <w:widowControl/>
              <w:tabs>
                <w:tab w:val="clear" w:pos="720"/>
              </w:tabs>
              <w:spacing w:after="0" w:line="240" w:lineRule="auto"/>
              <w:ind w:firstLine="0"/>
              <w:jc w:val="center"/>
              <w:rPr>
                <w:rFonts w:eastAsia="Calibri"/>
                <w:sz w:val="20"/>
                <w:szCs w:val="20"/>
              </w:rPr>
            </w:pPr>
          </w:p>
        </w:tc>
        <w:tc>
          <w:tcPr>
            <w:tcW w:w="1474" w:type="dxa"/>
            <w:tcBorders>
              <w:top w:val="single" w:sz="4" w:space="0" w:color="FFFFFF"/>
              <w:left w:val="single" w:sz="4" w:space="0" w:color="auto"/>
              <w:bottom w:val="single" w:sz="4" w:space="0" w:color="FFFFFF"/>
              <w:right w:val="single" w:sz="4" w:space="0" w:color="FFFFFF"/>
            </w:tcBorders>
            <w:shd w:val="clear" w:color="auto" w:fill="auto"/>
          </w:tcPr>
          <w:p w14:paraId="6DE897BE" w14:textId="77777777" w:rsidR="00C84EF3" w:rsidRPr="00C84EF3" w:rsidRDefault="00C84EF3" w:rsidP="00C84EF3">
            <w:pPr>
              <w:widowControl/>
              <w:tabs>
                <w:tab w:val="clear" w:pos="720"/>
              </w:tabs>
              <w:spacing w:after="0" w:line="240" w:lineRule="auto"/>
              <w:ind w:firstLine="0"/>
              <w:jc w:val="center"/>
              <w:rPr>
                <w:rFonts w:eastAsia="Calibri"/>
                <w:sz w:val="20"/>
                <w:szCs w:val="20"/>
              </w:rPr>
            </w:pPr>
          </w:p>
        </w:tc>
      </w:tr>
      <w:tr w:rsidR="00C84EF3" w:rsidRPr="00C84EF3" w14:paraId="0E9E2F6D" w14:textId="77777777" w:rsidTr="000E1146">
        <w:trPr>
          <w:trHeight w:val="312"/>
          <w:jc w:val="center"/>
        </w:trPr>
        <w:tc>
          <w:tcPr>
            <w:tcW w:w="2835" w:type="dxa"/>
            <w:tcBorders>
              <w:top w:val="single" w:sz="4" w:space="0" w:color="FFFFFF"/>
              <w:left w:val="nil"/>
              <w:bottom w:val="single" w:sz="4" w:space="0" w:color="FFFFFF"/>
              <w:right w:val="single" w:sz="4" w:space="0" w:color="auto"/>
            </w:tcBorders>
          </w:tcPr>
          <w:p w14:paraId="4AD1C270" w14:textId="77777777" w:rsidR="00C84EF3" w:rsidRPr="00C84EF3" w:rsidRDefault="00C84EF3" w:rsidP="00C84EF3">
            <w:pPr>
              <w:widowControl/>
              <w:tabs>
                <w:tab w:val="clear" w:pos="720"/>
              </w:tabs>
              <w:spacing w:after="0" w:line="240" w:lineRule="auto"/>
              <w:ind w:firstLine="0"/>
              <w:jc w:val="left"/>
              <w:rPr>
                <w:rFonts w:eastAsia="Calibri"/>
                <w:b/>
                <w:bCs/>
                <w:sz w:val="20"/>
                <w:szCs w:val="20"/>
              </w:rPr>
            </w:pPr>
            <w:r w:rsidRPr="00C84EF3">
              <w:rPr>
                <w:rFonts w:eastAsia="Calibri"/>
                <w:b/>
                <w:bCs/>
                <w:sz w:val="20"/>
                <w:szCs w:val="20"/>
              </w:rPr>
              <w:t xml:space="preserve">   Dot Counting (10)</w:t>
            </w:r>
          </w:p>
        </w:tc>
        <w:tc>
          <w:tcPr>
            <w:tcW w:w="1020" w:type="dxa"/>
            <w:tcBorders>
              <w:top w:val="single" w:sz="4" w:space="0" w:color="FFFFFF"/>
              <w:left w:val="single" w:sz="4" w:space="0" w:color="auto"/>
              <w:bottom w:val="single" w:sz="4" w:space="0" w:color="FFFFFF"/>
              <w:right w:val="single" w:sz="4" w:space="0" w:color="FFFFFF"/>
            </w:tcBorders>
          </w:tcPr>
          <w:p w14:paraId="6C1D2571"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9–10</w:t>
            </w:r>
          </w:p>
        </w:tc>
        <w:tc>
          <w:tcPr>
            <w:tcW w:w="1474" w:type="dxa"/>
            <w:tcBorders>
              <w:top w:val="single" w:sz="4" w:space="0" w:color="FFFFFF"/>
              <w:left w:val="single" w:sz="4" w:space="0" w:color="FFFFFF"/>
              <w:bottom w:val="single" w:sz="4" w:space="0" w:color="FFFFFF"/>
              <w:right w:val="single" w:sz="4" w:space="0" w:color="FFFFFF"/>
            </w:tcBorders>
          </w:tcPr>
          <w:p w14:paraId="35324953"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10 (9–10)</w:t>
            </w:r>
          </w:p>
        </w:tc>
        <w:tc>
          <w:tcPr>
            <w:tcW w:w="1644" w:type="dxa"/>
            <w:tcBorders>
              <w:top w:val="single" w:sz="4" w:space="0" w:color="FFFFFF"/>
              <w:left w:val="single" w:sz="4" w:space="0" w:color="FFFFFF"/>
              <w:bottom w:val="single" w:sz="4" w:space="0" w:color="FFFFFF"/>
              <w:right w:val="single" w:sz="4" w:space="0" w:color="FFFFFF"/>
            </w:tcBorders>
          </w:tcPr>
          <w:p w14:paraId="6533D6EF"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9.75 (0.44)</w:t>
            </w:r>
          </w:p>
        </w:tc>
        <w:tc>
          <w:tcPr>
            <w:tcW w:w="1361" w:type="dxa"/>
            <w:tcBorders>
              <w:top w:val="single" w:sz="4" w:space="0" w:color="FFFFFF"/>
              <w:left w:val="single" w:sz="4" w:space="0" w:color="FFFFFF"/>
              <w:bottom w:val="single" w:sz="4" w:space="0" w:color="FFFFFF"/>
              <w:right w:val="single" w:sz="4" w:space="0" w:color="auto"/>
            </w:tcBorders>
          </w:tcPr>
          <w:p w14:paraId="10C96A3D"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9</w:t>
            </w:r>
          </w:p>
        </w:tc>
        <w:tc>
          <w:tcPr>
            <w:tcW w:w="1247" w:type="dxa"/>
            <w:tcBorders>
              <w:top w:val="single" w:sz="4" w:space="0" w:color="FFFFFF"/>
              <w:left w:val="single" w:sz="4" w:space="0" w:color="auto"/>
              <w:bottom w:val="single" w:sz="4" w:space="0" w:color="FFFFFF"/>
              <w:right w:val="single" w:sz="4" w:space="0" w:color="FFFFFF"/>
            </w:tcBorders>
          </w:tcPr>
          <w:p w14:paraId="19FD70B7"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9.9 (0.2)</w:t>
            </w:r>
          </w:p>
        </w:tc>
        <w:tc>
          <w:tcPr>
            <w:tcW w:w="1361" w:type="dxa"/>
            <w:tcBorders>
              <w:top w:val="single" w:sz="4" w:space="0" w:color="FFFFFF"/>
              <w:left w:val="single" w:sz="4" w:space="0" w:color="FFFFFF"/>
              <w:bottom w:val="single" w:sz="4" w:space="0" w:color="FFFFFF"/>
              <w:right w:val="single" w:sz="4" w:space="0" w:color="auto"/>
            </w:tcBorders>
          </w:tcPr>
          <w:p w14:paraId="2AD9EC0E"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8</w:t>
            </w:r>
          </w:p>
        </w:tc>
        <w:tc>
          <w:tcPr>
            <w:tcW w:w="1644" w:type="dxa"/>
            <w:tcBorders>
              <w:top w:val="single" w:sz="4" w:space="0" w:color="FFFFFF"/>
              <w:left w:val="single" w:sz="4" w:space="0" w:color="auto"/>
              <w:bottom w:val="single" w:sz="4" w:space="0" w:color="FFFFFF"/>
              <w:right w:val="single" w:sz="4" w:space="0" w:color="auto"/>
            </w:tcBorders>
          </w:tcPr>
          <w:p w14:paraId="0541AB2F"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9.77 (0.61)</w:t>
            </w:r>
          </w:p>
        </w:tc>
        <w:tc>
          <w:tcPr>
            <w:tcW w:w="1474" w:type="dxa"/>
            <w:tcBorders>
              <w:top w:val="single" w:sz="4" w:space="0" w:color="FFFFFF"/>
              <w:left w:val="single" w:sz="4" w:space="0" w:color="auto"/>
              <w:bottom w:val="single" w:sz="4" w:space="0" w:color="FFFFFF"/>
              <w:right w:val="single" w:sz="4" w:space="0" w:color="FFFFFF"/>
            </w:tcBorders>
          </w:tcPr>
          <w:p w14:paraId="4350D23C"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9.76 (0.50)</w:t>
            </w:r>
          </w:p>
        </w:tc>
      </w:tr>
      <w:tr w:rsidR="00C84EF3" w:rsidRPr="00C84EF3" w14:paraId="201CC8F9" w14:textId="77777777" w:rsidTr="000E1146">
        <w:trPr>
          <w:trHeight w:val="312"/>
          <w:jc w:val="center"/>
        </w:trPr>
        <w:tc>
          <w:tcPr>
            <w:tcW w:w="2835" w:type="dxa"/>
            <w:tcBorders>
              <w:top w:val="single" w:sz="4" w:space="0" w:color="FFFFFF"/>
              <w:left w:val="nil"/>
              <w:bottom w:val="single" w:sz="4" w:space="0" w:color="FFFFFF"/>
              <w:right w:val="single" w:sz="4" w:space="0" w:color="auto"/>
            </w:tcBorders>
          </w:tcPr>
          <w:p w14:paraId="658E2417" w14:textId="77777777" w:rsidR="00C84EF3" w:rsidRPr="00C84EF3" w:rsidRDefault="00C84EF3" w:rsidP="00C84EF3">
            <w:pPr>
              <w:widowControl/>
              <w:tabs>
                <w:tab w:val="clear" w:pos="720"/>
              </w:tabs>
              <w:spacing w:after="0" w:line="240" w:lineRule="auto"/>
              <w:ind w:firstLine="0"/>
              <w:jc w:val="left"/>
              <w:rPr>
                <w:rFonts w:eastAsia="Calibri"/>
                <w:b/>
                <w:bCs/>
                <w:sz w:val="20"/>
                <w:szCs w:val="20"/>
              </w:rPr>
            </w:pPr>
            <w:r w:rsidRPr="00C84EF3">
              <w:rPr>
                <w:rFonts w:eastAsia="Calibri"/>
                <w:b/>
                <w:bCs/>
                <w:sz w:val="20"/>
                <w:szCs w:val="20"/>
              </w:rPr>
              <w:t xml:space="preserve">   Position Discrimination (20)</w:t>
            </w:r>
          </w:p>
        </w:tc>
        <w:tc>
          <w:tcPr>
            <w:tcW w:w="1020" w:type="dxa"/>
            <w:tcBorders>
              <w:top w:val="single" w:sz="4" w:space="0" w:color="FFFFFF"/>
              <w:left w:val="single" w:sz="4" w:space="0" w:color="auto"/>
              <w:bottom w:val="single" w:sz="4" w:space="0" w:color="FFFFFF"/>
              <w:right w:val="single" w:sz="4" w:space="0" w:color="FFFFFF"/>
            </w:tcBorders>
          </w:tcPr>
          <w:p w14:paraId="190B68BD"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18–20</w:t>
            </w:r>
          </w:p>
        </w:tc>
        <w:tc>
          <w:tcPr>
            <w:tcW w:w="1474" w:type="dxa"/>
            <w:tcBorders>
              <w:top w:val="single" w:sz="4" w:space="0" w:color="FFFFFF"/>
              <w:left w:val="single" w:sz="4" w:space="0" w:color="FFFFFF"/>
              <w:bottom w:val="single" w:sz="4" w:space="0" w:color="FFFFFF"/>
              <w:right w:val="single" w:sz="4" w:space="0" w:color="FFFFFF"/>
            </w:tcBorders>
          </w:tcPr>
          <w:p w14:paraId="65BDE117"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20 (19–20)</w:t>
            </w:r>
          </w:p>
        </w:tc>
        <w:tc>
          <w:tcPr>
            <w:tcW w:w="1644" w:type="dxa"/>
            <w:tcBorders>
              <w:top w:val="single" w:sz="4" w:space="0" w:color="FFFFFF"/>
              <w:left w:val="single" w:sz="4" w:space="0" w:color="FFFFFF"/>
              <w:bottom w:val="single" w:sz="4" w:space="0" w:color="FFFFFF"/>
              <w:right w:val="single" w:sz="4" w:space="0" w:color="FFFFFF"/>
            </w:tcBorders>
          </w:tcPr>
          <w:p w14:paraId="407125AB"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19.63 (0.67)</w:t>
            </w:r>
          </w:p>
        </w:tc>
        <w:tc>
          <w:tcPr>
            <w:tcW w:w="1361" w:type="dxa"/>
            <w:tcBorders>
              <w:top w:val="single" w:sz="4" w:space="0" w:color="FFFFFF"/>
              <w:left w:val="single" w:sz="4" w:space="0" w:color="FFFFFF"/>
              <w:bottom w:val="single" w:sz="4" w:space="0" w:color="FFFFFF"/>
              <w:right w:val="single" w:sz="4" w:space="0" w:color="auto"/>
            </w:tcBorders>
          </w:tcPr>
          <w:p w14:paraId="4FBEE3B1"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18</w:t>
            </w:r>
          </w:p>
        </w:tc>
        <w:tc>
          <w:tcPr>
            <w:tcW w:w="1247" w:type="dxa"/>
            <w:tcBorders>
              <w:top w:val="single" w:sz="4" w:space="0" w:color="FFFFFF"/>
              <w:left w:val="single" w:sz="4" w:space="0" w:color="auto"/>
              <w:bottom w:val="single" w:sz="4" w:space="0" w:color="FFFFFF"/>
              <w:right w:val="single" w:sz="4" w:space="0" w:color="FFFFFF"/>
            </w:tcBorders>
          </w:tcPr>
          <w:p w14:paraId="6931DD95"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19.6 (0.9)</w:t>
            </w:r>
          </w:p>
        </w:tc>
        <w:tc>
          <w:tcPr>
            <w:tcW w:w="1361" w:type="dxa"/>
            <w:tcBorders>
              <w:top w:val="single" w:sz="4" w:space="0" w:color="FFFFFF"/>
              <w:left w:val="single" w:sz="4" w:space="0" w:color="FFFFFF"/>
              <w:bottom w:val="single" w:sz="4" w:space="0" w:color="FFFFFF"/>
              <w:right w:val="single" w:sz="4" w:space="0" w:color="auto"/>
            </w:tcBorders>
          </w:tcPr>
          <w:p w14:paraId="390E86A1"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18</w:t>
            </w:r>
          </w:p>
        </w:tc>
        <w:tc>
          <w:tcPr>
            <w:tcW w:w="1644" w:type="dxa"/>
            <w:tcBorders>
              <w:top w:val="single" w:sz="4" w:space="0" w:color="FFFFFF"/>
              <w:left w:val="single" w:sz="4" w:space="0" w:color="auto"/>
              <w:bottom w:val="single" w:sz="4" w:space="0" w:color="FFFFFF"/>
              <w:right w:val="single" w:sz="4" w:space="0" w:color="auto"/>
            </w:tcBorders>
          </w:tcPr>
          <w:p w14:paraId="7D4F9EBC"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19.48 (1.34)</w:t>
            </w:r>
          </w:p>
        </w:tc>
        <w:tc>
          <w:tcPr>
            <w:tcW w:w="1474" w:type="dxa"/>
            <w:tcBorders>
              <w:top w:val="single" w:sz="4" w:space="0" w:color="FFFFFF"/>
              <w:left w:val="single" w:sz="4" w:space="0" w:color="auto"/>
              <w:bottom w:val="single" w:sz="4" w:space="0" w:color="FFFFFF"/>
              <w:right w:val="single" w:sz="4" w:space="0" w:color="FFFFFF"/>
            </w:tcBorders>
          </w:tcPr>
          <w:p w14:paraId="728980BD"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19.10 (1.98)</w:t>
            </w:r>
          </w:p>
        </w:tc>
      </w:tr>
      <w:tr w:rsidR="00C84EF3" w:rsidRPr="00C84EF3" w14:paraId="00377626" w14:textId="77777777" w:rsidTr="000E1146">
        <w:trPr>
          <w:trHeight w:val="312"/>
          <w:jc w:val="center"/>
        </w:trPr>
        <w:tc>
          <w:tcPr>
            <w:tcW w:w="2835" w:type="dxa"/>
            <w:tcBorders>
              <w:top w:val="single" w:sz="4" w:space="0" w:color="FFFFFF"/>
              <w:left w:val="nil"/>
              <w:bottom w:val="single" w:sz="4" w:space="0" w:color="FFFFFF"/>
              <w:right w:val="single" w:sz="4" w:space="0" w:color="auto"/>
            </w:tcBorders>
          </w:tcPr>
          <w:p w14:paraId="0B56CB1B" w14:textId="77777777" w:rsidR="00C84EF3" w:rsidRPr="00C84EF3" w:rsidRDefault="00C84EF3" w:rsidP="00C84EF3">
            <w:pPr>
              <w:widowControl/>
              <w:tabs>
                <w:tab w:val="clear" w:pos="720"/>
              </w:tabs>
              <w:spacing w:after="0" w:line="240" w:lineRule="auto"/>
              <w:ind w:firstLine="0"/>
              <w:jc w:val="left"/>
              <w:rPr>
                <w:rFonts w:eastAsia="Calibri"/>
                <w:b/>
                <w:bCs/>
                <w:sz w:val="20"/>
                <w:szCs w:val="20"/>
              </w:rPr>
            </w:pPr>
            <w:r w:rsidRPr="00C84EF3">
              <w:rPr>
                <w:rFonts w:eastAsia="Calibri"/>
                <w:b/>
                <w:bCs/>
                <w:sz w:val="20"/>
                <w:szCs w:val="20"/>
              </w:rPr>
              <w:t xml:space="preserve">   Number Location (10)</w:t>
            </w:r>
          </w:p>
        </w:tc>
        <w:tc>
          <w:tcPr>
            <w:tcW w:w="1020" w:type="dxa"/>
            <w:tcBorders>
              <w:top w:val="single" w:sz="4" w:space="0" w:color="FFFFFF"/>
              <w:left w:val="single" w:sz="4" w:space="0" w:color="auto"/>
              <w:bottom w:val="single" w:sz="4" w:space="0" w:color="FFFFFF"/>
              <w:right w:val="single" w:sz="4" w:space="0" w:color="FFFFFF"/>
            </w:tcBorders>
          </w:tcPr>
          <w:p w14:paraId="1BBA8BB3"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3–10</w:t>
            </w:r>
          </w:p>
        </w:tc>
        <w:tc>
          <w:tcPr>
            <w:tcW w:w="1474" w:type="dxa"/>
            <w:tcBorders>
              <w:top w:val="single" w:sz="4" w:space="0" w:color="FFFFFF"/>
              <w:left w:val="single" w:sz="4" w:space="0" w:color="FFFFFF"/>
              <w:bottom w:val="single" w:sz="4" w:space="0" w:color="FFFFFF"/>
              <w:right w:val="single" w:sz="4" w:space="0" w:color="FFFFFF"/>
            </w:tcBorders>
          </w:tcPr>
          <w:p w14:paraId="5E8E110A"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10 (9–10)</w:t>
            </w:r>
          </w:p>
        </w:tc>
        <w:tc>
          <w:tcPr>
            <w:tcW w:w="1644" w:type="dxa"/>
            <w:tcBorders>
              <w:top w:val="single" w:sz="4" w:space="0" w:color="FFFFFF"/>
              <w:left w:val="single" w:sz="4" w:space="0" w:color="FFFFFF"/>
              <w:bottom w:val="single" w:sz="4" w:space="0" w:color="FFFFFF"/>
              <w:right w:val="single" w:sz="4" w:space="0" w:color="FFFFFF"/>
            </w:tcBorders>
          </w:tcPr>
          <w:p w14:paraId="0B30A39F"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9.18 (1.39)</w:t>
            </w:r>
          </w:p>
        </w:tc>
        <w:tc>
          <w:tcPr>
            <w:tcW w:w="1361" w:type="dxa"/>
            <w:tcBorders>
              <w:top w:val="single" w:sz="4" w:space="0" w:color="FFFFFF"/>
              <w:left w:val="single" w:sz="4" w:space="0" w:color="FFFFFF"/>
              <w:bottom w:val="single" w:sz="4" w:space="0" w:color="FFFFFF"/>
              <w:right w:val="single" w:sz="4" w:space="0" w:color="auto"/>
            </w:tcBorders>
          </w:tcPr>
          <w:p w14:paraId="6401CF52"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6</w:t>
            </w:r>
          </w:p>
        </w:tc>
        <w:tc>
          <w:tcPr>
            <w:tcW w:w="1247" w:type="dxa"/>
            <w:tcBorders>
              <w:top w:val="single" w:sz="4" w:space="0" w:color="FFFFFF"/>
              <w:left w:val="single" w:sz="4" w:space="0" w:color="auto"/>
              <w:bottom w:val="single" w:sz="4" w:space="0" w:color="FFFFFF"/>
              <w:right w:val="single" w:sz="4" w:space="0" w:color="FFFFFF"/>
            </w:tcBorders>
          </w:tcPr>
          <w:p w14:paraId="347B5E59"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9.4 (1.1)</w:t>
            </w:r>
          </w:p>
        </w:tc>
        <w:tc>
          <w:tcPr>
            <w:tcW w:w="1361" w:type="dxa"/>
            <w:tcBorders>
              <w:top w:val="single" w:sz="4" w:space="0" w:color="FFFFFF"/>
              <w:left w:val="single" w:sz="4" w:space="0" w:color="FFFFFF"/>
              <w:bottom w:val="single" w:sz="4" w:space="0" w:color="FFFFFF"/>
              <w:right w:val="single" w:sz="4" w:space="0" w:color="auto"/>
            </w:tcBorders>
          </w:tcPr>
          <w:p w14:paraId="7BDF42D6"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7</w:t>
            </w:r>
          </w:p>
        </w:tc>
        <w:tc>
          <w:tcPr>
            <w:tcW w:w="1644" w:type="dxa"/>
            <w:tcBorders>
              <w:top w:val="single" w:sz="4" w:space="0" w:color="FFFFFF"/>
              <w:left w:val="single" w:sz="4" w:space="0" w:color="auto"/>
              <w:bottom w:val="single" w:sz="4" w:space="0" w:color="FFFFFF"/>
              <w:right w:val="single" w:sz="4" w:space="0" w:color="auto"/>
            </w:tcBorders>
          </w:tcPr>
          <w:p w14:paraId="3F140906"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9.08 (1.31)</w:t>
            </w:r>
          </w:p>
        </w:tc>
        <w:tc>
          <w:tcPr>
            <w:tcW w:w="1474" w:type="dxa"/>
            <w:tcBorders>
              <w:top w:val="single" w:sz="4" w:space="0" w:color="FFFFFF"/>
              <w:left w:val="single" w:sz="4" w:space="0" w:color="auto"/>
              <w:bottom w:val="single" w:sz="4" w:space="0" w:color="FFFFFF"/>
              <w:right w:val="single" w:sz="4" w:space="0" w:color="FFFFFF"/>
            </w:tcBorders>
          </w:tcPr>
          <w:p w14:paraId="7EAAF9A0"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8.56 (1.77)</w:t>
            </w:r>
          </w:p>
        </w:tc>
      </w:tr>
      <w:tr w:rsidR="00C84EF3" w:rsidRPr="00C84EF3" w14:paraId="41477568" w14:textId="77777777" w:rsidTr="000E1146">
        <w:trPr>
          <w:trHeight w:val="312"/>
          <w:jc w:val="center"/>
        </w:trPr>
        <w:tc>
          <w:tcPr>
            <w:tcW w:w="2835" w:type="dxa"/>
            <w:tcBorders>
              <w:top w:val="single" w:sz="4" w:space="0" w:color="FFFFFF"/>
              <w:left w:val="nil"/>
              <w:bottom w:val="single" w:sz="4" w:space="0" w:color="auto"/>
              <w:right w:val="single" w:sz="4" w:space="0" w:color="auto"/>
            </w:tcBorders>
          </w:tcPr>
          <w:p w14:paraId="6ABC4F91" w14:textId="77777777" w:rsidR="00C84EF3" w:rsidRPr="00C84EF3" w:rsidRDefault="00C84EF3" w:rsidP="00C84EF3">
            <w:pPr>
              <w:widowControl/>
              <w:tabs>
                <w:tab w:val="clear" w:pos="720"/>
              </w:tabs>
              <w:spacing w:after="0" w:line="240" w:lineRule="auto"/>
              <w:ind w:firstLine="0"/>
              <w:jc w:val="left"/>
              <w:rPr>
                <w:rFonts w:eastAsia="Calibri"/>
                <w:b/>
                <w:bCs/>
                <w:sz w:val="20"/>
                <w:szCs w:val="20"/>
              </w:rPr>
            </w:pPr>
            <w:r w:rsidRPr="00C84EF3">
              <w:rPr>
                <w:rFonts w:eastAsia="Calibri"/>
                <w:b/>
                <w:bCs/>
                <w:sz w:val="20"/>
                <w:szCs w:val="20"/>
              </w:rPr>
              <w:t xml:space="preserve">   Cube Analysis (10)</w:t>
            </w:r>
          </w:p>
        </w:tc>
        <w:tc>
          <w:tcPr>
            <w:tcW w:w="1020" w:type="dxa"/>
            <w:tcBorders>
              <w:top w:val="single" w:sz="4" w:space="0" w:color="FFFFFF"/>
              <w:left w:val="single" w:sz="4" w:space="0" w:color="auto"/>
              <w:bottom w:val="single" w:sz="4" w:space="0" w:color="auto"/>
              <w:right w:val="single" w:sz="4" w:space="0" w:color="FFFFFF"/>
            </w:tcBorders>
          </w:tcPr>
          <w:p w14:paraId="55455D9E"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7–10</w:t>
            </w:r>
          </w:p>
        </w:tc>
        <w:tc>
          <w:tcPr>
            <w:tcW w:w="1474" w:type="dxa"/>
            <w:tcBorders>
              <w:top w:val="single" w:sz="4" w:space="0" w:color="FFFFFF"/>
              <w:left w:val="single" w:sz="4" w:space="0" w:color="FFFFFF"/>
              <w:bottom w:val="single" w:sz="4" w:space="0" w:color="auto"/>
              <w:right w:val="single" w:sz="4" w:space="0" w:color="FFFFFF"/>
            </w:tcBorders>
          </w:tcPr>
          <w:p w14:paraId="61256CDC"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9 (9–10)</w:t>
            </w:r>
          </w:p>
        </w:tc>
        <w:tc>
          <w:tcPr>
            <w:tcW w:w="1644" w:type="dxa"/>
            <w:tcBorders>
              <w:top w:val="single" w:sz="4" w:space="0" w:color="FFFFFF"/>
              <w:left w:val="single" w:sz="4" w:space="0" w:color="FFFFFF"/>
              <w:bottom w:val="single" w:sz="4" w:space="0" w:color="auto"/>
              <w:right w:val="single" w:sz="4" w:space="0" w:color="FFFFFF"/>
            </w:tcBorders>
          </w:tcPr>
          <w:p w14:paraId="73CE146D"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9.25 (0.78)</w:t>
            </w:r>
          </w:p>
        </w:tc>
        <w:tc>
          <w:tcPr>
            <w:tcW w:w="1361" w:type="dxa"/>
            <w:tcBorders>
              <w:top w:val="single" w:sz="4" w:space="0" w:color="FFFFFF"/>
              <w:left w:val="single" w:sz="4" w:space="0" w:color="FFFFFF"/>
              <w:bottom w:val="single" w:sz="4" w:space="0" w:color="auto"/>
              <w:right w:val="single" w:sz="4" w:space="0" w:color="auto"/>
            </w:tcBorders>
          </w:tcPr>
          <w:p w14:paraId="43F29800" w14:textId="77777777" w:rsidR="00C84EF3" w:rsidRPr="00C84EF3" w:rsidRDefault="00C84EF3" w:rsidP="00C84EF3">
            <w:pPr>
              <w:widowControl/>
              <w:tabs>
                <w:tab w:val="clear" w:pos="720"/>
              </w:tabs>
              <w:spacing w:after="0" w:line="240" w:lineRule="auto"/>
              <w:ind w:firstLine="0"/>
              <w:jc w:val="center"/>
              <w:rPr>
                <w:rFonts w:eastAsia="Calibri"/>
                <w:i/>
                <w:iCs/>
                <w:sz w:val="20"/>
                <w:szCs w:val="20"/>
              </w:rPr>
            </w:pPr>
            <w:r w:rsidRPr="00C84EF3">
              <w:rPr>
                <w:rFonts w:eastAsia="Calibri"/>
                <w:sz w:val="20"/>
                <w:szCs w:val="20"/>
              </w:rPr>
              <w:t>8</w:t>
            </w:r>
          </w:p>
        </w:tc>
        <w:tc>
          <w:tcPr>
            <w:tcW w:w="1247" w:type="dxa"/>
            <w:tcBorders>
              <w:top w:val="single" w:sz="4" w:space="0" w:color="FFFFFF"/>
              <w:left w:val="single" w:sz="4" w:space="0" w:color="auto"/>
              <w:bottom w:val="single" w:sz="4" w:space="0" w:color="auto"/>
              <w:right w:val="single" w:sz="4" w:space="0" w:color="FFFFFF"/>
            </w:tcBorders>
          </w:tcPr>
          <w:p w14:paraId="4CBE2253" w14:textId="77777777" w:rsidR="00C84EF3" w:rsidRPr="00C84EF3" w:rsidRDefault="00C84EF3" w:rsidP="00C84EF3">
            <w:pPr>
              <w:widowControl/>
              <w:tabs>
                <w:tab w:val="clear" w:pos="720"/>
              </w:tabs>
              <w:spacing w:after="0" w:line="240" w:lineRule="auto"/>
              <w:ind w:firstLine="0"/>
              <w:jc w:val="center"/>
              <w:rPr>
                <w:rFonts w:eastAsia="Calibri"/>
                <w:i/>
                <w:iCs/>
                <w:sz w:val="20"/>
                <w:szCs w:val="20"/>
              </w:rPr>
            </w:pPr>
            <w:r w:rsidRPr="00C84EF3">
              <w:rPr>
                <w:rFonts w:eastAsia="Calibri"/>
                <w:i/>
                <w:iCs/>
                <w:sz w:val="20"/>
                <w:szCs w:val="20"/>
              </w:rPr>
              <w:t>9.2 (1.2)</w:t>
            </w:r>
          </w:p>
        </w:tc>
        <w:tc>
          <w:tcPr>
            <w:tcW w:w="1361" w:type="dxa"/>
            <w:tcBorders>
              <w:top w:val="single" w:sz="4" w:space="0" w:color="FFFFFF"/>
              <w:left w:val="single" w:sz="4" w:space="0" w:color="FFFFFF"/>
              <w:bottom w:val="single" w:sz="4" w:space="0" w:color="auto"/>
              <w:right w:val="single" w:sz="4" w:space="0" w:color="auto"/>
            </w:tcBorders>
          </w:tcPr>
          <w:p w14:paraId="35379A54" w14:textId="77777777" w:rsidR="00C84EF3" w:rsidRPr="00C84EF3" w:rsidRDefault="00C84EF3" w:rsidP="00C84EF3">
            <w:pPr>
              <w:widowControl/>
              <w:tabs>
                <w:tab w:val="clear" w:pos="720"/>
              </w:tabs>
              <w:spacing w:after="0" w:line="240" w:lineRule="auto"/>
              <w:ind w:firstLine="0"/>
              <w:jc w:val="center"/>
              <w:rPr>
                <w:rFonts w:eastAsia="Calibri"/>
                <w:i/>
                <w:iCs/>
                <w:sz w:val="20"/>
                <w:szCs w:val="20"/>
              </w:rPr>
            </w:pPr>
            <w:r w:rsidRPr="00C84EF3">
              <w:rPr>
                <w:rFonts w:eastAsia="Calibri"/>
                <w:i/>
                <w:iCs/>
                <w:sz w:val="20"/>
                <w:szCs w:val="20"/>
              </w:rPr>
              <w:t>6</w:t>
            </w:r>
          </w:p>
        </w:tc>
        <w:tc>
          <w:tcPr>
            <w:tcW w:w="1644" w:type="dxa"/>
            <w:tcBorders>
              <w:top w:val="single" w:sz="4" w:space="0" w:color="FFFFFF"/>
              <w:left w:val="single" w:sz="4" w:space="0" w:color="auto"/>
              <w:bottom w:val="single" w:sz="4" w:space="0" w:color="auto"/>
              <w:right w:val="single" w:sz="4" w:space="0" w:color="FFFFFF"/>
            </w:tcBorders>
          </w:tcPr>
          <w:p w14:paraId="312849A1" w14:textId="77777777" w:rsidR="00C84EF3" w:rsidRPr="00C84EF3" w:rsidRDefault="00C84EF3" w:rsidP="00C84EF3">
            <w:pPr>
              <w:widowControl/>
              <w:tabs>
                <w:tab w:val="clear" w:pos="720"/>
              </w:tabs>
              <w:spacing w:after="0" w:line="240" w:lineRule="auto"/>
              <w:ind w:firstLine="0"/>
              <w:jc w:val="center"/>
              <w:rPr>
                <w:rFonts w:eastAsia="Calibri"/>
                <w:i/>
                <w:iCs/>
                <w:sz w:val="20"/>
                <w:szCs w:val="20"/>
              </w:rPr>
            </w:pPr>
            <w:r w:rsidRPr="00C84EF3">
              <w:rPr>
                <w:rFonts w:eastAsia="Calibri"/>
                <w:i/>
                <w:iCs/>
                <w:sz w:val="20"/>
                <w:szCs w:val="20"/>
              </w:rPr>
              <w:t>9.54 (0.80)</w:t>
            </w:r>
          </w:p>
        </w:tc>
        <w:tc>
          <w:tcPr>
            <w:tcW w:w="1474" w:type="dxa"/>
            <w:tcBorders>
              <w:top w:val="single" w:sz="4" w:space="0" w:color="FFFFFF"/>
              <w:left w:val="single" w:sz="4" w:space="0" w:color="FFFFFF"/>
              <w:bottom w:val="single" w:sz="4" w:space="0" w:color="auto"/>
              <w:right w:val="single" w:sz="4" w:space="0" w:color="FFFFFF"/>
            </w:tcBorders>
          </w:tcPr>
          <w:p w14:paraId="719D7968" w14:textId="77777777" w:rsidR="00C84EF3" w:rsidRPr="00C84EF3" w:rsidRDefault="00C84EF3" w:rsidP="00C84EF3">
            <w:pPr>
              <w:widowControl/>
              <w:tabs>
                <w:tab w:val="clear" w:pos="720"/>
              </w:tabs>
              <w:spacing w:after="0" w:line="240" w:lineRule="auto"/>
              <w:ind w:firstLine="0"/>
              <w:jc w:val="center"/>
              <w:rPr>
                <w:rFonts w:eastAsia="Calibri"/>
                <w:i/>
                <w:iCs/>
                <w:sz w:val="20"/>
                <w:szCs w:val="20"/>
              </w:rPr>
            </w:pPr>
            <w:r w:rsidRPr="00C84EF3">
              <w:rPr>
                <w:rFonts w:eastAsia="Calibri"/>
                <w:i/>
                <w:iCs/>
                <w:sz w:val="20"/>
                <w:szCs w:val="20"/>
              </w:rPr>
              <w:t>8.57 (1.89)</w:t>
            </w:r>
          </w:p>
        </w:tc>
      </w:tr>
    </w:tbl>
    <w:p w14:paraId="3CB28D52" w14:textId="77777777" w:rsidR="00C84EF3" w:rsidRDefault="00C84EF3" w:rsidP="00C84EF3">
      <w:pPr>
        <w:widowControl/>
        <w:tabs>
          <w:tab w:val="clear" w:pos="720"/>
        </w:tabs>
        <w:spacing w:after="0" w:line="259" w:lineRule="auto"/>
        <w:ind w:firstLine="0"/>
        <w:jc w:val="left"/>
        <w:rPr>
          <w:rFonts w:eastAsia="Times New Roman"/>
          <w:sz w:val="20"/>
          <w:szCs w:val="20"/>
        </w:rPr>
      </w:pPr>
      <w:r w:rsidRPr="00C84EF3">
        <w:rPr>
          <w:rFonts w:eastAsia="Calibri"/>
          <w:i/>
          <w:iCs/>
          <w:sz w:val="20"/>
          <w:szCs w:val="20"/>
        </w:rPr>
        <w:t>Note.</w:t>
      </w:r>
      <w:r w:rsidRPr="00C84EF3">
        <w:rPr>
          <w:rFonts w:eastAsia="Calibri"/>
          <w:b/>
          <w:bCs/>
          <w:sz w:val="20"/>
          <w:szCs w:val="20"/>
        </w:rPr>
        <w:t xml:space="preserve"> * </w:t>
      </w:r>
      <w:r w:rsidRPr="00C84EF3">
        <w:rPr>
          <w:rFonts w:eastAsia="Calibri"/>
          <w:sz w:val="20"/>
          <w:szCs w:val="20"/>
        </w:rPr>
        <w:t>Lower scores for Progressive Silhouettes indicate better performance.</w:t>
      </w:r>
      <w:r w:rsidRPr="00C84EF3">
        <w:rPr>
          <w:rFonts w:eastAsia="Times New Roman"/>
          <w:sz w:val="20"/>
          <w:szCs w:val="20"/>
        </w:rPr>
        <w:t xml:space="preserve"> IQR, interquartile range; SD, standard deviation</w:t>
      </w:r>
    </w:p>
    <w:p w14:paraId="5A0D71D1" w14:textId="77777777" w:rsidR="00C84EF3" w:rsidRDefault="00C84EF3" w:rsidP="00C84EF3">
      <w:pPr>
        <w:widowControl/>
        <w:tabs>
          <w:tab w:val="clear" w:pos="720"/>
        </w:tabs>
        <w:spacing w:after="0" w:line="259" w:lineRule="auto"/>
        <w:ind w:firstLine="0"/>
        <w:jc w:val="left"/>
        <w:rPr>
          <w:rFonts w:eastAsia="Times New Roman"/>
          <w:sz w:val="20"/>
          <w:szCs w:val="20"/>
        </w:rPr>
      </w:pPr>
    </w:p>
    <w:p w14:paraId="7A6433EC" w14:textId="77777777" w:rsidR="00C84EF3" w:rsidRDefault="00C84EF3" w:rsidP="00C84EF3">
      <w:pPr>
        <w:widowControl/>
        <w:tabs>
          <w:tab w:val="clear" w:pos="720"/>
        </w:tabs>
        <w:spacing w:after="0" w:line="259" w:lineRule="auto"/>
        <w:ind w:firstLine="0"/>
        <w:jc w:val="left"/>
        <w:rPr>
          <w:rFonts w:eastAsia="Times New Roman"/>
          <w:sz w:val="20"/>
          <w:szCs w:val="20"/>
        </w:rPr>
      </w:pPr>
    </w:p>
    <w:p w14:paraId="4682385A" w14:textId="77777777" w:rsidR="00C84EF3" w:rsidRDefault="00C84EF3" w:rsidP="00C84EF3">
      <w:pPr>
        <w:widowControl/>
        <w:tabs>
          <w:tab w:val="clear" w:pos="720"/>
        </w:tabs>
        <w:spacing w:after="0" w:line="259" w:lineRule="auto"/>
        <w:ind w:firstLine="0"/>
        <w:jc w:val="left"/>
        <w:rPr>
          <w:rFonts w:eastAsia="Times New Roman"/>
          <w:sz w:val="20"/>
          <w:szCs w:val="20"/>
        </w:rPr>
      </w:pPr>
    </w:p>
    <w:p w14:paraId="23BC1311" w14:textId="77777777" w:rsidR="00C84EF3" w:rsidRDefault="00C84EF3" w:rsidP="00C84EF3">
      <w:pPr>
        <w:widowControl/>
        <w:tabs>
          <w:tab w:val="clear" w:pos="720"/>
        </w:tabs>
        <w:spacing w:after="0" w:line="259" w:lineRule="auto"/>
        <w:ind w:firstLine="0"/>
        <w:jc w:val="left"/>
        <w:rPr>
          <w:rFonts w:eastAsia="Times New Roman"/>
          <w:sz w:val="20"/>
          <w:szCs w:val="20"/>
        </w:rPr>
      </w:pPr>
    </w:p>
    <w:p w14:paraId="48B5E699" w14:textId="77777777" w:rsidR="00C84EF3" w:rsidRDefault="00C84EF3" w:rsidP="00C84EF3">
      <w:pPr>
        <w:widowControl/>
        <w:tabs>
          <w:tab w:val="clear" w:pos="720"/>
        </w:tabs>
        <w:spacing w:after="0" w:line="259" w:lineRule="auto"/>
        <w:ind w:firstLine="0"/>
        <w:jc w:val="left"/>
        <w:rPr>
          <w:rFonts w:eastAsia="Times New Roman"/>
          <w:sz w:val="20"/>
          <w:szCs w:val="20"/>
        </w:rPr>
      </w:pPr>
    </w:p>
    <w:p w14:paraId="4370DFEC" w14:textId="77777777" w:rsidR="00C84EF3" w:rsidRDefault="00C84EF3" w:rsidP="00C84EF3">
      <w:pPr>
        <w:widowControl/>
        <w:tabs>
          <w:tab w:val="clear" w:pos="720"/>
        </w:tabs>
        <w:spacing w:after="0" w:line="259" w:lineRule="auto"/>
        <w:ind w:firstLine="0"/>
        <w:jc w:val="left"/>
        <w:rPr>
          <w:rFonts w:eastAsia="Times New Roman"/>
          <w:sz w:val="20"/>
          <w:szCs w:val="20"/>
        </w:rPr>
      </w:pPr>
    </w:p>
    <w:p w14:paraId="4AD12511" w14:textId="77777777" w:rsidR="00C84EF3" w:rsidRDefault="00C84EF3" w:rsidP="00C84EF3">
      <w:pPr>
        <w:widowControl/>
        <w:tabs>
          <w:tab w:val="clear" w:pos="720"/>
        </w:tabs>
        <w:spacing w:after="0" w:line="259" w:lineRule="auto"/>
        <w:ind w:firstLine="0"/>
        <w:jc w:val="left"/>
        <w:rPr>
          <w:rFonts w:eastAsia="Times New Roman"/>
          <w:sz w:val="20"/>
          <w:szCs w:val="20"/>
        </w:rPr>
      </w:pPr>
    </w:p>
    <w:p w14:paraId="7DA63FB6" w14:textId="77777777" w:rsidR="00C84EF3" w:rsidRDefault="00C84EF3" w:rsidP="00C84EF3">
      <w:pPr>
        <w:widowControl/>
        <w:tabs>
          <w:tab w:val="clear" w:pos="720"/>
        </w:tabs>
        <w:spacing w:after="0" w:line="259" w:lineRule="auto"/>
        <w:ind w:firstLine="0"/>
        <w:jc w:val="left"/>
        <w:rPr>
          <w:rFonts w:eastAsia="Times New Roman"/>
          <w:sz w:val="20"/>
          <w:szCs w:val="20"/>
        </w:rPr>
      </w:pPr>
    </w:p>
    <w:p w14:paraId="58A49B0C" w14:textId="77777777" w:rsidR="00C84EF3" w:rsidRDefault="00C84EF3" w:rsidP="00C84EF3">
      <w:pPr>
        <w:widowControl/>
        <w:tabs>
          <w:tab w:val="clear" w:pos="720"/>
        </w:tabs>
        <w:spacing w:after="0" w:line="259" w:lineRule="auto"/>
        <w:ind w:firstLine="0"/>
        <w:jc w:val="left"/>
        <w:rPr>
          <w:rFonts w:eastAsia="Times New Roman"/>
          <w:sz w:val="20"/>
          <w:szCs w:val="20"/>
        </w:rPr>
      </w:pPr>
    </w:p>
    <w:p w14:paraId="64F04692" w14:textId="77777777" w:rsidR="00C84EF3" w:rsidRDefault="00C84EF3" w:rsidP="00C84EF3">
      <w:pPr>
        <w:widowControl/>
        <w:tabs>
          <w:tab w:val="clear" w:pos="720"/>
        </w:tabs>
        <w:spacing w:after="0" w:line="259" w:lineRule="auto"/>
        <w:ind w:firstLine="0"/>
        <w:jc w:val="left"/>
        <w:rPr>
          <w:rFonts w:eastAsia="Times New Roman"/>
          <w:sz w:val="20"/>
          <w:szCs w:val="20"/>
        </w:rPr>
      </w:pPr>
    </w:p>
    <w:p w14:paraId="002CA9D7" w14:textId="77777777" w:rsidR="00C84EF3" w:rsidRDefault="00C84EF3" w:rsidP="00C84EF3">
      <w:pPr>
        <w:widowControl/>
        <w:tabs>
          <w:tab w:val="clear" w:pos="720"/>
        </w:tabs>
        <w:spacing w:after="0" w:line="259" w:lineRule="auto"/>
        <w:ind w:firstLine="0"/>
        <w:jc w:val="left"/>
        <w:rPr>
          <w:rFonts w:eastAsia="Times New Roman"/>
          <w:sz w:val="20"/>
          <w:szCs w:val="20"/>
        </w:rPr>
      </w:pPr>
    </w:p>
    <w:p w14:paraId="2268E9D9" w14:textId="77777777" w:rsidR="00C84EF3" w:rsidRPr="00B2401D" w:rsidRDefault="00C84EF3" w:rsidP="00C84EF3">
      <w:pPr>
        <w:widowControl/>
        <w:tabs>
          <w:tab w:val="clear" w:pos="720"/>
        </w:tabs>
        <w:spacing w:after="0" w:line="259" w:lineRule="auto"/>
        <w:ind w:firstLine="0"/>
        <w:jc w:val="left"/>
        <w:rPr>
          <w:rFonts w:eastAsia="Times New Roman" w:cstheme="minorBidi" w:hint="cs"/>
          <w:sz w:val="20"/>
          <w:szCs w:val="20"/>
        </w:rPr>
      </w:pPr>
    </w:p>
    <w:p w14:paraId="4F3C6F3E" w14:textId="77777777" w:rsidR="00C84EF3" w:rsidRPr="00C84EF3" w:rsidRDefault="00C84EF3" w:rsidP="00C84EF3">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b/>
          <w:bCs/>
        </w:rPr>
      </w:pPr>
      <w:r w:rsidRPr="00C84EF3">
        <w:rPr>
          <w:rFonts w:eastAsia="Times New Roman"/>
          <w:b/>
          <w:bCs/>
        </w:rPr>
        <w:lastRenderedPageBreak/>
        <w:t xml:space="preserve">Table 3 </w:t>
      </w:r>
    </w:p>
    <w:p w14:paraId="5C846F6B" w14:textId="77777777" w:rsidR="00C84EF3" w:rsidRPr="00C84EF3" w:rsidRDefault="00C84EF3" w:rsidP="00C84EF3">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i/>
          <w:iCs/>
        </w:rPr>
      </w:pPr>
      <w:r w:rsidRPr="00C84EF3">
        <w:rPr>
          <w:rFonts w:eastAsia="Times New Roman"/>
          <w:i/>
          <w:iCs/>
        </w:rPr>
        <w:t>Summary of univariate analysis of VOSP subtest scores and demographic characteristics</w:t>
      </w:r>
    </w:p>
    <w:p w14:paraId="5FB34A2A" w14:textId="77777777" w:rsidR="00C84EF3" w:rsidRPr="00C84EF3" w:rsidRDefault="00C84EF3" w:rsidP="00C84EF3">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i/>
          <w:iCs/>
        </w:rPr>
      </w:pPr>
    </w:p>
    <w:tbl>
      <w:tblPr>
        <w:tblStyle w:val="TableGrid"/>
        <w:tblW w:w="11282" w:type="dxa"/>
        <w:tblLayout w:type="fixed"/>
        <w:tblLook w:val="04A0" w:firstRow="1" w:lastRow="0" w:firstColumn="1" w:lastColumn="0" w:noHBand="0" w:noVBand="1"/>
      </w:tblPr>
      <w:tblGrid>
        <w:gridCol w:w="1134"/>
        <w:gridCol w:w="1077"/>
        <w:gridCol w:w="1247"/>
        <w:gridCol w:w="1531"/>
        <w:gridCol w:w="1247"/>
        <w:gridCol w:w="1531"/>
        <w:gridCol w:w="1757"/>
        <w:gridCol w:w="1758"/>
      </w:tblGrid>
      <w:tr w:rsidR="00C84EF3" w:rsidRPr="00C84EF3" w14:paraId="5B049ABB" w14:textId="77777777" w:rsidTr="000E1146">
        <w:trPr>
          <w:trHeight w:val="454"/>
        </w:trPr>
        <w:tc>
          <w:tcPr>
            <w:tcW w:w="2211" w:type="dxa"/>
            <w:gridSpan w:val="2"/>
            <w:vMerge w:val="restart"/>
            <w:tcBorders>
              <w:top w:val="single" w:sz="4" w:space="0" w:color="auto"/>
              <w:left w:val="single" w:sz="4" w:space="0" w:color="FFFFFF"/>
              <w:right w:val="single" w:sz="4" w:space="0" w:color="FFFFFF"/>
            </w:tcBorders>
            <w:shd w:val="clear" w:color="auto" w:fill="auto"/>
            <w:vAlign w:val="center"/>
          </w:tcPr>
          <w:p w14:paraId="7C31157B"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p>
        </w:tc>
        <w:tc>
          <w:tcPr>
            <w:tcW w:w="2778" w:type="dxa"/>
            <w:gridSpan w:val="2"/>
            <w:tcBorders>
              <w:top w:val="single" w:sz="4" w:space="0" w:color="000000"/>
              <w:left w:val="single" w:sz="4" w:space="0" w:color="FFFFFF"/>
              <w:bottom w:val="single" w:sz="4" w:space="0" w:color="FFFFFF"/>
              <w:right w:val="single" w:sz="4" w:space="0" w:color="FFFFFF"/>
            </w:tcBorders>
            <w:shd w:val="clear" w:color="auto" w:fill="auto"/>
            <w:vAlign w:val="center"/>
          </w:tcPr>
          <w:p w14:paraId="021202ED"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r w:rsidRPr="00C84EF3">
              <w:rPr>
                <w:rFonts w:eastAsia="Calibri"/>
                <w:b/>
                <w:bCs/>
                <w:sz w:val="20"/>
                <w:szCs w:val="20"/>
              </w:rPr>
              <w:t>Silhouettes (30)</w:t>
            </w:r>
          </w:p>
        </w:tc>
        <w:tc>
          <w:tcPr>
            <w:tcW w:w="2778" w:type="dxa"/>
            <w:gridSpan w:val="2"/>
            <w:tcBorders>
              <w:top w:val="single" w:sz="4" w:space="0" w:color="000000"/>
              <w:left w:val="single" w:sz="4" w:space="0" w:color="FFFFFF"/>
              <w:bottom w:val="single" w:sz="4" w:space="0" w:color="FFFFFF"/>
              <w:right w:val="single" w:sz="4" w:space="0" w:color="FFFFFF"/>
            </w:tcBorders>
            <w:vAlign w:val="center"/>
          </w:tcPr>
          <w:p w14:paraId="0806FFAA"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r w:rsidRPr="00C84EF3">
              <w:rPr>
                <w:rFonts w:eastAsia="Calibri"/>
                <w:b/>
                <w:bCs/>
                <w:sz w:val="20"/>
                <w:szCs w:val="20"/>
              </w:rPr>
              <w:t>Progressive Silhouettes* (20)</w:t>
            </w:r>
          </w:p>
        </w:tc>
        <w:tc>
          <w:tcPr>
            <w:tcW w:w="3515" w:type="dxa"/>
            <w:gridSpan w:val="2"/>
            <w:tcBorders>
              <w:top w:val="single" w:sz="4" w:space="0" w:color="000000"/>
              <w:left w:val="single" w:sz="4" w:space="0" w:color="FFFFFF"/>
              <w:bottom w:val="single" w:sz="4" w:space="0" w:color="FFFFFF"/>
              <w:right w:val="single" w:sz="4" w:space="0" w:color="FFFFFF"/>
            </w:tcBorders>
            <w:shd w:val="clear" w:color="auto" w:fill="auto"/>
            <w:vAlign w:val="center"/>
          </w:tcPr>
          <w:p w14:paraId="0F8ACDC4"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r w:rsidRPr="00C84EF3">
              <w:rPr>
                <w:rFonts w:eastAsia="Calibri"/>
                <w:b/>
                <w:bCs/>
                <w:sz w:val="20"/>
                <w:szCs w:val="20"/>
              </w:rPr>
              <w:t>Cube analysis (20)</w:t>
            </w:r>
          </w:p>
        </w:tc>
      </w:tr>
      <w:tr w:rsidR="00C84EF3" w:rsidRPr="00C84EF3" w14:paraId="5CFBD31B" w14:textId="77777777" w:rsidTr="000E1146">
        <w:trPr>
          <w:trHeight w:val="510"/>
        </w:trPr>
        <w:tc>
          <w:tcPr>
            <w:tcW w:w="2211" w:type="dxa"/>
            <w:gridSpan w:val="2"/>
            <w:vMerge/>
            <w:tcBorders>
              <w:left w:val="single" w:sz="4" w:space="0" w:color="FFFFFF"/>
              <w:right w:val="single" w:sz="4" w:space="0" w:color="FFFFFF"/>
            </w:tcBorders>
            <w:shd w:val="clear" w:color="auto" w:fill="auto"/>
          </w:tcPr>
          <w:p w14:paraId="5AB0CDEA"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p>
        </w:tc>
        <w:tc>
          <w:tcPr>
            <w:tcW w:w="1247" w:type="dxa"/>
            <w:tcBorders>
              <w:top w:val="single" w:sz="4" w:space="0" w:color="FFFFFF"/>
              <w:left w:val="single" w:sz="4" w:space="0" w:color="FFFFFF"/>
              <w:bottom w:val="nil"/>
              <w:right w:val="single" w:sz="4" w:space="0" w:color="FFFFFF"/>
            </w:tcBorders>
            <w:shd w:val="clear" w:color="auto" w:fill="auto"/>
          </w:tcPr>
          <w:p w14:paraId="4BD86139"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r w:rsidRPr="00C84EF3">
              <w:rPr>
                <w:rFonts w:eastAsia="Calibri"/>
                <w:b/>
                <w:bCs/>
                <w:sz w:val="20"/>
                <w:szCs w:val="20"/>
              </w:rPr>
              <w:t>Mean (SD)</w:t>
            </w:r>
          </w:p>
        </w:tc>
        <w:tc>
          <w:tcPr>
            <w:tcW w:w="1531" w:type="dxa"/>
            <w:tcBorders>
              <w:top w:val="single" w:sz="4" w:space="0" w:color="FFFFFF"/>
              <w:left w:val="single" w:sz="4" w:space="0" w:color="FFFFFF"/>
              <w:bottom w:val="single" w:sz="4" w:space="0" w:color="000000"/>
              <w:right w:val="single" w:sz="4" w:space="0" w:color="FFFFFF"/>
            </w:tcBorders>
          </w:tcPr>
          <w:p w14:paraId="4716B208"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r w:rsidRPr="00C84EF3">
              <w:rPr>
                <w:rFonts w:eastAsia="Calibri"/>
                <w:b/>
                <w:bCs/>
                <w:sz w:val="20"/>
                <w:szCs w:val="20"/>
              </w:rPr>
              <w:t>Univariate comparison</w:t>
            </w:r>
          </w:p>
        </w:tc>
        <w:tc>
          <w:tcPr>
            <w:tcW w:w="1247" w:type="dxa"/>
            <w:tcBorders>
              <w:top w:val="single" w:sz="4" w:space="0" w:color="FFFFFF"/>
              <w:left w:val="single" w:sz="4" w:space="0" w:color="FFFFFF"/>
              <w:bottom w:val="nil"/>
              <w:right w:val="single" w:sz="4" w:space="0" w:color="FFFFFF"/>
            </w:tcBorders>
          </w:tcPr>
          <w:p w14:paraId="4CB8AD14"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r w:rsidRPr="00C84EF3">
              <w:rPr>
                <w:rFonts w:eastAsia="Calibri"/>
                <w:b/>
                <w:bCs/>
                <w:sz w:val="20"/>
                <w:szCs w:val="20"/>
              </w:rPr>
              <w:t>Mean (SD)</w:t>
            </w:r>
          </w:p>
        </w:tc>
        <w:tc>
          <w:tcPr>
            <w:tcW w:w="1531" w:type="dxa"/>
            <w:tcBorders>
              <w:top w:val="single" w:sz="4" w:space="0" w:color="FFFFFF"/>
              <w:left w:val="single" w:sz="4" w:space="0" w:color="FFFFFF"/>
              <w:right w:val="single" w:sz="4" w:space="0" w:color="FFFFFF"/>
            </w:tcBorders>
          </w:tcPr>
          <w:p w14:paraId="63D4BFBD"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r w:rsidRPr="00C84EF3">
              <w:rPr>
                <w:rFonts w:eastAsia="Calibri"/>
                <w:b/>
                <w:bCs/>
                <w:sz w:val="20"/>
                <w:szCs w:val="20"/>
              </w:rPr>
              <w:t>Univariate comparison</w:t>
            </w:r>
          </w:p>
        </w:tc>
        <w:tc>
          <w:tcPr>
            <w:tcW w:w="1757" w:type="dxa"/>
            <w:tcBorders>
              <w:top w:val="single" w:sz="4" w:space="0" w:color="FFFFFF"/>
              <w:left w:val="single" w:sz="4" w:space="0" w:color="FFFFFF"/>
              <w:bottom w:val="nil"/>
              <w:right w:val="single" w:sz="4" w:space="0" w:color="FFFFFF"/>
            </w:tcBorders>
            <w:shd w:val="clear" w:color="auto" w:fill="auto"/>
          </w:tcPr>
          <w:p w14:paraId="73CCAFF1"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r w:rsidRPr="00C84EF3">
              <w:rPr>
                <w:rFonts w:eastAsia="Calibri"/>
                <w:b/>
                <w:bCs/>
                <w:sz w:val="20"/>
                <w:szCs w:val="20"/>
              </w:rPr>
              <w:t>Median (IQR)</w:t>
            </w:r>
          </w:p>
        </w:tc>
        <w:tc>
          <w:tcPr>
            <w:tcW w:w="1758" w:type="dxa"/>
            <w:tcBorders>
              <w:top w:val="single" w:sz="4" w:space="0" w:color="FFFFFF"/>
              <w:left w:val="single" w:sz="4" w:space="0" w:color="FFFFFF"/>
              <w:right w:val="single" w:sz="4" w:space="0" w:color="FFFFFF"/>
            </w:tcBorders>
            <w:shd w:val="clear" w:color="auto" w:fill="auto"/>
          </w:tcPr>
          <w:p w14:paraId="0E869B2D"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r w:rsidRPr="00C84EF3">
              <w:rPr>
                <w:rFonts w:eastAsia="Calibri"/>
                <w:b/>
                <w:bCs/>
                <w:sz w:val="20"/>
                <w:szCs w:val="20"/>
              </w:rPr>
              <w:t>Univariate comparison</w:t>
            </w:r>
          </w:p>
        </w:tc>
      </w:tr>
      <w:tr w:rsidR="00C84EF3" w:rsidRPr="00C84EF3" w14:paraId="7E86CB84" w14:textId="77777777" w:rsidTr="000E1146">
        <w:trPr>
          <w:trHeight w:val="340"/>
        </w:trPr>
        <w:tc>
          <w:tcPr>
            <w:tcW w:w="2211" w:type="dxa"/>
            <w:gridSpan w:val="2"/>
            <w:vMerge/>
            <w:tcBorders>
              <w:left w:val="single" w:sz="4" w:space="0" w:color="FFFFFF"/>
              <w:bottom w:val="single" w:sz="4" w:space="0" w:color="000000"/>
              <w:right w:val="single" w:sz="4" w:space="0" w:color="FFFFFF"/>
            </w:tcBorders>
            <w:shd w:val="clear" w:color="auto" w:fill="auto"/>
          </w:tcPr>
          <w:p w14:paraId="43DE90C5"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p>
        </w:tc>
        <w:tc>
          <w:tcPr>
            <w:tcW w:w="1247" w:type="dxa"/>
            <w:tcBorders>
              <w:top w:val="nil"/>
              <w:left w:val="single" w:sz="4" w:space="0" w:color="FFFFFF"/>
              <w:bottom w:val="single" w:sz="4" w:space="0" w:color="000000"/>
              <w:right w:val="single" w:sz="4" w:space="0" w:color="FFFFFF"/>
            </w:tcBorders>
            <w:shd w:val="clear" w:color="auto" w:fill="auto"/>
          </w:tcPr>
          <w:p w14:paraId="4C64A6DD"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p>
        </w:tc>
        <w:tc>
          <w:tcPr>
            <w:tcW w:w="1531" w:type="dxa"/>
            <w:tcBorders>
              <w:top w:val="single" w:sz="4" w:space="0" w:color="FFFFFF"/>
              <w:left w:val="single" w:sz="4" w:space="0" w:color="FFFFFF"/>
              <w:bottom w:val="single" w:sz="4" w:space="0" w:color="000000"/>
              <w:right w:val="single" w:sz="4" w:space="0" w:color="FFFFFF"/>
            </w:tcBorders>
            <w:vAlign w:val="center"/>
          </w:tcPr>
          <w:p w14:paraId="4C624932"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r w:rsidRPr="00C84EF3">
              <w:rPr>
                <w:rFonts w:eastAsia="Calibri"/>
                <w:b/>
                <w:bCs/>
                <w:sz w:val="20"/>
                <w:szCs w:val="20"/>
              </w:rPr>
              <w:t>t ( p-value)</w:t>
            </w:r>
          </w:p>
        </w:tc>
        <w:tc>
          <w:tcPr>
            <w:tcW w:w="1247" w:type="dxa"/>
            <w:tcBorders>
              <w:top w:val="nil"/>
              <w:left w:val="single" w:sz="4" w:space="0" w:color="FFFFFF"/>
              <w:bottom w:val="single" w:sz="4" w:space="0" w:color="000000"/>
              <w:right w:val="single" w:sz="4" w:space="0" w:color="FFFFFF"/>
            </w:tcBorders>
          </w:tcPr>
          <w:p w14:paraId="719EE5FE"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p>
        </w:tc>
        <w:tc>
          <w:tcPr>
            <w:tcW w:w="1531" w:type="dxa"/>
            <w:tcBorders>
              <w:left w:val="single" w:sz="4" w:space="0" w:color="FFFFFF"/>
              <w:bottom w:val="single" w:sz="4" w:space="0" w:color="000000"/>
              <w:right w:val="single" w:sz="4" w:space="0" w:color="FFFFFF"/>
            </w:tcBorders>
            <w:vAlign w:val="center"/>
          </w:tcPr>
          <w:p w14:paraId="77EA3183"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r w:rsidRPr="00C84EF3">
              <w:rPr>
                <w:rFonts w:eastAsia="Calibri"/>
                <w:b/>
                <w:bCs/>
                <w:sz w:val="20"/>
                <w:szCs w:val="20"/>
              </w:rPr>
              <w:t>t ( p-value)</w:t>
            </w:r>
          </w:p>
        </w:tc>
        <w:tc>
          <w:tcPr>
            <w:tcW w:w="1757" w:type="dxa"/>
            <w:tcBorders>
              <w:top w:val="nil"/>
              <w:left w:val="single" w:sz="4" w:space="0" w:color="FFFFFF"/>
              <w:bottom w:val="single" w:sz="4" w:space="0" w:color="000000"/>
              <w:right w:val="single" w:sz="4" w:space="0" w:color="FFFFFF"/>
            </w:tcBorders>
            <w:shd w:val="clear" w:color="auto" w:fill="auto"/>
          </w:tcPr>
          <w:p w14:paraId="6E7A72B0"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p>
        </w:tc>
        <w:tc>
          <w:tcPr>
            <w:tcW w:w="1758" w:type="dxa"/>
            <w:tcBorders>
              <w:left w:val="single" w:sz="4" w:space="0" w:color="FFFFFF"/>
              <w:bottom w:val="single" w:sz="4" w:space="0" w:color="000000"/>
              <w:right w:val="single" w:sz="4" w:space="0" w:color="FFFFFF"/>
            </w:tcBorders>
            <w:shd w:val="clear" w:color="auto" w:fill="auto"/>
            <w:vAlign w:val="center"/>
          </w:tcPr>
          <w:p w14:paraId="6A8EACC4"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r w:rsidRPr="00C84EF3">
              <w:rPr>
                <w:rFonts w:eastAsia="Calibri"/>
                <w:b/>
                <w:bCs/>
                <w:sz w:val="20"/>
                <w:szCs w:val="20"/>
              </w:rPr>
              <w:t>Z score ( p-value)</w:t>
            </w:r>
          </w:p>
        </w:tc>
      </w:tr>
      <w:tr w:rsidR="00C84EF3" w:rsidRPr="00C84EF3" w14:paraId="0C61FEF4" w14:textId="77777777" w:rsidTr="000E1146">
        <w:trPr>
          <w:trHeight w:val="624"/>
        </w:trPr>
        <w:tc>
          <w:tcPr>
            <w:tcW w:w="1134" w:type="dxa"/>
            <w:tcBorders>
              <w:top w:val="single" w:sz="4" w:space="0" w:color="000000"/>
              <w:left w:val="single" w:sz="4" w:space="0" w:color="FFFFFF"/>
              <w:bottom w:val="single" w:sz="4" w:space="0" w:color="FFFFFF"/>
              <w:right w:val="single" w:sz="4" w:space="0" w:color="FFFFFF"/>
            </w:tcBorders>
          </w:tcPr>
          <w:p w14:paraId="143A91E0" w14:textId="77777777" w:rsidR="00C84EF3" w:rsidRPr="00C84EF3" w:rsidRDefault="00C84EF3" w:rsidP="00C84EF3">
            <w:pPr>
              <w:widowControl/>
              <w:tabs>
                <w:tab w:val="clear" w:pos="720"/>
              </w:tabs>
              <w:spacing w:before="60" w:after="0" w:line="240" w:lineRule="auto"/>
              <w:ind w:firstLine="0"/>
              <w:jc w:val="left"/>
              <w:rPr>
                <w:rFonts w:eastAsia="Calibri"/>
                <w:b/>
                <w:bCs/>
                <w:sz w:val="20"/>
                <w:szCs w:val="20"/>
                <w:u w:val="single"/>
              </w:rPr>
            </w:pPr>
            <w:r w:rsidRPr="00C84EF3">
              <w:rPr>
                <w:rFonts w:eastAsia="Calibri"/>
                <w:b/>
                <w:bCs/>
                <w:sz w:val="20"/>
                <w:szCs w:val="20"/>
              </w:rPr>
              <w:t>Age</w:t>
            </w:r>
          </w:p>
          <w:p w14:paraId="25FAE8DC" w14:textId="77777777" w:rsidR="00C84EF3" w:rsidRPr="00C84EF3" w:rsidRDefault="00C84EF3" w:rsidP="00C84EF3">
            <w:pPr>
              <w:widowControl/>
              <w:tabs>
                <w:tab w:val="clear" w:pos="720"/>
              </w:tabs>
              <w:spacing w:after="0" w:line="240" w:lineRule="auto"/>
              <w:ind w:firstLine="0"/>
              <w:jc w:val="left"/>
              <w:rPr>
                <w:rFonts w:eastAsia="Calibri"/>
                <w:b/>
                <w:bCs/>
                <w:sz w:val="20"/>
                <w:szCs w:val="20"/>
                <w:u w:val="single"/>
              </w:rPr>
            </w:pPr>
          </w:p>
        </w:tc>
        <w:tc>
          <w:tcPr>
            <w:tcW w:w="1077" w:type="dxa"/>
            <w:tcBorders>
              <w:top w:val="single" w:sz="4" w:space="0" w:color="000000"/>
              <w:left w:val="single" w:sz="4" w:space="0" w:color="FFFFFF"/>
              <w:bottom w:val="single" w:sz="4" w:space="0" w:color="FFFFFF"/>
              <w:right w:val="single" w:sz="4" w:space="0" w:color="FFFFFF"/>
            </w:tcBorders>
          </w:tcPr>
          <w:p w14:paraId="25C41963"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50–59</w:t>
            </w:r>
          </w:p>
          <w:p w14:paraId="6F0EC028"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60–69</w:t>
            </w:r>
          </w:p>
        </w:tc>
        <w:tc>
          <w:tcPr>
            <w:tcW w:w="1247" w:type="dxa"/>
            <w:tcBorders>
              <w:top w:val="single" w:sz="4" w:space="0" w:color="000000"/>
              <w:left w:val="single" w:sz="4" w:space="0" w:color="FFFFFF"/>
              <w:bottom w:val="single" w:sz="4" w:space="0" w:color="FFFFFF"/>
              <w:right w:val="single" w:sz="4" w:space="0" w:color="FFFFFF"/>
            </w:tcBorders>
          </w:tcPr>
          <w:p w14:paraId="23EEAC87"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19.10 (3.64)</w:t>
            </w:r>
          </w:p>
          <w:p w14:paraId="165D8366" w14:textId="77777777" w:rsidR="00C84EF3" w:rsidRPr="00C84EF3" w:rsidRDefault="00C84EF3" w:rsidP="00C84EF3">
            <w:pPr>
              <w:widowControl/>
              <w:tabs>
                <w:tab w:val="clear" w:pos="720"/>
              </w:tabs>
              <w:spacing w:after="0" w:line="240" w:lineRule="auto"/>
              <w:ind w:firstLine="0"/>
              <w:jc w:val="center"/>
              <w:rPr>
                <w:rFonts w:eastAsia="Calibri"/>
                <w:b/>
                <w:bCs/>
                <w:sz w:val="20"/>
                <w:szCs w:val="20"/>
              </w:rPr>
            </w:pPr>
            <w:r w:rsidRPr="00C84EF3">
              <w:rPr>
                <w:rFonts w:eastAsia="Calibri"/>
                <w:sz w:val="20"/>
                <w:szCs w:val="20"/>
              </w:rPr>
              <w:t>16.60 (3.80)</w:t>
            </w:r>
          </w:p>
        </w:tc>
        <w:tc>
          <w:tcPr>
            <w:tcW w:w="1531" w:type="dxa"/>
            <w:tcBorders>
              <w:top w:val="single" w:sz="4" w:space="0" w:color="000000"/>
              <w:left w:val="single" w:sz="4" w:space="0" w:color="FFFFFF"/>
              <w:bottom w:val="single" w:sz="4" w:space="0" w:color="FFFFFF"/>
              <w:right w:val="single" w:sz="4" w:space="0" w:color="FFFFFF"/>
            </w:tcBorders>
          </w:tcPr>
          <w:p w14:paraId="1C86970E"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2.12 (p = 0.04)</w:t>
            </w:r>
          </w:p>
        </w:tc>
        <w:tc>
          <w:tcPr>
            <w:tcW w:w="1247" w:type="dxa"/>
            <w:tcBorders>
              <w:top w:val="single" w:sz="4" w:space="0" w:color="000000"/>
              <w:left w:val="single" w:sz="4" w:space="0" w:color="FFFFFF"/>
              <w:bottom w:val="single" w:sz="4" w:space="0" w:color="FFFFFF"/>
              <w:right w:val="single" w:sz="4" w:space="0" w:color="FFFFFF"/>
            </w:tcBorders>
          </w:tcPr>
          <w:p w14:paraId="725DB3FF" w14:textId="77777777" w:rsidR="00C84EF3" w:rsidRPr="00C84EF3" w:rsidRDefault="00C84EF3" w:rsidP="00C84EF3">
            <w:pPr>
              <w:widowControl/>
              <w:tabs>
                <w:tab w:val="clear" w:pos="720"/>
              </w:tabs>
              <w:spacing w:before="60" w:after="0" w:line="240" w:lineRule="auto"/>
              <w:ind w:firstLine="0"/>
              <w:jc w:val="center"/>
              <w:rPr>
                <w:rFonts w:eastAsia="Calibri"/>
                <w:i/>
                <w:iCs/>
                <w:sz w:val="20"/>
                <w:szCs w:val="20"/>
              </w:rPr>
            </w:pPr>
            <w:r w:rsidRPr="00C84EF3">
              <w:rPr>
                <w:rFonts w:eastAsia="Calibri"/>
                <w:i/>
                <w:iCs/>
                <w:sz w:val="20"/>
                <w:szCs w:val="20"/>
              </w:rPr>
              <w:t>10.</w:t>
            </w:r>
            <w:r w:rsidRPr="00C84EF3">
              <w:rPr>
                <w:rFonts w:eastAsia="Calibri"/>
                <w:sz w:val="20"/>
                <w:szCs w:val="20"/>
              </w:rPr>
              <w:t>10</w:t>
            </w:r>
            <w:r w:rsidRPr="00C84EF3">
              <w:rPr>
                <w:rFonts w:eastAsia="Calibri"/>
                <w:i/>
                <w:iCs/>
                <w:sz w:val="20"/>
                <w:szCs w:val="20"/>
              </w:rPr>
              <w:t xml:space="preserve"> (2.79)</w:t>
            </w:r>
          </w:p>
          <w:p w14:paraId="0FCF3B85" w14:textId="77777777" w:rsidR="00C84EF3" w:rsidRPr="00C84EF3" w:rsidRDefault="00C84EF3" w:rsidP="00C84EF3">
            <w:pPr>
              <w:widowControl/>
              <w:tabs>
                <w:tab w:val="clear" w:pos="720"/>
              </w:tabs>
              <w:spacing w:after="0" w:line="240" w:lineRule="auto"/>
              <w:ind w:firstLine="0"/>
              <w:jc w:val="center"/>
              <w:rPr>
                <w:rFonts w:eastAsia="Calibri"/>
                <w:i/>
                <w:iCs/>
                <w:sz w:val="20"/>
                <w:szCs w:val="20"/>
              </w:rPr>
            </w:pPr>
            <w:r w:rsidRPr="00C84EF3">
              <w:rPr>
                <w:rFonts w:eastAsia="Calibri"/>
                <w:i/>
                <w:iCs/>
                <w:sz w:val="20"/>
                <w:szCs w:val="20"/>
              </w:rPr>
              <w:t>11.8 (2.75)</w:t>
            </w:r>
          </w:p>
        </w:tc>
        <w:tc>
          <w:tcPr>
            <w:tcW w:w="1531" w:type="dxa"/>
            <w:tcBorders>
              <w:top w:val="single" w:sz="4" w:space="0" w:color="000000"/>
              <w:left w:val="single" w:sz="4" w:space="0" w:color="FFFFFF"/>
              <w:bottom w:val="single" w:sz="4" w:space="0" w:color="FFFFFF"/>
              <w:right w:val="single" w:sz="4" w:space="0" w:color="FFFFFF"/>
            </w:tcBorders>
          </w:tcPr>
          <w:p w14:paraId="1C2B16CA"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-1.94 (p = 0.06)</w:t>
            </w:r>
          </w:p>
        </w:tc>
        <w:tc>
          <w:tcPr>
            <w:tcW w:w="1757" w:type="dxa"/>
            <w:tcBorders>
              <w:top w:val="single" w:sz="4" w:space="0" w:color="000000"/>
              <w:left w:val="single" w:sz="4" w:space="0" w:color="FFFFFF"/>
              <w:bottom w:val="single" w:sz="4" w:space="0" w:color="FFFFFF"/>
              <w:right w:val="single" w:sz="4" w:space="0" w:color="FFFFFF"/>
            </w:tcBorders>
          </w:tcPr>
          <w:p w14:paraId="3C160313"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9.50 (9.00–10.00)</w:t>
            </w:r>
          </w:p>
          <w:p w14:paraId="3380B284"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9.00 (9.00–10.00)</w:t>
            </w:r>
          </w:p>
        </w:tc>
        <w:tc>
          <w:tcPr>
            <w:tcW w:w="1757" w:type="dxa"/>
            <w:tcBorders>
              <w:top w:val="single" w:sz="4" w:space="0" w:color="000000"/>
              <w:left w:val="single" w:sz="4" w:space="0" w:color="FFFFFF"/>
              <w:bottom w:val="single" w:sz="4" w:space="0" w:color="FFFFFF"/>
              <w:right w:val="single" w:sz="4" w:space="0" w:color="FFFFFF"/>
            </w:tcBorders>
          </w:tcPr>
          <w:p w14:paraId="6B4D37C9"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-0.80 (p = 0.43)</w:t>
            </w:r>
          </w:p>
        </w:tc>
      </w:tr>
      <w:tr w:rsidR="00C84EF3" w:rsidRPr="00C84EF3" w14:paraId="440D02D3" w14:textId="77777777" w:rsidTr="000E1146">
        <w:trPr>
          <w:trHeight w:val="624"/>
        </w:trPr>
        <w:tc>
          <w:tcPr>
            <w:tcW w:w="1134" w:type="dxa"/>
            <w:tcBorders>
              <w:top w:val="single" w:sz="4" w:space="0" w:color="FFFFFF"/>
              <w:left w:val="single" w:sz="4" w:space="0" w:color="FFFFFF"/>
              <w:bottom w:val="single" w:sz="4" w:space="0" w:color="FFFFFF"/>
              <w:right w:val="single" w:sz="4" w:space="0" w:color="FFFFFF"/>
            </w:tcBorders>
          </w:tcPr>
          <w:p w14:paraId="267E7D88" w14:textId="77777777" w:rsidR="00C84EF3" w:rsidRPr="00C84EF3" w:rsidRDefault="00C84EF3" w:rsidP="00C84EF3">
            <w:pPr>
              <w:widowControl/>
              <w:tabs>
                <w:tab w:val="clear" w:pos="720"/>
              </w:tabs>
              <w:spacing w:before="60" w:after="0" w:line="240" w:lineRule="auto"/>
              <w:ind w:firstLine="0"/>
              <w:jc w:val="left"/>
              <w:rPr>
                <w:rFonts w:eastAsia="Calibri"/>
                <w:b/>
                <w:bCs/>
                <w:sz w:val="20"/>
                <w:szCs w:val="20"/>
              </w:rPr>
            </w:pPr>
            <w:r w:rsidRPr="00C84EF3">
              <w:rPr>
                <w:rFonts w:eastAsia="Calibri"/>
                <w:b/>
                <w:bCs/>
                <w:sz w:val="20"/>
                <w:szCs w:val="20"/>
              </w:rPr>
              <w:t>Gender</w:t>
            </w:r>
          </w:p>
          <w:p w14:paraId="5DA2884C" w14:textId="77777777" w:rsidR="00C84EF3" w:rsidRPr="00C84EF3" w:rsidRDefault="00C84EF3" w:rsidP="00C84EF3">
            <w:pPr>
              <w:widowControl/>
              <w:tabs>
                <w:tab w:val="clear" w:pos="720"/>
              </w:tabs>
              <w:spacing w:after="0" w:line="240" w:lineRule="auto"/>
              <w:ind w:firstLine="0"/>
              <w:jc w:val="left"/>
              <w:rPr>
                <w:rFonts w:eastAsia="Calibri"/>
                <w:b/>
                <w:bCs/>
                <w:sz w:val="20"/>
                <w:szCs w:val="20"/>
              </w:rPr>
            </w:pPr>
          </w:p>
        </w:tc>
        <w:tc>
          <w:tcPr>
            <w:tcW w:w="1077" w:type="dxa"/>
            <w:tcBorders>
              <w:top w:val="single" w:sz="4" w:space="0" w:color="FFFFFF"/>
              <w:left w:val="single" w:sz="4" w:space="0" w:color="FFFFFF"/>
              <w:bottom w:val="single" w:sz="4" w:space="0" w:color="FFFFFF"/>
              <w:right w:val="single" w:sz="4" w:space="0" w:color="FFFFFF"/>
            </w:tcBorders>
          </w:tcPr>
          <w:p w14:paraId="3F53A6CC"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Male</w:t>
            </w:r>
          </w:p>
          <w:p w14:paraId="0732BC20"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Female</w:t>
            </w:r>
          </w:p>
        </w:tc>
        <w:tc>
          <w:tcPr>
            <w:tcW w:w="1247" w:type="dxa"/>
            <w:tcBorders>
              <w:top w:val="single" w:sz="4" w:space="0" w:color="FFFFFF"/>
              <w:left w:val="single" w:sz="4" w:space="0" w:color="FFFFFF"/>
              <w:bottom w:val="single" w:sz="4" w:space="0" w:color="FFFFFF"/>
              <w:right w:val="single" w:sz="4" w:space="0" w:color="FFFFFF"/>
            </w:tcBorders>
          </w:tcPr>
          <w:p w14:paraId="4067CD33"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19.55 (3.24)</w:t>
            </w:r>
          </w:p>
          <w:p w14:paraId="6937F27E"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16.15 (3.80)</w:t>
            </w:r>
          </w:p>
        </w:tc>
        <w:tc>
          <w:tcPr>
            <w:tcW w:w="1531" w:type="dxa"/>
            <w:tcBorders>
              <w:top w:val="single" w:sz="4" w:space="0" w:color="FFFFFF"/>
              <w:left w:val="single" w:sz="4" w:space="0" w:color="FFFFFF"/>
              <w:bottom w:val="single" w:sz="4" w:space="0" w:color="FFFFFF"/>
              <w:right w:val="single" w:sz="4" w:space="0" w:color="FFFFFF"/>
            </w:tcBorders>
          </w:tcPr>
          <w:p w14:paraId="225ECB3B"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3.05 (p &lt; 0.01)</w:t>
            </w:r>
          </w:p>
        </w:tc>
        <w:tc>
          <w:tcPr>
            <w:tcW w:w="1247" w:type="dxa"/>
            <w:tcBorders>
              <w:top w:val="single" w:sz="4" w:space="0" w:color="FFFFFF"/>
              <w:left w:val="single" w:sz="4" w:space="0" w:color="FFFFFF"/>
              <w:bottom w:val="single" w:sz="4" w:space="0" w:color="FFFFFF"/>
              <w:right w:val="single" w:sz="4" w:space="0" w:color="FFFFFF"/>
            </w:tcBorders>
          </w:tcPr>
          <w:p w14:paraId="29A748C9" w14:textId="77777777" w:rsidR="00C84EF3" w:rsidRPr="00C84EF3" w:rsidRDefault="00C84EF3" w:rsidP="00C84EF3">
            <w:pPr>
              <w:widowControl/>
              <w:tabs>
                <w:tab w:val="clear" w:pos="720"/>
              </w:tabs>
              <w:spacing w:before="60" w:after="0" w:line="240" w:lineRule="auto"/>
              <w:ind w:firstLine="0"/>
              <w:jc w:val="center"/>
              <w:rPr>
                <w:rFonts w:eastAsia="Calibri"/>
                <w:i/>
                <w:iCs/>
                <w:sz w:val="20"/>
                <w:szCs w:val="20"/>
              </w:rPr>
            </w:pPr>
            <w:r w:rsidRPr="00C84EF3">
              <w:rPr>
                <w:rFonts w:eastAsia="Calibri"/>
                <w:i/>
                <w:iCs/>
                <w:sz w:val="20"/>
                <w:szCs w:val="20"/>
              </w:rPr>
              <w:t>9.70 (2.90)</w:t>
            </w:r>
          </w:p>
          <w:p w14:paraId="11A02342" w14:textId="77777777" w:rsidR="00C84EF3" w:rsidRPr="00C84EF3" w:rsidRDefault="00C84EF3" w:rsidP="00C84EF3">
            <w:pPr>
              <w:widowControl/>
              <w:tabs>
                <w:tab w:val="clear" w:pos="720"/>
              </w:tabs>
              <w:spacing w:after="0" w:line="240" w:lineRule="auto"/>
              <w:ind w:firstLine="0"/>
              <w:jc w:val="center"/>
              <w:rPr>
                <w:rFonts w:eastAsia="Calibri"/>
                <w:i/>
                <w:iCs/>
                <w:sz w:val="20"/>
                <w:szCs w:val="20"/>
              </w:rPr>
            </w:pPr>
            <w:r w:rsidRPr="00C84EF3">
              <w:rPr>
                <w:rFonts w:eastAsia="Calibri"/>
                <w:i/>
                <w:iCs/>
                <w:sz w:val="20"/>
                <w:szCs w:val="20"/>
              </w:rPr>
              <w:t>12.20 (2.62)</w:t>
            </w:r>
          </w:p>
        </w:tc>
        <w:tc>
          <w:tcPr>
            <w:tcW w:w="1531" w:type="dxa"/>
            <w:tcBorders>
              <w:top w:val="single" w:sz="4" w:space="0" w:color="FFFFFF"/>
              <w:left w:val="single" w:sz="4" w:space="0" w:color="FFFFFF"/>
              <w:bottom w:val="single" w:sz="4" w:space="0" w:color="FFFFFF"/>
              <w:right w:val="single" w:sz="4" w:space="0" w:color="FFFFFF"/>
            </w:tcBorders>
          </w:tcPr>
          <w:p w14:paraId="47756575"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-3.04 (p &lt; 0.01)</w:t>
            </w:r>
          </w:p>
        </w:tc>
        <w:tc>
          <w:tcPr>
            <w:tcW w:w="1757" w:type="dxa"/>
            <w:tcBorders>
              <w:top w:val="single" w:sz="4" w:space="0" w:color="FFFFFF"/>
              <w:left w:val="single" w:sz="4" w:space="0" w:color="FFFFFF"/>
              <w:bottom w:val="single" w:sz="4" w:space="0" w:color="FFFFFF"/>
              <w:right w:val="single" w:sz="4" w:space="0" w:color="FFFFFF"/>
            </w:tcBorders>
          </w:tcPr>
          <w:p w14:paraId="7DC2021B"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9.00 (9.00–10.00)</w:t>
            </w:r>
          </w:p>
          <w:p w14:paraId="16D7C663"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9.00 (9.00–10.00)</w:t>
            </w:r>
          </w:p>
        </w:tc>
        <w:tc>
          <w:tcPr>
            <w:tcW w:w="1757" w:type="dxa"/>
            <w:tcBorders>
              <w:top w:val="single" w:sz="4" w:space="0" w:color="FFFFFF"/>
              <w:left w:val="single" w:sz="4" w:space="0" w:color="FFFFFF"/>
              <w:bottom w:val="single" w:sz="4" w:space="0" w:color="FFFFFF"/>
              <w:right w:val="single" w:sz="4" w:space="0" w:color="FFFFFF"/>
            </w:tcBorders>
          </w:tcPr>
          <w:p w14:paraId="6EE2921D"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i/>
                <w:iCs/>
                <w:sz w:val="20"/>
                <w:szCs w:val="20"/>
              </w:rPr>
              <w:t>-</w:t>
            </w:r>
            <w:r w:rsidRPr="00C84EF3">
              <w:rPr>
                <w:rFonts w:eastAsia="Calibri"/>
                <w:sz w:val="20"/>
                <w:szCs w:val="20"/>
              </w:rPr>
              <w:t>0.29 (p = 0.77)</w:t>
            </w:r>
          </w:p>
          <w:p w14:paraId="050C4DB0" w14:textId="77777777" w:rsidR="00C84EF3" w:rsidRPr="00C84EF3" w:rsidRDefault="00C84EF3" w:rsidP="00C84EF3">
            <w:pPr>
              <w:widowControl/>
              <w:tabs>
                <w:tab w:val="clear" w:pos="720"/>
              </w:tabs>
              <w:spacing w:after="0" w:line="240" w:lineRule="auto"/>
              <w:ind w:firstLine="0"/>
              <w:jc w:val="center"/>
              <w:rPr>
                <w:rFonts w:eastAsia="Calibri"/>
                <w:sz w:val="20"/>
                <w:szCs w:val="20"/>
              </w:rPr>
            </w:pPr>
          </w:p>
        </w:tc>
      </w:tr>
      <w:tr w:rsidR="00C84EF3" w:rsidRPr="00C84EF3" w14:paraId="32372EF9" w14:textId="77777777" w:rsidTr="000E1146">
        <w:trPr>
          <w:trHeight w:val="624"/>
        </w:trPr>
        <w:tc>
          <w:tcPr>
            <w:tcW w:w="1134" w:type="dxa"/>
            <w:tcBorders>
              <w:top w:val="single" w:sz="4" w:space="0" w:color="FFFFFF"/>
              <w:left w:val="single" w:sz="4" w:space="0" w:color="FFFFFF"/>
              <w:bottom w:val="single" w:sz="4" w:space="0" w:color="auto"/>
              <w:right w:val="single" w:sz="4" w:space="0" w:color="FFFFFF"/>
            </w:tcBorders>
          </w:tcPr>
          <w:p w14:paraId="423220BC" w14:textId="77777777" w:rsidR="00C84EF3" w:rsidRPr="00C84EF3" w:rsidRDefault="00C84EF3" w:rsidP="00C84EF3">
            <w:pPr>
              <w:widowControl/>
              <w:tabs>
                <w:tab w:val="clear" w:pos="720"/>
              </w:tabs>
              <w:spacing w:before="60" w:after="0" w:line="240" w:lineRule="auto"/>
              <w:ind w:firstLine="0"/>
              <w:jc w:val="left"/>
              <w:rPr>
                <w:rFonts w:eastAsia="Calibri"/>
                <w:sz w:val="20"/>
                <w:szCs w:val="20"/>
                <w:cs/>
              </w:rPr>
            </w:pPr>
            <w:r w:rsidRPr="00C84EF3">
              <w:rPr>
                <w:rFonts w:eastAsia="Calibri"/>
                <w:b/>
                <w:bCs/>
                <w:sz w:val="20"/>
                <w:szCs w:val="20"/>
              </w:rPr>
              <w:t>Education</w:t>
            </w:r>
          </w:p>
        </w:tc>
        <w:tc>
          <w:tcPr>
            <w:tcW w:w="1077" w:type="dxa"/>
            <w:tcBorders>
              <w:top w:val="single" w:sz="4" w:space="0" w:color="FFFFFF"/>
              <w:left w:val="single" w:sz="4" w:space="0" w:color="FFFFFF"/>
              <w:bottom w:val="single" w:sz="4" w:space="0" w:color="auto"/>
              <w:right w:val="single" w:sz="4" w:space="0" w:color="FFFFFF"/>
            </w:tcBorders>
          </w:tcPr>
          <w:p w14:paraId="181E9C19"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 12 years</w:t>
            </w:r>
          </w:p>
          <w:p w14:paraId="69572FB7"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&gt; 12 years</w:t>
            </w:r>
          </w:p>
        </w:tc>
        <w:tc>
          <w:tcPr>
            <w:tcW w:w="1247" w:type="dxa"/>
            <w:tcBorders>
              <w:top w:val="single" w:sz="4" w:space="0" w:color="FFFFFF"/>
              <w:left w:val="single" w:sz="4" w:space="0" w:color="FFFFFF"/>
              <w:bottom w:val="single" w:sz="4" w:space="0" w:color="auto"/>
              <w:right w:val="single" w:sz="4" w:space="0" w:color="FFFFFF"/>
            </w:tcBorders>
          </w:tcPr>
          <w:p w14:paraId="50CE6801"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17.70 (4.14)</w:t>
            </w:r>
          </w:p>
          <w:p w14:paraId="1978D71E"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18.00 (3.71)</w:t>
            </w:r>
          </w:p>
        </w:tc>
        <w:tc>
          <w:tcPr>
            <w:tcW w:w="1531" w:type="dxa"/>
            <w:tcBorders>
              <w:top w:val="single" w:sz="4" w:space="0" w:color="FFFFFF"/>
              <w:left w:val="single" w:sz="4" w:space="0" w:color="FFFFFF"/>
              <w:bottom w:val="single" w:sz="4" w:space="0" w:color="auto"/>
              <w:right w:val="single" w:sz="4" w:space="0" w:color="FFFFFF"/>
            </w:tcBorders>
          </w:tcPr>
          <w:p w14:paraId="4BE14AD4"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-0.24 (p = 0.81)</w:t>
            </w:r>
          </w:p>
        </w:tc>
        <w:tc>
          <w:tcPr>
            <w:tcW w:w="1247" w:type="dxa"/>
            <w:tcBorders>
              <w:top w:val="single" w:sz="4" w:space="0" w:color="FFFFFF"/>
              <w:left w:val="single" w:sz="4" w:space="0" w:color="FFFFFF"/>
              <w:bottom w:val="single" w:sz="4" w:space="0" w:color="auto"/>
              <w:right w:val="single" w:sz="4" w:space="0" w:color="FFFFFF"/>
            </w:tcBorders>
          </w:tcPr>
          <w:p w14:paraId="1D0071F2"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11.65 (2.62)</w:t>
            </w:r>
          </w:p>
          <w:p w14:paraId="35201CF8"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10.25 (2.99)</w:t>
            </w:r>
          </w:p>
        </w:tc>
        <w:tc>
          <w:tcPr>
            <w:tcW w:w="1531" w:type="dxa"/>
            <w:tcBorders>
              <w:top w:val="single" w:sz="4" w:space="0" w:color="FFFFFF"/>
              <w:left w:val="single" w:sz="4" w:space="0" w:color="FFFFFF"/>
              <w:bottom w:val="single" w:sz="4" w:space="0" w:color="auto"/>
              <w:right w:val="single" w:sz="4" w:space="0" w:color="FFFFFF"/>
            </w:tcBorders>
          </w:tcPr>
          <w:p w14:paraId="2C041795"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1.58 (p = 0.12)</w:t>
            </w:r>
          </w:p>
        </w:tc>
        <w:tc>
          <w:tcPr>
            <w:tcW w:w="1757" w:type="dxa"/>
            <w:tcBorders>
              <w:top w:val="single" w:sz="4" w:space="0" w:color="FFFFFF"/>
              <w:left w:val="single" w:sz="4" w:space="0" w:color="FFFFFF"/>
              <w:bottom w:val="single" w:sz="4" w:space="0" w:color="auto"/>
              <w:right w:val="single" w:sz="4" w:space="0" w:color="FFFFFF"/>
            </w:tcBorders>
          </w:tcPr>
          <w:p w14:paraId="34097F87"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9.00 (9.00–9.75)</w:t>
            </w:r>
          </w:p>
          <w:p w14:paraId="6B6E340F" w14:textId="77777777" w:rsidR="00C84EF3" w:rsidRPr="00C84EF3" w:rsidRDefault="00C84EF3" w:rsidP="00C84EF3">
            <w:pPr>
              <w:widowControl/>
              <w:tabs>
                <w:tab w:val="clear" w:pos="720"/>
              </w:tabs>
              <w:spacing w:after="0" w:line="240" w:lineRule="auto"/>
              <w:ind w:firstLine="0"/>
              <w:jc w:val="center"/>
              <w:rPr>
                <w:rFonts w:eastAsia="Calibri"/>
                <w:sz w:val="20"/>
                <w:szCs w:val="20"/>
              </w:rPr>
            </w:pPr>
            <w:r w:rsidRPr="00C84EF3">
              <w:rPr>
                <w:rFonts w:eastAsia="Calibri"/>
                <w:sz w:val="20"/>
                <w:szCs w:val="20"/>
              </w:rPr>
              <w:t>10.00 (9.00–10.00)</w:t>
            </w:r>
          </w:p>
        </w:tc>
        <w:tc>
          <w:tcPr>
            <w:tcW w:w="1757" w:type="dxa"/>
            <w:tcBorders>
              <w:top w:val="single" w:sz="4" w:space="0" w:color="FFFFFF"/>
              <w:left w:val="single" w:sz="4" w:space="0" w:color="FFFFFF"/>
              <w:bottom w:val="single" w:sz="4" w:space="0" w:color="auto"/>
              <w:right w:val="single" w:sz="4" w:space="0" w:color="FFFFFF"/>
            </w:tcBorders>
          </w:tcPr>
          <w:p w14:paraId="7DD0115E" w14:textId="77777777" w:rsidR="00C84EF3" w:rsidRPr="00C84EF3" w:rsidRDefault="00C84EF3" w:rsidP="00C84EF3">
            <w:pPr>
              <w:widowControl/>
              <w:tabs>
                <w:tab w:val="clear" w:pos="720"/>
              </w:tabs>
              <w:spacing w:before="60" w:after="0" w:line="240" w:lineRule="auto"/>
              <w:ind w:firstLine="0"/>
              <w:jc w:val="center"/>
              <w:rPr>
                <w:rFonts w:eastAsia="Calibri"/>
                <w:sz w:val="20"/>
                <w:szCs w:val="20"/>
              </w:rPr>
            </w:pPr>
            <w:r w:rsidRPr="00C84EF3">
              <w:rPr>
                <w:rFonts w:eastAsia="Calibri"/>
                <w:sz w:val="20"/>
                <w:szCs w:val="20"/>
              </w:rPr>
              <w:t>-2.12 (p = 0.03)</w:t>
            </w:r>
          </w:p>
        </w:tc>
      </w:tr>
    </w:tbl>
    <w:p w14:paraId="0A11C89F" w14:textId="77777777" w:rsidR="00C84EF3" w:rsidRPr="00C84EF3" w:rsidRDefault="00C84EF3" w:rsidP="00C84EF3">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r w:rsidRPr="00C84EF3">
        <w:rPr>
          <w:rFonts w:eastAsia="Times New Roman"/>
          <w:i/>
          <w:iCs/>
          <w:sz w:val="20"/>
          <w:szCs w:val="20"/>
        </w:rPr>
        <w:t>Note.</w:t>
      </w:r>
      <w:r w:rsidRPr="00C84EF3">
        <w:rPr>
          <w:rFonts w:eastAsia="Times New Roman"/>
          <w:sz w:val="20"/>
          <w:szCs w:val="20"/>
        </w:rPr>
        <w:t xml:space="preserve"> * Lower scores for Progressive Silhouettes indicate better performance. The Silhouettes and Progressive Silhouettes subtest scores were compared using independent-samples t-test; the Cube Analysis subtest score was compares using Mann–Whitney U test; the other VOSP subtest scores were not reported in this table because the results were not statistically. IQR, interquartile range; SD, standard deviation</w:t>
      </w:r>
    </w:p>
    <w:p w14:paraId="201C7CF7" w14:textId="2256E8F3" w:rsidR="00C84EF3" w:rsidRDefault="00C84EF3" w:rsidP="00C84EF3">
      <w:pPr>
        <w:widowControl/>
        <w:tabs>
          <w:tab w:val="clear" w:pos="720"/>
        </w:tabs>
        <w:spacing w:after="0" w:line="259" w:lineRule="auto"/>
        <w:ind w:firstLine="0"/>
        <w:jc w:val="left"/>
        <w:rPr>
          <w:rFonts w:eastAsia="Calibri"/>
          <w:sz w:val="20"/>
          <w:szCs w:val="20"/>
        </w:rPr>
      </w:pPr>
    </w:p>
    <w:p w14:paraId="7B3389DD" w14:textId="033CF074" w:rsidR="00387A2E" w:rsidRDefault="00387A2E" w:rsidP="00C84EF3">
      <w:pPr>
        <w:widowControl/>
        <w:tabs>
          <w:tab w:val="clear" w:pos="720"/>
        </w:tabs>
        <w:spacing w:after="0" w:line="259" w:lineRule="auto"/>
        <w:ind w:firstLine="0"/>
        <w:jc w:val="left"/>
        <w:rPr>
          <w:rFonts w:eastAsia="Calibri"/>
          <w:sz w:val="20"/>
          <w:szCs w:val="20"/>
        </w:rPr>
      </w:pPr>
    </w:p>
    <w:p w14:paraId="53E14DB5" w14:textId="056F021C" w:rsidR="00387A2E" w:rsidRDefault="00387A2E" w:rsidP="00C84EF3">
      <w:pPr>
        <w:widowControl/>
        <w:tabs>
          <w:tab w:val="clear" w:pos="720"/>
        </w:tabs>
        <w:spacing w:after="0" w:line="259" w:lineRule="auto"/>
        <w:ind w:firstLine="0"/>
        <w:jc w:val="left"/>
        <w:rPr>
          <w:rFonts w:eastAsia="Calibri"/>
          <w:sz w:val="20"/>
          <w:szCs w:val="20"/>
        </w:rPr>
      </w:pPr>
    </w:p>
    <w:p w14:paraId="0EB09F20" w14:textId="28D555E2" w:rsidR="00387A2E" w:rsidRDefault="00387A2E" w:rsidP="00C84EF3">
      <w:pPr>
        <w:widowControl/>
        <w:tabs>
          <w:tab w:val="clear" w:pos="720"/>
        </w:tabs>
        <w:spacing w:after="0" w:line="259" w:lineRule="auto"/>
        <w:ind w:firstLine="0"/>
        <w:jc w:val="left"/>
        <w:rPr>
          <w:rFonts w:eastAsia="Calibri"/>
          <w:sz w:val="20"/>
          <w:szCs w:val="20"/>
        </w:rPr>
      </w:pPr>
    </w:p>
    <w:p w14:paraId="1B4C8EFA" w14:textId="6315D86C" w:rsidR="00387A2E" w:rsidRDefault="00387A2E" w:rsidP="00C84EF3">
      <w:pPr>
        <w:widowControl/>
        <w:tabs>
          <w:tab w:val="clear" w:pos="720"/>
        </w:tabs>
        <w:spacing w:after="0" w:line="259" w:lineRule="auto"/>
        <w:ind w:firstLine="0"/>
        <w:jc w:val="left"/>
        <w:rPr>
          <w:rFonts w:eastAsia="Calibri"/>
          <w:sz w:val="20"/>
          <w:szCs w:val="20"/>
        </w:rPr>
      </w:pPr>
    </w:p>
    <w:p w14:paraId="581C8BA3" w14:textId="5A25D557" w:rsidR="00387A2E" w:rsidRDefault="00387A2E" w:rsidP="00C84EF3">
      <w:pPr>
        <w:widowControl/>
        <w:tabs>
          <w:tab w:val="clear" w:pos="720"/>
        </w:tabs>
        <w:spacing w:after="0" w:line="259" w:lineRule="auto"/>
        <w:ind w:firstLine="0"/>
        <w:jc w:val="left"/>
        <w:rPr>
          <w:rFonts w:eastAsia="Calibri"/>
          <w:sz w:val="20"/>
          <w:szCs w:val="20"/>
        </w:rPr>
      </w:pPr>
    </w:p>
    <w:p w14:paraId="78763E5F" w14:textId="6B43C58F" w:rsidR="00387A2E" w:rsidRDefault="00387A2E" w:rsidP="00C84EF3">
      <w:pPr>
        <w:widowControl/>
        <w:tabs>
          <w:tab w:val="clear" w:pos="720"/>
        </w:tabs>
        <w:spacing w:after="0" w:line="259" w:lineRule="auto"/>
        <w:ind w:firstLine="0"/>
        <w:jc w:val="left"/>
        <w:rPr>
          <w:rFonts w:eastAsia="Calibri"/>
          <w:sz w:val="20"/>
          <w:szCs w:val="20"/>
        </w:rPr>
      </w:pPr>
    </w:p>
    <w:p w14:paraId="21FEF351" w14:textId="4CC92159" w:rsidR="00387A2E" w:rsidRDefault="00387A2E" w:rsidP="00C84EF3">
      <w:pPr>
        <w:widowControl/>
        <w:tabs>
          <w:tab w:val="clear" w:pos="720"/>
        </w:tabs>
        <w:spacing w:after="0" w:line="259" w:lineRule="auto"/>
        <w:ind w:firstLine="0"/>
        <w:jc w:val="left"/>
        <w:rPr>
          <w:rFonts w:eastAsia="Calibri"/>
          <w:sz w:val="20"/>
          <w:szCs w:val="20"/>
        </w:rPr>
      </w:pPr>
    </w:p>
    <w:p w14:paraId="5B1132A4" w14:textId="3DD09937" w:rsidR="00387A2E" w:rsidRDefault="00387A2E" w:rsidP="00C84EF3">
      <w:pPr>
        <w:widowControl/>
        <w:tabs>
          <w:tab w:val="clear" w:pos="720"/>
        </w:tabs>
        <w:spacing w:after="0" w:line="259" w:lineRule="auto"/>
        <w:ind w:firstLine="0"/>
        <w:jc w:val="left"/>
        <w:rPr>
          <w:rFonts w:eastAsia="Calibri"/>
          <w:sz w:val="20"/>
          <w:szCs w:val="20"/>
        </w:rPr>
      </w:pPr>
    </w:p>
    <w:p w14:paraId="0692B271" w14:textId="44D45C43" w:rsidR="00387A2E" w:rsidRDefault="00387A2E" w:rsidP="00C84EF3">
      <w:pPr>
        <w:widowControl/>
        <w:tabs>
          <w:tab w:val="clear" w:pos="720"/>
        </w:tabs>
        <w:spacing w:after="0" w:line="259" w:lineRule="auto"/>
        <w:ind w:firstLine="0"/>
        <w:jc w:val="left"/>
        <w:rPr>
          <w:rFonts w:eastAsia="Calibri"/>
          <w:sz w:val="20"/>
          <w:szCs w:val="20"/>
        </w:rPr>
      </w:pPr>
    </w:p>
    <w:p w14:paraId="21E44D8F" w14:textId="4E802AE9" w:rsidR="00387A2E" w:rsidRDefault="00387A2E" w:rsidP="00C84EF3">
      <w:pPr>
        <w:widowControl/>
        <w:tabs>
          <w:tab w:val="clear" w:pos="720"/>
        </w:tabs>
        <w:spacing w:after="0" w:line="259" w:lineRule="auto"/>
        <w:ind w:firstLine="0"/>
        <w:jc w:val="left"/>
        <w:rPr>
          <w:rFonts w:eastAsia="Calibri"/>
          <w:sz w:val="20"/>
          <w:szCs w:val="20"/>
        </w:rPr>
      </w:pPr>
    </w:p>
    <w:p w14:paraId="25FAFCD2" w14:textId="28C1C567" w:rsidR="00387A2E" w:rsidRDefault="00387A2E" w:rsidP="00C84EF3">
      <w:pPr>
        <w:widowControl/>
        <w:tabs>
          <w:tab w:val="clear" w:pos="720"/>
        </w:tabs>
        <w:spacing w:after="0" w:line="259" w:lineRule="auto"/>
        <w:ind w:firstLine="0"/>
        <w:jc w:val="left"/>
        <w:rPr>
          <w:rFonts w:eastAsia="Calibri"/>
          <w:sz w:val="20"/>
          <w:szCs w:val="20"/>
        </w:rPr>
      </w:pPr>
    </w:p>
    <w:p w14:paraId="2CBED457" w14:textId="6A2ABC87" w:rsidR="00387A2E" w:rsidRDefault="00387A2E" w:rsidP="00C84EF3">
      <w:pPr>
        <w:widowControl/>
        <w:tabs>
          <w:tab w:val="clear" w:pos="720"/>
        </w:tabs>
        <w:spacing w:after="0" w:line="259" w:lineRule="auto"/>
        <w:ind w:firstLine="0"/>
        <w:jc w:val="left"/>
        <w:rPr>
          <w:rFonts w:eastAsia="Calibri" w:cstheme="minorBidi"/>
          <w:sz w:val="20"/>
          <w:szCs w:val="20"/>
        </w:rPr>
      </w:pPr>
    </w:p>
    <w:p w14:paraId="048F85AD" w14:textId="77777777" w:rsidR="00B2401D" w:rsidRPr="00B2401D" w:rsidRDefault="00B2401D" w:rsidP="00C84EF3">
      <w:pPr>
        <w:widowControl/>
        <w:tabs>
          <w:tab w:val="clear" w:pos="720"/>
        </w:tabs>
        <w:spacing w:after="0" w:line="259" w:lineRule="auto"/>
        <w:ind w:firstLine="0"/>
        <w:jc w:val="left"/>
        <w:rPr>
          <w:rFonts w:eastAsia="Calibri" w:cstheme="minorBidi" w:hint="cs"/>
          <w:sz w:val="20"/>
          <w:szCs w:val="20"/>
        </w:rPr>
      </w:pPr>
    </w:p>
    <w:p w14:paraId="7853F754" w14:textId="48444EDF" w:rsidR="00387A2E" w:rsidRDefault="00387A2E" w:rsidP="00C84EF3">
      <w:pPr>
        <w:widowControl/>
        <w:tabs>
          <w:tab w:val="clear" w:pos="720"/>
        </w:tabs>
        <w:spacing w:after="0" w:line="259" w:lineRule="auto"/>
        <w:ind w:firstLine="0"/>
        <w:jc w:val="left"/>
        <w:rPr>
          <w:rFonts w:eastAsia="Calibri"/>
          <w:sz w:val="20"/>
          <w:szCs w:val="20"/>
        </w:rPr>
      </w:pPr>
    </w:p>
    <w:p w14:paraId="7F929680" w14:textId="77777777" w:rsidR="00387A2E" w:rsidRDefault="00387A2E" w:rsidP="00C84EF3">
      <w:pPr>
        <w:widowControl/>
        <w:tabs>
          <w:tab w:val="clear" w:pos="720"/>
        </w:tabs>
        <w:spacing w:after="0" w:line="259" w:lineRule="auto"/>
        <w:ind w:firstLine="0"/>
        <w:jc w:val="left"/>
        <w:rPr>
          <w:rFonts w:eastAsia="Calibri"/>
          <w:sz w:val="20"/>
          <w:szCs w:val="20"/>
        </w:rPr>
      </w:pPr>
    </w:p>
    <w:p w14:paraId="232E4C47" w14:textId="77777777" w:rsidR="00387A2E" w:rsidRDefault="00387A2E" w:rsidP="00C84EF3">
      <w:pPr>
        <w:widowControl/>
        <w:tabs>
          <w:tab w:val="clear" w:pos="720"/>
        </w:tabs>
        <w:spacing w:after="0" w:line="259" w:lineRule="auto"/>
        <w:ind w:firstLine="0"/>
        <w:jc w:val="left"/>
        <w:rPr>
          <w:rFonts w:eastAsia="Calibri"/>
          <w:sz w:val="20"/>
          <w:szCs w:val="20"/>
        </w:rPr>
      </w:pPr>
    </w:p>
    <w:p w14:paraId="4230F5F7" w14:textId="77777777" w:rsidR="00387A2E" w:rsidRPr="00387A2E" w:rsidRDefault="00387A2E" w:rsidP="00387A2E">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rPr>
      </w:pPr>
      <w:r w:rsidRPr="00387A2E">
        <w:rPr>
          <w:rFonts w:eastAsia="Times New Roman"/>
          <w:b/>
          <w:bCs/>
        </w:rPr>
        <w:lastRenderedPageBreak/>
        <w:t xml:space="preserve">Table 4 </w:t>
      </w:r>
    </w:p>
    <w:p w14:paraId="6B58EB15" w14:textId="77777777" w:rsidR="00387A2E" w:rsidRPr="00387A2E" w:rsidRDefault="00387A2E" w:rsidP="00387A2E">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i/>
          <w:iCs/>
        </w:rPr>
      </w:pPr>
      <w:r w:rsidRPr="00387A2E">
        <w:rPr>
          <w:rFonts w:eastAsia="Times New Roman"/>
          <w:i/>
          <w:iCs/>
        </w:rPr>
        <w:t>Summary of univariate analysis of VOSP subtest scores and IQ, TMSE, and VA</w:t>
      </w:r>
    </w:p>
    <w:p w14:paraId="4D3F631D" w14:textId="77777777" w:rsidR="00387A2E" w:rsidRPr="00387A2E" w:rsidRDefault="00387A2E" w:rsidP="00387A2E">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i/>
          <w:iCs/>
        </w:rPr>
      </w:pPr>
    </w:p>
    <w:tbl>
      <w:tblPr>
        <w:tblStyle w:val="TableGrid"/>
        <w:tblW w:w="10147" w:type="dxa"/>
        <w:tblLayout w:type="fixed"/>
        <w:tblLook w:val="04A0" w:firstRow="1" w:lastRow="0" w:firstColumn="1" w:lastColumn="0" w:noHBand="0" w:noVBand="1"/>
      </w:tblPr>
      <w:tblGrid>
        <w:gridCol w:w="2494"/>
        <w:gridCol w:w="1644"/>
        <w:gridCol w:w="907"/>
        <w:gridCol w:w="1644"/>
        <w:gridCol w:w="907"/>
        <w:gridCol w:w="1644"/>
        <w:gridCol w:w="907"/>
      </w:tblGrid>
      <w:tr w:rsidR="00387A2E" w:rsidRPr="00387A2E" w14:paraId="275B95AB" w14:textId="77777777" w:rsidTr="000E1146">
        <w:trPr>
          <w:trHeight w:val="340"/>
        </w:trPr>
        <w:tc>
          <w:tcPr>
            <w:tcW w:w="2494" w:type="dxa"/>
            <w:vMerge w:val="restart"/>
            <w:tcBorders>
              <w:top w:val="single" w:sz="4" w:space="0" w:color="000000"/>
              <w:left w:val="nil"/>
              <w:right w:val="single" w:sz="4" w:space="0" w:color="FFFFFF"/>
            </w:tcBorders>
          </w:tcPr>
          <w:p w14:paraId="13CA2B53" w14:textId="77777777" w:rsidR="00387A2E" w:rsidRPr="00387A2E" w:rsidRDefault="00387A2E" w:rsidP="00387A2E">
            <w:pPr>
              <w:widowControl/>
              <w:tabs>
                <w:tab w:val="clear" w:pos="720"/>
              </w:tabs>
              <w:spacing w:before="60" w:after="0" w:line="240" w:lineRule="auto"/>
              <w:ind w:firstLine="0"/>
              <w:jc w:val="center"/>
              <w:rPr>
                <w:rFonts w:eastAsia="Calibri"/>
                <w:b/>
                <w:bCs/>
                <w:sz w:val="20"/>
                <w:szCs w:val="20"/>
              </w:rPr>
            </w:pPr>
            <w:r w:rsidRPr="00387A2E">
              <w:rPr>
                <w:rFonts w:eastAsia="Calibri"/>
                <w:b/>
                <w:bCs/>
                <w:sz w:val="20"/>
                <w:szCs w:val="20"/>
              </w:rPr>
              <w:t>VOSP subtests</w:t>
            </w:r>
          </w:p>
        </w:tc>
        <w:tc>
          <w:tcPr>
            <w:tcW w:w="2551" w:type="dxa"/>
            <w:gridSpan w:val="2"/>
            <w:tcBorders>
              <w:top w:val="single" w:sz="4" w:space="0" w:color="000000"/>
              <w:left w:val="single" w:sz="4" w:space="0" w:color="FFFFFF"/>
              <w:bottom w:val="single" w:sz="4" w:space="0" w:color="FFFFFF"/>
              <w:right w:val="single" w:sz="4" w:space="0" w:color="FFFFFF"/>
            </w:tcBorders>
          </w:tcPr>
          <w:p w14:paraId="4DECD62F" w14:textId="77777777" w:rsidR="00387A2E" w:rsidRPr="00387A2E" w:rsidRDefault="00387A2E" w:rsidP="00387A2E">
            <w:pPr>
              <w:widowControl/>
              <w:tabs>
                <w:tab w:val="clear" w:pos="720"/>
              </w:tabs>
              <w:spacing w:before="60" w:after="0" w:line="240" w:lineRule="auto"/>
              <w:ind w:firstLine="0"/>
              <w:jc w:val="center"/>
              <w:rPr>
                <w:rFonts w:eastAsia="Calibri"/>
                <w:b/>
                <w:bCs/>
                <w:sz w:val="20"/>
                <w:szCs w:val="20"/>
              </w:rPr>
            </w:pPr>
            <w:r w:rsidRPr="00387A2E">
              <w:rPr>
                <w:rFonts w:eastAsia="Calibri"/>
                <w:b/>
                <w:bCs/>
                <w:sz w:val="20"/>
                <w:szCs w:val="20"/>
              </w:rPr>
              <w:t>IQ</w:t>
            </w:r>
          </w:p>
        </w:tc>
        <w:tc>
          <w:tcPr>
            <w:tcW w:w="2551" w:type="dxa"/>
            <w:gridSpan w:val="2"/>
            <w:tcBorders>
              <w:top w:val="single" w:sz="4" w:space="0" w:color="000000"/>
              <w:left w:val="single" w:sz="4" w:space="0" w:color="FFFFFF"/>
              <w:bottom w:val="single" w:sz="4" w:space="0" w:color="FFFFFF"/>
              <w:right w:val="single" w:sz="4" w:space="0" w:color="FFFFFF"/>
            </w:tcBorders>
          </w:tcPr>
          <w:p w14:paraId="11E1AA69" w14:textId="77777777" w:rsidR="00387A2E" w:rsidRPr="00387A2E" w:rsidRDefault="00387A2E" w:rsidP="00387A2E">
            <w:pPr>
              <w:widowControl/>
              <w:tabs>
                <w:tab w:val="clear" w:pos="720"/>
              </w:tabs>
              <w:spacing w:before="60" w:after="0" w:line="240" w:lineRule="auto"/>
              <w:ind w:firstLine="0"/>
              <w:jc w:val="center"/>
              <w:rPr>
                <w:rFonts w:eastAsia="Calibri"/>
                <w:b/>
                <w:bCs/>
                <w:sz w:val="20"/>
                <w:szCs w:val="20"/>
              </w:rPr>
            </w:pPr>
            <w:r w:rsidRPr="00387A2E">
              <w:rPr>
                <w:rFonts w:eastAsia="Calibri"/>
                <w:b/>
                <w:bCs/>
                <w:sz w:val="20"/>
                <w:szCs w:val="20"/>
              </w:rPr>
              <w:t>TMSE</w:t>
            </w:r>
          </w:p>
        </w:tc>
        <w:tc>
          <w:tcPr>
            <w:tcW w:w="2551" w:type="dxa"/>
            <w:gridSpan w:val="2"/>
            <w:tcBorders>
              <w:top w:val="single" w:sz="4" w:space="0" w:color="000000"/>
              <w:left w:val="single" w:sz="4" w:space="0" w:color="FFFFFF"/>
              <w:bottom w:val="single" w:sz="4" w:space="0" w:color="FFFFFF"/>
              <w:right w:val="single" w:sz="4" w:space="0" w:color="FFFFFF"/>
            </w:tcBorders>
          </w:tcPr>
          <w:p w14:paraId="19532FC0" w14:textId="77777777" w:rsidR="00387A2E" w:rsidRPr="00387A2E" w:rsidRDefault="00387A2E" w:rsidP="00387A2E">
            <w:pPr>
              <w:widowControl/>
              <w:tabs>
                <w:tab w:val="clear" w:pos="720"/>
              </w:tabs>
              <w:spacing w:before="60" w:after="0" w:line="240" w:lineRule="auto"/>
              <w:ind w:firstLine="0"/>
              <w:jc w:val="center"/>
              <w:rPr>
                <w:rFonts w:eastAsia="Calibri"/>
                <w:b/>
                <w:bCs/>
                <w:sz w:val="20"/>
                <w:szCs w:val="20"/>
              </w:rPr>
            </w:pPr>
            <w:r w:rsidRPr="00387A2E">
              <w:rPr>
                <w:rFonts w:eastAsia="Calibri"/>
                <w:b/>
                <w:bCs/>
                <w:sz w:val="20"/>
                <w:szCs w:val="20"/>
              </w:rPr>
              <w:t>VA</w:t>
            </w:r>
          </w:p>
        </w:tc>
      </w:tr>
      <w:tr w:rsidR="00387A2E" w:rsidRPr="00387A2E" w14:paraId="677EAC39" w14:textId="77777777" w:rsidTr="000E1146">
        <w:trPr>
          <w:trHeight w:val="340"/>
        </w:trPr>
        <w:tc>
          <w:tcPr>
            <w:tcW w:w="2494" w:type="dxa"/>
            <w:vMerge/>
            <w:tcBorders>
              <w:left w:val="nil"/>
              <w:bottom w:val="single" w:sz="4" w:space="0" w:color="000000"/>
              <w:right w:val="single" w:sz="4" w:space="0" w:color="FFFFFF"/>
            </w:tcBorders>
          </w:tcPr>
          <w:p w14:paraId="7F898E72"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644" w:type="dxa"/>
            <w:tcBorders>
              <w:top w:val="single" w:sz="4" w:space="0" w:color="FFFFFF"/>
              <w:left w:val="single" w:sz="4" w:space="0" w:color="FFFFFF"/>
              <w:bottom w:val="single" w:sz="4" w:space="0" w:color="000000"/>
              <w:right w:val="single" w:sz="4" w:space="0" w:color="FFFFFF"/>
            </w:tcBorders>
          </w:tcPr>
          <w:p w14:paraId="5B2A96A3"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Spearman’s rho</w:t>
            </w:r>
          </w:p>
        </w:tc>
        <w:tc>
          <w:tcPr>
            <w:tcW w:w="907" w:type="dxa"/>
            <w:tcBorders>
              <w:top w:val="single" w:sz="4" w:space="0" w:color="FFFFFF"/>
              <w:left w:val="single" w:sz="4" w:space="0" w:color="FFFFFF"/>
              <w:bottom w:val="single" w:sz="4" w:space="0" w:color="000000"/>
              <w:right w:val="single" w:sz="4" w:space="0" w:color="FFFFFF"/>
            </w:tcBorders>
          </w:tcPr>
          <w:p w14:paraId="0BE1C25C"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P-value</w:t>
            </w:r>
          </w:p>
        </w:tc>
        <w:tc>
          <w:tcPr>
            <w:tcW w:w="1644" w:type="dxa"/>
            <w:tcBorders>
              <w:top w:val="single" w:sz="4" w:space="0" w:color="FFFFFF"/>
              <w:left w:val="single" w:sz="4" w:space="0" w:color="FFFFFF"/>
              <w:bottom w:val="single" w:sz="4" w:space="0" w:color="000000"/>
              <w:right w:val="single" w:sz="4" w:space="0" w:color="FFFFFF"/>
            </w:tcBorders>
          </w:tcPr>
          <w:p w14:paraId="6EEA0069"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Spearman’s rho</w:t>
            </w:r>
          </w:p>
        </w:tc>
        <w:tc>
          <w:tcPr>
            <w:tcW w:w="907" w:type="dxa"/>
            <w:tcBorders>
              <w:top w:val="single" w:sz="4" w:space="0" w:color="FFFFFF"/>
              <w:left w:val="single" w:sz="4" w:space="0" w:color="FFFFFF"/>
              <w:bottom w:val="single" w:sz="4" w:space="0" w:color="000000"/>
              <w:right w:val="single" w:sz="4" w:space="0" w:color="FFFFFF"/>
            </w:tcBorders>
          </w:tcPr>
          <w:p w14:paraId="221EB6CE"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P-value</w:t>
            </w:r>
          </w:p>
        </w:tc>
        <w:tc>
          <w:tcPr>
            <w:tcW w:w="1644" w:type="dxa"/>
            <w:tcBorders>
              <w:top w:val="single" w:sz="4" w:space="0" w:color="FFFFFF"/>
              <w:left w:val="single" w:sz="4" w:space="0" w:color="FFFFFF"/>
              <w:bottom w:val="single" w:sz="4" w:space="0" w:color="000000"/>
              <w:right w:val="single" w:sz="4" w:space="0" w:color="FFFFFF"/>
            </w:tcBorders>
          </w:tcPr>
          <w:p w14:paraId="0F57BDA7"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Spearman’s rho</w:t>
            </w:r>
          </w:p>
        </w:tc>
        <w:tc>
          <w:tcPr>
            <w:tcW w:w="907" w:type="dxa"/>
            <w:tcBorders>
              <w:top w:val="single" w:sz="4" w:space="0" w:color="FFFFFF"/>
              <w:left w:val="single" w:sz="4" w:space="0" w:color="FFFFFF"/>
              <w:bottom w:val="single" w:sz="4" w:space="0" w:color="000000"/>
              <w:right w:val="single" w:sz="4" w:space="0" w:color="FFFFFF"/>
            </w:tcBorders>
          </w:tcPr>
          <w:p w14:paraId="341367B7"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P-value</w:t>
            </w:r>
          </w:p>
        </w:tc>
      </w:tr>
      <w:tr w:rsidR="00387A2E" w:rsidRPr="00387A2E" w14:paraId="7B4B2632" w14:textId="77777777" w:rsidTr="000E1146">
        <w:trPr>
          <w:trHeight w:val="340"/>
        </w:trPr>
        <w:tc>
          <w:tcPr>
            <w:tcW w:w="2494" w:type="dxa"/>
            <w:tcBorders>
              <w:top w:val="single" w:sz="4" w:space="0" w:color="000000"/>
              <w:left w:val="single" w:sz="4" w:space="0" w:color="FFFFFF"/>
              <w:bottom w:val="single" w:sz="4" w:space="0" w:color="FFFFFF"/>
              <w:right w:val="single" w:sz="4" w:space="0" w:color="FFFFFF"/>
            </w:tcBorders>
          </w:tcPr>
          <w:p w14:paraId="01A1F142" w14:textId="77777777" w:rsidR="00387A2E" w:rsidRPr="00387A2E" w:rsidRDefault="00387A2E" w:rsidP="00387A2E">
            <w:pPr>
              <w:widowControl/>
              <w:tabs>
                <w:tab w:val="clear" w:pos="720"/>
              </w:tabs>
              <w:spacing w:before="60" w:after="0" w:line="240" w:lineRule="auto"/>
              <w:ind w:firstLine="0"/>
              <w:jc w:val="left"/>
              <w:rPr>
                <w:rFonts w:eastAsia="Calibri"/>
                <w:b/>
                <w:bCs/>
                <w:sz w:val="20"/>
                <w:szCs w:val="20"/>
              </w:rPr>
            </w:pPr>
            <w:r w:rsidRPr="00387A2E">
              <w:rPr>
                <w:rFonts w:eastAsia="Calibri"/>
                <w:b/>
                <w:bCs/>
                <w:sz w:val="20"/>
                <w:szCs w:val="20"/>
              </w:rPr>
              <w:t xml:space="preserve">   Shape Detection</w:t>
            </w:r>
          </w:p>
        </w:tc>
        <w:tc>
          <w:tcPr>
            <w:tcW w:w="1644" w:type="dxa"/>
            <w:tcBorders>
              <w:top w:val="single" w:sz="4" w:space="0" w:color="000000"/>
              <w:left w:val="single" w:sz="4" w:space="0" w:color="FFFFFF"/>
              <w:bottom w:val="single" w:sz="4" w:space="0" w:color="FFFFFF"/>
              <w:right w:val="single" w:sz="4" w:space="0" w:color="FFFFFF"/>
            </w:tcBorders>
          </w:tcPr>
          <w:p w14:paraId="3CB12FB1" w14:textId="77777777" w:rsidR="00387A2E" w:rsidRPr="00387A2E" w:rsidRDefault="00387A2E" w:rsidP="00387A2E">
            <w:pPr>
              <w:widowControl/>
              <w:tabs>
                <w:tab w:val="clear" w:pos="720"/>
              </w:tabs>
              <w:spacing w:before="60" w:after="0" w:line="240" w:lineRule="auto"/>
              <w:ind w:firstLine="0"/>
              <w:jc w:val="center"/>
              <w:rPr>
                <w:rFonts w:eastAsia="Calibri"/>
                <w:sz w:val="20"/>
                <w:szCs w:val="20"/>
              </w:rPr>
            </w:pPr>
            <w:r w:rsidRPr="00387A2E">
              <w:rPr>
                <w:rFonts w:eastAsia="Calibri"/>
                <w:sz w:val="20"/>
                <w:szCs w:val="20"/>
              </w:rPr>
              <w:t>0.23</w:t>
            </w:r>
          </w:p>
        </w:tc>
        <w:tc>
          <w:tcPr>
            <w:tcW w:w="907" w:type="dxa"/>
            <w:tcBorders>
              <w:top w:val="single" w:sz="4" w:space="0" w:color="000000"/>
              <w:left w:val="single" w:sz="4" w:space="0" w:color="FFFFFF"/>
              <w:bottom w:val="single" w:sz="4" w:space="0" w:color="FFFFFF"/>
              <w:right w:val="single" w:sz="4" w:space="0" w:color="FFFFFF"/>
            </w:tcBorders>
          </w:tcPr>
          <w:p w14:paraId="747F7469" w14:textId="77777777" w:rsidR="00387A2E" w:rsidRPr="00387A2E" w:rsidRDefault="00387A2E" w:rsidP="00387A2E">
            <w:pPr>
              <w:widowControl/>
              <w:tabs>
                <w:tab w:val="clear" w:pos="720"/>
              </w:tabs>
              <w:spacing w:before="60" w:after="0" w:line="240" w:lineRule="auto"/>
              <w:ind w:firstLine="0"/>
              <w:jc w:val="center"/>
              <w:rPr>
                <w:rFonts w:eastAsia="Calibri"/>
                <w:sz w:val="20"/>
                <w:szCs w:val="20"/>
              </w:rPr>
            </w:pPr>
            <w:r w:rsidRPr="00387A2E">
              <w:rPr>
                <w:rFonts w:eastAsia="Calibri"/>
                <w:sz w:val="20"/>
                <w:szCs w:val="20"/>
              </w:rPr>
              <w:t>0.16</w:t>
            </w:r>
          </w:p>
        </w:tc>
        <w:tc>
          <w:tcPr>
            <w:tcW w:w="1644" w:type="dxa"/>
            <w:tcBorders>
              <w:top w:val="single" w:sz="4" w:space="0" w:color="000000"/>
              <w:left w:val="single" w:sz="4" w:space="0" w:color="FFFFFF"/>
              <w:bottom w:val="single" w:sz="4" w:space="0" w:color="FFFFFF"/>
              <w:right w:val="single" w:sz="4" w:space="0" w:color="FFFFFF"/>
            </w:tcBorders>
          </w:tcPr>
          <w:p w14:paraId="58A1E704" w14:textId="77777777" w:rsidR="00387A2E" w:rsidRPr="00387A2E" w:rsidRDefault="00387A2E" w:rsidP="00387A2E">
            <w:pPr>
              <w:widowControl/>
              <w:tabs>
                <w:tab w:val="clear" w:pos="720"/>
              </w:tabs>
              <w:spacing w:before="60" w:after="0" w:line="240" w:lineRule="auto"/>
              <w:ind w:firstLine="0"/>
              <w:jc w:val="center"/>
              <w:rPr>
                <w:rFonts w:eastAsia="Calibri"/>
                <w:sz w:val="20"/>
                <w:szCs w:val="20"/>
              </w:rPr>
            </w:pPr>
            <w:r w:rsidRPr="00387A2E">
              <w:rPr>
                <w:rFonts w:eastAsia="Calibri"/>
                <w:sz w:val="20"/>
                <w:szCs w:val="20"/>
              </w:rPr>
              <w:t>0.18</w:t>
            </w:r>
          </w:p>
        </w:tc>
        <w:tc>
          <w:tcPr>
            <w:tcW w:w="907" w:type="dxa"/>
            <w:tcBorders>
              <w:top w:val="single" w:sz="4" w:space="0" w:color="000000"/>
              <w:left w:val="single" w:sz="4" w:space="0" w:color="FFFFFF"/>
              <w:bottom w:val="single" w:sz="4" w:space="0" w:color="FFFFFF"/>
              <w:right w:val="single" w:sz="4" w:space="0" w:color="FFFFFF"/>
            </w:tcBorders>
          </w:tcPr>
          <w:p w14:paraId="56285C7E" w14:textId="77777777" w:rsidR="00387A2E" w:rsidRPr="00387A2E" w:rsidRDefault="00387A2E" w:rsidP="00387A2E">
            <w:pPr>
              <w:widowControl/>
              <w:tabs>
                <w:tab w:val="clear" w:pos="720"/>
              </w:tabs>
              <w:spacing w:before="60" w:after="0" w:line="240" w:lineRule="auto"/>
              <w:ind w:firstLine="0"/>
              <w:jc w:val="center"/>
              <w:rPr>
                <w:rFonts w:eastAsia="Calibri"/>
                <w:sz w:val="20"/>
                <w:szCs w:val="20"/>
              </w:rPr>
            </w:pPr>
            <w:r w:rsidRPr="00387A2E">
              <w:rPr>
                <w:rFonts w:eastAsia="Calibri"/>
                <w:sz w:val="20"/>
                <w:szCs w:val="20"/>
              </w:rPr>
              <w:t>0.27</w:t>
            </w:r>
          </w:p>
        </w:tc>
        <w:tc>
          <w:tcPr>
            <w:tcW w:w="1644" w:type="dxa"/>
            <w:tcBorders>
              <w:top w:val="single" w:sz="4" w:space="0" w:color="000000"/>
              <w:left w:val="single" w:sz="4" w:space="0" w:color="FFFFFF"/>
              <w:bottom w:val="single" w:sz="4" w:space="0" w:color="FFFFFF"/>
              <w:right w:val="single" w:sz="4" w:space="0" w:color="FFFFFF"/>
            </w:tcBorders>
          </w:tcPr>
          <w:p w14:paraId="65713805" w14:textId="77777777" w:rsidR="00387A2E" w:rsidRPr="00387A2E" w:rsidRDefault="00387A2E" w:rsidP="00387A2E">
            <w:pPr>
              <w:widowControl/>
              <w:tabs>
                <w:tab w:val="clear" w:pos="720"/>
              </w:tabs>
              <w:spacing w:before="60" w:after="0" w:line="240" w:lineRule="auto"/>
              <w:ind w:firstLine="0"/>
              <w:jc w:val="center"/>
              <w:rPr>
                <w:rFonts w:eastAsia="Calibri"/>
                <w:sz w:val="20"/>
                <w:szCs w:val="20"/>
              </w:rPr>
            </w:pPr>
            <w:r w:rsidRPr="00387A2E">
              <w:rPr>
                <w:rFonts w:eastAsia="Calibri"/>
                <w:sz w:val="20"/>
                <w:szCs w:val="20"/>
              </w:rPr>
              <w:t>0.34</w:t>
            </w:r>
          </w:p>
        </w:tc>
        <w:tc>
          <w:tcPr>
            <w:tcW w:w="907" w:type="dxa"/>
            <w:tcBorders>
              <w:top w:val="single" w:sz="4" w:space="0" w:color="000000"/>
              <w:left w:val="single" w:sz="4" w:space="0" w:color="FFFFFF"/>
              <w:bottom w:val="single" w:sz="4" w:space="0" w:color="FFFFFF"/>
              <w:right w:val="single" w:sz="4" w:space="0" w:color="FFFFFF"/>
            </w:tcBorders>
          </w:tcPr>
          <w:p w14:paraId="437F0762" w14:textId="77777777" w:rsidR="00387A2E" w:rsidRPr="00387A2E" w:rsidRDefault="00387A2E" w:rsidP="00387A2E">
            <w:pPr>
              <w:widowControl/>
              <w:tabs>
                <w:tab w:val="clear" w:pos="720"/>
              </w:tabs>
              <w:spacing w:before="60" w:after="0" w:line="240" w:lineRule="auto"/>
              <w:ind w:firstLine="0"/>
              <w:jc w:val="center"/>
              <w:rPr>
                <w:rFonts w:eastAsia="Calibri"/>
                <w:sz w:val="20"/>
                <w:szCs w:val="20"/>
              </w:rPr>
            </w:pPr>
            <w:r w:rsidRPr="00387A2E">
              <w:rPr>
                <w:rFonts w:eastAsia="Calibri"/>
                <w:sz w:val="20"/>
                <w:szCs w:val="20"/>
              </w:rPr>
              <w:t>0.03*</w:t>
            </w:r>
          </w:p>
        </w:tc>
      </w:tr>
      <w:tr w:rsidR="00387A2E" w:rsidRPr="00387A2E" w14:paraId="24E075BC"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shd w:val="clear" w:color="auto" w:fill="auto"/>
          </w:tcPr>
          <w:p w14:paraId="0D054613"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Object Perception</w:t>
            </w:r>
          </w:p>
        </w:tc>
        <w:tc>
          <w:tcPr>
            <w:tcW w:w="1644" w:type="dxa"/>
            <w:tcBorders>
              <w:top w:val="single" w:sz="4" w:space="0" w:color="FFFFFF"/>
              <w:left w:val="single" w:sz="4" w:space="0" w:color="FFFFFF"/>
              <w:bottom w:val="single" w:sz="4" w:space="0" w:color="FFFFFF"/>
              <w:right w:val="single" w:sz="4" w:space="0" w:color="FFFFFF"/>
            </w:tcBorders>
            <w:shd w:val="clear" w:color="auto" w:fill="auto"/>
          </w:tcPr>
          <w:p w14:paraId="1E5E0EC3"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auto"/>
          </w:tcPr>
          <w:p w14:paraId="196909BC"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644" w:type="dxa"/>
            <w:tcBorders>
              <w:top w:val="single" w:sz="4" w:space="0" w:color="FFFFFF"/>
              <w:left w:val="single" w:sz="4" w:space="0" w:color="FFFFFF"/>
              <w:bottom w:val="single" w:sz="4" w:space="0" w:color="FFFFFF"/>
              <w:right w:val="single" w:sz="4" w:space="0" w:color="FFFFFF"/>
            </w:tcBorders>
          </w:tcPr>
          <w:p w14:paraId="6DA7424B"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tcPr>
          <w:p w14:paraId="44A71EA6"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644" w:type="dxa"/>
            <w:tcBorders>
              <w:top w:val="single" w:sz="4" w:space="0" w:color="FFFFFF"/>
              <w:left w:val="single" w:sz="4" w:space="0" w:color="FFFFFF"/>
              <w:bottom w:val="single" w:sz="4" w:space="0" w:color="FFFFFF"/>
              <w:right w:val="single" w:sz="4" w:space="0" w:color="FFFFFF"/>
            </w:tcBorders>
            <w:shd w:val="clear" w:color="auto" w:fill="auto"/>
          </w:tcPr>
          <w:p w14:paraId="5A4F9341"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auto"/>
          </w:tcPr>
          <w:p w14:paraId="39D1135C"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r>
      <w:tr w:rsidR="00387A2E" w:rsidRPr="00387A2E" w14:paraId="3C08FAB2"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tcPr>
          <w:p w14:paraId="52116172"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 xml:space="preserve">   Incomplete Letters</w:t>
            </w:r>
          </w:p>
        </w:tc>
        <w:tc>
          <w:tcPr>
            <w:tcW w:w="1644" w:type="dxa"/>
            <w:tcBorders>
              <w:top w:val="single" w:sz="4" w:space="0" w:color="FFFFFF"/>
              <w:left w:val="single" w:sz="4" w:space="0" w:color="FFFFFF"/>
              <w:bottom w:val="single" w:sz="4" w:space="0" w:color="FFFFFF"/>
              <w:right w:val="single" w:sz="4" w:space="0" w:color="FFFFFF"/>
            </w:tcBorders>
          </w:tcPr>
          <w:p w14:paraId="7FD43C6F" w14:textId="77777777" w:rsidR="00387A2E" w:rsidRPr="00387A2E" w:rsidRDefault="00387A2E" w:rsidP="00387A2E">
            <w:pPr>
              <w:widowControl/>
              <w:tabs>
                <w:tab w:val="clear" w:pos="720"/>
              </w:tabs>
              <w:spacing w:after="0" w:line="240" w:lineRule="auto"/>
              <w:ind w:firstLine="0"/>
              <w:jc w:val="center"/>
              <w:rPr>
                <w:rFonts w:eastAsia="Calibri"/>
                <w:i/>
                <w:iCs/>
                <w:sz w:val="20"/>
                <w:szCs w:val="20"/>
              </w:rPr>
            </w:pPr>
            <w:r w:rsidRPr="00387A2E">
              <w:rPr>
                <w:rFonts w:eastAsia="Calibri"/>
                <w:i/>
                <w:iCs/>
                <w:sz w:val="20"/>
                <w:szCs w:val="20"/>
              </w:rPr>
              <w:t>0.39</w:t>
            </w:r>
          </w:p>
        </w:tc>
        <w:tc>
          <w:tcPr>
            <w:tcW w:w="907" w:type="dxa"/>
            <w:tcBorders>
              <w:top w:val="single" w:sz="4" w:space="0" w:color="FFFFFF"/>
              <w:left w:val="single" w:sz="4" w:space="0" w:color="FFFFFF"/>
              <w:bottom w:val="single" w:sz="4" w:space="0" w:color="FFFFFF"/>
              <w:right w:val="single" w:sz="4" w:space="0" w:color="FFFFFF"/>
            </w:tcBorders>
          </w:tcPr>
          <w:p w14:paraId="0C1F6F5B" w14:textId="77777777" w:rsidR="00387A2E" w:rsidRPr="00387A2E" w:rsidRDefault="00387A2E" w:rsidP="00387A2E">
            <w:pPr>
              <w:widowControl/>
              <w:tabs>
                <w:tab w:val="clear" w:pos="720"/>
              </w:tabs>
              <w:spacing w:after="0" w:line="240" w:lineRule="auto"/>
              <w:ind w:firstLine="0"/>
              <w:jc w:val="center"/>
              <w:rPr>
                <w:rFonts w:eastAsia="Calibri"/>
                <w:i/>
                <w:iCs/>
                <w:sz w:val="20"/>
                <w:szCs w:val="20"/>
              </w:rPr>
            </w:pPr>
            <w:r w:rsidRPr="00387A2E">
              <w:rPr>
                <w:rFonts w:eastAsia="Calibri"/>
                <w:i/>
                <w:iCs/>
                <w:sz w:val="20"/>
                <w:szCs w:val="20"/>
              </w:rPr>
              <w:t>0.01*</w:t>
            </w:r>
          </w:p>
        </w:tc>
        <w:tc>
          <w:tcPr>
            <w:tcW w:w="1644" w:type="dxa"/>
            <w:tcBorders>
              <w:top w:val="single" w:sz="4" w:space="0" w:color="FFFFFF"/>
              <w:left w:val="single" w:sz="4" w:space="0" w:color="FFFFFF"/>
              <w:bottom w:val="single" w:sz="4" w:space="0" w:color="FFFFFF"/>
              <w:right w:val="single" w:sz="4" w:space="0" w:color="FFFFFF"/>
            </w:tcBorders>
          </w:tcPr>
          <w:p w14:paraId="2CFFA172"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0.02</w:t>
            </w:r>
          </w:p>
        </w:tc>
        <w:tc>
          <w:tcPr>
            <w:tcW w:w="907" w:type="dxa"/>
            <w:tcBorders>
              <w:top w:val="single" w:sz="4" w:space="0" w:color="FFFFFF"/>
              <w:left w:val="single" w:sz="4" w:space="0" w:color="FFFFFF"/>
              <w:bottom w:val="single" w:sz="4" w:space="0" w:color="FFFFFF"/>
              <w:right w:val="single" w:sz="4" w:space="0" w:color="FFFFFF"/>
            </w:tcBorders>
          </w:tcPr>
          <w:p w14:paraId="65E14C6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0.88</w:t>
            </w:r>
          </w:p>
        </w:tc>
        <w:tc>
          <w:tcPr>
            <w:tcW w:w="1644" w:type="dxa"/>
            <w:tcBorders>
              <w:top w:val="single" w:sz="4" w:space="0" w:color="FFFFFF"/>
              <w:left w:val="single" w:sz="4" w:space="0" w:color="FFFFFF"/>
              <w:bottom w:val="single" w:sz="4" w:space="0" w:color="FFFFFF"/>
              <w:right w:val="single" w:sz="4" w:space="0" w:color="FFFFFF"/>
            </w:tcBorders>
          </w:tcPr>
          <w:p w14:paraId="0F3D2240"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0.19</w:t>
            </w:r>
          </w:p>
        </w:tc>
        <w:tc>
          <w:tcPr>
            <w:tcW w:w="907" w:type="dxa"/>
            <w:tcBorders>
              <w:top w:val="single" w:sz="4" w:space="0" w:color="FFFFFF"/>
              <w:left w:val="single" w:sz="4" w:space="0" w:color="FFFFFF"/>
              <w:bottom w:val="single" w:sz="4" w:space="0" w:color="FFFFFF"/>
              <w:right w:val="single" w:sz="4" w:space="0" w:color="FFFFFF"/>
            </w:tcBorders>
          </w:tcPr>
          <w:p w14:paraId="3757BD61"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0.25</w:t>
            </w:r>
          </w:p>
        </w:tc>
      </w:tr>
      <w:tr w:rsidR="00387A2E" w:rsidRPr="00387A2E" w14:paraId="5FFC4C1B"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tcPr>
          <w:p w14:paraId="3F864AF1"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 xml:space="preserve">   Silhouettes</w:t>
            </w:r>
          </w:p>
        </w:tc>
        <w:tc>
          <w:tcPr>
            <w:tcW w:w="1644" w:type="dxa"/>
            <w:tcBorders>
              <w:top w:val="single" w:sz="4" w:space="0" w:color="FFFFFF"/>
              <w:left w:val="single" w:sz="4" w:space="0" w:color="FFFFFF"/>
              <w:bottom w:val="single" w:sz="4" w:space="0" w:color="FFFFFF"/>
              <w:right w:val="single" w:sz="4" w:space="0" w:color="FFFFFF"/>
            </w:tcBorders>
          </w:tcPr>
          <w:p w14:paraId="1DF5D5F2" w14:textId="77777777" w:rsidR="00387A2E" w:rsidRPr="00387A2E" w:rsidRDefault="00387A2E" w:rsidP="00387A2E">
            <w:pPr>
              <w:widowControl/>
              <w:tabs>
                <w:tab w:val="clear" w:pos="720"/>
              </w:tabs>
              <w:spacing w:after="0" w:line="240" w:lineRule="auto"/>
              <w:ind w:firstLine="0"/>
              <w:jc w:val="center"/>
              <w:rPr>
                <w:rFonts w:eastAsia="Calibri"/>
                <w:i/>
                <w:iCs/>
                <w:sz w:val="20"/>
                <w:szCs w:val="20"/>
              </w:rPr>
            </w:pPr>
            <w:r w:rsidRPr="00387A2E">
              <w:rPr>
                <w:rFonts w:eastAsia="Calibri"/>
                <w:i/>
                <w:iCs/>
                <w:sz w:val="20"/>
                <w:szCs w:val="20"/>
              </w:rPr>
              <w:t>0.46</w:t>
            </w:r>
          </w:p>
        </w:tc>
        <w:tc>
          <w:tcPr>
            <w:tcW w:w="907" w:type="dxa"/>
            <w:tcBorders>
              <w:top w:val="single" w:sz="4" w:space="0" w:color="FFFFFF"/>
              <w:left w:val="single" w:sz="4" w:space="0" w:color="FFFFFF"/>
              <w:bottom w:val="single" w:sz="4" w:space="0" w:color="FFFFFF"/>
              <w:right w:val="single" w:sz="4" w:space="0" w:color="FFFFFF"/>
            </w:tcBorders>
          </w:tcPr>
          <w:p w14:paraId="7B1D68F2" w14:textId="77777777" w:rsidR="00387A2E" w:rsidRPr="00387A2E" w:rsidRDefault="00387A2E" w:rsidP="00387A2E">
            <w:pPr>
              <w:widowControl/>
              <w:tabs>
                <w:tab w:val="clear" w:pos="720"/>
              </w:tabs>
              <w:spacing w:after="0" w:line="240" w:lineRule="auto"/>
              <w:ind w:firstLine="0"/>
              <w:jc w:val="center"/>
              <w:rPr>
                <w:rFonts w:eastAsia="Calibri"/>
                <w:i/>
                <w:iCs/>
                <w:sz w:val="20"/>
                <w:szCs w:val="20"/>
              </w:rPr>
            </w:pPr>
            <w:r w:rsidRPr="00387A2E">
              <w:rPr>
                <w:rFonts w:eastAsia="Calibri"/>
                <w:i/>
                <w:iCs/>
                <w:sz w:val="20"/>
                <w:szCs w:val="20"/>
              </w:rPr>
              <w:t>&lt; 0.01*</w:t>
            </w:r>
          </w:p>
        </w:tc>
        <w:tc>
          <w:tcPr>
            <w:tcW w:w="1644" w:type="dxa"/>
            <w:tcBorders>
              <w:top w:val="single" w:sz="4" w:space="0" w:color="FFFFFF"/>
              <w:left w:val="single" w:sz="4" w:space="0" w:color="FFFFFF"/>
              <w:bottom w:val="single" w:sz="4" w:space="0" w:color="FFFFFF"/>
              <w:right w:val="single" w:sz="4" w:space="0" w:color="FFFFFF"/>
            </w:tcBorders>
          </w:tcPr>
          <w:p w14:paraId="3250096C"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0.20</w:t>
            </w:r>
          </w:p>
        </w:tc>
        <w:tc>
          <w:tcPr>
            <w:tcW w:w="907" w:type="dxa"/>
            <w:tcBorders>
              <w:top w:val="single" w:sz="4" w:space="0" w:color="FFFFFF"/>
              <w:left w:val="single" w:sz="4" w:space="0" w:color="FFFFFF"/>
              <w:bottom w:val="single" w:sz="4" w:space="0" w:color="FFFFFF"/>
              <w:right w:val="single" w:sz="4" w:space="0" w:color="FFFFFF"/>
            </w:tcBorders>
          </w:tcPr>
          <w:p w14:paraId="4386314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0.23</w:t>
            </w:r>
          </w:p>
        </w:tc>
        <w:tc>
          <w:tcPr>
            <w:tcW w:w="1644" w:type="dxa"/>
            <w:tcBorders>
              <w:top w:val="single" w:sz="4" w:space="0" w:color="FFFFFF"/>
              <w:left w:val="single" w:sz="4" w:space="0" w:color="FFFFFF"/>
              <w:bottom w:val="single" w:sz="4" w:space="0" w:color="FFFFFF"/>
              <w:right w:val="single" w:sz="4" w:space="0" w:color="FFFFFF"/>
            </w:tcBorders>
          </w:tcPr>
          <w:p w14:paraId="0E1E323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0.07</w:t>
            </w:r>
          </w:p>
        </w:tc>
        <w:tc>
          <w:tcPr>
            <w:tcW w:w="907" w:type="dxa"/>
            <w:tcBorders>
              <w:top w:val="single" w:sz="4" w:space="0" w:color="FFFFFF"/>
              <w:left w:val="single" w:sz="4" w:space="0" w:color="FFFFFF"/>
              <w:bottom w:val="single" w:sz="4" w:space="0" w:color="FFFFFF"/>
              <w:right w:val="single" w:sz="4" w:space="0" w:color="FFFFFF"/>
            </w:tcBorders>
          </w:tcPr>
          <w:p w14:paraId="377A0AC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0.67</w:t>
            </w:r>
          </w:p>
        </w:tc>
      </w:tr>
      <w:tr w:rsidR="00387A2E" w:rsidRPr="00387A2E" w14:paraId="7B154139"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tcPr>
          <w:p w14:paraId="6D00A383"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 xml:space="preserve">   Object Decision</w:t>
            </w:r>
          </w:p>
        </w:tc>
        <w:tc>
          <w:tcPr>
            <w:tcW w:w="1644" w:type="dxa"/>
            <w:tcBorders>
              <w:top w:val="single" w:sz="4" w:space="0" w:color="FFFFFF"/>
              <w:left w:val="single" w:sz="4" w:space="0" w:color="FFFFFF"/>
              <w:bottom w:val="single" w:sz="4" w:space="0" w:color="FFFFFF"/>
              <w:right w:val="single" w:sz="4" w:space="0" w:color="FFFFFF"/>
            </w:tcBorders>
          </w:tcPr>
          <w:p w14:paraId="4C8DD485" w14:textId="77777777" w:rsidR="00387A2E" w:rsidRPr="00387A2E" w:rsidRDefault="00387A2E" w:rsidP="00387A2E">
            <w:pPr>
              <w:widowControl/>
              <w:tabs>
                <w:tab w:val="clear" w:pos="720"/>
              </w:tabs>
              <w:spacing w:after="0" w:line="240" w:lineRule="auto"/>
              <w:ind w:firstLine="0"/>
              <w:jc w:val="center"/>
              <w:rPr>
                <w:rFonts w:eastAsia="Calibri"/>
                <w:i/>
                <w:iCs/>
                <w:sz w:val="20"/>
                <w:szCs w:val="20"/>
              </w:rPr>
            </w:pPr>
            <w:r w:rsidRPr="00387A2E">
              <w:rPr>
                <w:rFonts w:eastAsia="Calibri"/>
                <w:i/>
                <w:iCs/>
                <w:sz w:val="20"/>
                <w:szCs w:val="20"/>
              </w:rPr>
              <w:t>0.45</w:t>
            </w:r>
          </w:p>
        </w:tc>
        <w:tc>
          <w:tcPr>
            <w:tcW w:w="907" w:type="dxa"/>
            <w:tcBorders>
              <w:top w:val="single" w:sz="4" w:space="0" w:color="FFFFFF"/>
              <w:left w:val="single" w:sz="4" w:space="0" w:color="FFFFFF"/>
              <w:bottom w:val="single" w:sz="4" w:space="0" w:color="FFFFFF"/>
              <w:right w:val="single" w:sz="4" w:space="0" w:color="FFFFFF"/>
            </w:tcBorders>
          </w:tcPr>
          <w:p w14:paraId="781EDCF0" w14:textId="77777777" w:rsidR="00387A2E" w:rsidRPr="00387A2E" w:rsidRDefault="00387A2E" w:rsidP="00387A2E">
            <w:pPr>
              <w:widowControl/>
              <w:tabs>
                <w:tab w:val="clear" w:pos="720"/>
              </w:tabs>
              <w:spacing w:after="0" w:line="240" w:lineRule="auto"/>
              <w:ind w:firstLine="0"/>
              <w:jc w:val="center"/>
              <w:rPr>
                <w:rFonts w:eastAsia="Calibri"/>
                <w:i/>
                <w:iCs/>
                <w:sz w:val="20"/>
                <w:szCs w:val="20"/>
              </w:rPr>
            </w:pPr>
            <w:r w:rsidRPr="00387A2E">
              <w:rPr>
                <w:rFonts w:eastAsia="Calibri"/>
                <w:i/>
                <w:iCs/>
                <w:sz w:val="20"/>
                <w:szCs w:val="20"/>
              </w:rPr>
              <w:t>&lt; 0.01*</w:t>
            </w:r>
          </w:p>
        </w:tc>
        <w:tc>
          <w:tcPr>
            <w:tcW w:w="1644" w:type="dxa"/>
            <w:tcBorders>
              <w:top w:val="single" w:sz="4" w:space="0" w:color="FFFFFF"/>
              <w:left w:val="single" w:sz="4" w:space="0" w:color="FFFFFF"/>
              <w:bottom w:val="single" w:sz="4" w:space="0" w:color="FFFFFF"/>
              <w:right w:val="single" w:sz="4" w:space="0" w:color="FFFFFF"/>
            </w:tcBorders>
          </w:tcPr>
          <w:p w14:paraId="530ECF3C"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0.11</w:t>
            </w:r>
          </w:p>
        </w:tc>
        <w:tc>
          <w:tcPr>
            <w:tcW w:w="907" w:type="dxa"/>
            <w:tcBorders>
              <w:top w:val="single" w:sz="4" w:space="0" w:color="FFFFFF"/>
              <w:left w:val="single" w:sz="4" w:space="0" w:color="FFFFFF"/>
              <w:bottom w:val="single" w:sz="4" w:space="0" w:color="FFFFFF"/>
              <w:right w:val="single" w:sz="4" w:space="0" w:color="FFFFFF"/>
            </w:tcBorders>
          </w:tcPr>
          <w:p w14:paraId="7A3107EF"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0.51</w:t>
            </w:r>
          </w:p>
        </w:tc>
        <w:tc>
          <w:tcPr>
            <w:tcW w:w="1644" w:type="dxa"/>
            <w:tcBorders>
              <w:top w:val="single" w:sz="4" w:space="0" w:color="FFFFFF"/>
              <w:left w:val="single" w:sz="4" w:space="0" w:color="FFFFFF"/>
              <w:bottom w:val="single" w:sz="4" w:space="0" w:color="FFFFFF"/>
              <w:right w:val="single" w:sz="4" w:space="0" w:color="FFFFFF"/>
            </w:tcBorders>
          </w:tcPr>
          <w:p w14:paraId="460A658B"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0.01</w:t>
            </w:r>
          </w:p>
        </w:tc>
        <w:tc>
          <w:tcPr>
            <w:tcW w:w="907" w:type="dxa"/>
            <w:tcBorders>
              <w:top w:val="single" w:sz="4" w:space="0" w:color="FFFFFF"/>
              <w:left w:val="single" w:sz="4" w:space="0" w:color="FFFFFF"/>
              <w:bottom w:val="single" w:sz="4" w:space="0" w:color="FFFFFF"/>
              <w:right w:val="single" w:sz="4" w:space="0" w:color="FFFFFF"/>
            </w:tcBorders>
          </w:tcPr>
          <w:p w14:paraId="17E659F1"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0.95</w:t>
            </w:r>
          </w:p>
        </w:tc>
      </w:tr>
      <w:tr w:rsidR="00387A2E" w:rsidRPr="00387A2E" w14:paraId="15B249DF"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tcPr>
          <w:p w14:paraId="79741D44"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 xml:space="preserve">   Progressive Silhouettes*</w:t>
            </w:r>
          </w:p>
        </w:tc>
        <w:tc>
          <w:tcPr>
            <w:tcW w:w="1644" w:type="dxa"/>
            <w:tcBorders>
              <w:top w:val="single" w:sz="4" w:space="0" w:color="FFFFFF"/>
              <w:left w:val="single" w:sz="4" w:space="0" w:color="FFFFFF"/>
              <w:bottom w:val="single" w:sz="4" w:space="0" w:color="FFFFFF"/>
              <w:right w:val="single" w:sz="4" w:space="0" w:color="FFFFFF"/>
            </w:tcBorders>
          </w:tcPr>
          <w:p w14:paraId="7693B9C1" w14:textId="77777777" w:rsidR="00387A2E" w:rsidRPr="00387A2E" w:rsidRDefault="00387A2E" w:rsidP="00387A2E">
            <w:pPr>
              <w:widowControl/>
              <w:tabs>
                <w:tab w:val="clear" w:pos="720"/>
              </w:tabs>
              <w:spacing w:after="0" w:line="240" w:lineRule="auto"/>
              <w:ind w:firstLine="0"/>
              <w:jc w:val="center"/>
              <w:rPr>
                <w:rFonts w:eastAsia="Calibri"/>
                <w:i/>
                <w:iCs/>
                <w:sz w:val="20"/>
                <w:szCs w:val="20"/>
              </w:rPr>
            </w:pPr>
            <w:r w:rsidRPr="00387A2E">
              <w:rPr>
                <w:rFonts w:eastAsia="Calibri"/>
                <w:i/>
                <w:iCs/>
                <w:sz w:val="20"/>
                <w:szCs w:val="20"/>
              </w:rPr>
              <w:t>-0.41</w:t>
            </w:r>
          </w:p>
        </w:tc>
        <w:tc>
          <w:tcPr>
            <w:tcW w:w="907" w:type="dxa"/>
            <w:tcBorders>
              <w:top w:val="single" w:sz="4" w:space="0" w:color="FFFFFF"/>
              <w:left w:val="single" w:sz="4" w:space="0" w:color="FFFFFF"/>
              <w:bottom w:val="single" w:sz="4" w:space="0" w:color="FFFFFF"/>
              <w:right w:val="single" w:sz="4" w:space="0" w:color="FFFFFF"/>
            </w:tcBorders>
          </w:tcPr>
          <w:p w14:paraId="1C4A0B4A" w14:textId="77777777" w:rsidR="00387A2E" w:rsidRPr="00387A2E" w:rsidRDefault="00387A2E" w:rsidP="00387A2E">
            <w:pPr>
              <w:widowControl/>
              <w:tabs>
                <w:tab w:val="clear" w:pos="720"/>
              </w:tabs>
              <w:spacing w:after="0" w:line="240" w:lineRule="auto"/>
              <w:ind w:firstLine="0"/>
              <w:jc w:val="center"/>
              <w:rPr>
                <w:rFonts w:eastAsia="Calibri"/>
                <w:i/>
                <w:iCs/>
                <w:sz w:val="20"/>
                <w:szCs w:val="20"/>
              </w:rPr>
            </w:pPr>
            <w:r w:rsidRPr="00387A2E">
              <w:rPr>
                <w:rFonts w:eastAsia="Calibri"/>
                <w:i/>
                <w:iCs/>
                <w:sz w:val="20"/>
                <w:szCs w:val="20"/>
              </w:rPr>
              <w:t>&lt; 0.01*</w:t>
            </w:r>
          </w:p>
        </w:tc>
        <w:tc>
          <w:tcPr>
            <w:tcW w:w="1644" w:type="dxa"/>
            <w:tcBorders>
              <w:top w:val="single" w:sz="4" w:space="0" w:color="FFFFFF"/>
              <w:left w:val="single" w:sz="4" w:space="0" w:color="FFFFFF"/>
              <w:bottom w:val="single" w:sz="4" w:space="0" w:color="FFFFFF"/>
              <w:right w:val="single" w:sz="4" w:space="0" w:color="FFFFFF"/>
            </w:tcBorders>
          </w:tcPr>
          <w:p w14:paraId="5F9FD831"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0.02</w:t>
            </w:r>
          </w:p>
        </w:tc>
        <w:tc>
          <w:tcPr>
            <w:tcW w:w="907" w:type="dxa"/>
            <w:tcBorders>
              <w:top w:val="single" w:sz="4" w:space="0" w:color="FFFFFF"/>
              <w:left w:val="single" w:sz="4" w:space="0" w:color="FFFFFF"/>
              <w:bottom w:val="single" w:sz="4" w:space="0" w:color="FFFFFF"/>
              <w:right w:val="single" w:sz="4" w:space="0" w:color="FFFFFF"/>
            </w:tcBorders>
          </w:tcPr>
          <w:p w14:paraId="1235C67E"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0.91</w:t>
            </w:r>
          </w:p>
        </w:tc>
        <w:tc>
          <w:tcPr>
            <w:tcW w:w="1644" w:type="dxa"/>
            <w:tcBorders>
              <w:top w:val="single" w:sz="4" w:space="0" w:color="FFFFFF"/>
              <w:left w:val="single" w:sz="4" w:space="0" w:color="FFFFFF"/>
              <w:bottom w:val="single" w:sz="4" w:space="0" w:color="FFFFFF"/>
              <w:right w:val="single" w:sz="4" w:space="0" w:color="FFFFFF"/>
            </w:tcBorders>
          </w:tcPr>
          <w:p w14:paraId="340C7876"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-0.24</w:t>
            </w:r>
          </w:p>
        </w:tc>
        <w:tc>
          <w:tcPr>
            <w:tcW w:w="907" w:type="dxa"/>
            <w:tcBorders>
              <w:top w:val="single" w:sz="4" w:space="0" w:color="FFFFFF"/>
              <w:left w:val="single" w:sz="4" w:space="0" w:color="FFFFFF"/>
              <w:bottom w:val="single" w:sz="4" w:space="0" w:color="FFFFFF"/>
              <w:right w:val="single" w:sz="4" w:space="0" w:color="FFFFFF"/>
            </w:tcBorders>
          </w:tcPr>
          <w:p w14:paraId="5D76128B"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0.13</w:t>
            </w:r>
          </w:p>
        </w:tc>
      </w:tr>
      <w:tr w:rsidR="00387A2E" w:rsidRPr="00387A2E" w14:paraId="09CC39AF"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shd w:val="clear" w:color="auto" w:fill="auto"/>
          </w:tcPr>
          <w:p w14:paraId="73C8AEA6"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Space Perception</w:t>
            </w:r>
          </w:p>
        </w:tc>
        <w:tc>
          <w:tcPr>
            <w:tcW w:w="1644" w:type="dxa"/>
            <w:tcBorders>
              <w:top w:val="single" w:sz="4" w:space="0" w:color="FFFFFF"/>
              <w:left w:val="single" w:sz="4" w:space="0" w:color="FFFFFF"/>
              <w:bottom w:val="single" w:sz="4" w:space="0" w:color="FFFFFF"/>
              <w:right w:val="single" w:sz="4" w:space="0" w:color="FFFFFF"/>
            </w:tcBorders>
            <w:shd w:val="clear" w:color="auto" w:fill="auto"/>
          </w:tcPr>
          <w:p w14:paraId="74E110CF"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auto"/>
          </w:tcPr>
          <w:p w14:paraId="794ED4C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644" w:type="dxa"/>
            <w:tcBorders>
              <w:top w:val="single" w:sz="4" w:space="0" w:color="FFFFFF"/>
              <w:left w:val="single" w:sz="4" w:space="0" w:color="FFFFFF"/>
              <w:bottom w:val="single" w:sz="4" w:space="0" w:color="FFFFFF"/>
              <w:right w:val="single" w:sz="4" w:space="0" w:color="FFFFFF"/>
            </w:tcBorders>
          </w:tcPr>
          <w:p w14:paraId="6046A333"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tcPr>
          <w:p w14:paraId="10EFB692"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644" w:type="dxa"/>
            <w:tcBorders>
              <w:top w:val="single" w:sz="4" w:space="0" w:color="FFFFFF"/>
              <w:left w:val="single" w:sz="4" w:space="0" w:color="FFFFFF"/>
              <w:bottom w:val="single" w:sz="4" w:space="0" w:color="FFFFFF"/>
              <w:right w:val="single" w:sz="4" w:space="0" w:color="FFFFFF"/>
            </w:tcBorders>
            <w:shd w:val="clear" w:color="auto" w:fill="auto"/>
          </w:tcPr>
          <w:p w14:paraId="573BA6C0"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auto"/>
          </w:tcPr>
          <w:p w14:paraId="2678F7EE"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r>
      <w:tr w:rsidR="00387A2E" w:rsidRPr="00387A2E" w14:paraId="2F41BED4"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tcPr>
          <w:p w14:paraId="7ACDA857"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 xml:space="preserve">   Dot Counting</w:t>
            </w:r>
          </w:p>
        </w:tc>
        <w:tc>
          <w:tcPr>
            <w:tcW w:w="1644" w:type="dxa"/>
            <w:tcBorders>
              <w:top w:val="single" w:sz="4" w:space="0" w:color="FFFFFF"/>
              <w:left w:val="single" w:sz="4" w:space="0" w:color="FFFFFF"/>
              <w:bottom w:val="single" w:sz="4" w:space="0" w:color="FFFFFF"/>
              <w:right w:val="single" w:sz="4" w:space="0" w:color="FFFFFF"/>
            </w:tcBorders>
          </w:tcPr>
          <w:p w14:paraId="3EC0138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-0.09</w:t>
            </w:r>
          </w:p>
        </w:tc>
        <w:tc>
          <w:tcPr>
            <w:tcW w:w="907" w:type="dxa"/>
            <w:tcBorders>
              <w:top w:val="single" w:sz="4" w:space="0" w:color="FFFFFF"/>
              <w:left w:val="single" w:sz="4" w:space="0" w:color="FFFFFF"/>
              <w:bottom w:val="single" w:sz="4" w:space="0" w:color="FFFFFF"/>
              <w:right w:val="single" w:sz="4" w:space="0" w:color="FFFFFF"/>
            </w:tcBorders>
          </w:tcPr>
          <w:p w14:paraId="69BA210B"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0.60</w:t>
            </w:r>
          </w:p>
        </w:tc>
        <w:tc>
          <w:tcPr>
            <w:tcW w:w="1644" w:type="dxa"/>
            <w:tcBorders>
              <w:top w:val="single" w:sz="4" w:space="0" w:color="FFFFFF"/>
              <w:left w:val="single" w:sz="4" w:space="0" w:color="FFFFFF"/>
              <w:bottom w:val="single" w:sz="4" w:space="0" w:color="FFFFFF"/>
              <w:right w:val="single" w:sz="4" w:space="0" w:color="FFFFFF"/>
            </w:tcBorders>
          </w:tcPr>
          <w:p w14:paraId="24929EA1"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0.12</w:t>
            </w:r>
          </w:p>
        </w:tc>
        <w:tc>
          <w:tcPr>
            <w:tcW w:w="907" w:type="dxa"/>
            <w:tcBorders>
              <w:top w:val="single" w:sz="4" w:space="0" w:color="FFFFFF"/>
              <w:left w:val="single" w:sz="4" w:space="0" w:color="FFFFFF"/>
              <w:bottom w:val="single" w:sz="4" w:space="0" w:color="FFFFFF"/>
              <w:right w:val="single" w:sz="4" w:space="0" w:color="FFFFFF"/>
            </w:tcBorders>
          </w:tcPr>
          <w:p w14:paraId="27DC551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0.47</w:t>
            </w:r>
          </w:p>
        </w:tc>
        <w:tc>
          <w:tcPr>
            <w:tcW w:w="1644" w:type="dxa"/>
            <w:tcBorders>
              <w:top w:val="single" w:sz="4" w:space="0" w:color="FFFFFF"/>
              <w:left w:val="single" w:sz="4" w:space="0" w:color="FFFFFF"/>
              <w:bottom w:val="single" w:sz="4" w:space="0" w:color="FFFFFF"/>
              <w:right w:val="single" w:sz="4" w:space="0" w:color="FFFFFF"/>
            </w:tcBorders>
          </w:tcPr>
          <w:p w14:paraId="4AB91B96"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0.21</w:t>
            </w:r>
          </w:p>
        </w:tc>
        <w:tc>
          <w:tcPr>
            <w:tcW w:w="907" w:type="dxa"/>
            <w:tcBorders>
              <w:top w:val="single" w:sz="4" w:space="0" w:color="FFFFFF"/>
              <w:left w:val="single" w:sz="4" w:space="0" w:color="FFFFFF"/>
              <w:bottom w:val="single" w:sz="4" w:space="0" w:color="FFFFFF"/>
              <w:right w:val="single" w:sz="4" w:space="0" w:color="FFFFFF"/>
            </w:tcBorders>
          </w:tcPr>
          <w:p w14:paraId="3A64273A"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0.20</w:t>
            </w:r>
          </w:p>
        </w:tc>
      </w:tr>
      <w:tr w:rsidR="00387A2E" w:rsidRPr="00387A2E" w14:paraId="69F7BD79"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tcPr>
          <w:p w14:paraId="08428DEE"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 xml:space="preserve">   Position Discrimination</w:t>
            </w:r>
          </w:p>
        </w:tc>
        <w:tc>
          <w:tcPr>
            <w:tcW w:w="1644" w:type="dxa"/>
            <w:tcBorders>
              <w:top w:val="single" w:sz="4" w:space="0" w:color="FFFFFF"/>
              <w:left w:val="single" w:sz="4" w:space="0" w:color="FFFFFF"/>
              <w:bottom w:val="single" w:sz="4" w:space="0" w:color="FFFFFF"/>
              <w:right w:val="single" w:sz="4" w:space="0" w:color="FFFFFF"/>
            </w:tcBorders>
          </w:tcPr>
          <w:p w14:paraId="7C4B9EC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0.24</w:t>
            </w:r>
          </w:p>
        </w:tc>
        <w:tc>
          <w:tcPr>
            <w:tcW w:w="907" w:type="dxa"/>
            <w:tcBorders>
              <w:top w:val="single" w:sz="4" w:space="0" w:color="FFFFFF"/>
              <w:left w:val="single" w:sz="4" w:space="0" w:color="FFFFFF"/>
              <w:bottom w:val="single" w:sz="4" w:space="0" w:color="FFFFFF"/>
              <w:right w:val="single" w:sz="4" w:space="0" w:color="FFFFFF"/>
            </w:tcBorders>
          </w:tcPr>
          <w:p w14:paraId="7C18194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0.13</w:t>
            </w:r>
          </w:p>
        </w:tc>
        <w:tc>
          <w:tcPr>
            <w:tcW w:w="1644" w:type="dxa"/>
            <w:tcBorders>
              <w:top w:val="single" w:sz="4" w:space="0" w:color="FFFFFF"/>
              <w:left w:val="single" w:sz="4" w:space="0" w:color="FFFFFF"/>
              <w:bottom w:val="single" w:sz="4" w:space="0" w:color="FFFFFF"/>
              <w:right w:val="single" w:sz="4" w:space="0" w:color="FFFFFF"/>
            </w:tcBorders>
          </w:tcPr>
          <w:p w14:paraId="438EADE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0.21</w:t>
            </w:r>
          </w:p>
        </w:tc>
        <w:tc>
          <w:tcPr>
            <w:tcW w:w="907" w:type="dxa"/>
            <w:tcBorders>
              <w:top w:val="single" w:sz="4" w:space="0" w:color="FFFFFF"/>
              <w:left w:val="single" w:sz="4" w:space="0" w:color="FFFFFF"/>
              <w:bottom w:val="single" w:sz="4" w:space="0" w:color="FFFFFF"/>
              <w:right w:val="single" w:sz="4" w:space="0" w:color="FFFFFF"/>
            </w:tcBorders>
          </w:tcPr>
          <w:p w14:paraId="53B27386"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0.20</w:t>
            </w:r>
          </w:p>
        </w:tc>
        <w:tc>
          <w:tcPr>
            <w:tcW w:w="1644" w:type="dxa"/>
            <w:tcBorders>
              <w:top w:val="single" w:sz="4" w:space="0" w:color="FFFFFF"/>
              <w:left w:val="single" w:sz="4" w:space="0" w:color="FFFFFF"/>
              <w:bottom w:val="single" w:sz="4" w:space="0" w:color="FFFFFF"/>
              <w:right w:val="single" w:sz="4" w:space="0" w:color="FFFFFF"/>
            </w:tcBorders>
          </w:tcPr>
          <w:p w14:paraId="0006B825"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0.35</w:t>
            </w:r>
          </w:p>
        </w:tc>
        <w:tc>
          <w:tcPr>
            <w:tcW w:w="907" w:type="dxa"/>
            <w:tcBorders>
              <w:top w:val="single" w:sz="4" w:space="0" w:color="FFFFFF"/>
              <w:left w:val="single" w:sz="4" w:space="0" w:color="FFFFFF"/>
              <w:bottom w:val="single" w:sz="4" w:space="0" w:color="FFFFFF"/>
              <w:right w:val="single" w:sz="4" w:space="0" w:color="FFFFFF"/>
            </w:tcBorders>
          </w:tcPr>
          <w:p w14:paraId="1CD31C7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0.03*</w:t>
            </w:r>
          </w:p>
        </w:tc>
      </w:tr>
      <w:tr w:rsidR="00387A2E" w:rsidRPr="00387A2E" w14:paraId="50D3189B"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tcPr>
          <w:p w14:paraId="602CB3EE"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 xml:space="preserve">   Number Location</w:t>
            </w:r>
          </w:p>
        </w:tc>
        <w:tc>
          <w:tcPr>
            <w:tcW w:w="1644" w:type="dxa"/>
            <w:tcBorders>
              <w:top w:val="single" w:sz="4" w:space="0" w:color="FFFFFF"/>
              <w:left w:val="single" w:sz="4" w:space="0" w:color="FFFFFF"/>
              <w:bottom w:val="single" w:sz="4" w:space="0" w:color="FFFFFF"/>
              <w:right w:val="single" w:sz="4" w:space="0" w:color="FFFFFF"/>
            </w:tcBorders>
          </w:tcPr>
          <w:p w14:paraId="2DFF9DA9"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0.29</w:t>
            </w:r>
          </w:p>
        </w:tc>
        <w:tc>
          <w:tcPr>
            <w:tcW w:w="907" w:type="dxa"/>
            <w:tcBorders>
              <w:top w:val="single" w:sz="4" w:space="0" w:color="FFFFFF"/>
              <w:left w:val="single" w:sz="4" w:space="0" w:color="FFFFFF"/>
              <w:bottom w:val="single" w:sz="4" w:space="0" w:color="FFFFFF"/>
              <w:right w:val="single" w:sz="4" w:space="0" w:color="FFFFFF"/>
            </w:tcBorders>
          </w:tcPr>
          <w:p w14:paraId="42501AF6"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0.07</w:t>
            </w:r>
          </w:p>
        </w:tc>
        <w:tc>
          <w:tcPr>
            <w:tcW w:w="1644" w:type="dxa"/>
            <w:tcBorders>
              <w:top w:val="single" w:sz="4" w:space="0" w:color="FFFFFF"/>
              <w:left w:val="single" w:sz="4" w:space="0" w:color="FFFFFF"/>
              <w:bottom w:val="single" w:sz="4" w:space="0" w:color="FFFFFF"/>
              <w:right w:val="single" w:sz="4" w:space="0" w:color="FFFFFF"/>
            </w:tcBorders>
          </w:tcPr>
          <w:p w14:paraId="16271C8C"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0.29</w:t>
            </w:r>
          </w:p>
        </w:tc>
        <w:tc>
          <w:tcPr>
            <w:tcW w:w="907" w:type="dxa"/>
            <w:tcBorders>
              <w:top w:val="single" w:sz="4" w:space="0" w:color="FFFFFF"/>
              <w:left w:val="single" w:sz="4" w:space="0" w:color="FFFFFF"/>
              <w:bottom w:val="single" w:sz="4" w:space="0" w:color="FFFFFF"/>
              <w:right w:val="single" w:sz="4" w:space="0" w:color="FFFFFF"/>
            </w:tcBorders>
          </w:tcPr>
          <w:p w14:paraId="757EDDC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0.07</w:t>
            </w:r>
          </w:p>
        </w:tc>
        <w:tc>
          <w:tcPr>
            <w:tcW w:w="1644" w:type="dxa"/>
            <w:tcBorders>
              <w:top w:val="single" w:sz="4" w:space="0" w:color="FFFFFF"/>
              <w:left w:val="single" w:sz="4" w:space="0" w:color="FFFFFF"/>
              <w:bottom w:val="single" w:sz="4" w:space="0" w:color="FFFFFF"/>
              <w:right w:val="single" w:sz="4" w:space="0" w:color="FFFFFF"/>
            </w:tcBorders>
          </w:tcPr>
          <w:p w14:paraId="1F0F20F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-0.02</w:t>
            </w:r>
          </w:p>
        </w:tc>
        <w:tc>
          <w:tcPr>
            <w:tcW w:w="907" w:type="dxa"/>
            <w:tcBorders>
              <w:top w:val="single" w:sz="4" w:space="0" w:color="FFFFFF"/>
              <w:left w:val="single" w:sz="4" w:space="0" w:color="FFFFFF"/>
              <w:bottom w:val="single" w:sz="4" w:space="0" w:color="FFFFFF"/>
              <w:right w:val="single" w:sz="4" w:space="0" w:color="FFFFFF"/>
            </w:tcBorders>
          </w:tcPr>
          <w:p w14:paraId="22707F5F"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0.91</w:t>
            </w:r>
          </w:p>
        </w:tc>
      </w:tr>
      <w:tr w:rsidR="00387A2E" w:rsidRPr="00387A2E" w14:paraId="3AFB8060" w14:textId="77777777" w:rsidTr="000E1146">
        <w:trPr>
          <w:trHeight w:val="312"/>
        </w:trPr>
        <w:tc>
          <w:tcPr>
            <w:tcW w:w="2494" w:type="dxa"/>
            <w:tcBorders>
              <w:top w:val="single" w:sz="4" w:space="0" w:color="FFFFFF"/>
              <w:left w:val="single" w:sz="4" w:space="0" w:color="FFFFFF"/>
              <w:right w:val="single" w:sz="4" w:space="0" w:color="FFFFFF"/>
            </w:tcBorders>
          </w:tcPr>
          <w:p w14:paraId="4D63DBE2"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 xml:space="preserve">   Cube Analysis</w:t>
            </w:r>
          </w:p>
        </w:tc>
        <w:tc>
          <w:tcPr>
            <w:tcW w:w="1644" w:type="dxa"/>
            <w:tcBorders>
              <w:top w:val="single" w:sz="4" w:space="0" w:color="FFFFFF"/>
              <w:left w:val="single" w:sz="4" w:space="0" w:color="FFFFFF"/>
              <w:right w:val="single" w:sz="4" w:space="0" w:color="FFFFFF"/>
            </w:tcBorders>
          </w:tcPr>
          <w:p w14:paraId="0AF74452" w14:textId="77777777" w:rsidR="00387A2E" w:rsidRPr="00387A2E" w:rsidRDefault="00387A2E" w:rsidP="00387A2E">
            <w:pPr>
              <w:widowControl/>
              <w:tabs>
                <w:tab w:val="clear" w:pos="720"/>
              </w:tabs>
              <w:spacing w:after="0" w:line="240" w:lineRule="auto"/>
              <w:ind w:firstLine="0"/>
              <w:jc w:val="center"/>
              <w:rPr>
                <w:rFonts w:eastAsia="Calibri"/>
                <w:i/>
                <w:iCs/>
                <w:sz w:val="20"/>
                <w:szCs w:val="20"/>
              </w:rPr>
            </w:pPr>
            <w:r w:rsidRPr="00387A2E">
              <w:rPr>
                <w:rFonts w:eastAsia="Calibri"/>
                <w:i/>
                <w:iCs/>
                <w:sz w:val="20"/>
                <w:szCs w:val="20"/>
              </w:rPr>
              <w:t>0.38</w:t>
            </w:r>
          </w:p>
        </w:tc>
        <w:tc>
          <w:tcPr>
            <w:tcW w:w="907" w:type="dxa"/>
            <w:tcBorders>
              <w:top w:val="single" w:sz="4" w:space="0" w:color="FFFFFF"/>
              <w:left w:val="single" w:sz="4" w:space="0" w:color="FFFFFF"/>
              <w:right w:val="single" w:sz="4" w:space="0" w:color="FFFFFF"/>
            </w:tcBorders>
          </w:tcPr>
          <w:p w14:paraId="4B04C1C0" w14:textId="77777777" w:rsidR="00387A2E" w:rsidRPr="00387A2E" w:rsidRDefault="00387A2E" w:rsidP="00387A2E">
            <w:pPr>
              <w:widowControl/>
              <w:tabs>
                <w:tab w:val="clear" w:pos="720"/>
              </w:tabs>
              <w:spacing w:after="0" w:line="240" w:lineRule="auto"/>
              <w:ind w:firstLine="0"/>
              <w:jc w:val="center"/>
              <w:rPr>
                <w:rFonts w:eastAsia="Calibri"/>
                <w:i/>
                <w:iCs/>
                <w:sz w:val="20"/>
                <w:szCs w:val="20"/>
              </w:rPr>
            </w:pPr>
            <w:r w:rsidRPr="00387A2E">
              <w:rPr>
                <w:rFonts w:eastAsia="Calibri"/>
                <w:i/>
                <w:iCs/>
                <w:sz w:val="20"/>
                <w:szCs w:val="20"/>
              </w:rPr>
              <w:t>0.01*</w:t>
            </w:r>
          </w:p>
        </w:tc>
        <w:tc>
          <w:tcPr>
            <w:tcW w:w="1644" w:type="dxa"/>
            <w:tcBorders>
              <w:top w:val="single" w:sz="4" w:space="0" w:color="FFFFFF"/>
              <w:left w:val="single" w:sz="4" w:space="0" w:color="FFFFFF"/>
              <w:right w:val="single" w:sz="4" w:space="0" w:color="FFFFFF"/>
            </w:tcBorders>
          </w:tcPr>
          <w:p w14:paraId="1089B2E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0.31</w:t>
            </w:r>
          </w:p>
        </w:tc>
        <w:tc>
          <w:tcPr>
            <w:tcW w:w="907" w:type="dxa"/>
            <w:tcBorders>
              <w:top w:val="single" w:sz="4" w:space="0" w:color="FFFFFF"/>
              <w:left w:val="single" w:sz="4" w:space="0" w:color="FFFFFF"/>
              <w:right w:val="single" w:sz="4" w:space="0" w:color="FFFFFF"/>
            </w:tcBorders>
          </w:tcPr>
          <w:p w14:paraId="0DA1EF3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0.05</w:t>
            </w:r>
          </w:p>
        </w:tc>
        <w:tc>
          <w:tcPr>
            <w:tcW w:w="1644" w:type="dxa"/>
            <w:tcBorders>
              <w:top w:val="single" w:sz="4" w:space="0" w:color="FFFFFF"/>
              <w:left w:val="single" w:sz="4" w:space="0" w:color="FFFFFF"/>
              <w:right w:val="single" w:sz="4" w:space="0" w:color="FFFFFF"/>
            </w:tcBorders>
          </w:tcPr>
          <w:p w14:paraId="1862BE8A"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0.26</w:t>
            </w:r>
          </w:p>
        </w:tc>
        <w:tc>
          <w:tcPr>
            <w:tcW w:w="907" w:type="dxa"/>
            <w:tcBorders>
              <w:top w:val="single" w:sz="4" w:space="0" w:color="FFFFFF"/>
              <w:left w:val="single" w:sz="4" w:space="0" w:color="FFFFFF"/>
              <w:right w:val="single" w:sz="4" w:space="0" w:color="FFFFFF"/>
            </w:tcBorders>
          </w:tcPr>
          <w:p w14:paraId="1F347865"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0.11</w:t>
            </w:r>
          </w:p>
        </w:tc>
      </w:tr>
    </w:tbl>
    <w:p w14:paraId="5D78B9DE" w14:textId="77777777" w:rsidR="00387A2E" w:rsidRPr="00387A2E" w:rsidRDefault="00387A2E" w:rsidP="00387A2E">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r w:rsidRPr="00387A2E">
        <w:rPr>
          <w:rFonts w:eastAsia="Times New Roman"/>
          <w:i/>
          <w:iCs/>
          <w:sz w:val="20"/>
          <w:szCs w:val="20"/>
        </w:rPr>
        <w:t>Note</w:t>
      </w:r>
      <w:r w:rsidRPr="00387A2E">
        <w:rPr>
          <w:rFonts w:eastAsia="Times New Roman"/>
          <w:sz w:val="20"/>
          <w:szCs w:val="20"/>
        </w:rPr>
        <w:t>. * Lower scores for Progressive Silhouettes indicate better performance. IQ, intelligence quotient; TMSE, Thai Mental State Examination; VA, visual acuity.</w:t>
      </w:r>
    </w:p>
    <w:p w14:paraId="7B7F4F10" w14:textId="77777777" w:rsidR="00387A2E" w:rsidRPr="00387A2E" w:rsidRDefault="00387A2E" w:rsidP="00387A2E">
      <w:pPr>
        <w:widowControl/>
        <w:tabs>
          <w:tab w:val="clear" w:pos="720"/>
        </w:tabs>
        <w:spacing w:after="0" w:line="259" w:lineRule="auto"/>
        <w:ind w:firstLine="0"/>
        <w:jc w:val="left"/>
        <w:rPr>
          <w:rFonts w:eastAsia="Calibri"/>
          <w:lang w:bidi="ar-SA"/>
        </w:rPr>
      </w:pPr>
    </w:p>
    <w:p w14:paraId="0AF51662" w14:textId="77777777" w:rsidR="00387A2E" w:rsidRDefault="00387A2E" w:rsidP="00C84EF3">
      <w:pPr>
        <w:widowControl/>
        <w:tabs>
          <w:tab w:val="clear" w:pos="720"/>
        </w:tabs>
        <w:spacing w:after="0" w:line="259" w:lineRule="auto"/>
        <w:ind w:firstLine="0"/>
        <w:jc w:val="left"/>
        <w:rPr>
          <w:rFonts w:eastAsia="Calibri"/>
          <w:sz w:val="20"/>
          <w:szCs w:val="20"/>
        </w:rPr>
      </w:pPr>
    </w:p>
    <w:p w14:paraId="7B21A545" w14:textId="77777777" w:rsidR="00387A2E" w:rsidRDefault="00387A2E" w:rsidP="00C84EF3">
      <w:pPr>
        <w:widowControl/>
        <w:tabs>
          <w:tab w:val="clear" w:pos="720"/>
        </w:tabs>
        <w:spacing w:after="0" w:line="259" w:lineRule="auto"/>
        <w:ind w:firstLine="0"/>
        <w:jc w:val="left"/>
        <w:rPr>
          <w:rFonts w:eastAsia="Calibri"/>
          <w:sz w:val="20"/>
          <w:szCs w:val="20"/>
        </w:rPr>
      </w:pPr>
    </w:p>
    <w:p w14:paraId="07869E87" w14:textId="77777777" w:rsidR="00387A2E" w:rsidRDefault="00387A2E" w:rsidP="00C84EF3">
      <w:pPr>
        <w:widowControl/>
        <w:tabs>
          <w:tab w:val="clear" w:pos="720"/>
        </w:tabs>
        <w:spacing w:after="0" w:line="259" w:lineRule="auto"/>
        <w:ind w:firstLine="0"/>
        <w:jc w:val="left"/>
        <w:rPr>
          <w:rFonts w:eastAsia="Calibri"/>
          <w:sz w:val="20"/>
          <w:szCs w:val="20"/>
        </w:rPr>
      </w:pPr>
    </w:p>
    <w:p w14:paraId="0436C159" w14:textId="77777777" w:rsidR="00387A2E" w:rsidRDefault="00387A2E" w:rsidP="00C84EF3">
      <w:pPr>
        <w:widowControl/>
        <w:tabs>
          <w:tab w:val="clear" w:pos="720"/>
        </w:tabs>
        <w:spacing w:after="0" w:line="259" w:lineRule="auto"/>
        <w:ind w:firstLine="0"/>
        <w:jc w:val="left"/>
        <w:rPr>
          <w:rFonts w:eastAsia="Calibri"/>
          <w:sz w:val="20"/>
          <w:szCs w:val="20"/>
        </w:rPr>
      </w:pPr>
    </w:p>
    <w:p w14:paraId="0D96AC2C" w14:textId="77777777" w:rsidR="00387A2E" w:rsidRDefault="00387A2E" w:rsidP="00C84EF3">
      <w:pPr>
        <w:widowControl/>
        <w:tabs>
          <w:tab w:val="clear" w:pos="720"/>
        </w:tabs>
        <w:spacing w:after="0" w:line="259" w:lineRule="auto"/>
        <w:ind w:firstLine="0"/>
        <w:jc w:val="left"/>
        <w:rPr>
          <w:rFonts w:eastAsia="Calibri"/>
          <w:sz w:val="20"/>
          <w:szCs w:val="20"/>
        </w:rPr>
      </w:pPr>
    </w:p>
    <w:p w14:paraId="0D408C60" w14:textId="77777777" w:rsidR="00387A2E" w:rsidRDefault="00387A2E" w:rsidP="00C84EF3">
      <w:pPr>
        <w:widowControl/>
        <w:tabs>
          <w:tab w:val="clear" w:pos="720"/>
        </w:tabs>
        <w:spacing w:after="0" w:line="259" w:lineRule="auto"/>
        <w:ind w:firstLine="0"/>
        <w:jc w:val="left"/>
        <w:rPr>
          <w:rFonts w:eastAsia="Calibri"/>
          <w:sz w:val="20"/>
          <w:szCs w:val="20"/>
        </w:rPr>
      </w:pPr>
    </w:p>
    <w:p w14:paraId="7CD1D1C5" w14:textId="77777777" w:rsidR="00387A2E" w:rsidRDefault="00387A2E" w:rsidP="00C84EF3">
      <w:pPr>
        <w:widowControl/>
        <w:tabs>
          <w:tab w:val="clear" w:pos="720"/>
        </w:tabs>
        <w:spacing w:after="0" w:line="259" w:lineRule="auto"/>
        <w:ind w:firstLine="0"/>
        <w:jc w:val="left"/>
        <w:rPr>
          <w:rFonts w:eastAsia="Calibri"/>
          <w:sz w:val="20"/>
          <w:szCs w:val="20"/>
        </w:rPr>
      </w:pPr>
    </w:p>
    <w:p w14:paraId="1D935016" w14:textId="77777777" w:rsidR="00387A2E" w:rsidRDefault="00387A2E" w:rsidP="00C84EF3">
      <w:pPr>
        <w:widowControl/>
        <w:tabs>
          <w:tab w:val="clear" w:pos="720"/>
        </w:tabs>
        <w:spacing w:after="0" w:line="259" w:lineRule="auto"/>
        <w:ind w:firstLine="0"/>
        <w:jc w:val="left"/>
        <w:rPr>
          <w:rFonts w:eastAsia="Calibri"/>
          <w:sz w:val="20"/>
          <w:szCs w:val="20"/>
        </w:rPr>
      </w:pPr>
    </w:p>
    <w:p w14:paraId="7F42298F" w14:textId="77777777" w:rsidR="00387A2E" w:rsidRDefault="00387A2E" w:rsidP="00C84EF3">
      <w:pPr>
        <w:widowControl/>
        <w:tabs>
          <w:tab w:val="clear" w:pos="720"/>
        </w:tabs>
        <w:spacing w:after="0" w:line="259" w:lineRule="auto"/>
        <w:ind w:firstLine="0"/>
        <w:jc w:val="left"/>
        <w:rPr>
          <w:rFonts w:eastAsia="Calibri"/>
          <w:sz w:val="20"/>
          <w:szCs w:val="20"/>
        </w:rPr>
      </w:pPr>
    </w:p>
    <w:p w14:paraId="6A87CEB6" w14:textId="77777777" w:rsidR="00387A2E" w:rsidRDefault="00387A2E" w:rsidP="00C84EF3">
      <w:pPr>
        <w:widowControl/>
        <w:tabs>
          <w:tab w:val="clear" w:pos="720"/>
        </w:tabs>
        <w:spacing w:after="0" w:line="259" w:lineRule="auto"/>
        <w:ind w:firstLine="0"/>
        <w:jc w:val="left"/>
        <w:rPr>
          <w:rFonts w:eastAsia="Calibri"/>
          <w:sz w:val="20"/>
          <w:szCs w:val="20"/>
        </w:rPr>
      </w:pPr>
    </w:p>
    <w:p w14:paraId="0BB2F487" w14:textId="77777777" w:rsidR="00387A2E" w:rsidRDefault="00387A2E" w:rsidP="00C84EF3">
      <w:pPr>
        <w:widowControl/>
        <w:tabs>
          <w:tab w:val="clear" w:pos="720"/>
        </w:tabs>
        <w:spacing w:after="0" w:line="259" w:lineRule="auto"/>
        <w:ind w:firstLine="0"/>
        <w:jc w:val="left"/>
        <w:rPr>
          <w:rFonts w:eastAsia="Calibri"/>
          <w:sz w:val="20"/>
          <w:szCs w:val="20"/>
        </w:rPr>
      </w:pPr>
    </w:p>
    <w:p w14:paraId="32251498" w14:textId="77777777" w:rsidR="00387A2E" w:rsidRDefault="00387A2E" w:rsidP="00C84EF3">
      <w:pPr>
        <w:widowControl/>
        <w:tabs>
          <w:tab w:val="clear" w:pos="720"/>
        </w:tabs>
        <w:spacing w:after="0" w:line="259" w:lineRule="auto"/>
        <w:ind w:firstLine="0"/>
        <w:jc w:val="left"/>
        <w:rPr>
          <w:rFonts w:eastAsia="Calibri"/>
          <w:sz w:val="20"/>
          <w:szCs w:val="20"/>
        </w:rPr>
      </w:pPr>
    </w:p>
    <w:p w14:paraId="6A9C4F92" w14:textId="77777777" w:rsidR="00387A2E" w:rsidRDefault="00387A2E" w:rsidP="00C84EF3">
      <w:pPr>
        <w:widowControl/>
        <w:tabs>
          <w:tab w:val="clear" w:pos="720"/>
        </w:tabs>
        <w:spacing w:after="0" w:line="259" w:lineRule="auto"/>
        <w:ind w:firstLine="0"/>
        <w:jc w:val="left"/>
        <w:rPr>
          <w:rFonts w:eastAsia="Calibri"/>
          <w:sz w:val="20"/>
          <w:szCs w:val="20"/>
        </w:rPr>
      </w:pPr>
    </w:p>
    <w:p w14:paraId="2B60D7CF" w14:textId="77777777" w:rsidR="00387A2E" w:rsidRDefault="00387A2E" w:rsidP="00C84EF3">
      <w:pPr>
        <w:widowControl/>
        <w:tabs>
          <w:tab w:val="clear" w:pos="720"/>
        </w:tabs>
        <w:spacing w:after="0" w:line="259" w:lineRule="auto"/>
        <w:ind w:firstLine="0"/>
        <w:jc w:val="left"/>
        <w:rPr>
          <w:rFonts w:eastAsia="Calibri"/>
          <w:sz w:val="20"/>
          <w:szCs w:val="20"/>
        </w:rPr>
      </w:pPr>
    </w:p>
    <w:p w14:paraId="50040659" w14:textId="77777777" w:rsidR="00387A2E" w:rsidRPr="00387A2E" w:rsidRDefault="00387A2E" w:rsidP="00387A2E">
      <w:pPr>
        <w:widowControl/>
        <w:tabs>
          <w:tab w:val="clear" w:pos="720"/>
        </w:tabs>
        <w:spacing w:after="0" w:line="259" w:lineRule="auto"/>
        <w:ind w:firstLine="0"/>
        <w:jc w:val="left"/>
        <w:rPr>
          <w:rFonts w:eastAsia="Calibri"/>
          <w:b/>
          <w:bCs/>
          <w:lang w:bidi="ar-SA"/>
        </w:rPr>
      </w:pPr>
      <w:r w:rsidRPr="00387A2E">
        <w:rPr>
          <w:rFonts w:eastAsia="Calibri"/>
          <w:b/>
          <w:bCs/>
          <w:lang w:bidi="ar-SA"/>
        </w:rPr>
        <w:t xml:space="preserve">Table 5 </w:t>
      </w:r>
    </w:p>
    <w:p w14:paraId="457457F4" w14:textId="77777777" w:rsidR="00387A2E" w:rsidRPr="00387A2E" w:rsidRDefault="00387A2E" w:rsidP="00387A2E">
      <w:pPr>
        <w:widowControl/>
        <w:tabs>
          <w:tab w:val="clear" w:pos="720"/>
        </w:tabs>
        <w:spacing w:after="0" w:line="259" w:lineRule="auto"/>
        <w:ind w:firstLine="0"/>
        <w:jc w:val="left"/>
        <w:rPr>
          <w:rFonts w:eastAsia="Calibri"/>
          <w:i/>
          <w:iCs/>
          <w:lang w:bidi="ar-SA"/>
        </w:rPr>
      </w:pPr>
      <w:r w:rsidRPr="00387A2E">
        <w:rPr>
          <w:rFonts w:eastAsia="Calibri"/>
          <w:i/>
          <w:iCs/>
          <w:lang w:bidi="ar-SA"/>
        </w:rPr>
        <w:t>Summary of multivariate analysis of VOSP subtest scores and demographic characteristics</w:t>
      </w:r>
    </w:p>
    <w:p w14:paraId="1B5EFA65" w14:textId="77777777" w:rsidR="00387A2E" w:rsidRPr="00387A2E" w:rsidRDefault="00387A2E" w:rsidP="00387A2E">
      <w:pPr>
        <w:widowControl/>
        <w:tabs>
          <w:tab w:val="clear" w:pos="720"/>
        </w:tabs>
        <w:spacing w:after="0" w:line="259" w:lineRule="auto"/>
        <w:ind w:firstLine="0"/>
        <w:jc w:val="left"/>
        <w:rPr>
          <w:rFonts w:eastAsia="Calibri"/>
          <w:lang w:bidi="ar-SA"/>
        </w:rPr>
      </w:pPr>
    </w:p>
    <w:tbl>
      <w:tblPr>
        <w:tblStyle w:val="TableGrid"/>
        <w:tblW w:w="14738" w:type="dxa"/>
        <w:jc w:val="center"/>
        <w:tblLayout w:type="fixed"/>
        <w:tblLook w:val="04A0" w:firstRow="1" w:lastRow="0" w:firstColumn="1" w:lastColumn="0" w:noHBand="0" w:noVBand="1"/>
      </w:tblPr>
      <w:tblGrid>
        <w:gridCol w:w="1984"/>
        <w:gridCol w:w="1417"/>
        <w:gridCol w:w="907"/>
        <w:gridCol w:w="1417"/>
        <w:gridCol w:w="907"/>
        <w:gridCol w:w="1417"/>
        <w:gridCol w:w="907"/>
        <w:gridCol w:w="1417"/>
        <w:gridCol w:w="907"/>
        <w:gridCol w:w="1417"/>
        <w:gridCol w:w="907"/>
        <w:gridCol w:w="1134"/>
      </w:tblGrid>
      <w:tr w:rsidR="00387A2E" w:rsidRPr="00387A2E" w14:paraId="0BC774E8" w14:textId="77777777" w:rsidTr="000E1146">
        <w:trPr>
          <w:trHeight w:val="340"/>
          <w:jc w:val="center"/>
        </w:trPr>
        <w:tc>
          <w:tcPr>
            <w:tcW w:w="1984" w:type="dxa"/>
            <w:vMerge w:val="restart"/>
            <w:tcBorders>
              <w:top w:val="single" w:sz="4" w:space="0" w:color="000000"/>
              <w:left w:val="nil"/>
              <w:right w:val="single" w:sz="4" w:space="0" w:color="FFFFFF"/>
            </w:tcBorders>
          </w:tcPr>
          <w:p w14:paraId="25B8A47F" w14:textId="77777777" w:rsidR="00387A2E" w:rsidRPr="00387A2E" w:rsidRDefault="00387A2E" w:rsidP="00387A2E">
            <w:pPr>
              <w:widowControl/>
              <w:tabs>
                <w:tab w:val="clear" w:pos="720"/>
              </w:tabs>
              <w:spacing w:before="60" w:after="0" w:line="240" w:lineRule="auto"/>
              <w:ind w:firstLine="0"/>
              <w:jc w:val="center"/>
              <w:rPr>
                <w:rFonts w:eastAsia="Calibri"/>
                <w:b/>
                <w:bCs/>
                <w:sz w:val="20"/>
                <w:szCs w:val="20"/>
              </w:rPr>
            </w:pPr>
            <w:r w:rsidRPr="00387A2E">
              <w:rPr>
                <w:rFonts w:eastAsia="Calibri"/>
                <w:b/>
                <w:bCs/>
                <w:sz w:val="20"/>
                <w:szCs w:val="20"/>
              </w:rPr>
              <w:t>VOSP subtests</w:t>
            </w:r>
          </w:p>
        </w:tc>
        <w:tc>
          <w:tcPr>
            <w:tcW w:w="2324" w:type="dxa"/>
            <w:gridSpan w:val="2"/>
            <w:tcBorders>
              <w:top w:val="single" w:sz="4" w:space="0" w:color="000000"/>
              <w:left w:val="single" w:sz="4" w:space="0" w:color="FFFFFF"/>
              <w:bottom w:val="single" w:sz="4" w:space="0" w:color="FFFFFF"/>
              <w:right w:val="single" w:sz="4" w:space="0" w:color="FFFFFF"/>
            </w:tcBorders>
          </w:tcPr>
          <w:p w14:paraId="378B71A1" w14:textId="77777777" w:rsidR="00387A2E" w:rsidRPr="00387A2E" w:rsidRDefault="00387A2E" w:rsidP="00387A2E">
            <w:pPr>
              <w:widowControl/>
              <w:tabs>
                <w:tab w:val="clear" w:pos="720"/>
              </w:tabs>
              <w:spacing w:before="60" w:after="0" w:line="240" w:lineRule="auto"/>
              <w:ind w:firstLine="0"/>
              <w:jc w:val="center"/>
              <w:rPr>
                <w:rFonts w:eastAsia="Calibri"/>
                <w:b/>
                <w:bCs/>
                <w:sz w:val="20"/>
                <w:szCs w:val="20"/>
                <w:cs/>
              </w:rPr>
            </w:pPr>
            <w:r w:rsidRPr="00387A2E">
              <w:rPr>
                <w:rFonts w:eastAsia="Calibri"/>
                <w:b/>
                <w:bCs/>
                <w:sz w:val="20"/>
                <w:szCs w:val="20"/>
              </w:rPr>
              <w:t>Age (years)</w:t>
            </w:r>
          </w:p>
        </w:tc>
        <w:tc>
          <w:tcPr>
            <w:tcW w:w="2324" w:type="dxa"/>
            <w:gridSpan w:val="2"/>
            <w:tcBorders>
              <w:top w:val="single" w:sz="4" w:space="0" w:color="000000"/>
              <w:left w:val="single" w:sz="4" w:space="0" w:color="FFFFFF"/>
              <w:bottom w:val="single" w:sz="4" w:space="0" w:color="FFFFFF"/>
              <w:right w:val="single" w:sz="4" w:space="0" w:color="FFFFFF"/>
            </w:tcBorders>
          </w:tcPr>
          <w:p w14:paraId="7B9310FD" w14:textId="77777777" w:rsidR="00387A2E" w:rsidRPr="00387A2E" w:rsidRDefault="00387A2E" w:rsidP="00387A2E">
            <w:pPr>
              <w:widowControl/>
              <w:tabs>
                <w:tab w:val="clear" w:pos="720"/>
              </w:tabs>
              <w:spacing w:before="60" w:after="0" w:line="240" w:lineRule="auto"/>
              <w:ind w:firstLine="0"/>
              <w:jc w:val="center"/>
              <w:rPr>
                <w:rFonts w:eastAsia="Calibri"/>
                <w:b/>
                <w:bCs/>
                <w:sz w:val="20"/>
                <w:szCs w:val="20"/>
              </w:rPr>
            </w:pPr>
            <w:r w:rsidRPr="00387A2E">
              <w:rPr>
                <w:rFonts w:eastAsia="Calibri"/>
                <w:b/>
                <w:bCs/>
                <w:sz w:val="20"/>
                <w:szCs w:val="20"/>
              </w:rPr>
              <w:t>Gender (male)</w:t>
            </w:r>
          </w:p>
        </w:tc>
        <w:tc>
          <w:tcPr>
            <w:tcW w:w="2324" w:type="dxa"/>
            <w:gridSpan w:val="2"/>
            <w:tcBorders>
              <w:top w:val="single" w:sz="4" w:space="0" w:color="000000"/>
              <w:left w:val="single" w:sz="4" w:space="0" w:color="FFFFFF"/>
              <w:bottom w:val="single" w:sz="4" w:space="0" w:color="FFFFFF"/>
              <w:right w:val="single" w:sz="4" w:space="0" w:color="FFFFFF"/>
            </w:tcBorders>
          </w:tcPr>
          <w:p w14:paraId="53FFC281" w14:textId="77777777" w:rsidR="00387A2E" w:rsidRPr="00387A2E" w:rsidRDefault="00387A2E" w:rsidP="00387A2E">
            <w:pPr>
              <w:widowControl/>
              <w:tabs>
                <w:tab w:val="clear" w:pos="720"/>
              </w:tabs>
              <w:spacing w:before="60" w:after="0" w:line="240" w:lineRule="auto"/>
              <w:ind w:firstLine="0"/>
              <w:jc w:val="center"/>
              <w:rPr>
                <w:rFonts w:eastAsia="Calibri"/>
                <w:b/>
                <w:bCs/>
                <w:sz w:val="20"/>
                <w:szCs w:val="20"/>
              </w:rPr>
            </w:pPr>
            <w:r w:rsidRPr="00387A2E">
              <w:rPr>
                <w:rFonts w:eastAsia="Calibri"/>
                <w:b/>
                <w:bCs/>
                <w:sz w:val="20"/>
                <w:szCs w:val="20"/>
              </w:rPr>
              <w:t>Education (years)</w:t>
            </w:r>
          </w:p>
        </w:tc>
        <w:tc>
          <w:tcPr>
            <w:tcW w:w="2324" w:type="dxa"/>
            <w:gridSpan w:val="2"/>
            <w:tcBorders>
              <w:top w:val="single" w:sz="4" w:space="0" w:color="000000"/>
              <w:left w:val="single" w:sz="4" w:space="0" w:color="FFFFFF"/>
              <w:bottom w:val="single" w:sz="4" w:space="0" w:color="FFFFFF"/>
              <w:right w:val="single" w:sz="4" w:space="0" w:color="FFFFFF"/>
            </w:tcBorders>
          </w:tcPr>
          <w:p w14:paraId="15D5ADCD" w14:textId="77777777" w:rsidR="00387A2E" w:rsidRPr="00387A2E" w:rsidRDefault="00387A2E" w:rsidP="00387A2E">
            <w:pPr>
              <w:widowControl/>
              <w:tabs>
                <w:tab w:val="clear" w:pos="720"/>
              </w:tabs>
              <w:spacing w:before="60" w:after="0" w:line="240" w:lineRule="auto"/>
              <w:ind w:firstLine="0"/>
              <w:jc w:val="center"/>
              <w:rPr>
                <w:rFonts w:eastAsia="Calibri"/>
                <w:b/>
                <w:bCs/>
                <w:sz w:val="20"/>
                <w:szCs w:val="20"/>
                <w:cs/>
              </w:rPr>
            </w:pPr>
            <w:r w:rsidRPr="00387A2E">
              <w:rPr>
                <w:rFonts w:eastAsia="Calibri"/>
                <w:b/>
                <w:bCs/>
                <w:sz w:val="20"/>
                <w:szCs w:val="20"/>
              </w:rPr>
              <w:t>IQ</w:t>
            </w:r>
          </w:p>
        </w:tc>
        <w:tc>
          <w:tcPr>
            <w:tcW w:w="2324" w:type="dxa"/>
            <w:gridSpan w:val="2"/>
            <w:tcBorders>
              <w:top w:val="single" w:sz="4" w:space="0" w:color="000000"/>
              <w:left w:val="single" w:sz="4" w:space="0" w:color="FFFFFF"/>
              <w:bottom w:val="single" w:sz="4" w:space="0" w:color="FFFFFF"/>
              <w:right w:val="single" w:sz="4" w:space="0" w:color="FFFFFF"/>
            </w:tcBorders>
          </w:tcPr>
          <w:p w14:paraId="41794A45" w14:textId="77777777" w:rsidR="00387A2E" w:rsidRPr="00387A2E" w:rsidRDefault="00387A2E" w:rsidP="00387A2E">
            <w:pPr>
              <w:widowControl/>
              <w:tabs>
                <w:tab w:val="clear" w:pos="720"/>
              </w:tabs>
              <w:spacing w:before="60" w:after="0" w:line="240" w:lineRule="auto"/>
              <w:ind w:firstLine="0"/>
              <w:jc w:val="center"/>
              <w:rPr>
                <w:rFonts w:eastAsia="Calibri"/>
                <w:b/>
                <w:bCs/>
                <w:sz w:val="20"/>
                <w:szCs w:val="20"/>
              </w:rPr>
            </w:pPr>
            <w:r w:rsidRPr="00387A2E">
              <w:rPr>
                <w:rFonts w:eastAsia="Calibri"/>
                <w:b/>
                <w:bCs/>
                <w:sz w:val="20"/>
                <w:szCs w:val="20"/>
              </w:rPr>
              <w:t>VA</w:t>
            </w:r>
          </w:p>
        </w:tc>
        <w:tc>
          <w:tcPr>
            <w:tcW w:w="1134" w:type="dxa"/>
            <w:tcBorders>
              <w:top w:val="single" w:sz="4" w:space="0" w:color="000000"/>
              <w:left w:val="single" w:sz="4" w:space="0" w:color="FFFFFF"/>
              <w:bottom w:val="single" w:sz="4" w:space="0" w:color="FFFFFF"/>
              <w:right w:val="single" w:sz="4" w:space="0" w:color="FFFFFF"/>
            </w:tcBorders>
          </w:tcPr>
          <w:p w14:paraId="652306C4" w14:textId="77777777" w:rsidR="00387A2E" w:rsidRPr="00387A2E" w:rsidRDefault="00387A2E" w:rsidP="00387A2E">
            <w:pPr>
              <w:widowControl/>
              <w:tabs>
                <w:tab w:val="clear" w:pos="720"/>
              </w:tabs>
              <w:spacing w:before="60" w:after="0" w:line="240" w:lineRule="auto"/>
              <w:ind w:firstLine="0"/>
              <w:jc w:val="center"/>
              <w:rPr>
                <w:rFonts w:eastAsia="Calibri"/>
                <w:b/>
                <w:bCs/>
                <w:sz w:val="20"/>
                <w:szCs w:val="20"/>
              </w:rPr>
            </w:pPr>
            <w:r w:rsidRPr="00387A2E">
              <w:rPr>
                <w:rFonts w:eastAsia="Calibri"/>
                <w:b/>
                <w:bCs/>
                <w:sz w:val="20"/>
                <w:szCs w:val="20"/>
              </w:rPr>
              <w:t>R-squared</w:t>
            </w:r>
          </w:p>
        </w:tc>
      </w:tr>
      <w:tr w:rsidR="00387A2E" w:rsidRPr="00387A2E" w14:paraId="1CCD2CA2" w14:textId="77777777" w:rsidTr="000E1146">
        <w:trPr>
          <w:trHeight w:val="340"/>
          <w:jc w:val="center"/>
        </w:trPr>
        <w:tc>
          <w:tcPr>
            <w:tcW w:w="1984" w:type="dxa"/>
            <w:vMerge/>
            <w:tcBorders>
              <w:left w:val="nil"/>
              <w:bottom w:val="single" w:sz="4" w:space="0" w:color="auto"/>
              <w:right w:val="single" w:sz="4" w:space="0" w:color="FFFFFF"/>
            </w:tcBorders>
          </w:tcPr>
          <w:p w14:paraId="7DDCAABD" w14:textId="77777777" w:rsidR="00387A2E" w:rsidRPr="00387A2E" w:rsidRDefault="00387A2E" w:rsidP="00387A2E">
            <w:pPr>
              <w:widowControl/>
              <w:tabs>
                <w:tab w:val="clear" w:pos="720"/>
              </w:tabs>
              <w:spacing w:after="0" w:line="240" w:lineRule="auto"/>
              <w:ind w:firstLine="0"/>
              <w:jc w:val="left"/>
              <w:rPr>
                <w:rFonts w:eastAsia="Calibri"/>
                <w:sz w:val="20"/>
                <w:szCs w:val="20"/>
              </w:rPr>
            </w:pPr>
          </w:p>
        </w:tc>
        <w:tc>
          <w:tcPr>
            <w:tcW w:w="1417" w:type="dxa"/>
            <w:tcBorders>
              <w:top w:val="single" w:sz="4" w:space="0" w:color="FFFFFF"/>
              <w:left w:val="single" w:sz="4" w:space="0" w:color="FFFFFF"/>
              <w:bottom w:val="single" w:sz="4" w:space="0" w:color="000000"/>
              <w:right w:val="single" w:sz="4" w:space="0" w:color="FFFFFF"/>
            </w:tcBorders>
            <w:vAlign w:val="center"/>
          </w:tcPr>
          <w:p w14:paraId="158F1949"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 xml:space="preserve">ß (95% CI) </w:t>
            </w:r>
            <w:r w:rsidRPr="00387A2E">
              <w:rPr>
                <w:rFonts w:eastAsia="Calibri"/>
                <w:sz w:val="20"/>
                <w:szCs w:val="20"/>
                <w:vertAlign w:val="superscript"/>
              </w:rPr>
              <w:t>£</w:t>
            </w:r>
          </w:p>
        </w:tc>
        <w:tc>
          <w:tcPr>
            <w:tcW w:w="907" w:type="dxa"/>
            <w:tcBorders>
              <w:top w:val="single" w:sz="4" w:space="0" w:color="FFFFFF"/>
              <w:left w:val="single" w:sz="4" w:space="0" w:color="FFFFFF"/>
              <w:bottom w:val="single" w:sz="4" w:space="0" w:color="000000"/>
              <w:right w:val="single" w:sz="4" w:space="0" w:color="FFFFFF"/>
            </w:tcBorders>
            <w:vAlign w:val="center"/>
          </w:tcPr>
          <w:p w14:paraId="2DC9CC7A"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P-value</w:t>
            </w:r>
          </w:p>
        </w:tc>
        <w:tc>
          <w:tcPr>
            <w:tcW w:w="1417" w:type="dxa"/>
            <w:tcBorders>
              <w:top w:val="single" w:sz="4" w:space="0" w:color="FFFFFF"/>
              <w:left w:val="single" w:sz="4" w:space="0" w:color="FFFFFF"/>
              <w:bottom w:val="single" w:sz="4" w:space="0" w:color="000000"/>
              <w:right w:val="single" w:sz="4" w:space="0" w:color="FFFFFF"/>
            </w:tcBorders>
            <w:vAlign w:val="center"/>
          </w:tcPr>
          <w:p w14:paraId="31B63EAF"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ß (95% CI)</w:t>
            </w:r>
            <w:r w:rsidRPr="00387A2E">
              <w:rPr>
                <w:rFonts w:eastAsia="Calibri"/>
                <w:sz w:val="20"/>
                <w:szCs w:val="20"/>
                <w:vertAlign w:val="superscript"/>
              </w:rPr>
              <w:t xml:space="preserve"> £</w:t>
            </w:r>
          </w:p>
        </w:tc>
        <w:tc>
          <w:tcPr>
            <w:tcW w:w="907" w:type="dxa"/>
            <w:tcBorders>
              <w:top w:val="single" w:sz="4" w:space="0" w:color="FFFFFF"/>
              <w:left w:val="single" w:sz="4" w:space="0" w:color="FFFFFF"/>
              <w:bottom w:val="single" w:sz="4" w:space="0" w:color="000000"/>
              <w:right w:val="single" w:sz="4" w:space="0" w:color="FFFFFF"/>
            </w:tcBorders>
            <w:vAlign w:val="center"/>
          </w:tcPr>
          <w:p w14:paraId="378F9BA9"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P-value</w:t>
            </w:r>
          </w:p>
        </w:tc>
        <w:tc>
          <w:tcPr>
            <w:tcW w:w="1417" w:type="dxa"/>
            <w:tcBorders>
              <w:top w:val="single" w:sz="4" w:space="0" w:color="FFFFFF"/>
              <w:left w:val="single" w:sz="4" w:space="0" w:color="FFFFFF"/>
              <w:bottom w:val="single" w:sz="4" w:space="0" w:color="000000"/>
              <w:right w:val="single" w:sz="4" w:space="0" w:color="FFFFFF"/>
            </w:tcBorders>
            <w:vAlign w:val="center"/>
          </w:tcPr>
          <w:p w14:paraId="1B53854D"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 xml:space="preserve">ß (95% CI) </w:t>
            </w:r>
            <w:r w:rsidRPr="00387A2E">
              <w:rPr>
                <w:rFonts w:eastAsia="Calibri"/>
                <w:sz w:val="20"/>
                <w:szCs w:val="20"/>
                <w:vertAlign w:val="superscript"/>
              </w:rPr>
              <w:t>£</w:t>
            </w:r>
          </w:p>
        </w:tc>
        <w:tc>
          <w:tcPr>
            <w:tcW w:w="907" w:type="dxa"/>
            <w:tcBorders>
              <w:top w:val="single" w:sz="4" w:space="0" w:color="FFFFFF"/>
              <w:left w:val="single" w:sz="4" w:space="0" w:color="FFFFFF"/>
              <w:bottom w:val="single" w:sz="4" w:space="0" w:color="000000"/>
              <w:right w:val="single" w:sz="4" w:space="0" w:color="FFFFFF"/>
            </w:tcBorders>
            <w:vAlign w:val="center"/>
          </w:tcPr>
          <w:p w14:paraId="6E2DABD1"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P-value</w:t>
            </w:r>
          </w:p>
        </w:tc>
        <w:tc>
          <w:tcPr>
            <w:tcW w:w="1417" w:type="dxa"/>
            <w:tcBorders>
              <w:top w:val="single" w:sz="4" w:space="0" w:color="FFFFFF"/>
              <w:left w:val="single" w:sz="4" w:space="0" w:color="FFFFFF"/>
              <w:bottom w:val="single" w:sz="4" w:space="0" w:color="000000"/>
              <w:right w:val="single" w:sz="4" w:space="0" w:color="FFFFFF"/>
            </w:tcBorders>
            <w:vAlign w:val="center"/>
          </w:tcPr>
          <w:p w14:paraId="692570C0"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 xml:space="preserve">ß (95% CI) </w:t>
            </w:r>
            <w:r w:rsidRPr="00387A2E">
              <w:rPr>
                <w:rFonts w:eastAsia="Calibri"/>
                <w:sz w:val="20"/>
                <w:szCs w:val="20"/>
                <w:vertAlign w:val="superscript"/>
              </w:rPr>
              <w:t>£</w:t>
            </w:r>
          </w:p>
        </w:tc>
        <w:tc>
          <w:tcPr>
            <w:tcW w:w="907" w:type="dxa"/>
            <w:tcBorders>
              <w:top w:val="single" w:sz="4" w:space="0" w:color="FFFFFF"/>
              <w:left w:val="single" w:sz="4" w:space="0" w:color="FFFFFF"/>
              <w:bottom w:val="single" w:sz="4" w:space="0" w:color="000000"/>
              <w:right w:val="single" w:sz="4" w:space="0" w:color="FFFFFF"/>
            </w:tcBorders>
            <w:vAlign w:val="center"/>
          </w:tcPr>
          <w:p w14:paraId="5C637175"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P-value</w:t>
            </w:r>
          </w:p>
        </w:tc>
        <w:tc>
          <w:tcPr>
            <w:tcW w:w="1417" w:type="dxa"/>
            <w:tcBorders>
              <w:top w:val="single" w:sz="4" w:space="0" w:color="FFFFFF"/>
              <w:left w:val="single" w:sz="4" w:space="0" w:color="FFFFFF"/>
              <w:bottom w:val="single" w:sz="4" w:space="0" w:color="000000"/>
              <w:right w:val="single" w:sz="4" w:space="0" w:color="FFFFFF"/>
            </w:tcBorders>
            <w:vAlign w:val="center"/>
          </w:tcPr>
          <w:p w14:paraId="6E046B12"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 xml:space="preserve">ß (95% CI) </w:t>
            </w:r>
            <w:r w:rsidRPr="00387A2E">
              <w:rPr>
                <w:rFonts w:eastAsia="Calibri"/>
                <w:sz w:val="20"/>
                <w:szCs w:val="20"/>
                <w:vertAlign w:val="superscript"/>
              </w:rPr>
              <w:t>£</w:t>
            </w:r>
          </w:p>
        </w:tc>
        <w:tc>
          <w:tcPr>
            <w:tcW w:w="907" w:type="dxa"/>
            <w:tcBorders>
              <w:top w:val="single" w:sz="4" w:space="0" w:color="FFFFFF"/>
              <w:left w:val="single" w:sz="4" w:space="0" w:color="FFFFFF"/>
              <w:bottom w:val="single" w:sz="4" w:space="0" w:color="000000"/>
              <w:right w:val="single" w:sz="4" w:space="0" w:color="FFFFFF"/>
            </w:tcBorders>
            <w:vAlign w:val="center"/>
          </w:tcPr>
          <w:p w14:paraId="3A8C7C03"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P-value</w:t>
            </w:r>
          </w:p>
        </w:tc>
        <w:tc>
          <w:tcPr>
            <w:tcW w:w="1134" w:type="dxa"/>
            <w:tcBorders>
              <w:top w:val="single" w:sz="4" w:space="0" w:color="FFFFFF"/>
              <w:left w:val="single" w:sz="4" w:space="0" w:color="FFFFFF"/>
              <w:bottom w:val="single" w:sz="4" w:space="0" w:color="000000"/>
              <w:right w:val="single" w:sz="4" w:space="0" w:color="FFFFFF"/>
            </w:tcBorders>
            <w:vAlign w:val="center"/>
          </w:tcPr>
          <w:p w14:paraId="3A7E5D46"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p>
        </w:tc>
      </w:tr>
      <w:tr w:rsidR="00387A2E" w:rsidRPr="00387A2E" w14:paraId="704D9CC4" w14:textId="77777777" w:rsidTr="000E1146">
        <w:trPr>
          <w:trHeight w:val="510"/>
          <w:jc w:val="center"/>
        </w:trPr>
        <w:tc>
          <w:tcPr>
            <w:tcW w:w="1984" w:type="dxa"/>
            <w:tcBorders>
              <w:top w:val="single" w:sz="4" w:space="0" w:color="auto"/>
              <w:left w:val="single" w:sz="4" w:space="0" w:color="FFFFFF"/>
              <w:bottom w:val="single" w:sz="4" w:space="0" w:color="FFFFFF"/>
              <w:right w:val="single" w:sz="4" w:space="0" w:color="FFFFFF"/>
            </w:tcBorders>
          </w:tcPr>
          <w:p w14:paraId="06361367" w14:textId="77777777" w:rsidR="00387A2E" w:rsidRPr="00387A2E" w:rsidRDefault="00387A2E" w:rsidP="00387A2E">
            <w:pPr>
              <w:widowControl/>
              <w:tabs>
                <w:tab w:val="clear" w:pos="720"/>
              </w:tabs>
              <w:spacing w:after="0" w:line="240" w:lineRule="auto"/>
              <w:ind w:firstLine="0"/>
              <w:jc w:val="left"/>
              <w:rPr>
                <w:rFonts w:eastAsia="Calibri"/>
                <w:sz w:val="20"/>
                <w:szCs w:val="20"/>
              </w:rPr>
            </w:pPr>
            <w:r w:rsidRPr="00387A2E">
              <w:rPr>
                <w:rFonts w:eastAsia="Calibri"/>
                <w:b/>
                <w:bCs/>
                <w:sz w:val="20"/>
                <w:szCs w:val="20"/>
              </w:rPr>
              <w:t xml:space="preserve">   Shape Detection</w:t>
            </w:r>
          </w:p>
        </w:tc>
        <w:tc>
          <w:tcPr>
            <w:tcW w:w="1417" w:type="dxa"/>
            <w:tcBorders>
              <w:top w:val="single" w:sz="4" w:space="0" w:color="000000"/>
              <w:left w:val="single" w:sz="4" w:space="0" w:color="FFFFFF"/>
              <w:bottom w:val="single" w:sz="4" w:space="0" w:color="FFFFFF"/>
              <w:right w:val="single" w:sz="4" w:space="0" w:color="FFFFFF"/>
            </w:tcBorders>
          </w:tcPr>
          <w:p w14:paraId="63931402"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0.02</w:t>
            </w:r>
          </w:p>
          <w:p w14:paraId="1C73766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(-0.01, 0.04)</w:t>
            </w:r>
          </w:p>
        </w:tc>
        <w:tc>
          <w:tcPr>
            <w:tcW w:w="907" w:type="dxa"/>
            <w:tcBorders>
              <w:top w:val="single" w:sz="4" w:space="0" w:color="000000"/>
              <w:left w:val="single" w:sz="4" w:space="0" w:color="FFFFFF"/>
              <w:bottom w:val="single" w:sz="4" w:space="0" w:color="FFFFFF"/>
              <w:right w:val="single" w:sz="4" w:space="0" w:color="FFFFFF"/>
            </w:tcBorders>
          </w:tcPr>
          <w:p w14:paraId="149239EB"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0.18</w:t>
            </w:r>
          </w:p>
        </w:tc>
        <w:tc>
          <w:tcPr>
            <w:tcW w:w="1417" w:type="dxa"/>
            <w:tcBorders>
              <w:top w:val="single" w:sz="4" w:space="0" w:color="000000"/>
              <w:left w:val="single" w:sz="4" w:space="0" w:color="FFFFFF"/>
              <w:bottom w:val="single" w:sz="4" w:space="0" w:color="FFFFFF"/>
              <w:right w:val="single" w:sz="4" w:space="0" w:color="FFFFFF"/>
            </w:tcBorders>
          </w:tcPr>
          <w:p w14:paraId="48C4A072"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-0.14</w:t>
            </w:r>
          </w:p>
          <w:p w14:paraId="3A4C187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(-0.39, 0.11)</w:t>
            </w:r>
          </w:p>
        </w:tc>
        <w:tc>
          <w:tcPr>
            <w:tcW w:w="907" w:type="dxa"/>
            <w:tcBorders>
              <w:top w:val="single" w:sz="4" w:space="0" w:color="000000"/>
              <w:left w:val="single" w:sz="4" w:space="0" w:color="FFFFFF"/>
              <w:bottom w:val="single" w:sz="4" w:space="0" w:color="FFFFFF"/>
              <w:right w:val="single" w:sz="4" w:space="0" w:color="FFFFFF"/>
            </w:tcBorders>
          </w:tcPr>
          <w:p w14:paraId="14539262"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0.27</w:t>
            </w:r>
          </w:p>
        </w:tc>
        <w:tc>
          <w:tcPr>
            <w:tcW w:w="1417" w:type="dxa"/>
            <w:tcBorders>
              <w:top w:val="single" w:sz="4" w:space="0" w:color="000000"/>
              <w:left w:val="single" w:sz="4" w:space="0" w:color="FFFFFF"/>
              <w:bottom w:val="single" w:sz="4" w:space="0" w:color="FFFFFF"/>
              <w:right w:val="single" w:sz="4" w:space="0" w:color="FFFFFF"/>
            </w:tcBorders>
            <w:shd w:val="clear" w:color="auto" w:fill="0D0D0D"/>
          </w:tcPr>
          <w:p w14:paraId="65236475"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000000"/>
              <w:left w:val="single" w:sz="4" w:space="0" w:color="FFFFFF"/>
              <w:bottom w:val="single" w:sz="4" w:space="0" w:color="FFFFFF"/>
              <w:right w:val="single" w:sz="4" w:space="0" w:color="FFFFFF"/>
            </w:tcBorders>
            <w:shd w:val="clear" w:color="auto" w:fill="0D0D0D"/>
          </w:tcPr>
          <w:p w14:paraId="19D1D8D0"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000000"/>
              <w:left w:val="single" w:sz="4" w:space="0" w:color="FFFFFF"/>
              <w:bottom w:val="single" w:sz="4" w:space="0" w:color="FFFFFF"/>
              <w:right w:val="single" w:sz="4" w:space="0" w:color="FFFFFF"/>
            </w:tcBorders>
          </w:tcPr>
          <w:p w14:paraId="2277642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0.01</w:t>
            </w:r>
          </w:p>
          <w:p w14:paraId="5949F5AC"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(&gt; -0.01, 0.02)</w:t>
            </w:r>
          </w:p>
        </w:tc>
        <w:tc>
          <w:tcPr>
            <w:tcW w:w="907" w:type="dxa"/>
            <w:tcBorders>
              <w:top w:val="single" w:sz="4" w:space="0" w:color="000000"/>
              <w:left w:val="single" w:sz="4" w:space="0" w:color="FFFFFF"/>
              <w:bottom w:val="single" w:sz="4" w:space="0" w:color="FFFFFF"/>
              <w:right w:val="single" w:sz="4" w:space="0" w:color="FFFFFF"/>
            </w:tcBorders>
          </w:tcPr>
          <w:p w14:paraId="0562A89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0.12</w:t>
            </w:r>
          </w:p>
        </w:tc>
        <w:tc>
          <w:tcPr>
            <w:tcW w:w="1417" w:type="dxa"/>
            <w:tcBorders>
              <w:top w:val="single" w:sz="4" w:space="0" w:color="000000"/>
              <w:left w:val="single" w:sz="4" w:space="0" w:color="FFFFFF"/>
              <w:bottom w:val="single" w:sz="4" w:space="0" w:color="FFFFFF"/>
              <w:right w:val="single" w:sz="4" w:space="0" w:color="FFFFFF"/>
            </w:tcBorders>
            <w:shd w:val="clear" w:color="auto" w:fill="D0CECE"/>
          </w:tcPr>
          <w:p w14:paraId="34EA924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0.14</w:t>
            </w:r>
          </w:p>
          <w:p w14:paraId="25FA9D70"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(0.03, 0.26)</w:t>
            </w:r>
          </w:p>
        </w:tc>
        <w:tc>
          <w:tcPr>
            <w:tcW w:w="907" w:type="dxa"/>
            <w:tcBorders>
              <w:top w:val="single" w:sz="4" w:space="0" w:color="000000"/>
              <w:left w:val="single" w:sz="4" w:space="0" w:color="FFFFFF"/>
              <w:bottom w:val="single" w:sz="4" w:space="0" w:color="FFFFFF"/>
              <w:right w:val="single" w:sz="4" w:space="0" w:color="FFFFFF"/>
            </w:tcBorders>
            <w:shd w:val="clear" w:color="auto" w:fill="D0CECE"/>
          </w:tcPr>
          <w:p w14:paraId="1A769DE4"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0.02</w:t>
            </w:r>
          </w:p>
        </w:tc>
        <w:tc>
          <w:tcPr>
            <w:tcW w:w="1134" w:type="dxa"/>
            <w:tcBorders>
              <w:top w:val="single" w:sz="4" w:space="0" w:color="000000"/>
              <w:left w:val="single" w:sz="4" w:space="0" w:color="FFFFFF"/>
              <w:bottom w:val="single" w:sz="4" w:space="0" w:color="FFFFFF"/>
              <w:right w:val="single" w:sz="4" w:space="0" w:color="FFFFFF"/>
            </w:tcBorders>
            <w:shd w:val="clear" w:color="auto" w:fill="auto"/>
          </w:tcPr>
          <w:p w14:paraId="53940340" w14:textId="77777777" w:rsidR="00387A2E" w:rsidRPr="00387A2E" w:rsidRDefault="00387A2E" w:rsidP="00387A2E">
            <w:pPr>
              <w:widowControl/>
              <w:tabs>
                <w:tab w:val="clear" w:pos="720"/>
              </w:tabs>
              <w:spacing w:after="0" w:line="240" w:lineRule="auto"/>
              <w:ind w:firstLine="0"/>
              <w:jc w:val="center"/>
              <w:rPr>
                <w:rFonts w:eastAsia="Calibri"/>
                <w:sz w:val="20"/>
                <w:szCs w:val="20"/>
                <w:highlight w:val="yellow"/>
              </w:rPr>
            </w:pPr>
            <w:r w:rsidRPr="00387A2E">
              <w:rPr>
                <w:rFonts w:eastAsia="Calibri"/>
                <w:sz w:val="20"/>
                <w:szCs w:val="20"/>
              </w:rPr>
              <w:t>0.24</w:t>
            </w:r>
          </w:p>
        </w:tc>
      </w:tr>
      <w:tr w:rsidR="00387A2E" w:rsidRPr="00387A2E" w14:paraId="1E26CFC6" w14:textId="77777777" w:rsidTr="000E1146">
        <w:trPr>
          <w:trHeight w:val="340"/>
          <w:jc w:val="center"/>
        </w:trPr>
        <w:tc>
          <w:tcPr>
            <w:tcW w:w="1984" w:type="dxa"/>
            <w:tcBorders>
              <w:top w:val="single" w:sz="4" w:space="0" w:color="FFFFFF"/>
              <w:left w:val="single" w:sz="4" w:space="0" w:color="FFFFFF"/>
              <w:bottom w:val="single" w:sz="4" w:space="0" w:color="FFFFFF"/>
              <w:right w:val="single" w:sz="4" w:space="0" w:color="FFFFFF"/>
            </w:tcBorders>
            <w:shd w:val="clear" w:color="auto" w:fill="auto"/>
          </w:tcPr>
          <w:p w14:paraId="6C840855" w14:textId="77777777" w:rsidR="00387A2E" w:rsidRPr="00387A2E" w:rsidRDefault="00387A2E" w:rsidP="00387A2E">
            <w:pPr>
              <w:widowControl/>
              <w:tabs>
                <w:tab w:val="clear" w:pos="720"/>
              </w:tabs>
              <w:spacing w:after="0" w:line="240" w:lineRule="auto"/>
              <w:ind w:firstLine="0"/>
              <w:jc w:val="left"/>
              <w:rPr>
                <w:rFonts w:eastAsia="Calibri"/>
                <w:sz w:val="20"/>
                <w:szCs w:val="20"/>
              </w:rPr>
            </w:pPr>
            <w:r w:rsidRPr="00387A2E">
              <w:rPr>
                <w:rFonts w:eastAsia="Calibri"/>
                <w:b/>
                <w:bCs/>
                <w:sz w:val="20"/>
                <w:szCs w:val="20"/>
              </w:rPr>
              <w:t>Object Perception</w:t>
            </w:r>
          </w:p>
        </w:tc>
        <w:tc>
          <w:tcPr>
            <w:tcW w:w="1417" w:type="dxa"/>
            <w:tcBorders>
              <w:top w:val="single" w:sz="4" w:space="0" w:color="FFFFFF"/>
              <w:left w:val="single" w:sz="4" w:space="0" w:color="FFFFFF"/>
              <w:bottom w:val="single" w:sz="4" w:space="0" w:color="FFFFFF"/>
              <w:right w:val="single" w:sz="4" w:space="0" w:color="FFFFFF"/>
            </w:tcBorders>
            <w:shd w:val="clear" w:color="auto" w:fill="auto"/>
          </w:tcPr>
          <w:p w14:paraId="20408BE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auto"/>
          </w:tcPr>
          <w:p w14:paraId="674413D4"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nil"/>
              <w:right w:val="single" w:sz="4" w:space="0" w:color="FFFFFF"/>
            </w:tcBorders>
            <w:shd w:val="clear" w:color="auto" w:fill="auto"/>
          </w:tcPr>
          <w:p w14:paraId="39B98FF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nil"/>
              <w:right w:val="single" w:sz="4" w:space="0" w:color="FFFFFF"/>
            </w:tcBorders>
            <w:shd w:val="clear" w:color="auto" w:fill="auto"/>
          </w:tcPr>
          <w:p w14:paraId="1ED502C6"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single" w:sz="4" w:space="0" w:color="FFFFFF"/>
              <w:right w:val="single" w:sz="4" w:space="0" w:color="FFFFFF"/>
            </w:tcBorders>
          </w:tcPr>
          <w:p w14:paraId="6CD82C0F"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tcPr>
          <w:p w14:paraId="3C1F3C40"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nil"/>
              <w:right w:val="single" w:sz="4" w:space="0" w:color="FFFFFF"/>
            </w:tcBorders>
            <w:shd w:val="clear" w:color="auto" w:fill="auto"/>
          </w:tcPr>
          <w:p w14:paraId="15574662"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nil"/>
              <w:right w:val="single" w:sz="4" w:space="0" w:color="FFFFFF"/>
            </w:tcBorders>
            <w:shd w:val="clear" w:color="auto" w:fill="auto"/>
          </w:tcPr>
          <w:p w14:paraId="5033DCFE"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single" w:sz="4" w:space="0" w:color="FFFFFF"/>
              <w:right w:val="single" w:sz="4" w:space="0" w:color="FFFFFF"/>
            </w:tcBorders>
            <w:shd w:val="clear" w:color="auto" w:fill="auto"/>
          </w:tcPr>
          <w:p w14:paraId="70B1C95F" w14:textId="77777777" w:rsidR="00387A2E" w:rsidRPr="00387A2E" w:rsidRDefault="00387A2E" w:rsidP="00387A2E">
            <w:pPr>
              <w:widowControl/>
              <w:tabs>
                <w:tab w:val="clear" w:pos="720"/>
              </w:tabs>
              <w:spacing w:after="0" w:line="240" w:lineRule="auto"/>
              <w:ind w:firstLine="0"/>
              <w:jc w:val="center"/>
              <w:rPr>
                <w:rFonts w:eastAsia="Calibri"/>
                <w:color w:val="000000" w:themeColor="text1"/>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auto"/>
          </w:tcPr>
          <w:p w14:paraId="6F873E31" w14:textId="77777777" w:rsidR="00387A2E" w:rsidRPr="00387A2E" w:rsidRDefault="00387A2E" w:rsidP="00387A2E">
            <w:pPr>
              <w:widowControl/>
              <w:tabs>
                <w:tab w:val="clear" w:pos="720"/>
              </w:tabs>
              <w:spacing w:after="0" w:line="240" w:lineRule="auto"/>
              <w:ind w:firstLine="0"/>
              <w:jc w:val="center"/>
              <w:rPr>
                <w:rFonts w:eastAsia="Calibri"/>
                <w:color w:val="000000" w:themeColor="text1"/>
                <w:sz w:val="20"/>
                <w:szCs w:val="20"/>
              </w:rPr>
            </w:pPr>
          </w:p>
        </w:tc>
        <w:tc>
          <w:tcPr>
            <w:tcW w:w="1134" w:type="dxa"/>
            <w:tcBorders>
              <w:top w:val="single" w:sz="4" w:space="0" w:color="FFFFFF"/>
              <w:left w:val="single" w:sz="4" w:space="0" w:color="FFFFFF"/>
              <w:bottom w:val="single" w:sz="4" w:space="0" w:color="FFFFFF"/>
              <w:right w:val="single" w:sz="4" w:space="0" w:color="FFFFFF"/>
            </w:tcBorders>
            <w:shd w:val="clear" w:color="auto" w:fill="auto"/>
          </w:tcPr>
          <w:p w14:paraId="3269C13B" w14:textId="77777777" w:rsidR="00387A2E" w:rsidRPr="00387A2E" w:rsidRDefault="00387A2E" w:rsidP="00387A2E">
            <w:pPr>
              <w:widowControl/>
              <w:tabs>
                <w:tab w:val="clear" w:pos="720"/>
              </w:tabs>
              <w:spacing w:after="0" w:line="240" w:lineRule="auto"/>
              <w:ind w:firstLine="0"/>
              <w:jc w:val="center"/>
              <w:rPr>
                <w:rFonts w:eastAsia="Calibri"/>
                <w:color w:val="000000" w:themeColor="text1"/>
                <w:sz w:val="20"/>
                <w:szCs w:val="20"/>
                <w:highlight w:val="yellow"/>
              </w:rPr>
            </w:pPr>
          </w:p>
        </w:tc>
      </w:tr>
      <w:tr w:rsidR="00387A2E" w:rsidRPr="00387A2E" w14:paraId="47951D5B" w14:textId="77777777" w:rsidTr="000E1146">
        <w:trPr>
          <w:trHeight w:val="510"/>
          <w:jc w:val="center"/>
        </w:trPr>
        <w:tc>
          <w:tcPr>
            <w:tcW w:w="1984" w:type="dxa"/>
            <w:tcBorders>
              <w:top w:val="single" w:sz="4" w:space="0" w:color="FFFFFF"/>
              <w:left w:val="single" w:sz="4" w:space="0" w:color="FFFFFF"/>
              <w:bottom w:val="single" w:sz="4" w:space="0" w:color="FFFFFF"/>
              <w:right w:val="single" w:sz="4" w:space="0" w:color="FFFFFF"/>
            </w:tcBorders>
          </w:tcPr>
          <w:p w14:paraId="51FDA284"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 xml:space="preserve">   Incomplete Letters</w:t>
            </w:r>
          </w:p>
        </w:tc>
        <w:tc>
          <w:tcPr>
            <w:tcW w:w="1417" w:type="dxa"/>
            <w:tcBorders>
              <w:top w:val="single" w:sz="4" w:space="0" w:color="FFFFFF"/>
              <w:left w:val="single" w:sz="4" w:space="0" w:color="FFFFFF"/>
              <w:bottom w:val="single" w:sz="4" w:space="0" w:color="FFFFFF"/>
              <w:right w:val="single" w:sz="4" w:space="0" w:color="FFFFFF"/>
            </w:tcBorders>
            <w:shd w:val="clear" w:color="auto" w:fill="0D0D0D"/>
          </w:tcPr>
          <w:p w14:paraId="0A5075A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nil"/>
            </w:tcBorders>
            <w:shd w:val="clear" w:color="auto" w:fill="0D0D0D"/>
          </w:tcPr>
          <w:p w14:paraId="4BBE3706"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nil"/>
              <w:left w:val="nil"/>
              <w:bottom w:val="nil"/>
              <w:right w:val="nil"/>
            </w:tcBorders>
          </w:tcPr>
          <w:p w14:paraId="5B51B33A"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-0.38</w:t>
            </w:r>
          </w:p>
          <w:p w14:paraId="68558DF0"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(-1.11, 0.35)</w:t>
            </w:r>
          </w:p>
        </w:tc>
        <w:tc>
          <w:tcPr>
            <w:tcW w:w="907" w:type="dxa"/>
            <w:tcBorders>
              <w:top w:val="nil"/>
              <w:left w:val="nil"/>
              <w:bottom w:val="nil"/>
              <w:right w:val="nil"/>
            </w:tcBorders>
          </w:tcPr>
          <w:p w14:paraId="3533102C"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0.30</w:t>
            </w:r>
          </w:p>
        </w:tc>
        <w:tc>
          <w:tcPr>
            <w:tcW w:w="1417" w:type="dxa"/>
            <w:tcBorders>
              <w:top w:val="single" w:sz="4" w:space="0" w:color="FFFFFF"/>
              <w:left w:val="nil"/>
              <w:bottom w:val="single" w:sz="4" w:space="0" w:color="FFFFFF"/>
              <w:right w:val="single" w:sz="4" w:space="0" w:color="FFFFFF"/>
            </w:tcBorders>
            <w:shd w:val="clear" w:color="auto" w:fill="0D0D0D"/>
          </w:tcPr>
          <w:p w14:paraId="0300359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nil"/>
            </w:tcBorders>
            <w:shd w:val="clear" w:color="auto" w:fill="0D0D0D"/>
          </w:tcPr>
          <w:p w14:paraId="3A15826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nil"/>
              <w:left w:val="nil"/>
              <w:bottom w:val="nil"/>
              <w:right w:val="nil"/>
            </w:tcBorders>
            <w:shd w:val="clear" w:color="auto" w:fill="D0CECE"/>
          </w:tcPr>
          <w:p w14:paraId="6638965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0.02</w:t>
            </w:r>
          </w:p>
          <w:p w14:paraId="23ED62A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(&gt; -0.01, 0.05)</w:t>
            </w:r>
          </w:p>
        </w:tc>
        <w:tc>
          <w:tcPr>
            <w:tcW w:w="907" w:type="dxa"/>
            <w:tcBorders>
              <w:top w:val="nil"/>
              <w:left w:val="nil"/>
              <w:bottom w:val="nil"/>
              <w:right w:val="nil"/>
            </w:tcBorders>
            <w:shd w:val="clear" w:color="auto" w:fill="D0CECE"/>
          </w:tcPr>
          <w:p w14:paraId="64EF481C"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0.07</w:t>
            </w:r>
          </w:p>
        </w:tc>
        <w:tc>
          <w:tcPr>
            <w:tcW w:w="1417" w:type="dxa"/>
            <w:tcBorders>
              <w:top w:val="single" w:sz="4" w:space="0" w:color="FFFFFF"/>
              <w:left w:val="nil"/>
              <w:bottom w:val="single" w:sz="4" w:space="0" w:color="FFFFFF"/>
              <w:right w:val="single" w:sz="4" w:space="0" w:color="FFFFFF"/>
            </w:tcBorders>
            <w:shd w:val="clear" w:color="auto" w:fill="0D0D0D"/>
          </w:tcPr>
          <w:p w14:paraId="4AAE3C0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0D0D0D"/>
          </w:tcPr>
          <w:p w14:paraId="1941BAE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134" w:type="dxa"/>
            <w:tcBorders>
              <w:top w:val="single" w:sz="4" w:space="0" w:color="FFFFFF"/>
              <w:left w:val="single" w:sz="4" w:space="0" w:color="FFFFFF"/>
              <w:bottom w:val="single" w:sz="4" w:space="0" w:color="FFFFFF"/>
              <w:right w:val="single" w:sz="4" w:space="0" w:color="FFFFFF"/>
            </w:tcBorders>
            <w:shd w:val="clear" w:color="auto" w:fill="auto"/>
          </w:tcPr>
          <w:p w14:paraId="09ACDC89"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0.14</w:t>
            </w:r>
          </w:p>
        </w:tc>
      </w:tr>
      <w:tr w:rsidR="00387A2E" w:rsidRPr="00387A2E" w14:paraId="777A201F" w14:textId="77777777" w:rsidTr="000E1146">
        <w:trPr>
          <w:trHeight w:val="510"/>
          <w:jc w:val="center"/>
        </w:trPr>
        <w:tc>
          <w:tcPr>
            <w:tcW w:w="1984" w:type="dxa"/>
            <w:tcBorders>
              <w:top w:val="single" w:sz="4" w:space="0" w:color="FFFFFF"/>
              <w:left w:val="single" w:sz="4" w:space="0" w:color="FFFFFF"/>
              <w:bottom w:val="single" w:sz="4" w:space="0" w:color="FFFFFF"/>
              <w:right w:val="single" w:sz="4" w:space="0" w:color="FFFFFF"/>
            </w:tcBorders>
          </w:tcPr>
          <w:p w14:paraId="3E93FEA1"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 xml:space="preserve">   Silhouettes</w:t>
            </w:r>
          </w:p>
          <w:p w14:paraId="4E9C46C5"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p>
        </w:tc>
        <w:tc>
          <w:tcPr>
            <w:tcW w:w="1417" w:type="dxa"/>
            <w:tcBorders>
              <w:top w:val="single" w:sz="4" w:space="0" w:color="FFFFFF"/>
              <w:left w:val="single" w:sz="4" w:space="0" w:color="FFFFFF"/>
              <w:bottom w:val="single" w:sz="4" w:space="0" w:color="FFFFFF"/>
              <w:right w:val="single" w:sz="4" w:space="0" w:color="FFFFFF"/>
            </w:tcBorders>
            <w:shd w:val="clear" w:color="auto" w:fill="D0CECE"/>
          </w:tcPr>
          <w:p w14:paraId="5C53DD10"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-0.11</w:t>
            </w:r>
          </w:p>
          <w:p w14:paraId="1854A56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(-0.30, 0.07)</w:t>
            </w:r>
          </w:p>
        </w:tc>
        <w:tc>
          <w:tcPr>
            <w:tcW w:w="907" w:type="dxa"/>
            <w:tcBorders>
              <w:top w:val="single" w:sz="4" w:space="0" w:color="FFFFFF"/>
              <w:left w:val="single" w:sz="4" w:space="0" w:color="FFFFFF"/>
              <w:bottom w:val="single" w:sz="4" w:space="0" w:color="FFFFFF"/>
              <w:right w:val="single" w:sz="4" w:space="0" w:color="FFFFFF"/>
            </w:tcBorders>
            <w:shd w:val="clear" w:color="auto" w:fill="D0CECE"/>
          </w:tcPr>
          <w:p w14:paraId="025B0EAF"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0.22</w:t>
            </w:r>
          </w:p>
        </w:tc>
        <w:tc>
          <w:tcPr>
            <w:tcW w:w="1417" w:type="dxa"/>
            <w:tcBorders>
              <w:top w:val="nil"/>
              <w:left w:val="single" w:sz="4" w:space="0" w:color="FFFFFF"/>
              <w:bottom w:val="single" w:sz="4" w:space="0" w:color="FFFFFF"/>
              <w:right w:val="single" w:sz="4" w:space="0" w:color="FFFFFF"/>
            </w:tcBorders>
            <w:shd w:val="clear" w:color="auto" w:fill="D0CECE"/>
          </w:tcPr>
          <w:p w14:paraId="7A4EF902"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-2.70</w:t>
            </w:r>
          </w:p>
          <w:p w14:paraId="42B3ACBA"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(-4.79, -0.60)</w:t>
            </w:r>
          </w:p>
        </w:tc>
        <w:tc>
          <w:tcPr>
            <w:tcW w:w="907" w:type="dxa"/>
            <w:tcBorders>
              <w:top w:val="nil"/>
              <w:left w:val="single" w:sz="4" w:space="0" w:color="FFFFFF"/>
              <w:bottom w:val="single" w:sz="4" w:space="0" w:color="FFFFFF"/>
              <w:right w:val="single" w:sz="4" w:space="0" w:color="FFFFFF"/>
            </w:tcBorders>
            <w:shd w:val="clear" w:color="auto" w:fill="D0CECE"/>
          </w:tcPr>
          <w:p w14:paraId="01F634D0"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0.01*</w:t>
            </w:r>
          </w:p>
        </w:tc>
        <w:tc>
          <w:tcPr>
            <w:tcW w:w="1417" w:type="dxa"/>
            <w:tcBorders>
              <w:top w:val="single" w:sz="4" w:space="0" w:color="FFFFFF"/>
              <w:left w:val="single" w:sz="4" w:space="0" w:color="FFFFFF"/>
              <w:bottom w:val="single" w:sz="4" w:space="0" w:color="FFFFFF"/>
              <w:right w:val="single" w:sz="4" w:space="0" w:color="FFFFFF"/>
            </w:tcBorders>
          </w:tcPr>
          <w:p w14:paraId="5D54CFD9"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-0.21</w:t>
            </w:r>
          </w:p>
          <w:p w14:paraId="19B6B232"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(0.43, 0.00)</w:t>
            </w:r>
          </w:p>
        </w:tc>
        <w:tc>
          <w:tcPr>
            <w:tcW w:w="907" w:type="dxa"/>
            <w:tcBorders>
              <w:top w:val="single" w:sz="4" w:space="0" w:color="FFFFFF"/>
              <w:left w:val="single" w:sz="4" w:space="0" w:color="FFFFFF"/>
              <w:bottom w:val="single" w:sz="4" w:space="0" w:color="FFFFFF"/>
              <w:right w:val="single" w:sz="4" w:space="0" w:color="FFFFFF"/>
            </w:tcBorders>
          </w:tcPr>
          <w:p w14:paraId="10DEE409"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0.05</w:t>
            </w:r>
          </w:p>
        </w:tc>
        <w:tc>
          <w:tcPr>
            <w:tcW w:w="1417" w:type="dxa"/>
            <w:tcBorders>
              <w:top w:val="nil"/>
              <w:left w:val="single" w:sz="4" w:space="0" w:color="FFFFFF"/>
              <w:bottom w:val="single" w:sz="4" w:space="0" w:color="FFFFFF"/>
              <w:right w:val="single" w:sz="4" w:space="0" w:color="FFFFFF"/>
            </w:tcBorders>
            <w:shd w:val="clear" w:color="auto" w:fill="D0CECE"/>
          </w:tcPr>
          <w:p w14:paraId="51DEE5C4"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0.13</w:t>
            </w:r>
          </w:p>
          <w:p w14:paraId="6F216864"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(0.05, 0.21)</w:t>
            </w:r>
          </w:p>
        </w:tc>
        <w:tc>
          <w:tcPr>
            <w:tcW w:w="907" w:type="dxa"/>
            <w:tcBorders>
              <w:top w:val="nil"/>
              <w:left w:val="single" w:sz="4" w:space="0" w:color="FFFFFF"/>
              <w:bottom w:val="single" w:sz="4" w:space="0" w:color="FFFFFF"/>
              <w:right w:val="single" w:sz="4" w:space="0" w:color="FFFFFF"/>
            </w:tcBorders>
            <w:shd w:val="clear" w:color="auto" w:fill="D0CECE"/>
          </w:tcPr>
          <w:p w14:paraId="6FAEBC83"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0.002</w:t>
            </w:r>
          </w:p>
        </w:tc>
        <w:tc>
          <w:tcPr>
            <w:tcW w:w="1417" w:type="dxa"/>
            <w:tcBorders>
              <w:top w:val="single" w:sz="4" w:space="0" w:color="FFFFFF"/>
              <w:left w:val="single" w:sz="4" w:space="0" w:color="FFFFFF"/>
              <w:bottom w:val="single" w:sz="4" w:space="0" w:color="FFFFFF"/>
              <w:right w:val="single" w:sz="4" w:space="0" w:color="FFFFFF"/>
            </w:tcBorders>
          </w:tcPr>
          <w:p w14:paraId="1D82D4EB"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0.23</w:t>
            </w:r>
          </w:p>
          <w:p w14:paraId="3F2F016E"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(-0.72, 1.19)</w:t>
            </w:r>
          </w:p>
        </w:tc>
        <w:tc>
          <w:tcPr>
            <w:tcW w:w="907" w:type="dxa"/>
            <w:tcBorders>
              <w:top w:val="single" w:sz="4" w:space="0" w:color="FFFFFF"/>
              <w:left w:val="single" w:sz="4" w:space="0" w:color="FFFFFF"/>
              <w:bottom w:val="single" w:sz="4" w:space="0" w:color="FFFFFF"/>
              <w:right w:val="single" w:sz="4" w:space="0" w:color="FFFFFF"/>
            </w:tcBorders>
          </w:tcPr>
          <w:p w14:paraId="0956AC6F"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0.63</w:t>
            </w:r>
          </w:p>
        </w:tc>
        <w:tc>
          <w:tcPr>
            <w:tcW w:w="1134" w:type="dxa"/>
            <w:tcBorders>
              <w:top w:val="single" w:sz="4" w:space="0" w:color="FFFFFF"/>
              <w:left w:val="single" w:sz="4" w:space="0" w:color="FFFFFF"/>
              <w:bottom w:val="single" w:sz="4" w:space="0" w:color="FFFFFF"/>
              <w:right w:val="single" w:sz="4" w:space="0" w:color="FFFFFF"/>
            </w:tcBorders>
            <w:shd w:val="clear" w:color="auto" w:fill="auto"/>
          </w:tcPr>
          <w:p w14:paraId="5D21DF23"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0.44</w:t>
            </w:r>
          </w:p>
        </w:tc>
      </w:tr>
      <w:tr w:rsidR="00387A2E" w:rsidRPr="00387A2E" w14:paraId="14DADD60" w14:textId="77777777" w:rsidTr="000E1146">
        <w:trPr>
          <w:trHeight w:val="510"/>
          <w:jc w:val="center"/>
        </w:trPr>
        <w:tc>
          <w:tcPr>
            <w:tcW w:w="1984" w:type="dxa"/>
            <w:tcBorders>
              <w:top w:val="single" w:sz="4" w:space="0" w:color="FFFFFF"/>
              <w:left w:val="single" w:sz="4" w:space="0" w:color="FFFFFF"/>
              <w:bottom w:val="single" w:sz="4" w:space="0" w:color="FFFFFF"/>
              <w:right w:val="single" w:sz="4" w:space="0" w:color="FFFFFF"/>
            </w:tcBorders>
          </w:tcPr>
          <w:p w14:paraId="232F405F"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 xml:space="preserve">   Object Decision</w:t>
            </w:r>
          </w:p>
        </w:tc>
        <w:tc>
          <w:tcPr>
            <w:tcW w:w="1417" w:type="dxa"/>
            <w:tcBorders>
              <w:top w:val="single" w:sz="4" w:space="0" w:color="FFFFFF"/>
              <w:left w:val="single" w:sz="4" w:space="0" w:color="FFFFFF"/>
              <w:bottom w:val="single" w:sz="4" w:space="0" w:color="FFFFFF"/>
              <w:right w:val="single" w:sz="4" w:space="0" w:color="FFFFFF"/>
            </w:tcBorders>
          </w:tcPr>
          <w:p w14:paraId="66C540C5"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0.07</w:t>
            </w:r>
          </w:p>
          <w:p w14:paraId="3852B19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(-0.07, 0.21)</w:t>
            </w:r>
          </w:p>
        </w:tc>
        <w:tc>
          <w:tcPr>
            <w:tcW w:w="907" w:type="dxa"/>
            <w:tcBorders>
              <w:top w:val="single" w:sz="4" w:space="0" w:color="FFFFFF"/>
              <w:left w:val="single" w:sz="4" w:space="0" w:color="FFFFFF"/>
              <w:bottom w:val="single" w:sz="4" w:space="0" w:color="FFFFFF"/>
              <w:right w:val="single" w:sz="4" w:space="0" w:color="FFFFFF"/>
            </w:tcBorders>
          </w:tcPr>
          <w:p w14:paraId="5774AB0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0.33</w:t>
            </w:r>
          </w:p>
        </w:tc>
        <w:tc>
          <w:tcPr>
            <w:tcW w:w="1417" w:type="dxa"/>
            <w:tcBorders>
              <w:top w:val="single" w:sz="4" w:space="0" w:color="FFFFFF"/>
              <w:left w:val="single" w:sz="4" w:space="0" w:color="FFFFFF"/>
              <w:bottom w:val="single" w:sz="4" w:space="0" w:color="FFFFFF"/>
              <w:right w:val="single" w:sz="4" w:space="0" w:color="FFFFFF"/>
            </w:tcBorders>
          </w:tcPr>
          <w:p w14:paraId="31D200F6"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-0.37</w:t>
            </w:r>
          </w:p>
          <w:p w14:paraId="607BB9E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(-1.96, 1.21)</w:t>
            </w:r>
          </w:p>
        </w:tc>
        <w:tc>
          <w:tcPr>
            <w:tcW w:w="907" w:type="dxa"/>
            <w:tcBorders>
              <w:top w:val="single" w:sz="4" w:space="0" w:color="FFFFFF"/>
              <w:left w:val="single" w:sz="4" w:space="0" w:color="FFFFFF"/>
              <w:bottom w:val="single" w:sz="4" w:space="0" w:color="FFFFFF"/>
              <w:right w:val="single" w:sz="4" w:space="0" w:color="FFFFFF"/>
            </w:tcBorders>
          </w:tcPr>
          <w:p w14:paraId="0597B946"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0.64</w:t>
            </w:r>
          </w:p>
        </w:tc>
        <w:tc>
          <w:tcPr>
            <w:tcW w:w="1417" w:type="dxa"/>
            <w:tcBorders>
              <w:top w:val="single" w:sz="4" w:space="0" w:color="FFFFFF"/>
              <w:left w:val="single" w:sz="4" w:space="0" w:color="FFFFFF"/>
              <w:bottom w:val="single" w:sz="4" w:space="0" w:color="FFFFFF"/>
              <w:right w:val="single" w:sz="4" w:space="0" w:color="FFFFFF"/>
            </w:tcBorders>
          </w:tcPr>
          <w:p w14:paraId="28AB6A8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-0.02</w:t>
            </w:r>
          </w:p>
          <w:p w14:paraId="53237EEF"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(-0.02, 0.14)</w:t>
            </w:r>
          </w:p>
        </w:tc>
        <w:tc>
          <w:tcPr>
            <w:tcW w:w="907" w:type="dxa"/>
            <w:tcBorders>
              <w:top w:val="single" w:sz="4" w:space="0" w:color="FFFFFF"/>
              <w:left w:val="single" w:sz="4" w:space="0" w:color="FFFFFF"/>
              <w:bottom w:val="single" w:sz="4" w:space="0" w:color="FFFFFF"/>
              <w:right w:val="single" w:sz="4" w:space="0" w:color="FFFFFF"/>
            </w:tcBorders>
          </w:tcPr>
          <w:p w14:paraId="13C97D41"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0.78</w:t>
            </w:r>
          </w:p>
        </w:tc>
        <w:tc>
          <w:tcPr>
            <w:tcW w:w="1417" w:type="dxa"/>
            <w:tcBorders>
              <w:top w:val="single" w:sz="4" w:space="0" w:color="FFFFFF"/>
              <w:left w:val="single" w:sz="4" w:space="0" w:color="FFFFFF"/>
              <w:bottom w:val="single" w:sz="4" w:space="0" w:color="FFFFFF"/>
              <w:right w:val="single" w:sz="4" w:space="0" w:color="FFFFFF"/>
            </w:tcBorders>
            <w:shd w:val="clear" w:color="auto" w:fill="D0CECE"/>
          </w:tcPr>
          <w:p w14:paraId="33D6E5B4"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0.09</w:t>
            </w:r>
          </w:p>
          <w:p w14:paraId="563701FB"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(0.03, 0.15)</w:t>
            </w:r>
          </w:p>
        </w:tc>
        <w:tc>
          <w:tcPr>
            <w:tcW w:w="907" w:type="dxa"/>
            <w:tcBorders>
              <w:top w:val="single" w:sz="4" w:space="0" w:color="FFFFFF"/>
              <w:left w:val="single" w:sz="4" w:space="0" w:color="FFFFFF"/>
              <w:bottom w:val="single" w:sz="4" w:space="0" w:color="FFFFFF"/>
              <w:right w:val="single" w:sz="4" w:space="0" w:color="FFFFFF"/>
            </w:tcBorders>
            <w:shd w:val="clear" w:color="auto" w:fill="D0CECE"/>
          </w:tcPr>
          <w:p w14:paraId="1753E0F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0.004</w:t>
            </w:r>
          </w:p>
        </w:tc>
        <w:tc>
          <w:tcPr>
            <w:tcW w:w="1417" w:type="dxa"/>
            <w:tcBorders>
              <w:top w:val="single" w:sz="4" w:space="0" w:color="FFFFFF"/>
              <w:left w:val="single" w:sz="4" w:space="0" w:color="FFFFFF"/>
              <w:bottom w:val="single" w:sz="4" w:space="0" w:color="FFFFFF"/>
              <w:right w:val="single" w:sz="4" w:space="0" w:color="FFFFFF"/>
            </w:tcBorders>
          </w:tcPr>
          <w:p w14:paraId="07EB057B"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0.14</w:t>
            </w:r>
          </w:p>
          <w:p w14:paraId="5E3E02AB"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(-0.59, 0.86)</w:t>
            </w:r>
          </w:p>
        </w:tc>
        <w:tc>
          <w:tcPr>
            <w:tcW w:w="907" w:type="dxa"/>
            <w:tcBorders>
              <w:top w:val="single" w:sz="4" w:space="0" w:color="FFFFFF"/>
              <w:left w:val="single" w:sz="4" w:space="0" w:color="FFFFFF"/>
              <w:bottom w:val="single" w:sz="4" w:space="0" w:color="FFFFFF"/>
              <w:right w:val="single" w:sz="4" w:space="0" w:color="FFFFFF"/>
            </w:tcBorders>
          </w:tcPr>
          <w:p w14:paraId="0BF942C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0.70</w:t>
            </w:r>
          </w:p>
        </w:tc>
        <w:tc>
          <w:tcPr>
            <w:tcW w:w="1134" w:type="dxa"/>
            <w:tcBorders>
              <w:top w:val="single" w:sz="4" w:space="0" w:color="FFFFFF"/>
              <w:left w:val="single" w:sz="4" w:space="0" w:color="FFFFFF"/>
              <w:bottom w:val="single" w:sz="4" w:space="0" w:color="FFFFFF"/>
              <w:right w:val="single" w:sz="4" w:space="0" w:color="FFFFFF"/>
            </w:tcBorders>
            <w:shd w:val="clear" w:color="auto" w:fill="auto"/>
          </w:tcPr>
          <w:p w14:paraId="74845C6E"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0.29</w:t>
            </w:r>
          </w:p>
        </w:tc>
      </w:tr>
      <w:tr w:rsidR="00387A2E" w:rsidRPr="00387A2E" w14:paraId="61694F62" w14:textId="77777777" w:rsidTr="000E1146">
        <w:trPr>
          <w:trHeight w:val="510"/>
          <w:jc w:val="center"/>
        </w:trPr>
        <w:tc>
          <w:tcPr>
            <w:tcW w:w="1984" w:type="dxa"/>
            <w:tcBorders>
              <w:top w:val="single" w:sz="4" w:space="0" w:color="FFFFFF"/>
              <w:left w:val="single" w:sz="4" w:space="0" w:color="FFFFFF"/>
              <w:bottom w:val="single" w:sz="4" w:space="0" w:color="FFFFFF"/>
              <w:right w:val="single" w:sz="4" w:space="0" w:color="FFFFFF"/>
            </w:tcBorders>
          </w:tcPr>
          <w:p w14:paraId="2B6B77A1"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 xml:space="preserve">   Progressive</w:t>
            </w:r>
            <w:r w:rsidRPr="00387A2E">
              <w:rPr>
                <w:rFonts w:eastAsia="Calibri"/>
                <w:b/>
                <w:bCs/>
                <w:sz w:val="20"/>
                <w:szCs w:val="20"/>
              </w:rPr>
              <w:br/>
              <w:t xml:space="preserve">   Silhouettes</w:t>
            </w:r>
          </w:p>
        </w:tc>
        <w:tc>
          <w:tcPr>
            <w:tcW w:w="1417" w:type="dxa"/>
            <w:tcBorders>
              <w:top w:val="single" w:sz="4" w:space="0" w:color="FFFFFF"/>
              <w:left w:val="single" w:sz="4" w:space="0" w:color="FFFFFF"/>
              <w:bottom w:val="single" w:sz="4" w:space="0" w:color="FFFFFF"/>
              <w:right w:val="single" w:sz="4" w:space="0" w:color="FFFFFF"/>
            </w:tcBorders>
          </w:tcPr>
          <w:p w14:paraId="54D9277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0.06</w:t>
            </w:r>
          </w:p>
          <w:p w14:paraId="29CBE11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(-0.08, 0.20)</w:t>
            </w:r>
          </w:p>
        </w:tc>
        <w:tc>
          <w:tcPr>
            <w:tcW w:w="907" w:type="dxa"/>
            <w:tcBorders>
              <w:top w:val="single" w:sz="4" w:space="0" w:color="FFFFFF"/>
              <w:left w:val="single" w:sz="4" w:space="0" w:color="FFFFFF"/>
              <w:bottom w:val="single" w:sz="4" w:space="0" w:color="FFFFFF"/>
              <w:right w:val="single" w:sz="4" w:space="0" w:color="FFFFFF"/>
            </w:tcBorders>
          </w:tcPr>
          <w:p w14:paraId="0D87EA0F"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0.39</w:t>
            </w:r>
          </w:p>
        </w:tc>
        <w:tc>
          <w:tcPr>
            <w:tcW w:w="1417" w:type="dxa"/>
            <w:tcBorders>
              <w:top w:val="single" w:sz="4" w:space="0" w:color="FFFFFF"/>
              <w:left w:val="single" w:sz="4" w:space="0" w:color="FFFFFF"/>
              <w:bottom w:val="single" w:sz="4" w:space="0" w:color="FFFFFF"/>
              <w:right w:val="single" w:sz="4" w:space="0" w:color="FFFFFF"/>
            </w:tcBorders>
            <w:shd w:val="clear" w:color="auto" w:fill="D0CECE"/>
          </w:tcPr>
          <w:p w14:paraId="322AF0BB"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2.45</w:t>
            </w:r>
          </w:p>
          <w:p w14:paraId="34620103"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(0.85, 4.04)</w:t>
            </w:r>
          </w:p>
        </w:tc>
        <w:tc>
          <w:tcPr>
            <w:tcW w:w="907" w:type="dxa"/>
            <w:tcBorders>
              <w:top w:val="single" w:sz="4" w:space="0" w:color="FFFFFF"/>
              <w:left w:val="single" w:sz="4" w:space="0" w:color="FFFFFF"/>
              <w:bottom w:val="single" w:sz="4" w:space="0" w:color="FFFFFF"/>
              <w:right w:val="single" w:sz="4" w:space="0" w:color="FFFFFF"/>
            </w:tcBorders>
            <w:shd w:val="clear" w:color="auto" w:fill="D0CECE"/>
          </w:tcPr>
          <w:p w14:paraId="2ECDAA15"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0.004</w:t>
            </w:r>
          </w:p>
        </w:tc>
        <w:tc>
          <w:tcPr>
            <w:tcW w:w="1417" w:type="dxa"/>
            <w:tcBorders>
              <w:top w:val="single" w:sz="4" w:space="0" w:color="FFFFFF"/>
              <w:left w:val="single" w:sz="4" w:space="0" w:color="FFFFFF"/>
              <w:bottom w:val="single" w:sz="4" w:space="0" w:color="FFFFFF"/>
              <w:right w:val="single" w:sz="4" w:space="0" w:color="FFFFFF"/>
            </w:tcBorders>
          </w:tcPr>
          <w:p w14:paraId="2302A0E0"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-0.08</w:t>
            </w:r>
          </w:p>
          <w:p w14:paraId="36E28286"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(-0.25, 0.08)</w:t>
            </w:r>
          </w:p>
        </w:tc>
        <w:tc>
          <w:tcPr>
            <w:tcW w:w="907" w:type="dxa"/>
            <w:tcBorders>
              <w:top w:val="single" w:sz="4" w:space="0" w:color="FFFFFF"/>
              <w:left w:val="single" w:sz="4" w:space="0" w:color="FFFFFF"/>
              <w:bottom w:val="single" w:sz="4" w:space="0" w:color="FFFFFF"/>
              <w:right w:val="single" w:sz="4" w:space="0" w:color="FFFFFF"/>
            </w:tcBorders>
          </w:tcPr>
          <w:p w14:paraId="2AB61DA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0.31</w:t>
            </w:r>
          </w:p>
        </w:tc>
        <w:tc>
          <w:tcPr>
            <w:tcW w:w="1417" w:type="dxa"/>
            <w:tcBorders>
              <w:top w:val="single" w:sz="4" w:space="0" w:color="FFFFFF"/>
              <w:left w:val="single" w:sz="4" w:space="0" w:color="FFFFFF"/>
              <w:bottom w:val="single" w:sz="4" w:space="0" w:color="FFFFFF"/>
              <w:right w:val="single" w:sz="4" w:space="0" w:color="FFFFFF"/>
            </w:tcBorders>
            <w:shd w:val="clear" w:color="auto" w:fill="D0CECE"/>
          </w:tcPr>
          <w:p w14:paraId="279C7ABE"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-0.02</w:t>
            </w:r>
          </w:p>
          <w:p w14:paraId="391D942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(-0.08, 0.04)</w:t>
            </w:r>
          </w:p>
        </w:tc>
        <w:tc>
          <w:tcPr>
            <w:tcW w:w="907" w:type="dxa"/>
            <w:tcBorders>
              <w:top w:val="single" w:sz="4" w:space="0" w:color="FFFFFF"/>
              <w:left w:val="single" w:sz="4" w:space="0" w:color="FFFFFF"/>
              <w:bottom w:val="single" w:sz="4" w:space="0" w:color="FFFFFF"/>
              <w:right w:val="single" w:sz="4" w:space="0" w:color="FFFFFF"/>
            </w:tcBorders>
            <w:shd w:val="clear" w:color="auto" w:fill="D0CECE"/>
          </w:tcPr>
          <w:p w14:paraId="3EC980CC"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0.43</w:t>
            </w:r>
          </w:p>
        </w:tc>
        <w:tc>
          <w:tcPr>
            <w:tcW w:w="1417" w:type="dxa"/>
            <w:tcBorders>
              <w:top w:val="single" w:sz="4" w:space="0" w:color="FFFFFF"/>
              <w:left w:val="single" w:sz="4" w:space="0" w:color="FFFFFF"/>
              <w:bottom w:val="single" w:sz="4" w:space="0" w:color="FFFFFF"/>
              <w:right w:val="single" w:sz="4" w:space="0" w:color="FFFFFF"/>
            </w:tcBorders>
          </w:tcPr>
          <w:p w14:paraId="535EE9C6"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-0.65</w:t>
            </w:r>
          </w:p>
          <w:p w14:paraId="7B3B3EB2"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(-1.38, 0.07)</w:t>
            </w:r>
          </w:p>
        </w:tc>
        <w:tc>
          <w:tcPr>
            <w:tcW w:w="907" w:type="dxa"/>
            <w:tcBorders>
              <w:top w:val="single" w:sz="4" w:space="0" w:color="FFFFFF"/>
              <w:left w:val="single" w:sz="4" w:space="0" w:color="FFFFFF"/>
              <w:bottom w:val="single" w:sz="4" w:space="0" w:color="FFFFFF"/>
              <w:right w:val="single" w:sz="4" w:space="0" w:color="FFFFFF"/>
            </w:tcBorders>
          </w:tcPr>
          <w:p w14:paraId="2AE136D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0.07</w:t>
            </w:r>
          </w:p>
        </w:tc>
        <w:tc>
          <w:tcPr>
            <w:tcW w:w="1134" w:type="dxa"/>
            <w:tcBorders>
              <w:top w:val="single" w:sz="4" w:space="0" w:color="FFFFFF"/>
              <w:left w:val="single" w:sz="4" w:space="0" w:color="FFFFFF"/>
              <w:bottom w:val="single" w:sz="4" w:space="0" w:color="FFFFFF"/>
              <w:right w:val="single" w:sz="4" w:space="0" w:color="FFFFFF"/>
            </w:tcBorders>
            <w:shd w:val="clear" w:color="auto" w:fill="auto"/>
          </w:tcPr>
          <w:p w14:paraId="1D01997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0.40</w:t>
            </w:r>
          </w:p>
        </w:tc>
      </w:tr>
      <w:tr w:rsidR="00387A2E" w:rsidRPr="00387A2E" w14:paraId="5D5D56EA" w14:textId="77777777" w:rsidTr="000E1146">
        <w:trPr>
          <w:trHeight w:val="340"/>
          <w:jc w:val="center"/>
        </w:trPr>
        <w:tc>
          <w:tcPr>
            <w:tcW w:w="1984" w:type="dxa"/>
            <w:tcBorders>
              <w:top w:val="single" w:sz="4" w:space="0" w:color="FFFFFF"/>
              <w:left w:val="single" w:sz="4" w:space="0" w:color="FFFFFF"/>
              <w:bottom w:val="single" w:sz="4" w:space="0" w:color="FFFFFF"/>
              <w:right w:val="single" w:sz="4" w:space="0" w:color="FFFFFF"/>
            </w:tcBorders>
            <w:shd w:val="clear" w:color="auto" w:fill="auto"/>
          </w:tcPr>
          <w:p w14:paraId="201744AF" w14:textId="77777777" w:rsidR="00387A2E" w:rsidRPr="00387A2E" w:rsidRDefault="00387A2E" w:rsidP="00387A2E">
            <w:pPr>
              <w:widowControl/>
              <w:tabs>
                <w:tab w:val="clear" w:pos="720"/>
              </w:tabs>
              <w:spacing w:after="0" w:line="240" w:lineRule="auto"/>
              <w:ind w:firstLine="0"/>
              <w:jc w:val="left"/>
              <w:rPr>
                <w:rFonts w:eastAsia="Calibri"/>
                <w:sz w:val="20"/>
                <w:szCs w:val="20"/>
              </w:rPr>
            </w:pPr>
            <w:r w:rsidRPr="00387A2E">
              <w:rPr>
                <w:rFonts w:eastAsia="Calibri"/>
                <w:b/>
                <w:bCs/>
                <w:sz w:val="20"/>
                <w:szCs w:val="20"/>
              </w:rPr>
              <w:t>Space Perception</w:t>
            </w:r>
          </w:p>
        </w:tc>
        <w:tc>
          <w:tcPr>
            <w:tcW w:w="1417" w:type="dxa"/>
            <w:tcBorders>
              <w:top w:val="single" w:sz="4" w:space="0" w:color="FFFFFF"/>
              <w:left w:val="single" w:sz="4" w:space="0" w:color="FFFFFF"/>
              <w:bottom w:val="single" w:sz="4" w:space="0" w:color="FFFFFF"/>
              <w:right w:val="single" w:sz="4" w:space="0" w:color="FFFFFF"/>
            </w:tcBorders>
            <w:shd w:val="clear" w:color="auto" w:fill="auto"/>
          </w:tcPr>
          <w:p w14:paraId="37B2BE7F"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auto"/>
          </w:tcPr>
          <w:p w14:paraId="5F42EE91"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single" w:sz="4" w:space="0" w:color="FFFFFF"/>
              <w:right w:val="single" w:sz="4" w:space="0" w:color="FFFFFF"/>
            </w:tcBorders>
            <w:shd w:val="clear" w:color="auto" w:fill="auto"/>
          </w:tcPr>
          <w:p w14:paraId="25C7281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auto"/>
          </w:tcPr>
          <w:p w14:paraId="645AA88A"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single" w:sz="4" w:space="0" w:color="FFFFFF"/>
              <w:right w:val="single" w:sz="4" w:space="0" w:color="FFFFFF"/>
            </w:tcBorders>
          </w:tcPr>
          <w:p w14:paraId="0500A555"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tcPr>
          <w:p w14:paraId="04D35046"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single" w:sz="4" w:space="0" w:color="FFFFFF"/>
              <w:right w:val="single" w:sz="4" w:space="0" w:color="FFFFFF"/>
            </w:tcBorders>
            <w:shd w:val="clear" w:color="auto" w:fill="auto"/>
          </w:tcPr>
          <w:p w14:paraId="39BB4F38" w14:textId="77777777" w:rsidR="00387A2E" w:rsidRPr="00387A2E" w:rsidRDefault="00387A2E" w:rsidP="00387A2E">
            <w:pPr>
              <w:widowControl/>
              <w:tabs>
                <w:tab w:val="clear" w:pos="720"/>
              </w:tabs>
              <w:spacing w:after="0" w:line="240" w:lineRule="auto"/>
              <w:ind w:firstLine="0"/>
              <w:jc w:val="center"/>
              <w:rPr>
                <w:rFonts w:eastAsia="Calibri"/>
                <w:color w:val="000000" w:themeColor="text1"/>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auto"/>
          </w:tcPr>
          <w:p w14:paraId="61DADD40" w14:textId="77777777" w:rsidR="00387A2E" w:rsidRPr="00387A2E" w:rsidRDefault="00387A2E" w:rsidP="00387A2E">
            <w:pPr>
              <w:widowControl/>
              <w:tabs>
                <w:tab w:val="clear" w:pos="720"/>
              </w:tabs>
              <w:spacing w:after="0" w:line="240" w:lineRule="auto"/>
              <w:ind w:firstLine="0"/>
              <w:jc w:val="center"/>
              <w:rPr>
                <w:rFonts w:eastAsia="Calibri"/>
                <w:color w:val="000000" w:themeColor="text1"/>
                <w:sz w:val="20"/>
                <w:szCs w:val="20"/>
              </w:rPr>
            </w:pPr>
          </w:p>
        </w:tc>
        <w:tc>
          <w:tcPr>
            <w:tcW w:w="1417" w:type="dxa"/>
            <w:tcBorders>
              <w:top w:val="single" w:sz="4" w:space="0" w:color="FFFFFF"/>
              <w:left w:val="single" w:sz="4" w:space="0" w:color="FFFFFF"/>
              <w:bottom w:val="single" w:sz="4" w:space="0" w:color="FFFFFF"/>
              <w:right w:val="single" w:sz="4" w:space="0" w:color="FFFFFF"/>
            </w:tcBorders>
            <w:shd w:val="clear" w:color="auto" w:fill="auto"/>
          </w:tcPr>
          <w:p w14:paraId="2466CC26" w14:textId="77777777" w:rsidR="00387A2E" w:rsidRPr="00387A2E" w:rsidRDefault="00387A2E" w:rsidP="00387A2E">
            <w:pPr>
              <w:widowControl/>
              <w:tabs>
                <w:tab w:val="clear" w:pos="720"/>
              </w:tabs>
              <w:spacing w:after="0" w:line="240" w:lineRule="auto"/>
              <w:ind w:firstLine="0"/>
              <w:jc w:val="center"/>
              <w:rPr>
                <w:rFonts w:eastAsia="Calibri"/>
                <w:color w:val="000000" w:themeColor="text1"/>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auto"/>
          </w:tcPr>
          <w:p w14:paraId="16B296DD" w14:textId="77777777" w:rsidR="00387A2E" w:rsidRPr="00387A2E" w:rsidRDefault="00387A2E" w:rsidP="00387A2E">
            <w:pPr>
              <w:widowControl/>
              <w:tabs>
                <w:tab w:val="clear" w:pos="720"/>
              </w:tabs>
              <w:spacing w:after="0" w:line="240" w:lineRule="auto"/>
              <w:ind w:firstLine="0"/>
              <w:jc w:val="center"/>
              <w:rPr>
                <w:rFonts w:eastAsia="Calibri"/>
                <w:color w:val="000000" w:themeColor="text1"/>
                <w:sz w:val="20"/>
                <w:szCs w:val="20"/>
              </w:rPr>
            </w:pPr>
          </w:p>
        </w:tc>
        <w:tc>
          <w:tcPr>
            <w:tcW w:w="1134" w:type="dxa"/>
            <w:tcBorders>
              <w:top w:val="single" w:sz="4" w:space="0" w:color="FFFFFF"/>
              <w:left w:val="single" w:sz="4" w:space="0" w:color="FFFFFF"/>
              <w:bottom w:val="single" w:sz="4" w:space="0" w:color="FFFFFF"/>
              <w:right w:val="single" w:sz="4" w:space="0" w:color="FFFFFF"/>
            </w:tcBorders>
            <w:shd w:val="clear" w:color="auto" w:fill="auto"/>
          </w:tcPr>
          <w:p w14:paraId="5C525395" w14:textId="77777777" w:rsidR="00387A2E" w:rsidRPr="00387A2E" w:rsidRDefault="00387A2E" w:rsidP="00387A2E">
            <w:pPr>
              <w:widowControl/>
              <w:tabs>
                <w:tab w:val="clear" w:pos="720"/>
              </w:tabs>
              <w:spacing w:after="0" w:line="240" w:lineRule="auto"/>
              <w:ind w:firstLine="0"/>
              <w:jc w:val="center"/>
              <w:rPr>
                <w:rFonts w:eastAsia="Calibri"/>
                <w:color w:val="000000" w:themeColor="text1"/>
                <w:sz w:val="20"/>
                <w:szCs w:val="20"/>
              </w:rPr>
            </w:pPr>
          </w:p>
        </w:tc>
      </w:tr>
      <w:tr w:rsidR="00387A2E" w:rsidRPr="00387A2E" w14:paraId="28D025A2" w14:textId="77777777" w:rsidTr="000E1146">
        <w:trPr>
          <w:trHeight w:val="510"/>
          <w:jc w:val="center"/>
        </w:trPr>
        <w:tc>
          <w:tcPr>
            <w:tcW w:w="1984" w:type="dxa"/>
            <w:tcBorders>
              <w:top w:val="single" w:sz="4" w:space="0" w:color="FFFFFF"/>
              <w:left w:val="single" w:sz="4" w:space="0" w:color="FFFFFF"/>
              <w:bottom w:val="single" w:sz="4" w:space="0" w:color="FFFFFF"/>
              <w:right w:val="single" w:sz="4" w:space="0" w:color="FFFFFF"/>
            </w:tcBorders>
          </w:tcPr>
          <w:p w14:paraId="60DC3C67"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 xml:space="preserve">   Dot Counting</w:t>
            </w:r>
          </w:p>
        </w:tc>
        <w:tc>
          <w:tcPr>
            <w:tcW w:w="1417" w:type="dxa"/>
            <w:tcBorders>
              <w:top w:val="single" w:sz="4" w:space="0" w:color="FFFFFF"/>
              <w:left w:val="single" w:sz="4" w:space="0" w:color="FFFFFF"/>
              <w:bottom w:val="single" w:sz="4" w:space="0" w:color="FFFFFF"/>
              <w:right w:val="single" w:sz="4" w:space="0" w:color="FFFFFF"/>
            </w:tcBorders>
            <w:shd w:val="clear" w:color="auto" w:fill="0D0D0D"/>
          </w:tcPr>
          <w:p w14:paraId="7C061CBF"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0D0D0D"/>
          </w:tcPr>
          <w:p w14:paraId="1189C9B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single" w:sz="4" w:space="0" w:color="FFFFFF"/>
              <w:right w:val="single" w:sz="4" w:space="0" w:color="FFFFFF"/>
            </w:tcBorders>
            <w:shd w:val="clear" w:color="auto" w:fill="0D0D0D"/>
          </w:tcPr>
          <w:p w14:paraId="6E0C54E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0D0D0D"/>
          </w:tcPr>
          <w:p w14:paraId="6A2249E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single" w:sz="4" w:space="0" w:color="FFFFFF"/>
              <w:right w:val="single" w:sz="4" w:space="0" w:color="FFFFFF"/>
            </w:tcBorders>
            <w:shd w:val="clear" w:color="auto" w:fill="0D0D0D"/>
          </w:tcPr>
          <w:p w14:paraId="407A2C69"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0D0D0D"/>
          </w:tcPr>
          <w:p w14:paraId="2A069DE6"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single" w:sz="4" w:space="0" w:color="FFFFFF"/>
              <w:right w:val="single" w:sz="4" w:space="0" w:color="FFFFFF"/>
            </w:tcBorders>
            <w:shd w:val="clear" w:color="auto" w:fill="0D0D0D"/>
          </w:tcPr>
          <w:p w14:paraId="5AE44DA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0D0D0D"/>
          </w:tcPr>
          <w:p w14:paraId="0383FC5A"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single" w:sz="4" w:space="0" w:color="FFFFFF"/>
              <w:right w:val="single" w:sz="4" w:space="0" w:color="FFFFFF"/>
            </w:tcBorders>
            <w:shd w:val="clear" w:color="auto" w:fill="0D0D0D"/>
          </w:tcPr>
          <w:p w14:paraId="7974C5C2"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0D0D0D"/>
          </w:tcPr>
          <w:p w14:paraId="0FD3A51B"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p w14:paraId="4571B993"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134" w:type="dxa"/>
            <w:tcBorders>
              <w:top w:val="single" w:sz="4" w:space="0" w:color="FFFFFF"/>
              <w:left w:val="single" w:sz="4" w:space="0" w:color="FFFFFF"/>
              <w:bottom w:val="single" w:sz="4" w:space="0" w:color="FFFFFF"/>
              <w:right w:val="single" w:sz="4" w:space="0" w:color="FFFFFF"/>
            </w:tcBorders>
            <w:shd w:val="clear" w:color="auto" w:fill="0D0D0D"/>
          </w:tcPr>
          <w:p w14:paraId="36E9222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r>
      <w:tr w:rsidR="00387A2E" w:rsidRPr="00387A2E" w14:paraId="5802E67F" w14:textId="77777777" w:rsidTr="000E1146">
        <w:trPr>
          <w:trHeight w:val="510"/>
          <w:jc w:val="center"/>
        </w:trPr>
        <w:tc>
          <w:tcPr>
            <w:tcW w:w="1984" w:type="dxa"/>
            <w:tcBorders>
              <w:top w:val="single" w:sz="4" w:space="0" w:color="FFFFFF"/>
              <w:left w:val="single" w:sz="4" w:space="0" w:color="FFFFFF"/>
              <w:bottom w:val="single" w:sz="4" w:space="0" w:color="FFFFFF"/>
              <w:right w:val="single" w:sz="4" w:space="0" w:color="FFFFFF"/>
            </w:tcBorders>
          </w:tcPr>
          <w:p w14:paraId="54408E2B"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 xml:space="preserve">   Position</w:t>
            </w:r>
            <w:r w:rsidRPr="00387A2E">
              <w:rPr>
                <w:rFonts w:eastAsia="Calibri"/>
                <w:b/>
                <w:bCs/>
                <w:sz w:val="20"/>
                <w:szCs w:val="20"/>
              </w:rPr>
              <w:br/>
              <w:t xml:space="preserve">   Discrimination</w:t>
            </w:r>
          </w:p>
        </w:tc>
        <w:tc>
          <w:tcPr>
            <w:tcW w:w="1417" w:type="dxa"/>
            <w:tcBorders>
              <w:top w:val="single" w:sz="4" w:space="0" w:color="FFFFFF"/>
              <w:left w:val="single" w:sz="4" w:space="0" w:color="FFFFFF"/>
              <w:bottom w:val="single" w:sz="4" w:space="0" w:color="FFFFFF"/>
              <w:right w:val="single" w:sz="4" w:space="0" w:color="FFFFFF"/>
            </w:tcBorders>
            <w:shd w:val="clear" w:color="auto" w:fill="0D0D0D"/>
          </w:tcPr>
          <w:p w14:paraId="4B9AEB0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0D0D0D"/>
          </w:tcPr>
          <w:p w14:paraId="11382CF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single" w:sz="4" w:space="0" w:color="FFFFFF"/>
              <w:right w:val="single" w:sz="4" w:space="0" w:color="FFFFFF"/>
            </w:tcBorders>
            <w:shd w:val="clear" w:color="auto" w:fill="0D0D0D"/>
          </w:tcPr>
          <w:p w14:paraId="3322A28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0D0D0D"/>
          </w:tcPr>
          <w:p w14:paraId="52C1ECDC"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single" w:sz="4" w:space="0" w:color="FFFFFF"/>
              <w:right w:val="single" w:sz="4" w:space="0" w:color="FFFFFF"/>
            </w:tcBorders>
          </w:tcPr>
          <w:p w14:paraId="74A88943"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0.03</w:t>
            </w:r>
          </w:p>
          <w:p w14:paraId="00A6CB4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(-0.01, 0.06)</w:t>
            </w:r>
          </w:p>
        </w:tc>
        <w:tc>
          <w:tcPr>
            <w:tcW w:w="907" w:type="dxa"/>
            <w:tcBorders>
              <w:top w:val="single" w:sz="4" w:space="0" w:color="FFFFFF"/>
              <w:left w:val="single" w:sz="4" w:space="0" w:color="FFFFFF"/>
              <w:bottom w:val="single" w:sz="4" w:space="0" w:color="FFFFFF"/>
              <w:right w:val="single" w:sz="4" w:space="0" w:color="FFFFFF"/>
            </w:tcBorders>
          </w:tcPr>
          <w:p w14:paraId="19D100B1"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0.18</w:t>
            </w:r>
          </w:p>
        </w:tc>
        <w:tc>
          <w:tcPr>
            <w:tcW w:w="1417" w:type="dxa"/>
            <w:tcBorders>
              <w:top w:val="single" w:sz="4" w:space="0" w:color="FFFFFF"/>
              <w:left w:val="single" w:sz="4" w:space="0" w:color="FFFFFF"/>
              <w:bottom w:val="single" w:sz="4" w:space="0" w:color="FFFFFF"/>
              <w:right w:val="single" w:sz="4" w:space="0" w:color="FFFFFF"/>
            </w:tcBorders>
            <w:shd w:val="clear" w:color="auto" w:fill="0D0D0D"/>
          </w:tcPr>
          <w:p w14:paraId="02144BF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0D0D0D"/>
          </w:tcPr>
          <w:p w14:paraId="5FB3E50A"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single" w:sz="4" w:space="0" w:color="FFFFFF"/>
              <w:right w:val="single" w:sz="4" w:space="0" w:color="FFFFFF"/>
            </w:tcBorders>
            <w:shd w:val="clear" w:color="auto" w:fill="D0CECE"/>
          </w:tcPr>
          <w:p w14:paraId="136694B4"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0.19</w:t>
            </w:r>
          </w:p>
          <w:p w14:paraId="61638AF1"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(0.01, 0.37)</w:t>
            </w:r>
          </w:p>
        </w:tc>
        <w:tc>
          <w:tcPr>
            <w:tcW w:w="907" w:type="dxa"/>
            <w:tcBorders>
              <w:top w:val="single" w:sz="4" w:space="0" w:color="FFFFFF"/>
              <w:left w:val="single" w:sz="4" w:space="0" w:color="FFFFFF"/>
              <w:bottom w:val="single" w:sz="4" w:space="0" w:color="FFFFFF"/>
              <w:right w:val="single" w:sz="4" w:space="0" w:color="FFFFFF"/>
            </w:tcBorders>
            <w:shd w:val="clear" w:color="auto" w:fill="D0CECE"/>
          </w:tcPr>
          <w:p w14:paraId="42D61951"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0.04</w:t>
            </w:r>
          </w:p>
        </w:tc>
        <w:tc>
          <w:tcPr>
            <w:tcW w:w="1134" w:type="dxa"/>
            <w:tcBorders>
              <w:top w:val="single" w:sz="4" w:space="0" w:color="FFFFFF"/>
              <w:left w:val="single" w:sz="4" w:space="0" w:color="FFFFFF"/>
              <w:bottom w:val="single" w:sz="4" w:space="0" w:color="FFFFFF"/>
              <w:right w:val="single" w:sz="4" w:space="0" w:color="FFFFFF"/>
            </w:tcBorders>
            <w:shd w:val="clear" w:color="auto" w:fill="auto"/>
          </w:tcPr>
          <w:p w14:paraId="2A960322"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0.16</w:t>
            </w:r>
          </w:p>
        </w:tc>
      </w:tr>
      <w:tr w:rsidR="00387A2E" w:rsidRPr="00387A2E" w14:paraId="3D9E4A88" w14:textId="77777777" w:rsidTr="000E1146">
        <w:trPr>
          <w:trHeight w:val="510"/>
          <w:jc w:val="center"/>
        </w:trPr>
        <w:tc>
          <w:tcPr>
            <w:tcW w:w="1984" w:type="dxa"/>
            <w:tcBorders>
              <w:top w:val="single" w:sz="4" w:space="0" w:color="FFFFFF"/>
              <w:left w:val="single" w:sz="4" w:space="0" w:color="FFFFFF"/>
              <w:bottom w:val="single" w:sz="4" w:space="0" w:color="FFFFFF"/>
              <w:right w:val="single" w:sz="4" w:space="0" w:color="FFFFFF"/>
            </w:tcBorders>
          </w:tcPr>
          <w:p w14:paraId="02518A5B"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 xml:space="preserve">   Number Location</w:t>
            </w:r>
          </w:p>
        </w:tc>
        <w:tc>
          <w:tcPr>
            <w:tcW w:w="1417" w:type="dxa"/>
            <w:tcBorders>
              <w:top w:val="single" w:sz="4" w:space="0" w:color="FFFFFF"/>
              <w:left w:val="single" w:sz="4" w:space="0" w:color="FFFFFF"/>
              <w:bottom w:val="single" w:sz="4" w:space="0" w:color="FFFFFF"/>
              <w:right w:val="single" w:sz="4" w:space="0" w:color="FFFFFF"/>
            </w:tcBorders>
            <w:shd w:val="clear" w:color="auto" w:fill="0D0D0D"/>
          </w:tcPr>
          <w:p w14:paraId="0D356DF9"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p w14:paraId="55C8A3A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0D0D0D"/>
          </w:tcPr>
          <w:p w14:paraId="0D3C19DB"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single" w:sz="4" w:space="0" w:color="FFFFFF"/>
              <w:right w:val="single" w:sz="4" w:space="0" w:color="FFFFFF"/>
            </w:tcBorders>
            <w:shd w:val="clear" w:color="auto" w:fill="0D0D0D"/>
          </w:tcPr>
          <w:p w14:paraId="55B88DF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0D0D0D"/>
          </w:tcPr>
          <w:p w14:paraId="242B51C4"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single" w:sz="4" w:space="0" w:color="FFFFFF"/>
              <w:right w:val="single" w:sz="4" w:space="0" w:color="FFFFFF"/>
            </w:tcBorders>
            <w:shd w:val="clear" w:color="auto" w:fill="0D0D0D"/>
          </w:tcPr>
          <w:p w14:paraId="2CEC8A8C"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0D0D0D"/>
          </w:tcPr>
          <w:p w14:paraId="098BD522"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single" w:sz="4" w:space="0" w:color="FFFFFF"/>
              <w:right w:val="single" w:sz="4" w:space="0" w:color="FFFFFF"/>
            </w:tcBorders>
            <w:shd w:val="clear" w:color="auto" w:fill="0D0D0D"/>
          </w:tcPr>
          <w:p w14:paraId="547C3CA3"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0D0D0D"/>
          </w:tcPr>
          <w:p w14:paraId="3D2F1766"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bottom w:val="single" w:sz="4" w:space="0" w:color="FFFFFF"/>
              <w:right w:val="single" w:sz="4" w:space="0" w:color="FFFFFF"/>
            </w:tcBorders>
            <w:shd w:val="clear" w:color="auto" w:fill="0D0D0D"/>
          </w:tcPr>
          <w:p w14:paraId="52A18A42"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bottom w:val="single" w:sz="4" w:space="0" w:color="FFFFFF"/>
              <w:right w:val="single" w:sz="4" w:space="0" w:color="FFFFFF"/>
            </w:tcBorders>
            <w:shd w:val="clear" w:color="auto" w:fill="0D0D0D"/>
          </w:tcPr>
          <w:p w14:paraId="1A41D68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134" w:type="dxa"/>
            <w:tcBorders>
              <w:top w:val="single" w:sz="4" w:space="0" w:color="FFFFFF"/>
              <w:left w:val="single" w:sz="4" w:space="0" w:color="FFFFFF"/>
              <w:bottom w:val="single" w:sz="4" w:space="0" w:color="FFFFFF"/>
              <w:right w:val="single" w:sz="4" w:space="0" w:color="FFFFFF"/>
            </w:tcBorders>
            <w:shd w:val="clear" w:color="auto" w:fill="0D0D0D"/>
          </w:tcPr>
          <w:p w14:paraId="6ACFB6A2"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r>
      <w:tr w:rsidR="00387A2E" w:rsidRPr="00387A2E" w14:paraId="160F1BAA" w14:textId="77777777" w:rsidTr="000E1146">
        <w:trPr>
          <w:trHeight w:val="510"/>
          <w:jc w:val="center"/>
        </w:trPr>
        <w:tc>
          <w:tcPr>
            <w:tcW w:w="1984" w:type="dxa"/>
            <w:tcBorders>
              <w:top w:val="single" w:sz="4" w:space="0" w:color="FFFFFF"/>
              <w:left w:val="single" w:sz="4" w:space="0" w:color="FFFFFF"/>
              <w:right w:val="single" w:sz="4" w:space="0" w:color="FFFFFF"/>
            </w:tcBorders>
          </w:tcPr>
          <w:p w14:paraId="7C9E099C"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r w:rsidRPr="00387A2E">
              <w:rPr>
                <w:rFonts w:eastAsia="Calibri"/>
                <w:b/>
                <w:bCs/>
                <w:sz w:val="20"/>
                <w:szCs w:val="20"/>
              </w:rPr>
              <w:t xml:space="preserve">   Cube Analysis</w:t>
            </w:r>
          </w:p>
        </w:tc>
        <w:tc>
          <w:tcPr>
            <w:tcW w:w="1417" w:type="dxa"/>
            <w:tcBorders>
              <w:top w:val="single" w:sz="4" w:space="0" w:color="FFFFFF"/>
              <w:left w:val="single" w:sz="4" w:space="0" w:color="FFFFFF"/>
              <w:right w:val="single" w:sz="4" w:space="0" w:color="FFFFFF"/>
            </w:tcBorders>
            <w:shd w:val="clear" w:color="auto" w:fill="0D0D0D"/>
          </w:tcPr>
          <w:p w14:paraId="55E3AD71"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right w:val="single" w:sz="4" w:space="0" w:color="FFFFFF"/>
            </w:tcBorders>
            <w:shd w:val="clear" w:color="auto" w:fill="0D0D0D"/>
          </w:tcPr>
          <w:p w14:paraId="1A81A6F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right w:val="single" w:sz="4" w:space="0" w:color="FFFFFF"/>
            </w:tcBorders>
            <w:shd w:val="clear" w:color="auto" w:fill="0D0D0D"/>
          </w:tcPr>
          <w:p w14:paraId="7AEFF0B4"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right w:val="single" w:sz="4" w:space="0" w:color="FFFFFF"/>
            </w:tcBorders>
            <w:shd w:val="clear" w:color="auto" w:fill="0D0D0D"/>
          </w:tcPr>
          <w:p w14:paraId="61F21D74"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417" w:type="dxa"/>
            <w:tcBorders>
              <w:top w:val="single" w:sz="4" w:space="0" w:color="FFFFFF"/>
              <w:left w:val="single" w:sz="4" w:space="0" w:color="FFFFFF"/>
              <w:right w:val="single" w:sz="4" w:space="0" w:color="FFFFFF"/>
            </w:tcBorders>
            <w:shd w:val="clear" w:color="auto" w:fill="D0CECE"/>
          </w:tcPr>
          <w:p w14:paraId="2060D2EB"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0.02</w:t>
            </w:r>
          </w:p>
          <w:p w14:paraId="3D884AC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(-0.03, 0.07)</w:t>
            </w:r>
          </w:p>
        </w:tc>
        <w:tc>
          <w:tcPr>
            <w:tcW w:w="907" w:type="dxa"/>
            <w:tcBorders>
              <w:top w:val="single" w:sz="4" w:space="0" w:color="FFFFFF"/>
              <w:left w:val="single" w:sz="4" w:space="0" w:color="FFFFFF"/>
              <w:right w:val="single" w:sz="4" w:space="0" w:color="FFFFFF"/>
            </w:tcBorders>
            <w:shd w:val="clear" w:color="auto" w:fill="D0CECE"/>
          </w:tcPr>
          <w:p w14:paraId="30AA749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0.38</w:t>
            </w:r>
          </w:p>
        </w:tc>
        <w:tc>
          <w:tcPr>
            <w:tcW w:w="1417" w:type="dxa"/>
            <w:tcBorders>
              <w:top w:val="single" w:sz="4" w:space="0" w:color="FFFFFF"/>
              <w:left w:val="single" w:sz="4" w:space="0" w:color="FFFFFF"/>
              <w:right w:val="single" w:sz="4" w:space="0" w:color="FFFFFF"/>
            </w:tcBorders>
            <w:shd w:val="clear" w:color="auto" w:fill="D0CECE"/>
          </w:tcPr>
          <w:p w14:paraId="1648723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0.01</w:t>
            </w:r>
          </w:p>
          <w:p w14:paraId="7452973F"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(&gt; -0.01, 0.03)</w:t>
            </w:r>
          </w:p>
        </w:tc>
        <w:tc>
          <w:tcPr>
            <w:tcW w:w="907" w:type="dxa"/>
            <w:tcBorders>
              <w:top w:val="single" w:sz="4" w:space="0" w:color="FFFFFF"/>
              <w:left w:val="single" w:sz="4" w:space="0" w:color="FFFFFF"/>
              <w:right w:val="single" w:sz="4" w:space="0" w:color="FFFFFF"/>
            </w:tcBorders>
            <w:shd w:val="clear" w:color="auto" w:fill="D0CECE"/>
          </w:tcPr>
          <w:p w14:paraId="1F8141FA"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0.11</w:t>
            </w:r>
          </w:p>
        </w:tc>
        <w:tc>
          <w:tcPr>
            <w:tcW w:w="1417" w:type="dxa"/>
            <w:tcBorders>
              <w:top w:val="single" w:sz="4" w:space="0" w:color="FFFFFF"/>
              <w:left w:val="single" w:sz="4" w:space="0" w:color="FFFFFF"/>
              <w:right w:val="single" w:sz="4" w:space="0" w:color="FFFFFF"/>
            </w:tcBorders>
            <w:shd w:val="clear" w:color="auto" w:fill="0D0D0D"/>
          </w:tcPr>
          <w:p w14:paraId="3CCCD17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907" w:type="dxa"/>
            <w:tcBorders>
              <w:top w:val="single" w:sz="4" w:space="0" w:color="FFFFFF"/>
              <w:left w:val="single" w:sz="4" w:space="0" w:color="FFFFFF"/>
              <w:right w:val="single" w:sz="4" w:space="0" w:color="FFFFFF"/>
            </w:tcBorders>
            <w:shd w:val="clear" w:color="auto" w:fill="0D0D0D"/>
          </w:tcPr>
          <w:p w14:paraId="188D6EB2" w14:textId="77777777" w:rsidR="00387A2E" w:rsidRPr="00387A2E" w:rsidRDefault="00387A2E" w:rsidP="00387A2E">
            <w:pPr>
              <w:widowControl/>
              <w:tabs>
                <w:tab w:val="clear" w:pos="720"/>
              </w:tabs>
              <w:spacing w:after="0" w:line="240" w:lineRule="auto"/>
              <w:ind w:firstLine="0"/>
              <w:jc w:val="center"/>
              <w:rPr>
                <w:rFonts w:eastAsia="Calibri"/>
                <w:sz w:val="20"/>
                <w:szCs w:val="20"/>
              </w:rPr>
            </w:pPr>
          </w:p>
        </w:tc>
        <w:tc>
          <w:tcPr>
            <w:tcW w:w="1134" w:type="dxa"/>
            <w:tcBorders>
              <w:top w:val="single" w:sz="4" w:space="0" w:color="FFFFFF"/>
              <w:left w:val="single" w:sz="4" w:space="0" w:color="FFFFFF"/>
              <w:right w:val="single" w:sz="4" w:space="0" w:color="FFFFFF"/>
            </w:tcBorders>
            <w:shd w:val="clear" w:color="auto" w:fill="auto"/>
          </w:tcPr>
          <w:p w14:paraId="04DC64AE"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0.16</w:t>
            </w:r>
          </w:p>
        </w:tc>
      </w:tr>
    </w:tbl>
    <w:p w14:paraId="5CA501ED" w14:textId="77777777" w:rsidR="00387A2E" w:rsidRPr="00387A2E" w:rsidRDefault="00387A2E" w:rsidP="00387A2E">
      <w:pPr>
        <w:widowControl/>
        <w:tabs>
          <w:tab w:val="clear" w:pos="720"/>
        </w:tabs>
        <w:spacing w:after="0" w:line="240" w:lineRule="auto"/>
        <w:ind w:firstLine="0"/>
        <w:jc w:val="left"/>
        <w:rPr>
          <w:rFonts w:eastAsia="Calibri"/>
          <w:sz w:val="20"/>
          <w:szCs w:val="20"/>
          <w:lang w:bidi="ar-SA"/>
        </w:rPr>
      </w:pPr>
      <w:r w:rsidRPr="00387A2E">
        <w:rPr>
          <w:rFonts w:eastAsia="Calibri"/>
          <w:i/>
          <w:iCs/>
          <w:sz w:val="20"/>
          <w:szCs w:val="20"/>
        </w:rPr>
        <w:t>Note.</w:t>
      </w:r>
      <w:r w:rsidRPr="00387A2E">
        <w:rPr>
          <w:rFonts w:eastAsia="Calibri"/>
          <w:sz w:val="20"/>
          <w:szCs w:val="20"/>
        </w:rPr>
        <w:t xml:space="preserve"> </w:t>
      </w:r>
      <w:r w:rsidRPr="00387A2E">
        <w:rPr>
          <w:rFonts w:eastAsia="Calibri"/>
          <w:sz w:val="20"/>
          <w:szCs w:val="20"/>
          <w:lang w:bidi="ar-SA"/>
        </w:rPr>
        <w:t>Dot Counting and Number Location subtest scores were refrained from multivariate analysis because there was no statistically significant result in the univariate analysis with any demographic variable. The black elements indicate the variables which were not included in multiple linear regression analyses because the variables did not statistically significantly predict the VOSP subtest scores, as designated in a good-fit ANOVA test. The grey elements indicate the variables which had shown significant associations with the VOSP subtest scores in the univariate analysis. IQ, intelligence quotient; VA, visual acuity.</w:t>
      </w:r>
    </w:p>
    <w:p w14:paraId="61C24FB9" w14:textId="77777777" w:rsidR="00387A2E" w:rsidRDefault="00387A2E" w:rsidP="00C84EF3">
      <w:pPr>
        <w:widowControl/>
        <w:tabs>
          <w:tab w:val="clear" w:pos="720"/>
        </w:tabs>
        <w:spacing w:after="0" w:line="259" w:lineRule="auto"/>
        <w:ind w:firstLine="0"/>
        <w:jc w:val="left"/>
        <w:rPr>
          <w:rFonts w:eastAsia="Calibri"/>
          <w:sz w:val="20"/>
          <w:szCs w:val="20"/>
        </w:rPr>
      </w:pPr>
    </w:p>
    <w:p w14:paraId="2A3575D8" w14:textId="77777777" w:rsidR="00387A2E" w:rsidRDefault="00387A2E" w:rsidP="00C84EF3">
      <w:pPr>
        <w:widowControl/>
        <w:tabs>
          <w:tab w:val="clear" w:pos="720"/>
        </w:tabs>
        <w:spacing w:after="0" w:line="259" w:lineRule="auto"/>
        <w:ind w:firstLine="0"/>
        <w:jc w:val="left"/>
        <w:rPr>
          <w:rFonts w:eastAsia="Calibri"/>
          <w:sz w:val="20"/>
          <w:szCs w:val="20"/>
        </w:rPr>
      </w:pPr>
    </w:p>
    <w:p w14:paraId="17131EAB" w14:textId="77777777" w:rsidR="00387A2E" w:rsidRDefault="00387A2E" w:rsidP="00C84EF3">
      <w:pPr>
        <w:widowControl/>
        <w:tabs>
          <w:tab w:val="clear" w:pos="720"/>
        </w:tabs>
        <w:spacing w:after="0" w:line="259" w:lineRule="auto"/>
        <w:ind w:firstLine="0"/>
        <w:jc w:val="left"/>
        <w:rPr>
          <w:rFonts w:eastAsia="Calibri"/>
          <w:sz w:val="20"/>
          <w:szCs w:val="20"/>
        </w:rPr>
      </w:pPr>
    </w:p>
    <w:p w14:paraId="6989406A" w14:textId="538C3BFE" w:rsidR="00387A2E" w:rsidRPr="00C84EF3" w:rsidRDefault="00387A2E" w:rsidP="00C84EF3">
      <w:pPr>
        <w:widowControl/>
        <w:tabs>
          <w:tab w:val="clear" w:pos="720"/>
        </w:tabs>
        <w:spacing w:after="0" w:line="259" w:lineRule="auto"/>
        <w:ind w:firstLine="0"/>
        <w:jc w:val="left"/>
        <w:rPr>
          <w:rFonts w:eastAsia="Calibri"/>
          <w:sz w:val="20"/>
          <w:szCs w:val="20"/>
        </w:rPr>
        <w:sectPr w:rsidR="00387A2E" w:rsidRPr="00C84EF3" w:rsidSect="00C84EF3">
          <w:pgSz w:w="16838" w:h="11906" w:orient="landscape" w:code="9"/>
          <w:pgMar w:top="1440" w:right="1440" w:bottom="1440" w:left="1440" w:header="720" w:footer="720" w:gutter="0"/>
          <w:cols w:space="720"/>
          <w:docGrid w:linePitch="360"/>
        </w:sectPr>
      </w:pPr>
    </w:p>
    <w:p w14:paraId="78339FBA" w14:textId="3A15F645" w:rsidR="00DB4B30" w:rsidRPr="00C372E2" w:rsidRDefault="00C84EF3" w:rsidP="00C84EF3">
      <w:pPr>
        <w:pStyle w:val="HTMLPreformatted"/>
        <w:spacing w:after="360" w:line="360" w:lineRule="auto"/>
        <w:ind w:firstLine="0"/>
        <w:rPr>
          <w:rFonts w:ascii="Times New Roman" w:hAnsi="Times New Roman" w:cs="Times New Roman"/>
          <w:sz w:val="24"/>
          <w:szCs w:val="24"/>
        </w:rPr>
      </w:pPr>
      <w:r>
        <w:rPr>
          <w:rFonts w:ascii="Times New Roman" w:hAnsi="Times New Roman" w:cs="Times New Roman"/>
          <w:sz w:val="24"/>
          <w:szCs w:val="24"/>
        </w:rPr>
        <w:lastRenderedPageBreak/>
        <w:tab/>
      </w:r>
      <w:r w:rsidR="00A56CBD" w:rsidRPr="00C372E2">
        <w:rPr>
          <w:rFonts w:ascii="Times New Roman" w:hAnsi="Times New Roman" w:cs="Times New Roman"/>
          <w:sz w:val="24"/>
          <w:szCs w:val="24"/>
        </w:rPr>
        <w:t>The effect</w:t>
      </w:r>
      <w:r w:rsidR="00CF4BA1" w:rsidRPr="00C372E2">
        <w:rPr>
          <w:rFonts w:ascii="Times New Roman" w:hAnsi="Times New Roman" w:cs="Times New Roman"/>
          <w:sz w:val="24"/>
          <w:szCs w:val="24"/>
        </w:rPr>
        <w:t>s</w:t>
      </w:r>
      <w:r w:rsidR="00A56CBD" w:rsidRPr="00C372E2">
        <w:rPr>
          <w:rFonts w:ascii="Times New Roman" w:hAnsi="Times New Roman" w:cs="Times New Roman"/>
          <w:sz w:val="24"/>
          <w:szCs w:val="24"/>
        </w:rPr>
        <w:t xml:space="preserve"> of </w:t>
      </w:r>
      <w:r w:rsidR="00CF4BA1" w:rsidRPr="00C372E2">
        <w:rPr>
          <w:rFonts w:ascii="Times New Roman" w:hAnsi="Times New Roman" w:cs="Times New Roman"/>
          <w:sz w:val="24"/>
          <w:szCs w:val="24"/>
        </w:rPr>
        <w:t xml:space="preserve">the </w:t>
      </w:r>
      <w:r w:rsidR="00A56CBD" w:rsidRPr="00C372E2">
        <w:rPr>
          <w:rFonts w:ascii="Times New Roman" w:hAnsi="Times New Roman" w:cs="Times New Roman"/>
          <w:sz w:val="24"/>
          <w:szCs w:val="24"/>
        </w:rPr>
        <w:t xml:space="preserve">demographic variables on </w:t>
      </w:r>
      <w:r w:rsidR="00CF4BA1" w:rsidRPr="00C372E2">
        <w:rPr>
          <w:rFonts w:ascii="Times New Roman" w:hAnsi="Times New Roman" w:cs="Times New Roman"/>
          <w:sz w:val="24"/>
          <w:szCs w:val="24"/>
        </w:rPr>
        <w:t xml:space="preserve">the </w:t>
      </w:r>
      <w:r w:rsidR="00A56CBD" w:rsidRPr="00C372E2">
        <w:rPr>
          <w:rFonts w:ascii="Times New Roman" w:hAnsi="Times New Roman" w:cs="Times New Roman"/>
          <w:sz w:val="24"/>
          <w:szCs w:val="24"/>
        </w:rPr>
        <w:t xml:space="preserve">VOSP subtest scores </w:t>
      </w:r>
      <w:r w:rsidR="00CF4BA1" w:rsidRPr="00C372E2">
        <w:rPr>
          <w:rFonts w:ascii="Times New Roman" w:hAnsi="Times New Roman" w:cs="Times New Roman"/>
          <w:sz w:val="24"/>
          <w:szCs w:val="24"/>
        </w:rPr>
        <w:t xml:space="preserve">are presented </w:t>
      </w:r>
      <w:r w:rsidR="00A56CBD" w:rsidRPr="00C372E2">
        <w:rPr>
          <w:rFonts w:ascii="Times New Roman" w:hAnsi="Times New Roman" w:cs="Times New Roman"/>
          <w:sz w:val="24"/>
          <w:szCs w:val="24"/>
        </w:rPr>
        <w:t>in Table</w:t>
      </w:r>
      <w:r w:rsidR="00CF4BA1" w:rsidRPr="00C372E2">
        <w:rPr>
          <w:rFonts w:ascii="Times New Roman" w:hAnsi="Times New Roman" w:cs="Times New Roman"/>
          <w:sz w:val="24"/>
          <w:szCs w:val="24"/>
        </w:rPr>
        <w:t>s</w:t>
      </w:r>
      <w:r w:rsidR="00A56CBD" w:rsidRPr="00C372E2">
        <w:rPr>
          <w:rFonts w:ascii="Times New Roman" w:hAnsi="Times New Roman" w:cs="Times New Roman"/>
          <w:sz w:val="24"/>
          <w:szCs w:val="24"/>
        </w:rPr>
        <w:t xml:space="preserve"> 3 and 4.</w:t>
      </w:r>
      <w:r w:rsidR="003A1C58" w:rsidRPr="00C372E2">
        <w:rPr>
          <w:rFonts w:ascii="Times New Roman" w:hAnsi="Times New Roman" w:cs="Times New Roman"/>
          <w:sz w:val="24"/>
          <w:szCs w:val="24"/>
        </w:rPr>
        <w:t xml:space="preserve"> </w:t>
      </w:r>
      <w:r w:rsidR="00A61E50" w:rsidRPr="00C372E2">
        <w:rPr>
          <w:rFonts w:ascii="Times New Roman" w:hAnsi="Times New Roman" w:cs="Times New Roman"/>
          <w:sz w:val="24"/>
          <w:szCs w:val="24"/>
        </w:rPr>
        <w:t>S</w:t>
      </w:r>
      <w:r w:rsidR="00A56CBD" w:rsidRPr="00C372E2">
        <w:rPr>
          <w:rFonts w:ascii="Times New Roman" w:hAnsi="Times New Roman" w:cs="Times New Roman"/>
          <w:sz w:val="24"/>
          <w:szCs w:val="24"/>
        </w:rPr>
        <w:t>ignificant effect</w:t>
      </w:r>
      <w:r w:rsidR="00CF4BA1" w:rsidRPr="00C372E2">
        <w:rPr>
          <w:rFonts w:ascii="Times New Roman" w:hAnsi="Times New Roman" w:cs="Times New Roman"/>
          <w:sz w:val="24"/>
          <w:szCs w:val="24"/>
        </w:rPr>
        <w:t>s</w:t>
      </w:r>
      <w:r w:rsidR="00A56CBD" w:rsidRPr="00C372E2">
        <w:rPr>
          <w:rFonts w:ascii="Times New Roman" w:hAnsi="Times New Roman" w:cs="Times New Roman"/>
          <w:sz w:val="24"/>
          <w:szCs w:val="24"/>
        </w:rPr>
        <w:t xml:space="preserve"> of age</w:t>
      </w:r>
      <w:r w:rsidR="00851F42" w:rsidRPr="00C372E2">
        <w:rPr>
          <w:rFonts w:ascii="Times New Roman" w:hAnsi="Times New Roman" w:cs="Times New Roman"/>
          <w:sz w:val="24"/>
          <w:szCs w:val="24"/>
        </w:rPr>
        <w:t xml:space="preserve"> and education</w:t>
      </w:r>
      <w:r w:rsidR="00A56CBD" w:rsidRPr="00C372E2">
        <w:rPr>
          <w:rFonts w:ascii="Times New Roman" w:hAnsi="Times New Roman" w:cs="Times New Roman"/>
          <w:sz w:val="24"/>
          <w:szCs w:val="24"/>
        </w:rPr>
        <w:t xml:space="preserve"> </w:t>
      </w:r>
      <w:r w:rsidR="00CF4BA1" w:rsidRPr="00C372E2">
        <w:rPr>
          <w:rFonts w:ascii="Times New Roman" w:hAnsi="Times New Roman" w:cs="Times New Roman"/>
          <w:sz w:val="24"/>
          <w:szCs w:val="24"/>
        </w:rPr>
        <w:t xml:space="preserve">are </w:t>
      </w:r>
      <w:r w:rsidR="00851F42" w:rsidRPr="00C372E2">
        <w:rPr>
          <w:rFonts w:ascii="Times New Roman" w:hAnsi="Times New Roman" w:cs="Times New Roman"/>
          <w:sz w:val="24"/>
          <w:szCs w:val="24"/>
        </w:rPr>
        <w:t xml:space="preserve">evident </w:t>
      </w:r>
      <w:r w:rsidR="00CF4BA1" w:rsidRPr="00C372E2">
        <w:rPr>
          <w:rFonts w:ascii="Times New Roman" w:hAnsi="Times New Roman" w:cs="Times New Roman"/>
          <w:sz w:val="24"/>
          <w:szCs w:val="24"/>
        </w:rPr>
        <w:t xml:space="preserve">for the </w:t>
      </w:r>
      <w:r w:rsidR="00851F42" w:rsidRPr="00C372E2">
        <w:rPr>
          <w:rFonts w:ascii="Times New Roman" w:hAnsi="Times New Roman" w:cs="Times New Roman"/>
          <w:sz w:val="24"/>
          <w:szCs w:val="24"/>
        </w:rPr>
        <w:t>Silhouettes and Cube Analysis</w:t>
      </w:r>
      <w:r w:rsidR="00CF4BA1" w:rsidRPr="00C372E2">
        <w:rPr>
          <w:rFonts w:ascii="Times New Roman" w:hAnsi="Times New Roman" w:cs="Times New Roman"/>
          <w:sz w:val="24"/>
          <w:szCs w:val="24"/>
        </w:rPr>
        <w:t xml:space="preserve"> subtests</w:t>
      </w:r>
      <w:r w:rsidR="00851F42" w:rsidRPr="00C372E2">
        <w:rPr>
          <w:rFonts w:ascii="Times New Roman" w:hAnsi="Times New Roman" w:cs="Times New Roman"/>
          <w:sz w:val="24"/>
          <w:szCs w:val="24"/>
        </w:rPr>
        <w:t xml:space="preserve">, respectively, while gender had </w:t>
      </w:r>
      <w:r w:rsidR="00CF4BA1" w:rsidRPr="00C372E2">
        <w:rPr>
          <w:rFonts w:ascii="Times New Roman" w:hAnsi="Times New Roman" w:cs="Times New Roman"/>
          <w:sz w:val="24"/>
          <w:szCs w:val="24"/>
        </w:rPr>
        <w:t xml:space="preserve">a </w:t>
      </w:r>
      <w:r w:rsidR="00851F42" w:rsidRPr="00C372E2">
        <w:rPr>
          <w:rFonts w:ascii="Times New Roman" w:hAnsi="Times New Roman" w:cs="Times New Roman"/>
          <w:sz w:val="24"/>
          <w:szCs w:val="24"/>
        </w:rPr>
        <w:t xml:space="preserve">significant </w:t>
      </w:r>
      <w:r w:rsidR="00CF4BA1" w:rsidRPr="00C372E2">
        <w:rPr>
          <w:rFonts w:ascii="Times New Roman" w:hAnsi="Times New Roman" w:cs="Times New Roman"/>
          <w:sz w:val="24"/>
          <w:szCs w:val="24"/>
        </w:rPr>
        <w:t>influence on the</w:t>
      </w:r>
      <w:r w:rsidR="00B84F42" w:rsidRPr="00C372E2">
        <w:rPr>
          <w:rFonts w:ascii="Times New Roman" w:hAnsi="Times New Roman" w:cs="Times New Roman"/>
          <w:sz w:val="24"/>
          <w:szCs w:val="24"/>
        </w:rPr>
        <w:t xml:space="preserve"> </w:t>
      </w:r>
      <w:r w:rsidR="00851F42" w:rsidRPr="00C372E2">
        <w:rPr>
          <w:rFonts w:ascii="Times New Roman" w:hAnsi="Times New Roman" w:cs="Times New Roman"/>
          <w:sz w:val="24"/>
          <w:szCs w:val="24"/>
        </w:rPr>
        <w:t xml:space="preserve">Silhouettes and </w:t>
      </w:r>
      <w:r w:rsidR="00FD24F9" w:rsidRPr="00C372E2">
        <w:rPr>
          <w:rFonts w:ascii="Times New Roman" w:hAnsi="Times New Roman" w:cs="Times New Roman"/>
          <w:sz w:val="24"/>
          <w:szCs w:val="24"/>
        </w:rPr>
        <w:t>P</w:t>
      </w:r>
      <w:r w:rsidR="00851F42" w:rsidRPr="00C372E2">
        <w:rPr>
          <w:rFonts w:ascii="Times New Roman" w:hAnsi="Times New Roman" w:cs="Times New Roman"/>
          <w:sz w:val="24"/>
          <w:szCs w:val="24"/>
        </w:rPr>
        <w:t>rogressive Silhouettes</w:t>
      </w:r>
      <w:r w:rsidR="00B84F42" w:rsidRPr="00C372E2">
        <w:rPr>
          <w:rFonts w:ascii="Times New Roman" w:hAnsi="Times New Roman" w:cs="Times New Roman"/>
          <w:sz w:val="24"/>
          <w:szCs w:val="24"/>
        </w:rPr>
        <w:t xml:space="preserve"> subtests</w:t>
      </w:r>
      <w:r w:rsidR="00851F42" w:rsidRPr="00C372E2">
        <w:rPr>
          <w:rFonts w:ascii="Times New Roman" w:hAnsi="Times New Roman" w:cs="Times New Roman"/>
          <w:sz w:val="24"/>
          <w:szCs w:val="24"/>
        </w:rPr>
        <w:t xml:space="preserve">. </w:t>
      </w:r>
      <w:r w:rsidR="0083299A" w:rsidRPr="00C372E2">
        <w:rPr>
          <w:rFonts w:ascii="Times New Roman" w:hAnsi="Times New Roman" w:cs="Times New Roman"/>
          <w:sz w:val="24"/>
          <w:szCs w:val="24"/>
        </w:rPr>
        <w:t xml:space="preserve">VA had </w:t>
      </w:r>
      <w:r w:rsidR="000B1E5B" w:rsidRPr="00C372E2">
        <w:rPr>
          <w:rFonts w:ascii="Times New Roman" w:hAnsi="Times New Roman" w:cs="Times New Roman"/>
          <w:sz w:val="24"/>
          <w:szCs w:val="24"/>
        </w:rPr>
        <w:t xml:space="preserve">a </w:t>
      </w:r>
      <w:r w:rsidR="0083299A" w:rsidRPr="00C372E2">
        <w:rPr>
          <w:rFonts w:ascii="Times New Roman" w:hAnsi="Times New Roman" w:cs="Times New Roman"/>
          <w:sz w:val="24"/>
          <w:szCs w:val="24"/>
        </w:rPr>
        <w:t xml:space="preserve">significant effect only on </w:t>
      </w:r>
      <w:r w:rsidR="000B1E5B" w:rsidRPr="00C372E2">
        <w:rPr>
          <w:rFonts w:ascii="Times New Roman" w:hAnsi="Times New Roman" w:cs="Times New Roman"/>
          <w:sz w:val="24"/>
          <w:szCs w:val="24"/>
        </w:rPr>
        <w:t xml:space="preserve">the </w:t>
      </w:r>
      <w:r w:rsidR="004008F7" w:rsidRPr="00C372E2">
        <w:rPr>
          <w:rFonts w:ascii="Times New Roman" w:hAnsi="Times New Roman" w:cs="Times New Roman"/>
          <w:sz w:val="24"/>
          <w:szCs w:val="24"/>
        </w:rPr>
        <w:t xml:space="preserve">Shape Detection and </w:t>
      </w:r>
      <w:r w:rsidR="0083299A" w:rsidRPr="00C372E2">
        <w:rPr>
          <w:rFonts w:ascii="Times New Roman" w:hAnsi="Times New Roman" w:cs="Times New Roman"/>
          <w:sz w:val="24"/>
          <w:szCs w:val="24"/>
        </w:rPr>
        <w:t>Position Discrimination subtest</w:t>
      </w:r>
      <w:r w:rsidR="00A61E50" w:rsidRPr="00C372E2">
        <w:rPr>
          <w:rFonts w:ascii="Times New Roman" w:hAnsi="Times New Roman" w:cs="Times New Roman"/>
          <w:sz w:val="24"/>
          <w:szCs w:val="24"/>
        </w:rPr>
        <w:t>s</w:t>
      </w:r>
      <w:r w:rsidR="0083299A" w:rsidRPr="00C372E2">
        <w:rPr>
          <w:rFonts w:ascii="Times New Roman" w:hAnsi="Times New Roman" w:cs="Times New Roman"/>
          <w:sz w:val="24"/>
          <w:szCs w:val="24"/>
        </w:rPr>
        <w:t xml:space="preserve">. Obviously, IQ score had </w:t>
      </w:r>
      <w:r w:rsidR="000B1E5B" w:rsidRPr="00C372E2">
        <w:rPr>
          <w:rFonts w:ascii="Times New Roman" w:hAnsi="Times New Roman" w:cs="Times New Roman"/>
          <w:sz w:val="24"/>
          <w:szCs w:val="24"/>
        </w:rPr>
        <w:t xml:space="preserve">a </w:t>
      </w:r>
      <w:r w:rsidR="0083299A" w:rsidRPr="00C372E2">
        <w:rPr>
          <w:rFonts w:ascii="Times New Roman" w:hAnsi="Times New Roman" w:cs="Times New Roman"/>
          <w:sz w:val="24"/>
          <w:szCs w:val="24"/>
        </w:rPr>
        <w:t>strong effect on most of the VOSP subtest</w:t>
      </w:r>
      <w:r w:rsidR="000B1E5B" w:rsidRPr="00C372E2">
        <w:rPr>
          <w:rFonts w:ascii="Times New Roman" w:hAnsi="Times New Roman" w:cs="Times New Roman"/>
          <w:sz w:val="24"/>
          <w:szCs w:val="24"/>
        </w:rPr>
        <w:t>s,</w:t>
      </w:r>
      <w:r w:rsidR="0083299A" w:rsidRPr="00C372E2">
        <w:rPr>
          <w:rFonts w:ascii="Times New Roman" w:hAnsi="Times New Roman" w:cs="Times New Roman"/>
          <w:sz w:val="24"/>
          <w:szCs w:val="24"/>
        </w:rPr>
        <w:t xml:space="preserve"> except for Dot counting, Position Discrimination</w:t>
      </w:r>
      <w:r w:rsidR="000B1E5B" w:rsidRPr="00C372E2">
        <w:rPr>
          <w:rFonts w:ascii="Times New Roman" w:hAnsi="Times New Roman" w:cs="Times New Roman"/>
          <w:sz w:val="24"/>
          <w:szCs w:val="24"/>
        </w:rPr>
        <w:t>,</w:t>
      </w:r>
      <w:r w:rsidR="0083299A" w:rsidRPr="00C372E2">
        <w:rPr>
          <w:rFonts w:ascii="Times New Roman" w:hAnsi="Times New Roman" w:cs="Times New Roman"/>
          <w:sz w:val="24"/>
          <w:szCs w:val="24"/>
        </w:rPr>
        <w:t xml:space="preserve"> and Number Location. Cognitive function</w:t>
      </w:r>
      <w:r w:rsidR="00795BF7" w:rsidRPr="00C372E2">
        <w:rPr>
          <w:rFonts w:ascii="Times New Roman" w:hAnsi="Times New Roman" w:cs="Times New Roman"/>
          <w:sz w:val="24"/>
          <w:szCs w:val="24"/>
        </w:rPr>
        <w:t>,</w:t>
      </w:r>
      <w:r w:rsidR="0083299A" w:rsidRPr="00C372E2">
        <w:rPr>
          <w:rFonts w:ascii="Times New Roman" w:hAnsi="Times New Roman" w:cs="Times New Roman"/>
          <w:sz w:val="24"/>
          <w:szCs w:val="24"/>
        </w:rPr>
        <w:t xml:space="preserve"> </w:t>
      </w:r>
      <w:r w:rsidR="00795BF7" w:rsidRPr="00C372E2">
        <w:rPr>
          <w:rFonts w:ascii="Times New Roman" w:hAnsi="Times New Roman" w:cs="Times New Roman"/>
          <w:sz w:val="24"/>
          <w:szCs w:val="24"/>
        </w:rPr>
        <w:t xml:space="preserve">assessed </w:t>
      </w:r>
      <w:r w:rsidR="0083299A" w:rsidRPr="00C372E2">
        <w:rPr>
          <w:rFonts w:ascii="Times New Roman" w:hAnsi="Times New Roman" w:cs="Times New Roman"/>
          <w:sz w:val="24"/>
          <w:szCs w:val="24"/>
        </w:rPr>
        <w:t xml:space="preserve">by </w:t>
      </w:r>
      <w:r w:rsidR="00795BF7" w:rsidRPr="00C372E2">
        <w:rPr>
          <w:rFonts w:ascii="Times New Roman" w:hAnsi="Times New Roman" w:cs="Times New Roman"/>
          <w:sz w:val="24"/>
          <w:szCs w:val="24"/>
        </w:rPr>
        <w:t xml:space="preserve">the </w:t>
      </w:r>
      <w:r w:rsidR="0083299A" w:rsidRPr="00C372E2">
        <w:rPr>
          <w:rFonts w:ascii="Times New Roman" w:hAnsi="Times New Roman" w:cs="Times New Roman"/>
          <w:sz w:val="24"/>
          <w:szCs w:val="24"/>
        </w:rPr>
        <w:t>TMSE</w:t>
      </w:r>
      <w:r w:rsidR="00795BF7" w:rsidRPr="00C372E2">
        <w:rPr>
          <w:rFonts w:ascii="Times New Roman" w:hAnsi="Times New Roman" w:cs="Times New Roman"/>
          <w:sz w:val="24"/>
          <w:szCs w:val="24"/>
        </w:rPr>
        <w:t>,</w:t>
      </w:r>
      <w:r w:rsidR="0083299A" w:rsidRPr="00C372E2">
        <w:rPr>
          <w:rFonts w:ascii="Times New Roman" w:hAnsi="Times New Roman" w:cs="Times New Roman"/>
          <w:sz w:val="24"/>
          <w:szCs w:val="24"/>
        </w:rPr>
        <w:t xml:space="preserve"> </w:t>
      </w:r>
      <w:r w:rsidR="00795BF7" w:rsidRPr="00C372E2">
        <w:rPr>
          <w:rFonts w:ascii="Times New Roman" w:hAnsi="Times New Roman" w:cs="Times New Roman"/>
          <w:sz w:val="24"/>
          <w:szCs w:val="24"/>
        </w:rPr>
        <w:t xml:space="preserve">demonstrated </w:t>
      </w:r>
      <w:r w:rsidR="0083299A" w:rsidRPr="00C372E2">
        <w:rPr>
          <w:rFonts w:ascii="Times New Roman" w:hAnsi="Times New Roman" w:cs="Times New Roman"/>
          <w:sz w:val="24"/>
          <w:szCs w:val="24"/>
        </w:rPr>
        <w:t>no significant effect</w:t>
      </w:r>
      <w:r w:rsidR="00795BF7" w:rsidRPr="00C372E2">
        <w:rPr>
          <w:rFonts w:ascii="Times New Roman" w:hAnsi="Times New Roman" w:cs="Times New Roman"/>
          <w:sz w:val="24"/>
          <w:szCs w:val="24"/>
        </w:rPr>
        <w:t>s</w:t>
      </w:r>
      <w:r w:rsidR="0083299A" w:rsidRPr="00C372E2">
        <w:rPr>
          <w:rFonts w:ascii="Times New Roman" w:hAnsi="Times New Roman" w:cs="Times New Roman"/>
          <w:sz w:val="24"/>
          <w:szCs w:val="24"/>
        </w:rPr>
        <w:t xml:space="preserve"> on any VOSP subtest</w:t>
      </w:r>
      <w:r w:rsidR="00795BF7" w:rsidRPr="00C372E2">
        <w:rPr>
          <w:rFonts w:ascii="Times New Roman" w:hAnsi="Times New Roman" w:cs="Times New Roman"/>
          <w:sz w:val="24"/>
          <w:szCs w:val="24"/>
        </w:rPr>
        <w:t>; as a result,</w:t>
      </w:r>
      <w:r w:rsidR="0083299A" w:rsidRPr="00C372E2">
        <w:rPr>
          <w:rFonts w:ascii="Times New Roman" w:hAnsi="Times New Roman" w:cs="Times New Roman"/>
          <w:sz w:val="24"/>
          <w:szCs w:val="24"/>
        </w:rPr>
        <w:t xml:space="preserve"> the TMSE score</w:t>
      </w:r>
      <w:r w:rsidR="00795BF7" w:rsidRPr="00C372E2">
        <w:rPr>
          <w:rFonts w:ascii="Times New Roman" w:hAnsi="Times New Roman" w:cs="Times New Roman"/>
          <w:sz w:val="24"/>
          <w:szCs w:val="24"/>
        </w:rPr>
        <w:t>s were</w:t>
      </w:r>
      <w:r w:rsidR="0083299A" w:rsidRPr="00C372E2">
        <w:rPr>
          <w:rFonts w:ascii="Times New Roman" w:hAnsi="Times New Roman" w:cs="Times New Roman"/>
          <w:sz w:val="24"/>
          <w:szCs w:val="24"/>
        </w:rPr>
        <w:t xml:space="preserve"> not included in </w:t>
      </w:r>
      <w:r w:rsidR="00795BF7" w:rsidRPr="00C372E2">
        <w:rPr>
          <w:rFonts w:ascii="Times New Roman" w:hAnsi="Times New Roman" w:cs="Times New Roman"/>
          <w:sz w:val="24"/>
          <w:szCs w:val="24"/>
        </w:rPr>
        <w:t xml:space="preserve">the </w:t>
      </w:r>
      <w:r w:rsidR="003C3B08" w:rsidRPr="00C372E2">
        <w:rPr>
          <w:rFonts w:ascii="Times New Roman" w:hAnsi="Times New Roman" w:cs="Times New Roman"/>
          <w:sz w:val="24"/>
          <w:szCs w:val="24"/>
        </w:rPr>
        <w:t>multiple linear regression</w:t>
      </w:r>
      <w:r w:rsidR="0083299A" w:rsidRPr="00C372E2">
        <w:rPr>
          <w:rFonts w:ascii="Times New Roman" w:hAnsi="Times New Roman" w:cs="Times New Roman"/>
          <w:sz w:val="24"/>
          <w:szCs w:val="24"/>
        </w:rPr>
        <w:t>.</w:t>
      </w:r>
    </w:p>
    <w:p w14:paraId="43A6F88D" w14:textId="7BB01D5F" w:rsidR="00E56A30" w:rsidRPr="00C372E2" w:rsidRDefault="00795BF7" w:rsidP="00DB4B30">
      <w:pPr>
        <w:pStyle w:val="HTMLPreformatted"/>
        <w:spacing w:after="360" w:line="360" w:lineRule="auto"/>
        <w:rPr>
          <w:rFonts w:ascii="Times New Roman" w:hAnsi="Times New Roman" w:cs="Times New Roman"/>
          <w:sz w:val="24"/>
          <w:szCs w:val="24"/>
        </w:rPr>
      </w:pPr>
      <w:r w:rsidRPr="00C372E2">
        <w:rPr>
          <w:rFonts w:ascii="Times New Roman" w:hAnsi="Times New Roman" w:cs="Times New Roman"/>
          <w:sz w:val="24"/>
          <w:szCs w:val="24"/>
        </w:rPr>
        <w:t>The m</w:t>
      </w:r>
      <w:r w:rsidR="003C3B08" w:rsidRPr="00C372E2">
        <w:rPr>
          <w:rFonts w:ascii="Times New Roman" w:hAnsi="Times New Roman" w:cs="Times New Roman"/>
          <w:sz w:val="24"/>
          <w:szCs w:val="24"/>
        </w:rPr>
        <w:t xml:space="preserve">ultiple linear regression analyses were performed </w:t>
      </w:r>
      <w:r w:rsidR="00660089" w:rsidRPr="00C372E2">
        <w:rPr>
          <w:rFonts w:ascii="Times New Roman" w:hAnsi="Times New Roman" w:cs="Times New Roman"/>
          <w:sz w:val="24"/>
          <w:szCs w:val="24"/>
        </w:rPr>
        <w:t xml:space="preserve">to </w:t>
      </w:r>
      <w:r w:rsidR="00E56A30" w:rsidRPr="00C372E2">
        <w:rPr>
          <w:rFonts w:ascii="Times New Roman" w:hAnsi="Times New Roman" w:cs="Times New Roman"/>
          <w:sz w:val="24"/>
          <w:szCs w:val="24"/>
        </w:rPr>
        <w:t>control for</w:t>
      </w:r>
      <w:r w:rsidR="00660089" w:rsidRPr="00C372E2">
        <w:rPr>
          <w:rFonts w:ascii="Times New Roman" w:hAnsi="Times New Roman" w:cs="Times New Roman"/>
          <w:sz w:val="24"/>
          <w:szCs w:val="24"/>
        </w:rPr>
        <w:t xml:space="preserve"> interactions between the variables</w:t>
      </w:r>
      <w:r w:rsidRPr="00C372E2">
        <w:rPr>
          <w:rFonts w:ascii="Times New Roman" w:hAnsi="Times New Roman" w:cs="Times New Roman"/>
          <w:sz w:val="24"/>
          <w:szCs w:val="24"/>
        </w:rPr>
        <w:t>,</w:t>
      </w:r>
      <w:r w:rsidR="00146485" w:rsidRPr="00C372E2">
        <w:rPr>
          <w:rFonts w:ascii="Times New Roman" w:hAnsi="Times New Roman" w:cs="Times New Roman"/>
          <w:sz w:val="24"/>
          <w:szCs w:val="24"/>
        </w:rPr>
        <w:t xml:space="preserve"> as illustrated</w:t>
      </w:r>
      <w:r w:rsidR="00660089" w:rsidRPr="00C372E2">
        <w:rPr>
          <w:rFonts w:ascii="Times New Roman" w:hAnsi="Times New Roman" w:cs="Times New Roman"/>
          <w:sz w:val="24"/>
          <w:szCs w:val="24"/>
        </w:rPr>
        <w:t xml:space="preserve"> in Table 5.</w:t>
      </w:r>
      <w:r w:rsidR="00E56A30" w:rsidRPr="00C372E2">
        <w:rPr>
          <w:rFonts w:ascii="Times New Roman" w:hAnsi="Times New Roman" w:cs="Times New Roman"/>
          <w:sz w:val="24"/>
          <w:szCs w:val="24"/>
        </w:rPr>
        <w:t xml:space="preserve"> </w:t>
      </w:r>
      <w:bookmarkStart w:id="7" w:name="_Hlk37079637"/>
      <w:r w:rsidR="00C13A95" w:rsidRPr="00C372E2">
        <w:rPr>
          <w:rFonts w:ascii="Times New Roman" w:hAnsi="Times New Roman" w:cs="Times New Roman"/>
          <w:sz w:val="24"/>
          <w:szCs w:val="24"/>
        </w:rPr>
        <w:t>S</w:t>
      </w:r>
      <w:r w:rsidR="00E56A30" w:rsidRPr="00C372E2">
        <w:rPr>
          <w:rFonts w:ascii="Times New Roman" w:hAnsi="Times New Roman" w:cs="Times New Roman"/>
          <w:sz w:val="24"/>
          <w:szCs w:val="24"/>
        </w:rPr>
        <w:t>ignificant</w:t>
      </w:r>
      <w:r w:rsidRPr="00C372E2">
        <w:rPr>
          <w:rFonts w:ascii="Times New Roman" w:hAnsi="Times New Roman" w:cs="Times New Roman"/>
          <w:sz w:val="24"/>
          <w:szCs w:val="24"/>
        </w:rPr>
        <w:t xml:space="preserve"> demographic variable</w:t>
      </w:r>
      <w:r w:rsidR="00E56A30" w:rsidRPr="00C372E2">
        <w:rPr>
          <w:rFonts w:ascii="Times New Roman" w:hAnsi="Times New Roman" w:cs="Times New Roman"/>
          <w:sz w:val="24"/>
          <w:szCs w:val="24"/>
        </w:rPr>
        <w:t xml:space="preserve"> effects on </w:t>
      </w:r>
      <w:r w:rsidRPr="00C372E2">
        <w:rPr>
          <w:rFonts w:ascii="Times New Roman" w:hAnsi="Times New Roman" w:cs="Times New Roman"/>
          <w:sz w:val="24"/>
          <w:szCs w:val="24"/>
        </w:rPr>
        <w:t xml:space="preserve">the </w:t>
      </w:r>
      <w:r w:rsidR="00E56A30" w:rsidRPr="00C372E2">
        <w:rPr>
          <w:rFonts w:ascii="Times New Roman" w:hAnsi="Times New Roman" w:cs="Times New Roman"/>
          <w:sz w:val="24"/>
          <w:szCs w:val="24"/>
        </w:rPr>
        <w:t xml:space="preserve">VOSP subtest scores remained </w:t>
      </w:r>
      <w:bookmarkStart w:id="8" w:name="_Hlk38805851"/>
      <w:r w:rsidRPr="00C372E2">
        <w:rPr>
          <w:rFonts w:ascii="Times New Roman" w:hAnsi="Times New Roman" w:cs="Times New Roman"/>
          <w:sz w:val="24"/>
          <w:szCs w:val="24"/>
        </w:rPr>
        <w:t xml:space="preserve">for </w:t>
      </w:r>
      <w:r w:rsidR="00E56A30" w:rsidRPr="00C372E2">
        <w:rPr>
          <w:rFonts w:ascii="Times New Roman" w:hAnsi="Times New Roman" w:cs="Times New Roman"/>
          <w:sz w:val="24"/>
          <w:szCs w:val="24"/>
        </w:rPr>
        <w:t>gender, IQ</w:t>
      </w:r>
      <w:r w:rsidRPr="00C372E2">
        <w:rPr>
          <w:rFonts w:ascii="Times New Roman" w:hAnsi="Times New Roman" w:cs="Times New Roman"/>
          <w:sz w:val="24"/>
          <w:szCs w:val="24"/>
        </w:rPr>
        <w:t>,</w:t>
      </w:r>
      <w:r w:rsidR="00E56A30" w:rsidRPr="00C372E2">
        <w:rPr>
          <w:rFonts w:ascii="Times New Roman" w:hAnsi="Times New Roman" w:cs="Times New Roman"/>
          <w:sz w:val="24"/>
          <w:szCs w:val="24"/>
        </w:rPr>
        <w:t xml:space="preserve"> and VA</w:t>
      </w:r>
      <w:bookmarkEnd w:id="8"/>
      <w:r w:rsidR="00E56A30" w:rsidRPr="00C372E2">
        <w:rPr>
          <w:rFonts w:ascii="Times New Roman" w:hAnsi="Times New Roman" w:cs="Times New Roman"/>
          <w:sz w:val="24"/>
          <w:szCs w:val="24"/>
        </w:rPr>
        <w:t xml:space="preserve">. </w:t>
      </w:r>
      <w:r w:rsidR="00E47236" w:rsidRPr="00C372E2">
        <w:rPr>
          <w:rFonts w:ascii="Times New Roman" w:hAnsi="Times New Roman" w:cs="Times New Roman"/>
          <w:sz w:val="24"/>
          <w:szCs w:val="24"/>
        </w:rPr>
        <w:t>Significant effects were found for g</w:t>
      </w:r>
      <w:r w:rsidR="00E56A30" w:rsidRPr="00C372E2">
        <w:rPr>
          <w:rFonts w:ascii="Times New Roman" w:hAnsi="Times New Roman" w:cs="Times New Roman"/>
          <w:sz w:val="24"/>
          <w:szCs w:val="24"/>
        </w:rPr>
        <w:t xml:space="preserve">ender on </w:t>
      </w:r>
      <w:r w:rsidR="00E47236" w:rsidRPr="00C372E2">
        <w:rPr>
          <w:rFonts w:ascii="Times New Roman" w:hAnsi="Times New Roman" w:cs="Times New Roman"/>
          <w:sz w:val="24"/>
          <w:szCs w:val="24"/>
        </w:rPr>
        <w:t xml:space="preserve">the </w:t>
      </w:r>
      <w:r w:rsidR="00E56A30" w:rsidRPr="00C372E2">
        <w:rPr>
          <w:rFonts w:ascii="Times New Roman" w:hAnsi="Times New Roman" w:cs="Times New Roman"/>
          <w:sz w:val="24"/>
          <w:szCs w:val="24"/>
        </w:rPr>
        <w:t>Silhouettes and Progressive Silhouettes</w:t>
      </w:r>
      <w:r w:rsidR="00E47236" w:rsidRPr="00C372E2">
        <w:rPr>
          <w:rFonts w:ascii="Times New Roman" w:hAnsi="Times New Roman" w:cs="Times New Roman"/>
          <w:sz w:val="24"/>
          <w:szCs w:val="24"/>
        </w:rPr>
        <w:t xml:space="preserve"> subtests; for </w:t>
      </w:r>
      <w:r w:rsidR="00E56A30" w:rsidRPr="00C372E2">
        <w:rPr>
          <w:rFonts w:ascii="Times New Roman" w:hAnsi="Times New Roman" w:cs="Times New Roman"/>
          <w:sz w:val="24"/>
          <w:szCs w:val="24"/>
        </w:rPr>
        <w:t xml:space="preserve">IQ on </w:t>
      </w:r>
      <w:r w:rsidR="00E47236" w:rsidRPr="00C372E2">
        <w:rPr>
          <w:rFonts w:ascii="Times New Roman" w:hAnsi="Times New Roman" w:cs="Times New Roman"/>
          <w:sz w:val="24"/>
          <w:szCs w:val="24"/>
        </w:rPr>
        <w:t xml:space="preserve">the </w:t>
      </w:r>
      <w:r w:rsidR="00E56A30" w:rsidRPr="00C372E2">
        <w:rPr>
          <w:rFonts w:ascii="Times New Roman" w:hAnsi="Times New Roman" w:cs="Times New Roman"/>
          <w:sz w:val="24"/>
          <w:szCs w:val="24"/>
        </w:rPr>
        <w:t>Silhouettes</w:t>
      </w:r>
      <w:r w:rsidR="00F17B42" w:rsidRPr="00C372E2">
        <w:rPr>
          <w:rFonts w:ascii="Times New Roman" w:hAnsi="Times New Roman" w:cs="Times New Roman"/>
          <w:sz w:val="24"/>
          <w:szCs w:val="24"/>
        </w:rPr>
        <w:t>,</w:t>
      </w:r>
      <w:r w:rsidR="00E56A30" w:rsidRPr="00C372E2">
        <w:rPr>
          <w:rFonts w:ascii="Times New Roman" w:hAnsi="Times New Roman" w:cs="Times New Roman"/>
          <w:sz w:val="24"/>
          <w:szCs w:val="24"/>
        </w:rPr>
        <w:t xml:space="preserve"> Object Decision</w:t>
      </w:r>
      <w:r w:rsidR="00E47236" w:rsidRPr="00C372E2">
        <w:rPr>
          <w:rFonts w:ascii="Times New Roman" w:hAnsi="Times New Roman" w:cs="Times New Roman"/>
          <w:sz w:val="24"/>
          <w:szCs w:val="24"/>
        </w:rPr>
        <w:t>,</w:t>
      </w:r>
      <w:r w:rsidR="00F17B42" w:rsidRPr="00C372E2">
        <w:rPr>
          <w:rFonts w:ascii="Times New Roman" w:hAnsi="Times New Roman" w:cs="Times New Roman"/>
          <w:sz w:val="24"/>
          <w:szCs w:val="24"/>
        </w:rPr>
        <w:t xml:space="preserve"> and Cub</w:t>
      </w:r>
      <w:r w:rsidR="003D108E" w:rsidRPr="00C372E2">
        <w:rPr>
          <w:rFonts w:ascii="Times New Roman" w:hAnsi="Times New Roman" w:cs="Times New Roman"/>
          <w:sz w:val="24"/>
          <w:szCs w:val="24"/>
        </w:rPr>
        <w:t>e</w:t>
      </w:r>
      <w:r w:rsidR="00F17B42" w:rsidRPr="00C372E2">
        <w:rPr>
          <w:rFonts w:ascii="Times New Roman" w:hAnsi="Times New Roman" w:cs="Times New Roman"/>
          <w:sz w:val="24"/>
          <w:szCs w:val="24"/>
        </w:rPr>
        <w:t xml:space="preserve"> </w:t>
      </w:r>
      <w:r w:rsidR="003D108E" w:rsidRPr="00C372E2">
        <w:rPr>
          <w:rFonts w:ascii="Times New Roman" w:hAnsi="Times New Roman" w:cs="Times New Roman"/>
          <w:sz w:val="24"/>
          <w:szCs w:val="24"/>
        </w:rPr>
        <w:t>A</w:t>
      </w:r>
      <w:r w:rsidR="00F17B42" w:rsidRPr="00C372E2">
        <w:rPr>
          <w:rFonts w:ascii="Times New Roman" w:hAnsi="Times New Roman" w:cs="Times New Roman"/>
          <w:sz w:val="24"/>
          <w:szCs w:val="24"/>
        </w:rPr>
        <w:t>na</w:t>
      </w:r>
      <w:r w:rsidR="003D108E" w:rsidRPr="00C372E2">
        <w:rPr>
          <w:rFonts w:ascii="Times New Roman" w:hAnsi="Times New Roman" w:cs="Times New Roman"/>
          <w:sz w:val="24"/>
          <w:szCs w:val="24"/>
        </w:rPr>
        <w:t>l</w:t>
      </w:r>
      <w:r w:rsidR="00F17B42" w:rsidRPr="00C372E2">
        <w:rPr>
          <w:rFonts w:ascii="Times New Roman" w:hAnsi="Times New Roman" w:cs="Times New Roman"/>
          <w:sz w:val="24"/>
          <w:szCs w:val="24"/>
        </w:rPr>
        <w:t>ysis</w:t>
      </w:r>
      <w:r w:rsidR="00E47236" w:rsidRPr="00C372E2">
        <w:rPr>
          <w:rFonts w:ascii="Times New Roman" w:hAnsi="Times New Roman" w:cs="Times New Roman"/>
          <w:sz w:val="24"/>
          <w:szCs w:val="24"/>
        </w:rPr>
        <w:t xml:space="preserve"> subtests; and for </w:t>
      </w:r>
      <w:r w:rsidR="00E56A30" w:rsidRPr="00C372E2">
        <w:rPr>
          <w:rFonts w:ascii="Times New Roman" w:hAnsi="Times New Roman" w:cs="Times New Roman"/>
          <w:sz w:val="24"/>
          <w:szCs w:val="24"/>
        </w:rPr>
        <w:t xml:space="preserve">VA on </w:t>
      </w:r>
      <w:r w:rsidR="00E47236" w:rsidRPr="00C372E2">
        <w:rPr>
          <w:rFonts w:ascii="Times New Roman" w:hAnsi="Times New Roman" w:cs="Times New Roman"/>
          <w:sz w:val="24"/>
          <w:szCs w:val="24"/>
        </w:rPr>
        <w:t xml:space="preserve">the </w:t>
      </w:r>
      <w:r w:rsidR="00E56A30" w:rsidRPr="00C372E2">
        <w:rPr>
          <w:rFonts w:ascii="Times New Roman" w:hAnsi="Times New Roman" w:cs="Times New Roman"/>
          <w:sz w:val="24"/>
          <w:szCs w:val="24"/>
        </w:rPr>
        <w:t xml:space="preserve">Shape </w:t>
      </w:r>
      <w:r w:rsidR="00E47236" w:rsidRPr="00C372E2">
        <w:rPr>
          <w:rFonts w:ascii="Times New Roman" w:hAnsi="Times New Roman" w:cs="Times New Roman"/>
          <w:sz w:val="24"/>
          <w:szCs w:val="24"/>
        </w:rPr>
        <w:t xml:space="preserve">Detection </w:t>
      </w:r>
      <w:r w:rsidR="00E56A30" w:rsidRPr="00C372E2">
        <w:rPr>
          <w:rFonts w:ascii="Times New Roman" w:hAnsi="Times New Roman" w:cs="Times New Roman"/>
          <w:sz w:val="24"/>
          <w:szCs w:val="24"/>
        </w:rPr>
        <w:t>and Position Discrimination</w:t>
      </w:r>
      <w:bookmarkEnd w:id="7"/>
      <w:r w:rsidR="00E47236" w:rsidRPr="00C372E2">
        <w:rPr>
          <w:rFonts w:ascii="Times New Roman" w:hAnsi="Times New Roman" w:cs="Times New Roman"/>
          <w:sz w:val="24"/>
          <w:szCs w:val="24"/>
        </w:rPr>
        <w:t xml:space="preserve"> subtests</w:t>
      </w:r>
      <w:r w:rsidR="00E56A30" w:rsidRPr="00C372E2">
        <w:rPr>
          <w:rFonts w:ascii="Times New Roman" w:hAnsi="Times New Roman" w:cs="Times New Roman"/>
          <w:sz w:val="24"/>
          <w:szCs w:val="24"/>
        </w:rPr>
        <w:t>.</w:t>
      </w:r>
    </w:p>
    <w:p w14:paraId="5921CBBB" w14:textId="34C9E6F2" w:rsidR="00152986" w:rsidRDefault="00386E2A" w:rsidP="00DB4B30">
      <w:pPr>
        <w:pStyle w:val="HTMLPreformatted"/>
        <w:spacing w:after="360" w:line="360" w:lineRule="auto"/>
        <w:rPr>
          <w:rFonts w:ascii="Times New Roman" w:hAnsi="Times New Roman" w:cs="Times New Roman"/>
          <w:sz w:val="24"/>
          <w:szCs w:val="24"/>
        </w:rPr>
      </w:pPr>
      <w:r w:rsidRPr="00C372E2">
        <w:rPr>
          <w:rFonts w:ascii="Times New Roman" w:hAnsi="Times New Roman" w:cs="Times New Roman"/>
          <w:sz w:val="24"/>
          <w:szCs w:val="24"/>
        </w:rPr>
        <w:t>The t</w:t>
      </w:r>
      <w:r w:rsidR="005A06B5" w:rsidRPr="00C372E2">
        <w:rPr>
          <w:rFonts w:ascii="Times New Roman" w:hAnsi="Times New Roman" w:cs="Times New Roman"/>
          <w:sz w:val="24"/>
          <w:szCs w:val="24"/>
        </w:rPr>
        <w:t>esting time</w:t>
      </w:r>
      <w:r w:rsidRPr="00C372E2">
        <w:rPr>
          <w:rFonts w:ascii="Times New Roman" w:hAnsi="Times New Roman" w:cs="Times New Roman"/>
          <w:sz w:val="24"/>
          <w:szCs w:val="24"/>
        </w:rPr>
        <w:t>s</w:t>
      </w:r>
      <w:bookmarkStart w:id="9" w:name="_Hlk38806158"/>
      <w:r w:rsidRPr="00C372E2">
        <w:rPr>
          <w:rFonts w:ascii="Times New Roman" w:hAnsi="Times New Roman" w:cs="Times New Roman"/>
          <w:sz w:val="24"/>
          <w:szCs w:val="24"/>
        </w:rPr>
        <w:t xml:space="preserve"> and </w:t>
      </w:r>
      <w:r w:rsidR="008A424B" w:rsidRPr="00C372E2">
        <w:rPr>
          <w:rFonts w:ascii="Times New Roman" w:hAnsi="Times New Roman" w:cs="Times New Roman"/>
          <w:sz w:val="24"/>
          <w:szCs w:val="24"/>
        </w:rPr>
        <w:t xml:space="preserve">the </w:t>
      </w:r>
      <w:r w:rsidR="005A06B5" w:rsidRPr="00C372E2">
        <w:rPr>
          <w:rFonts w:ascii="Times New Roman" w:hAnsi="Times New Roman" w:cs="Times New Roman"/>
          <w:sz w:val="24"/>
          <w:szCs w:val="24"/>
        </w:rPr>
        <w:t xml:space="preserve">rating scores </w:t>
      </w:r>
      <w:r w:rsidRPr="00C372E2">
        <w:rPr>
          <w:rFonts w:ascii="Times New Roman" w:hAnsi="Times New Roman" w:cs="Times New Roman"/>
          <w:sz w:val="24"/>
          <w:szCs w:val="24"/>
        </w:rPr>
        <w:t xml:space="preserve">for </w:t>
      </w:r>
      <w:r w:rsidR="005A06B5" w:rsidRPr="00C372E2">
        <w:rPr>
          <w:rFonts w:ascii="Times New Roman" w:hAnsi="Times New Roman" w:cs="Times New Roman"/>
          <w:sz w:val="24"/>
          <w:szCs w:val="24"/>
        </w:rPr>
        <w:t>image size</w:t>
      </w:r>
      <w:r w:rsidRPr="00C372E2">
        <w:rPr>
          <w:rFonts w:ascii="Times New Roman" w:hAnsi="Times New Roman" w:cs="Times New Roman"/>
          <w:sz w:val="24"/>
          <w:szCs w:val="24"/>
        </w:rPr>
        <w:t>,</w:t>
      </w:r>
      <w:r w:rsidR="005A06B5" w:rsidRPr="00C372E2">
        <w:rPr>
          <w:rFonts w:ascii="Times New Roman" w:hAnsi="Times New Roman" w:cs="Times New Roman"/>
          <w:sz w:val="24"/>
          <w:szCs w:val="24"/>
        </w:rPr>
        <w:t xml:space="preserve"> clarity of images</w:t>
      </w:r>
      <w:r w:rsidRPr="00C372E2">
        <w:rPr>
          <w:rFonts w:ascii="Times New Roman" w:hAnsi="Times New Roman" w:cs="Times New Roman"/>
          <w:sz w:val="24"/>
          <w:szCs w:val="24"/>
        </w:rPr>
        <w:t>,</w:t>
      </w:r>
      <w:r w:rsidR="005A06B5" w:rsidRPr="00C372E2">
        <w:rPr>
          <w:rFonts w:ascii="Times New Roman" w:hAnsi="Times New Roman" w:cs="Times New Roman"/>
          <w:sz w:val="24"/>
          <w:szCs w:val="24"/>
        </w:rPr>
        <w:t xml:space="preserve"> and</w:t>
      </w:r>
      <w:r w:rsidRPr="00C372E2">
        <w:rPr>
          <w:rFonts w:ascii="Times New Roman" w:hAnsi="Times New Roman" w:cs="Times New Roman"/>
          <w:sz w:val="24"/>
          <w:szCs w:val="24"/>
        </w:rPr>
        <w:t xml:space="preserve"> clarity of</w:t>
      </w:r>
      <w:r w:rsidR="005A06B5" w:rsidRPr="00C372E2">
        <w:rPr>
          <w:rFonts w:ascii="Times New Roman" w:hAnsi="Times New Roman" w:cs="Times New Roman"/>
          <w:sz w:val="24"/>
          <w:szCs w:val="24"/>
        </w:rPr>
        <w:t xml:space="preserve"> instructions </w:t>
      </w:r>
      <w:r w:rsidRPr="00C372E2">
        <w:rPr>
          <w:rFonts w:ascii="Times New Roman" w:hAnsi="Times New Roman" w:cs="Times New Roman"/>
          <w:sz w:val="24"/>
          <w:szCs w:val="24"/>
        </w:rPr>
        <w:t xml:space="preserve">for </w:t>
      </w:r>
      <w:r w:rsidR="005A06B5" w:rsidRPr="00C372E2">
        <w:rPr>
          <w:rFonts w:ascii="Times New Roman" w:hAnsi="Times New Roman" w:cs="Times New Roman"/>
          <w:sz w:val="24"/>
          <w:szCs w:val="24"/>
        </w:rPr>
        <w:t xml:space="preserve">each VOSP subtest </w:t>
      </w:r>
      <w:bookmarkEnd w:id="9"/>
      <w:r w:rsidRPr="00C372E2">
        <w:rPr>
          <w:rFonts w:ascii="Times New Roman" w:hAnsi="Times New Roman" w:cs="Times New Roman"/>
          <w:sz w:val="24"/>
          <w:szCs w:val="24"/>
        </w:rPr>
        <w:t xml:space="preserve">are </w:t>
      </w:r>
      <w:r w:rsidR="008A424B" w:rsidRPr="00C372E2">
        <w:rPr>
          <w:rFonts w:ascii="Times New Roman" w:hAnsi="Times New Roman" w:cs="Times New Roman"/>
          <w:sz w:val="24"/>
          <w:szCs w:val="24"/>
        </w:rPr>
        <w:t>displayed in</w:t>
      </w:r>
      <w:r w:rsidR="00152986" w:rsidRPr="00C372E2">
        <w:rPr>
          <w:rFonts w:ascii="Times New Roman" w:hAnsi="Times New Roman" w:cs="Times New Roman"/>
          <w:sz w:val="24"/>
          <w:szCs w:val="24"/>
        </w:rPr>
        <w:t xml:space="preserve"> Table 6. </w:t>
      </w:r>
      <w:bookmarkStart w:id="10" w:name="_Hlk38806106"/>
      <w:r w:rsidR="005A06B5" w:rsidRPr="00C372E2">
        <w:rPr>
          <w:rFonts w:ascii="Times New Roman" w:hAnsi="Times New Roman" w:cs="Times New Roman"/>
          <w:sz w:val="24"/>
          <w:szCs w:val="24"/>
        </w:rPr>
        <w:t xml:space="preserve">The total </w:t>
      </w:r>
      <w:r w:rsidR="00E7670A" w:rsidRPr="00C372E2">
        <w:rPr>
          <w:rFonts w:ascii="Times New Roman" w:hAnsi="Times New Roman" w:cs="Times New Roman"/>
          <w:sz w:val="24"/>
          <w:szCs w:val="24"/>
        </w:rPr>
        <w:t xml:space="preserve">VOSP </w:t>
      </w:r>
      <w:r w:rsidR="00716C1E" w:rsidRPr="00C372E2">
        <w:rPr>
          <w:rFonts w:ascii="Times New Roman" w:hAnsi="Times New Roman" w:cs="Times New Roman"/>
          <w:sz w:val="24"/>
          <w:szCs w:val="24"/>
        </w:rPr>
        <w:t>test</w:t>
      </w:r>
      <w:r w:rsidR="00C13A95" w:rsidRPr="00C372E2">
        <w:rPr>
          <w:rFonts w:ascii="Times New Roman" w:hAnsi="Times New Roman" w:cs="Times New Roman"/>
          <w:sz w:val="24"/>
          <w:szCs w:val="24"/>
        </w:rPr>
        <w:t>ing</w:t>
      </w:r>
      <w:r w:rsidR="005A06B5" w:rsidRPr="00C372E2">
        <w:rPr>
          <w:rFonts w:ascii="Times New Roman" w:hAnsi="Times New Roman" w:cs="Times New Roman"/>
          <w:sz w:val="24"/>
          <w:szCs w:val="24"/>
        </w:rPr>
        <w:t xml:space="preserve"> time</w:t>
      </w:r>
      <w:bookmarkEnd w:id="10"/>
      <w:r w:rsidR="005A06B5" w:rsidRPr="00C372E2">
        <w:rPr>
          <w:rFonts w:ascii="Times New Roman" w:hAnsi="Times New Roman" w:cs="Times New Roman"/>
          <w:sz w:val="24"/>
          <w:szCs w:val="24"/>
        </w:rPr>
        <w:t xml:space="preserve"> was 18 minutes (mean</w:t>
      </w:r>
      <w:r w:rsidR="008A424B" w:rsidRPr="00C372E2">
        <w:rPr>
          <w:rFonts w:ascii="Times New Roman" w:hAnsi="Times New Roman" w:cs="Times New Roman"/>
          <w:sz w:val="24"/>
          <w:szCs w:val="24"/>
        </w:rPr>
        <w:t>,</w:t>
      </w:r>
      <w:r w:rsidR="005A06B5" w:rsidRPr="00C372E2">
        <w:rPr>
          <w:rFonts w:ascii="Times New Roman" w:hAnsi="Times New Roman" w:cs="Times New Roman"/>
          <w:sz w:val="24"/>
          <w:szCs w:val="24"/>
        </w:rPr>
        <w:t xml:space="preserve"> 18.01</w:t>
      </w:r>
      <w:r w:rsidR="008A424B" w:rsidRPr="00C372E2">
        <w:rPr>
          <w:rFonts w:ascii="Times New Roman" w:hAnsi="Times New Roman" w:cs="Times New Roman"/>
          <w:sz w:val="24"/>
          <w:szCs w:val="24"/>
        </w:rPr>
        <w:t>;</w:t>
      </w:r>
      <w:r w:rsidR="005A06B5" w:rsidRPr="00C372E2">
        <w:rPr>
          <w:rFonts w:ascii="Times New Roman" w:hAnsi="Times New Roman" w:cs="Times New Roman"/>
          <w:sz w:val="24"/>
          <w:szCs w:val="24"/>
        </w:rPr>
        <w:t xml:space="preserve"> SD</w:t>
      </w:r>
      <w:r w:rsidR="008A424B" w:rsidRPr="00C372E2">
        <w:rPr>
          <w:rFonts w:ascii="Times New Roman" w:hAnsi="Times New Roman" w:cs="Times New Roman"/>
          <w:sz w:val="24"/>
          <w:szCs w:val="24"/>
        </w:rPr>
        <w:t>,</w:t>
      </w:r>
      <w:r w:rsidR="005A06B5" w:rsidRPr="00C372E2">
        <w:rPr>
          <w:rFonts w:ascii="Times New Roman" w:hAnsi="Times New Roman" w:cs="Times New Roman"/>
          <w:sz w:val="24"/>
          <w:szCs w:val="24"/>
        </w:rPr>
        <w:t xml:space="preserve"> 4.71</w:t>
      </w:r>
      <w:r w:rsidR="008A424B" w:rsidRPr="00C372E2">
        <w:rPr>
          <w:rFonts w:ascii="Times New Roman" w:hAnsi="Times New Roman" w:cs="Times New Roman"/>
          <w:sz w:val="24"/>
          <w:szCs w:val="24"/>
        </w:rPr>
        <w:t>; min,</w:t>
      </w:r>
      <w:r w:rsidR="00C60D2D" w:rsidRPr="00C372E2">
        <w:rPr>
          <w:rFonts w:ascii="Times New Roman" w:hAnsi="Times New Roman" w:cs="Times New Roman"/>
          <w:sz w:val="24"/>
          <w:szCs w:val="24"/>
        </w:rPr>
        <w:t xml:space="preserve"> 10.35</w:t>
      </w:r>
      <w:r w:rsidR="008A424B" w:rsidRPr="00C372E2">
        <w:rPr>
          <w:rFonts w:ascii="Times New Roman" w:hAnsi="Times New Roman" w:cs="Times New Roman"/>
          <w:sz w:val="24"/>
          <w:szCs w:val="24"/>
        </w:rPr>
        <w:t>; max,</w:t>
      </w:r>
      <w:r w:rsidR="00C60D2D" w:rsidRPr="00C372E2">
        <w:rPr>
          <w:rFonts w:ascii="Times New Roman" w:hAnsi="Times New Roman" w:cs="Times New Roman"/>
          <w:sz w:val="24"/>
          <w:szCs w:val="24"/>
        </w:rPr>
        <w:t xml:space="preserve"> 29.83</w:t>
      </w:r>
      <w:r w:rsidR="005A06B5" w:rsidRPr="00C372E2">
        <w:rPr>
          <w:rFonts w:ascii="Times New Roman" w:hAnsi="Times New Roman" w:cs="Times New Roman"/>
          <w:sz w:val="24"/>
          <w:szCs w:val="24"/>
        </w:rPr>
        <w:t xml:space="preserve">). </w:t>
      </w:r>
      <w:r w:rsidR="00E96B88" w:rsidRPr="00C372E2">
        <w:rPr>
          <w:rFonts w:ascii="Times New Roman" w:hAnsi="Times New Roman" w:cs="Times New Roman"/>
          <w:sz w:val="24"/>
          <w:szCs w:val="24"/>
        </w:rPr>
        <w:t>The Object Perception and Space Perception testing time</w:t>
      </w:r>
      <w:r w:rsidR="008A424B" w:rsidRPr="00C372E2">
        <w:rPr>
          <w:rFonts w:ascii="Times New Roman" w:hAnsi="Times New Roman" w:cs="Times New Roman"/>
          <w:sz w:val="24"/>
          <w:szCs w:val="24"/>
        </w:rPr>
        <w:t>s</w:t>
      </w:r>
      <w:r w:rsidR="00E96B88" w:rsidRPr="00C372E2">
        <w:rPr>
          <w:rFonts w:ascii="Times New Roman" w:hAnsi="Times New Roman" w:cs="Times New Roman"/>
          <w:sz w:val="24"/>
          <w:szCs w:val="24"/>
        </w:rPr>
        <w:t xml:space="preserve"> were 13 minutes (mean</w:t>
      </w:r>
      <w:r w:rsidR="008A424B" w:rsidRPr="00C372E2">
        <w:rPr>
          <w:rFonts w:ascii="Times New Roman" w:hAnsi="Times New Roman" w:cs="Times New Roman"/>
          <w:sz w:val="24"/>
          <w:szCs w:val="24"/>
        </w:rPr>
        <w:t>,</w:t>
      </w:r>
      <w:r w:rsidR="00E96B88" w:rsidRPr="00C372E2">
        <w:rPr>
          <w:rFonts w:ascii="Times New Roman" w:hAnsi="Times New Roman" w:cs="Times New Roman"/>
          <w:sz w:val="24"/>
          <w:szCs w:val="24"/>
        </w:rPr>
        <w:t xml:space="preserve"> 12.96</w:t>
      </w:r>
      <w:r w:rsidR="008A424B" w:rsidRPr="00C372E2">
        <w:rPr>
          <w:rFonts w:ascii="Times New Roman" w:hAnsi="Times New Roman" w:cs="Times New Roman"/>
          <w:sz w:val="24"/>
          <w:szCs w:val="24"/>
        </w:rPr>
        <w:t xml:space="preserve">; </w:t>
      </w:r>
      <w:r w:rsidR="00E96B88" w:rsidRPr="00C372E2">
        <w:rPr>
          <w:rFonts w:ascii="Times New Roman" w:hAnsi="Times New Roman" w:cs="Times New Roman"/>
          <w:sz w:val="24"/>
          <w:szCs w:val="24"/>
        </w:rPr>
        <w:t>SD</w:t>
      </w:r>
      <w:r w:rsidR="008A424B" w:rsidRPr="00C372E2">
        <w:rPr>
          <w:rFonts w:ascii="Times New Roman" w:hAnsi="Times New Roman" w:cs="Times New Roman"/>
          <w:sz w:val="24"/>
          <w:szCs w:val="24"/>
        </w:rPr>
        <w:t>,</w:t>
      </w:r>
      <w:r w:rsidR="00E96B88" w:rsidRPr="00C372E2">
        <w:rPr>
          <w:rFonts w:ascii="Times New Roman" w:hAnsi="Times New Roman" w:cs="Times New Roman"/>
          <w:sz w:val="24"/>
          <w:szCs w:val="24"/>
        </w:rPr>
        <w:t xml:space="preserve"> 3.75</w:t>
      </w:r>
      <w:r w:rsidR="008A424B" w:rsidRPr="00C372E2">
        <w:rPr>
          <w:rFonts w:ascii="Times New Roman" w:hAnsi="Times New Roman" w:cs="Times New Roman"/>
          <w:sz w:val="24"/>
          <w:szCs w:val="24"/>
        </w:rPr>
        <w:t>; min,</w:t>
      </w:r>
      <w:r w:rsidR="00C60D2D" w:rsidRPr="00C372E2">
        <w:rPr>
          <w:rFonts w:ascii="Times New Roman" w:hAnsi="Times New Roman" w:cs="Times New Roman"/>
          <w:sz w:val="24"/>
          <w:szCs w:val="24"/>
        </w:rPr>
        <w:t xml:space="preserve"> 6.43</w:t>
      </w:r>
      <w:r w:rsidR="008A424B" w:rsidRPr="00C372E2">
        <w:rPr>
          <w:rFonts w:ascii="Times New Roman" w:hAnsi="Times New Roman" w:cs="Times New Roman"/>
          <w:sz w:val="24"/>
          <w:szCs w:val="24"/>
        </w:rPr>
        <w:t>; max,</w:t>
      </w:r>
      <w:r w:rsidR="00C60D2D" w:rsidRPr="00C372E2">
        <w:rPr>
          <w:rFonts w:ascii="Times New Roman" w:hAnsi="Times New Roman" w:cs="Times New Roman"/>
          <w:sz w:val="24"/>
          <w:szCs w:val="24"/>
        </w:rPr>
        <w:t xml:space="preserve"> 22.12</w:t>
      </w:r>
      <w:r w:rsidR="00E96B88" w:rsidRPr="00C372E2">
        <w:rPr>
          <w:rFonts w:ascii="Times New Roman" w:hAnsi="Times New Roman" w:cs="Times New Roman"/>
          <w:sz w:val="24"/>
          <w:szCs w:val="24"/>
        </w:rPr>
        <w:t>) and 4 minutes (mean</w:t>
      </w:r>
      <w:r w:rsidR="008A424B" w:rsidRPr="00C372E2">
        <w:rPr>
          <w:rFonts w:ascii="Times New Roman" w:hAnsi="Times New Roman" w:cs="Times New Roman"/>
          <w:sz w:val="24"/>
          <w:szCs w:val="24"/>
        </w:rPr>
        <w:t>,</w:t>
      </w:r>
      <w:r w:rsidR="00E96B88" w:rsidRPr="00C372E2">
        <w:rPr>
          <w:rFonts w:ascii="Times New Roman" w:hAnsi="Times New Roman" w:cs="Times New Roman"/>
          <w:sz w:val="24"/>
          <w:szCs w:val="24"/>
        </w:rPr>
        <w:t xml:space="preserve"> 4.08</w:t>
      </w:r>
      <w:r w:rsidR="008A424B" w:rsidRPr="00C372E2">
        <w:rPr>
          <w:rFonts w:ascii="Times New Roman" w:hAnsi="Times New Roman" w:cs="Times New Roman"/>
          <w:sz w:val="24"/>
          <w:szCs w:val="24"/>
        </w:rPr>
        <w:t xml:space="preserve">; </w:t>
      </w:r>
      <w:r w:rsidR="00E96B88" w:rsidRPr="00C372E2">
        <w:rPr>
          <w:rFonts w:ascii="Times New Roman" w:hAnsi="Times New Roman" w:cs="Times New Roman"/>
          <w:sz w:val="24"/>
          <w:szCs w:val="24"/>
        </w:rPr>
        <w:t>SD</w:t>
      </w:r>
      <w:r w:rsidR="008A424B" w:rsidRPr="00C372E2">
        <w:rPr>
          <w:rFonts w:ascii="Times New Roman" w:hAnsi="Times New Roman" w:cs="Times New Roman"/>
          <w:sz w:val="24"/>
          <w:szCs w:val="24"/>
        </w:rPr>
        <w:t>,</w:t>
      </w:r>
      <w:r w:rsidR="00E96B88" w:rsidRPr="00C372E2">
        <w:rPr>
          <w:rFonts w:ascii="Times New Roman" w:hAnsi="Times New Roman" w:cs="Times New Roman"/>
          <w:sz w:val="24"/>
          <w:szCs w:val="24"/>
        </w:rPr>
        <w:t xml:space="preserve"> 1.</w:t>
      </w:r>
      <w:r w:rsidR="008915F6" w:rsidRPr="00C372E2">
        <w:rPr>
          <w:rFonts w:ascii="Times New Roman" w:hAnsi="Times New Roman" w:cs="Times New Roman"/>
          <w:sz w:val="24"/>
          <w:szCs w:val="24"/>
        </w:rPr>
        <w:t>30</w:t>
      </w:r>
      <w:r w:rsidR="008A424B" w:rsidRPr="00C372E2">
        <w:rPr>
          <w:rFonts w:ascii="Times New Roman" w:hAnsi="Times New Roman" w:cs="Times New Roman"/>
          <w:sz w:val="24"/>
          <w:szCs w:val="24"/>
        </w:rPr>
        <w:t>; min,</w:t>
      </w:r>
      <w:r w:rsidR="00C60D2D" w:rsidRPr="00C372E2">
        <w:rPr>
          <w:rFonts w:ascii="Times New Roman" w:hAnsi="Times New Roman" w:cs="Times New Roman"/>
          <w:sz w:val="24"/>
          <w:szCs w:val="24"/>
        </w:rPr>
        <w:t xml:space="preserve"> 2.42</w:t>
      </w:r>
      <w:r w:rsidR="008A424B" w:rsidRPr="00C372E2">
        <w:rPr>
          <w:rFonts w:ascii="Times New Roman" w:hAnsi="Times New Roman" w:cs="Times New Roman"/>
          <w:sz w:val="24"/>
          <w:szCs w:val="24"/>
        </w:rPr>
        <w:t>; max,</w:t>
      </w:r>
      <w:r w:rsidR="00C60D2D" w:rsidRPr="00C372E2">
        <w:rPr>
          <w:rFonts w:ascii="Times New Roman" w:hAnsi="Times New Roman" w:cs="Times New Roman"/>
          <w:sz w:val="24"/>
          <w:szCs w:val="24"/>
        </w:rPr>
        <w:t xml:space="preserve"> 9.38</w:t>
      </w:r>
      <w:r w:rsidR="00E96B88" w:rsidRPr="00C372E2">
        <w:rPr>
          <w:rFonts w:ascii="Times New Roman" w:hAnsi="Times New Roman" w:cs="Times New Roman"/>
          <w:sz w:val="24"/>
          <w:szCs w:val="24"/>
        </w:rPr>
        <w:t xml:space="preserve">), respectively. Most of </w:t>
      </w:r>
      <w:r w:rsidR="008A424B" w:rsidRPr="00C372E2">
        <w:rPr>
          <w:rFonts w:ascii="Times New Roman" w:hAnsi="Times New Roman" w:cs="Times New Roman"/>
          <w:sz w:val="24"/>
          <w:szCs w:val="24"/>
        </w:rPr>
        <w:t xml:space="preserve">the </w:t>
      </w:r>
      <w:r w:rsidR="00E96B88" w:rsidRPr="00C372E2">
        <w:rPr>
          <w:rFonts w:ascii="Times New Roman" w:hAnsi="Times New Roman" w:cs="Times New Roman"/>
          <w:sz w:val="24"/>
          <w:szCs w:val="24"/>
        </w:rPr>
        <w:t xml:space="preserve">rating scores </w:t>
      </w:r>
      <w:r w:rsidR="008A424B" w:rsidRPr="00C372E2">
        <w:rPr>
          <w:rFonts w:ascii="Times New Roman" w:hAnsi="Times New Roman" w:cs="Times New Roman"/>
          <w:sz w:val="24"/>
          <w:szCs w:val="24"/>
        </w:rPr>
        <w:t xml:space="preserve">for </w:t>
      </w:r>
      <w:r w:rsidR="00E96B88" w:rsidRPr="00C372E2">
        <w:rPr>
          <w:rFonts w:ascii="Times New Roman" w:hAnsi="Times New Roman" w:cs="Times New Roman"/>
          <w:sz w:val="24"/>
          <w:szCs w:val="24"/>
        </w:rPr>
        <w:t xml:space="preserve">image size and </w:t>
      </w:r>
      <w:r w:rsidR="008A424B" w:rsidRPr="00C372E2">
        <w:rPr>
          <w:rFonts w:ascii="Times New Roman" w:hAnsi="Times New Roman" w:cs="Times New Roman"/>
          <w:sz w:val="24"/>
          <w:szCs w:val="24"/>
        </w:rPr>
        <w:t xml:space="preserve">the </w:t>
      </w:r>
      <w:r w:rsidR="00E96B88" w:rsidRPr="00C372E2">
        <w:rPr>
          <w:rFonts w:ascii="Times New Roman" w:hAnsi="Times New Roman" w:cs="Times New Roman"/>
          <w:sz w:val="24"/>
          <w:szCs w:val="24"/>
        </w:rPr>
        <w:t xml:space="preserve">clarity of </w:t>
      </w:r>
      <w:r w:rsidR="008A424B" w:rsidRPr="00C372E2">
        <w:rPr>
          <w:rFonts w:ascii="Times New Roman" w:hAnsi="Times New Roman" w:cs="Times New Roman"/>
          <w:sz w:val="24"/>
          <w:szCs w:val="24"/>
        </w:rPr>
        <w:t xml:space="preserve">the </w:t>
      </w:r>
      <w:r w:rsidR="00E96B88" w:rsidRPr="00C372E2">
        <w:rPr>
          <w:rFonts w:ascii="Times New Roman" w:hAnsi="Times New Roman" w:cs="Times New Roman"/>
          <w:sz w:val="24"/>
          <w:szCs w:val="24"/>
        </w:rPr>
        <w:t xml:space="preserve">images and instructions </w:t>
      </w:r>
      <w:r w:rsidR="00E7670A" w:rsidRPr="00C372E2">
        <w:rPr>
          <w:rFonts w:ascii="Times New Roman" w:hAnsi="Times New Roman" w:cs="Times New Roman"/>
          <w:sz w:val="24"/>
          <w:szCs w:val="24"/>
        </w:rPr>
        <w:t xml:space="preserve">for </w:t>
      </w:r>
      <w:r w:rsidR="00E96B88" w:rsidRPr="00C372E2">
        <w:rPr>
          <w:rFonts w:ascii="Times New Roman" w:hAnsi="Times New Roman" w:cs="Times New Roman"/>
          <w:sz w:val="24"/>
          <w:szCs w:val="24"/>
        </w:rPr>
        <w:t xml:space="preserve">each VOSP subtest </w:t>
      </w:r>
      <w:r w:rsidR="00C85C27" w:rsidRPr="00C372E2">
        <w:rPr>
          <w:rFonts w:ascii="Times New Roman" w:hAnsi="Times New Roman" w:cs="Times New Roman"/>
          <w:sz w:val="24"/>
          <w:szCs w:val="24"/>
        </w:rPr>
        <w:t xml:space="preserve">were </w:t>
      </w:r>
      <w:r w:rsidR="00E96B88" w:rsidRPr="00C372E2">
        <w:rPr>
          <w:rFonts w:ascii="Times New Roman" w:hAnsi="Times New Roman" w:cs="Times New Roman"/>
          <w:sz w:val="24"/>
          <w:szCs w:val="24"/>
        </w:rPr>
        <w:t>more than 4</w:t>
      </w:r>
      <w:r w:rsidR="00C85C27" w:rsidRPr="00C372E2">
        <w:rPr>
          <w:rFonts w:ascii="Times New Roman" w:hAnsi="Times New Roman" w:cs="Times New Roman"/>
          <w:sz w:val="24"/>
          <w:szCs w:val="24"/>
        </w:rPr>
        <w:t>,</w:t>
      </w:r>
      <w:r w:rsidR="00E96B88" w:rsidRPr="00C372E2">
        <w:rPr>
          <w:rFonts w:ascii="Times New Roman" w:hAnsi="Times New Roman" w:cs="Times New Roman"/>
          <w:sz w:val="24"/>
          <w:szCs w:val="24"/>
        </w:rPr>
        <w:t xml:space="preserve"> which </w:t>
      </w:r>
      <w:bookmarkStart w:id="11" w:name="_Hlk38806460"/>
      <w:r w:rsidR="00C85C27" w:rsidRPr="00C372E2">
        <w:rPr>
          <w:rFonts w:ascii="Times New Roman" w:hAnsi="Times New Roman" w:cs="Times New Roman"/>
          <w:sz w:val="24"/>
          <w:szCs w:val="24"/>
        </w:rPr>
        <w:t xml:space="preserve">indicates a </w:t>
      </w:r>
      <w:r w:rsidR="00E96B88" w:rsidRPr="00C372E2">
        <w:rPr>
          <w:rFonts w:ascii="Times New Roman" w:hAnsi="Times New Roman" w:cs="Times New Roman"/>
          <w:sz w:val="24"/>
          <w:szCs w:val="24"/>
        </w:rPr>
        <w:t>good quality</w:t>
      </w:r>
      <w:r w:rsidR="00C85C27" w:rsidRPr="00C372E2">
        <w:rPr>
          <w:rFonts w:ascii="Times New Roman" w:hAnsi="Times New Roman" w:cs="Times New Roman"/>
          <w:sz w:val="24"/>
          <w:szCs w:val="24"/>
        </w:rPr>
        <w:t>; the exceptions were the rating scores for</w:t>
      </w:r>
      <w:bookmarkEnd w:id="11"/>
      <w:r w:rsidR="00E96B88" w:rsidRPr="00C372E2">
        <w:rPr>
          <w:rFonts w:ascii="Times New Roman" w:hAnsi="Times New Roman" w:cs="Times New Roman"/>
          <w:sz w:val="24"/>
          <w:szCs w:val="24"/>
        </w:rPr>
        <w:t xml:space="preserve"> image clarity </w:t>
      </w:r>
      <w:r w:rsidR="00C85C27" w:rsidRPr="00C372E2">
        <w:rPr>
          <w:rFonts w:ascii="Times New Roman" w:hAnsi="Times New Roman" w:cs="Times New Roman"/>
          <w:sz w:val="24"/>
          <w:szCs w:val="24"/>
        </w:rPr>
        <w:t xml:space="preserve">for the </w:t>
      </w:r>
      <w:r w:rsidR="00E96B88" w:rsidRPr="00C372E2">
        <w:rPr>
          <w:rFonts w:ascii="Times New Roman" w:hAnsi="Times New Roman" w:cs="Times New Roman"/>
          <w:sz w:val="24"/>
          <w:szCs w:val="24"/>
        </w:rPr>
        <w:t>Silhouettes and Object Decision</w:t>
      </w:r>
      <w:r w:rsidR="00C85C27" w:rsidRPr="00C372E2">
        <w:rPr>
          <w:rFonts w:ascii="Times New Roman" w:hAnsi="Times New Roman" w:cs="Times New Roman"/>
          <w:sz w:val="24"/>
          <w:szCs w:val="24"/>
        </w:rPr>
        <w:t xml:space="preserve"> subtests</w:t>
      </w:r>
      <w:r w:rsidR="00E96B88" w:rsidRPr="00C372E2">
        <w:rPr>
          <w:rFonts w:ascii="Times New Roman" w:hAnsi="Times New Roman" w:cs="Times New Roman"/>
          <w:sz w:val="24"/>
          <w:szCs w:val="24"/>
        </w:rPr>
        <w:t>.</w:t>
      </w:r>
    </w:p>
    <w:p w14:paraId="40ADB15F" w14:textId="627A7315" w:rsidR="00387A2E" w:rsidRDefault="00387A2E" w:rsidP="00DB4B30">
      <w:pPr>
        <w:pStyle w:val="HTMLPreformatted"/>
        <w:spacing w:after="360" w:line="360" w:lineRule="auto"/>
        <w:rPr>
          <w:rFonts w:ascii="Times New Roman" w:hAnsi="Times New Roman" w:cs="Times New Roman"/>
          <w:sz w:val="24"/>
          <w:szCs w:val="24"/>
        </w:rPr>
      </w:pPr>
    </w:p>
    <w:p w14:paraId="0E9DEA36" w14:textId="5B2EDD93" w:rsidR="00387A2E" w:rsidRDefault="00387A2E" w:rsidP="00DB4B30">
      <w:pPr>
        <w:pStyle w:val="HTMLPreformatted"/>
        <w:spacing w:after="360" w:line="360" w:lineRule="auto"/>
        <w:rPr>
          <w:rFonts w:ascii="Times New Roman" w:hAnsi="Times New Roman" w:cs="Times New Roman"/>
          <w:sz w:val="24"/>
          <w:szCs w:val="24"/>
        </w:rPr>
      </w:pPr>
    </w:p>
    <w:p w14:paraId="2FF746F1" w14:textId="3C694CAA" w:rsidR="00387A2E" w:rsidRDefault="00387A2E" w:rsidP="00DB4B30">
      <w:pPr>
        <w:pStyle w:val="HTMLPreformatted"/>
        <w:spacing w:after="360" w:line="360" w:lineRule="auto"/>
        <w:rPr>
          <w:rFonts w:ascii="Times New Roman" w:hAnsi="Times New Roman" w:cs="Times New Roman"/>
          <w:sz w:val="24"/>
          <w:szCs w:val="24"/>
        </w:rPr>
      </w:pPr>
    </w:p>
    <w:p w14:paraId="2EAEE9AE" w14:textId="77777777" w:rsidR="00387A2E" w:rsidRDefault="00387A2E" w:rsidP="00DB4B30">
      <w:pPr>
        <w:pStyle w:val="HTMLPreformatted"/>
        <w:spacing w:after="360" w:line="360" w:lineRule="auto"/>
        <w:rPr>
          <w:rFonts w:ascii="Times New Roman" w:hAnsi="Times New Roman" w:cs="Times New Roman"/>
          <w:sz w:val="24"/>
          <w:szCs w:val="24"/>
        </w:rPr>
      </w:pPr>
    </w:p>
    <w:p w14:paraId="6872000E" w14:textId="77777777" w:rsidR="00387A2E" w:rsidRPr="00387A2E" w:rsidRDefault="00387A2E" w:rsidP="00387A2E">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b/>
          <w:bCs/>
        </w:rPr>
      </w:pPr>
      <w:r w:rsidRPr="00387A2E">
        <w:rPr>
          <w:rFonts w:eastAsia="Times New Roman"/>
          <w:b/>
          <w:bCs/>
        </w:rPr>
        <w:lastRenderedPageBreak/>
        <w:t xml:space="preserve">Table 6 </w:t>
      </w:r>
    </w:p>
    <w:p w14:paraId="7878F7CB" w14:textId="77777777" w:rsidR="00387A2E" w:rsidRPr="00387A2E" w:rsidRDefault="00387A2E" w:rsidP="00387A2E">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rPr>
      </w:pPr>
      <w:bookmarkStart w:id="12" w:name="_Hlk36803203"/>
      <w:r w:rsidRPr="00387A2E">
        <w:rPr>
          <w:rFonts w:eastAsia="Times New Roman"/>
          <w:i/>
          <w:iCs/>
        </w:rPr>
        <w:t>Testing time</w:t>
      </w:r>
      <w:bookmarkStart w:id="13" w:name="_Hlk36802929"/>
      <w:r w:rsidRPr="00387A2E">
        <w:rPr>
          <w:rFonts w:eastAsia="Times New Roman"/>
          <w:i/>
          <w:iCs/>
        </w:rPr>
        <w:t xml:space="preserve">, rating score of image size, and clarity of images and instructions </w:t>
      </w:r>
      <w:bookmarkEnd w:id="13"/>
      <w:r w:rsidRPr="00387A2E">
        <w:rPr>
          <w:rFonts w:eastAsia="Times New Roman"/>
          <w:i/>
          <w:iCs/>
        </w:rPr>
        <w:t>of each VOSP subtest</w:t>
      </w:r>
    </w:p>
    <w:p w14:paraId="53C7175D" w14:textId="77777777" w:rsidR="00387A2E" w:rsidRPr="00387A2E" w:rsidRDefault="00387A2E" w:rsidP="00387A2E">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8"/>
        </w:rPr>
      </w:pPr>
    </w:p>
    <w:tbl>
      <w:tblPr>
        <w:tblStyle w:val="TableGrid"/>
        <w:tblW w:w="9524" w:type="dxa"/>
        <w:tblLayout w:type="fixed"/>
        <w:tblLook w:val="04A0" w:firstRow="1" w:lastRow="0" w:firstColumn="1" w:lastColumn="0" w:noHBand="0" w:noVBand="1"/>
      </w:tblPr>
      <w:tblGrid>
        <w:gridCol w:w="2494"/>
        <w:gridCol w:w="1644"/>
        <w:gridCol w:w="1644"/>
        <w:gridCol w:w="1644"/>
        <w:gridCol w:w="2098"/>
      </w:tblGrid>
      <w:tr w:rsidR="00387A2E" w:rsidRPr="00387A2E" w14:paraId="11239C7E" w14:textId="77777777" w:rsidTr="000E1146">
        <w:trPr>
          <w:trHeight w:val="340"/>
        </w:trPr>
        <w:tc>
          <w:tcPr>
            <w:tcW w:w="2494" w:type="dxa"/>
            <w:vMerge w:val="restart"/>
            <w:tcBorders>
              <w:top w:val="single" w:sz="4" w:space="0" w:color="auto"/>
              <w:left w:val="single" w:sz="4" w:space="0" w:color="FFFFFF"/>
              <w:right w:val="single" w:sz="4" w:space="0" w:color="FFFFFF"/>
            </w:tcBorders>
            <w:vAlign w:val="center"/>
          </w:tcPr>
          <w:bookmarkEnd w:id="12"/>
          <w:p w14:paraId="17D824ED"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VOSP subtest</w:t>
            </w:r>
          </w:p>
          <w:p w14:paraId="5A0D5F47"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p>
        </w:tc>
        <w:tc>
          <w:tcPr>
            <w:tcW w:w="1644" w:type="dxa"/>
            <w:tcBorders>
              <w:top w:val="single" w:sz="4" w:space="0" w:color="auto"/>
              <w:left w:val="single" w:sz="4" w:space="0" w:color="FFFFFF"/>
              <w:bottom w:val="single" w:sz="4" w:space="0" w:color="FFFFFF"/>
              <w:right w:val="single" w:sz="4" w:space="0" w:color="FFFFFF"/>
            </w:tcBorders>
            <w:vAlign w:val="center"/>
          </w:tcPr>
          <w:p w14:paraId="4E0D1610"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Time (min)</w:t>
            </w:r>
          </w:p>
        </w:tc>
        <w:tc>
          <w:tcPr>
            <w:tcW w:w="1644" w:type="dxa"/>
            <w:tcBorders>
              <w:top w:val="single" w:sz="4" w:space="0" w:color="auto"/>
              <w:left w:val="single" w:sz="4" w:space="0" w:color="FFFFFF"/>
              <w:bottom w:val="single" w:sz="4" w:space="0" w:color="FFFFFF"/>
              <w:right w:val="single" w:sz="4" w:space="0" w:color="FFFFFF"/>
            </w:tcBorders>
            <w:vAlign w:val="center"/>
          </w:tcPr>
          <w:p w14:paraId="67143389"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Image clarity*</w:t>
            </w:r>
          </w:p>
        </w:tc>
        <w:tc>
          <w:tcPr>
            <w:tcW w:w="1644" w:type="dxa"/>
            <w:tcBorders>
              <w:top w:val="single" w:sz="4" w:space="0" w:color="auto"/>
              <w:left w:val="single" w:sz="4" w:space="0" w:color="FFFFFF"/>
              <w:bottom w:val="single" w:sz="4" w:space="0" w:color="FFFFFF"/>
              <w:right w:val="single" w:sz="4" w:space="0" w:color="FFFFFF"/>
            </w:tcBorders>
            <w:vAlign w:val="center"/>
          </w:tcPr>
          <w:p w14:paraId="0D09F2CD"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Image size**</w:t>
            </w:r>
          </w:p>
        </w:tc>
        <w:tc>
          <w:tcPr>
            <w:tcW w:w="2098" w:type="dxa"/>
            <w:tcBorders>
              <w:top w:val="single" w:sz="4" w:space="0" w:color="auto"/>
              <w:left w:val="single" w:sz="4" w:space="0" w:color="FFFFFF"/>
              <w:bottom w:val="single" w:sz="4" w:space="0" w:color="FFFFFF"/>
              <w:right w:val="single" w:sz="4" w:space="0" w:color="FFFFFF"/>
            </w:tcBorders>
            <w:vAlign w:val="center"/>
          </w:tcPr>
          <w:p w14:paraId="51B468C1" w14:textId="77777777" w:rsidR="00387A2E" w:rsidRPr="00387A2E" w:rsidRDefault="00387A2E" w:rsidP="00387A2E">
            <w:pPr>
              <w:widowControl/>
              <w:tabs>
                <w:tab w:val="clear" w:pos="720"/>
              </w:tabs>
              <w:spacing w:after="0" w:line="240" w:lineRule="auto"/>
              <w:ind w:firstLine="0"/>
              <w:jc w:val="center"/>
              <w:rPr>
                <w:rFonts w:eastAsia="Calibri"/>
                <w:b/>
                <w:bCs/>
                <w:sz w:val="20"/>
                <w:szCs w:val="20"/>
              </w:rPr>
            </w:pPr>
            <w:r w:rsidRPr="00387A2E">
              <w:rPr>
                <w:rFonts w:eastAsia="Calibri"/>
                <w:b/>
                <w:bCs/>
                <w:sz w:val="20"/>
                <w:szCs w:val="20"/>
              </w:rPr>
              <w:t>Instruction clarity***</w:t>
            </w:r>
          </w:p>
        </w:tc>
      </w:tr>
      <w:tr w:rsidR="00387A2E" w:rsidRPr="00387A2E" w14:paraId="311FC30A" w14:textId="77777777" w:rsidTr="000E1146">
        <w:trPr>
          <w:trHeight w:val="340"/>
        </w:trPr>
        <w:tc>
          <w:tcPr>
            <w:tcW w:w="2494" w:type="dxa"/>
            <w:vMerge/>
            <w:tcBorders>
              <w:left w:val="single" w:sz="4" w:space="0" w:color="FFFFFF"/>
              <w:bottom w:val="single" w:sz="4" w:space="0" w:color="auto"/>
              <w:right w:val="single" w:sz="4" w:space="0" w:color="FFFFFF"/>
            </w:tcBorders>
          </w:tcPr>
          <w:p w14:paraId="1E37423A" w14:textId="77777777" w:rsidR="00387A2E" w:rsidRPr="00387A2E" w:rsidRDefault="00387A2E" w:rsidP="00387A2E">
            <w:pPr>
              <w:widowControl/>
              <w:tabs>
                <w:tab w:val="clear" w:pos="720"/>
              </w:tabs>
              <w:spacing w:after="0" w:line="240" w:lineRule="auto"/>
              <w:ind w:firstLine="0"/>
              <w:jc w:val="left"/>
              <w:rPr>
                <w:rFonts w:eastAsia="Calibri"/>
                <w:b/>
                <w:bCs/>
                <w:sz w:val="20"/>
                <w:szCs w:val="20"/>
              </w:rPr>
            </w:pPr>
          </w:p>
        </w:tc>
        <w:tc>
          <w:tcPr>
            <w:tcW w:w="1644" w:type="dxa"/>
            <w:tcBorders>
              <w:top w:val="single" w:sz="4" w:space="0" w:color="FFFFFF"/>
              <w:left w:val="single" w:sz="4" w:space="0" w:color="FFFFFF"/>
              <w:bottom w:val="single" w:sz="4" w:space="0" w:color="auto"/>
              <w:right w:val="single" w:sz="4" w:space="0" w:color="FFFFFF"/>
            </w:tcBorders>
            <w:vAlign w:val="center"/>
          </w:tcPr>
          <w:p w14:paraId="48F4643E" w14:textId="77777777" w:rsidR="00387A2E" w:rsidRPr="00387A2E" w:rsidRDefault="00387A2E" w:rsidP="00387A2E">
            <w:pPr>
              <w:widowControl/>
              <w:tabs>
                <w:tab w:val="clear" w:pos="720"/>
              </w:tabs>
              <w:spacing w:after="0" w:line="240" w:lineRule="auto"/>
              <w:ind w:firstLine="0"/>
              <w:jc w:val="center"/>
              <w:rPr>
                <w:rFonts w:eastAsia="Calibri"/>
                <w:sz w:val="20"/>
                <w:szCs w:val="20"/>
                <w:cs/>
              </w:rPr>
            </w:pPr>
            <w:r w:rsidRPr="00387A2E">
              <w:rPr>
                <w:rFonts w:eastAsia="Calibri"/>
                <w:b/>
                <w:bCs/>
                <w:sz w:val="20"/>
                <w:szCs w:val="20"/>
              </w:rPr>
              <w:t>Mean (SD)</w:t>
            </w:r>
          </w:p>
        </w:tc>
        <w:tc>
          <w:tcPr>
            <w:tcW w:w="1644" w:type="dxa"/>
            <w:tcBorders>
              <w:top w:val="single" w:sz="4" w:space="0" w:color="FFFFFF"/>
              <w:left w:val="single" w:sz="4" w:space="0" w:color="FFFFFF"/>
              <w:bottom w:val="single" w:sz="4" w:space="0" w:color="auto"/>
              <w:right w:val="single" w:sz="4" w:space="0" w:color="FFFFFF"/>
            </w:tcBorders>
            <w:vAlign w:val="center"/>
          </w:tcPr>
          <w:p w14:paraId="62B668B3" w14:textId="77777777" w:rsidR="00387A2E" w:rsidRPr="00387A2E" w:rsidRDefault="00387A2E" w:rsidP="00387A2E">
            <w:pPr>
              <w:widowControl/>
              <w:tabs>
                <w:tab w:val="clear" w:pos="720"/>
              </w:tabs>
              <w:spacing w:after="0" w:line="240" w:lineRule="auto"/>
              <w:ind w:firstLine="0"/>
              <w:jc w:val="center"/>
              <w:rPr>
                <w:rFonts w:eastAsia="Calibri"/>
                <w:sz w:val="20"/>
                <w:szCs w:val="20"/>
                <w:cs/>
              </w:rPr>
            </w:pPr>
            <w:r w:rsidRPr="00387A2E">
              <w:rPr>
                <w:rFonts w:eastAsia="Calibri"/>
                <w:b/>
                <w:bCs/>
                <w:sz w:val="20"/>
                <w:szCs w:val="20"/>
              </w:rPr>
              <w:t>Mean (SD)</w:t>
            </w:r>
          </w:p>
        </w:tc>
        <w:tc>
          <w:tcPr>
            <w:tcW w:w="1644" w:type="dxa"/>
            <w:tcBorders>
              <w:top w:val="single" w:sz="4" w:space="0" w:color="FFFFFF"/>
              <w:left w:val="single" w:sz="4" w:space="0" w:color="FFFFFF"/>
              <w:bottom w:val="single" w:sz="4" w:space="0" w:color="auto"/>
              <w:right w:val="single" w:sz="4" w:space="0" w:color="FFFFFF"/>
            </w:tcBorders>
            <w:vAlign w:val="center"/>
          </w:tcPr>
          <w:p w14:paraId="0ADB947D" w14:textId="77777777" w:rsidR="00387A2E" w:rsidRPr="00387A2E" w:rsidRDefault="00387A2E" w:rsidP="00387A2E">
            <w:pPr>
              <w:widowControl/>
              <w:tabs>
                <w:tab w:val="clear" w:pos="720"/>
              </w:tabs>
              <w:spacing w:after="0" w:line="240" w:lineRule="auto"/>
              <w:ind w:firstLine="0"/>
              <w:jc w:val="center"/>
              <w:rPr>
                <w:rFonts w:eastAsia="Calibri"/>
                <w:sz w:val="20"/>
                <w:szCs w:val="20"/>
                <w:cs/>
              </w:rPr>
            </w:pPr>
            <w:r w:rsidRPr="00387A2E">
              <w:rPr>
                <w:rFonts w:eastAsia="Calibri"/>
                <w:b/>
                <w:bCs/>
                <w:sz w:val="20"/>
                <w:szCs w:val="20"/>
              </w:rPr>
              <w:t>Mean (SD)</w:t>
            </w:r>
          </w:p>
        </w:tc>
        <w:tc>
          <w:tcPr>
            <w:tcW w:w="2098" w:type="dxa"/>
            <w:tcBorders>
              <w:top w:val="single" w:sz="4" w:space="0" w:color="FFFFFF"/>
              <w:left w:val="single" w:sz="4" w:space="0" w:color="FFFFFF"/>
              <w:bottom w:val="single" w:sz="4" w:space="0" w:color="auto"/>
              <w:right w:val="single" w:sz="4" w:space="0" w:color="FFFFFF"/>
            </w:tcBorders>
            <w:vAlign w:val="center"/>
          </w:tcPr>
          <w:p w14:paraId="24DC43BF" w14:textId="77777777" w:rsidR="00387A2E" w:rsidRPr="00387A2E" w:rsidRDefault="00387A2E" w:rsidP="00387A2E">
            <w:pPr>
              <w:widowControl/>
              <w:tabs>
                <w:tab w:val="clear" w:pos="720"/>
              </w:tabs>
              <w:spacing w:after="0" w:line="240" w:lineRule="auto"/>
              <w:ind w:firstLine="0"/>
              <w:jc w:val="center"/>
              <w:rPr>
                <w:rFonts w:eastAsia="Calibri"/>
                <w:sz w:val="20"/>
                <w:szCs w:val="20"/>
                <w:cs/>
              </w:rPr>
            </w:pPr>
            <w:r w:rsidRPr="00387A2E">
              <w:rPr>
                <w:rFonts w:eastAsia="Calibri"/>
                <w:b/>
                <w:bCs/>
                <w:sz w:val="20"/>
                <w:szCs w:val="20"/>
              </w:rPr>
              <w:t>Mean (SD)</w:t>
            </w:r>
          </w:p>
        </w:tc>
      </w:tr>
      <w:tr w:rsidR="00387A2E" w:rsidRPr="00387A2E" w14:paraId="18FB62BA" w14:textId="77777777" w:rsidTr="000E1146">
        <w:trPr>
          <w:trHeight w:val="340"/>
        </w:trPr>
        <w:tc>
          <w:tcPr>
            <w:tcW w:w="2494" w:type="dxa"/>
            <w:tcBorders>
              <w:top w:val="single" w:sz="4" w:space="0" w:color="auto"/>
              <w:left w:val="single" w:sz="4" w:space="0" w:color="FFFFFF"/>
              <w:bottom w:val="single" w:sz="4" w:space="0" w:color="FFFFFF"/>
              <w:right w:val="single" w:sz="4" w:space="0" w:color="FFFFFF"/>
            </w:tcBorders>
          </w:tcPr>
          <w:p w14:paraId="2A8A2981" w14:textId="77777777" w:rsidR="00387A2E" w:rsidRPr="00387A2E" w:rsidRDefault="00387A2E" w:rsidP="00387A2E">
            <w:pPr>
              <w:widowControl/>
              <w:tabs>
                <w:tab w:val="clear" w:pos="720"/>
              </w:tabs>
              <w:spacing w:before="60" w:after="0" w:line="240" w:lineRule="auto"/>
              <w:ind w:firstLine="0"/>
              <w:jc w:val="left"/>
              <w:rPr>
                <w:rFonts w:eastAsia="Calibri"/>
                <w:sz w:val="20"/>
                <w:szCs w:val="20"/>
              </w:rPr>
            </w:pPr>
            <w:r w:rsidRPr="00387A2E">
              <w:rPr>
                <w:rFonts w:eastAsia="Calibri"/>
                <w:b/>
                <w:bCs/>
                <w:sz w:val="20"/>
                <w:szCs w:val="20"/>
              </w:rPr>
              <w:t xml:space="preserve">   Shape Detection</w:t>
            </w:r>
          </w:p>
        </w:tc>
        <w:tc>
          <w:tcPr>
            <w:tcW w:w="1644" w:type="dxa"/>
            <w:tcBorders>
              <w:top w:val="single" w:sz="4" w:space="0" w:color="auto"/>
              <w:left w:val="single" w:sz="4" w:space="0" w:color="FFFFFF"/>
              <w:bottom w:val="single" w:sz="4" w:space="0" w:color="FFFFFF"/>
              <w:right w:val="single" w:sz="4" w:space="0" w:color="FFFFFF"/>
            </w:tcBorders>
          </w:tcPr>
          <w:p w14:paraId="11670FA9" w14:textId="77777777" w:rsidR="00387A2E" w:rsidRPr="00387A2E" w:rsidRDefault="00387A2E" w:rsidP="00387A2E">
            <w:pPr>
              <w:widowControl/>
              <w:tabs>
                <w:tab w:val="clear" w:pos="720"/>
              </w:tabs>
              <w:spacing w:before="60" w:after="0" w:line="240" w:lineRule="auto"/>
              <w:ind w:firstLine="0"/>
              <w:jc w:val="center"/>
              <w:rPr>
                <w:rFonts w:eastAsia="Calibri"/>
                <w:sz w:val="20"/>
                <w:szCs w:val="20"/>
                <w:cs/>
              </w:rPr>
            </w:pPr>
            <w:r w:rsidRPr="00387A2E">
              <w:rPr>
                <w:rFonts w:eastAsia="Calibri"/>
                <w:sz w:val="20"/>
                <w:szCs w:val="20"/>
              </w:rPr>
              <w:t>0.97 (0.28)</w:t>
            </w:r>
          </w:p>
        </w:tc>
        <w:tc>
          <w:tcPr>
            <w:tcW w:w="1644" w:type="dxa"/>
            <w:tcBorders>
              <w:top w:val="single" w:sz="4" w:space="0" w:color="auto"/>
              <w:left w:val="single" w:sz="4" w:space="0" w:color="FFFFFF"/>
              <w:bottom w:val="single" w:sz="4" w:space="0" w:color="FFFFFF"/>
              <w:right w:val="single" w:sz="4" w:space="0" w:color="FFFFFF"/>
            </w:tcBorders>
          </w:tcPr>
          <w:p w14:paraId="39D0790C" w14:textId="77777777" w:rsidR="00387A2E" w:rsidRPr="00387A2E" w:rsidRDefault="00387A2E" w:rsidP="00387A2E">
            <w:pPr>
              <w:widowControl/>
              <w:tabs>
                <w:tab w:val="clear" w:pos="720"/>
              </w:tabs>
              <w:spacing w:before="60" w:after="0" w:line="240" w:lineRule="auto"/>
              <w:ind w:firstLine="0"/>
              <w:jc w:val="center"/>
              <w:rPr>
                <w:rFonts w:eastAsia="Calibri"/>
                <w:sz w:val="20"/>
                <w:szCs w:val="20"/>
              </w:rPr>
            </w:pPr>
            <w:r w:rsidRPr="00387A2E">
              <w:rPr>
                <w:rFonts w:eastAsia="Calibri"/>
                <w:sz w:val="20"/>
                <w:szCs w:val="20"/>
              </w:rPr>
              <w:t>4.45 (0.68)</w:t>
            </w:r>
          </w:p>
        </w:tc>
        <w:tc>
          <w:tcPr>
            <w:tcW w:w="1644" w:type="dxa"/>
            <w:tcBorders>
              <w:top w:val="single" w:sz="4" w:space="0" w:color="auto"/>
              <w:left w:val="single" w:sz="4" w:space="0" w:color="FFFFFF"/>
              <w:bottom w:val="single" w:sz="4" w:space="0" w:color="FFFFFF"/>
              <w:right w:val="single" w:sz="4" w:space="0" w:color="FFFFFF"/>
            </w:tcBorders>
          </w:tcPr>
          <w:p w14:paraId="0DC0931C" w14:textId="77777777" w:rsidR="00387A2E" w:rsidRPr="00387A2E" w:rsidRDefault="00387A2E" w:rsidP="00387A2E">
            <w:pPr>
              <w:widowControl/>
              <w:tabs>
                <w:tab w:val="clear" w:pos="720"/>
              </w:tabs>
              <w:spacing w:before="60" w:after="0" w:line="240" w:lineRule="auto"/>
              <w:ind w:firstLine="0"/>
              <w:jc w:val="center"/>
              <w:rPr>
                <w:rFonts w:eastAsia="Calibri"/>
                <w:sz w:val="20"/>
                <w:szCs w:val="20"/>
              </w:rPr>
            </w:pPr>
            <w:r w:rsidRPr="00387A2E">
              <w:rPr>
                <w:rFonts w:eastAsia="Calibri"/>
                <w:sz w:val="20"/>
                <w:szCs w:val="20"/>
              </w:rPr>
              <w:t>4.83 (0.39)</w:t>
            </w:r>
          </w:p>
        </w:tc>
        <w:tc>
          <w:tcPr>
            <w:tcW w:w="2098" w:type="dxa"/>
            <w:tcBorders>
              <w:top w:val="single" w:sz="4" w:space="0" w:color="auto"/>
              <w:left w:val="single" w:sz="4" w:space="0" w:color="FFFFFF"/>
              <w:bottom w:val="single" w:sz="4" w:space="0" w:color="FFFFFF"/>
              <w:right w:val="single" w:sz="4" w:space="0" w:color="FFFFFF"/>
            </w:tcBorders>
          </w:tcPr>
          <w:p w14:paraId="2FD8532B" w14:textId="77777777" w:rsidR="00387A2E" w:rsidRPr="00387A2E" w:rsidRDefault="00387A2E" w:rsidP="00387A2E">
            <w:pPr>
              <w:widowControl/>
              <w:tabs>
                <w:tab w:val="clear" w:pos="720"/>
              </w:tabs>
              <w:spacing w:before="60" w:after="0" w:line="240" w:lineRule="auto"/>
              <w:ind w:firstLine="0"/>
              <w:jc w:val="center"/>
              <w:rPr>
                <w:rFonts w:eastAsia="Calibri"/>
                <w:sz w:val="20"/>
                <w:szCs w:val="20"/>
              </w:rPr>
            </w:pPr>
            <w:r w:rsidRPr="00387A2E">
              <w:rPr>
                <w:rFonts w:eastAsia="Calibri"/>
                <w:sz w:val="20"/>
                <w:szCs w:val="20"/>
              </w:rPr>
              <w:t>4.93 (0.27)</w:t>
            </w:r>
          </w:p>
        </w:tc>
      </w:tr>
      <w:tr w:rsidR="00387A2E" w:rsidRPr="00387A2E" w14:paraId="74FB8546"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shd w:val="clear" w:color="auto" w:fill="auto"/>
          </w:tcPr>
          <w:p w14:paraId="7F0745B2" w14:textId="77777777" w:rsidR="00387A2E" w:rsidRPr="00387A2E" w:rsidRDefault="00387A2E" w:rsidP="00387A2E">
            <w:pPr>
              <w:widowControl/>
              <w:tabs>
                <w:tab w:val="clear" w:pos="720"/>
              </w:tabs>
              <w:spacing w:after="0" w:line="240" w:lineRule="auto"/>
              <w:ind w:firstLine="0"/>
              <w:jc w:val="left"/>
              <w:rPr>
                <w:rFonts w:eastAsia="Calibri"/>
                <w:sz w:val="20"/>
                <w:szCs w:val="20"/>
              </w:rPr>
            </w:pPr>
            <w:r w:rsidRPr="00387A2E">
              <w:rPr>
                <w:rFonts w:eastAsia="Calibri"/>
                <w:b/>
                <w:bCs/>
                <w:sz w:val="20"/>
                <w:szCs w:val="20"/>
              </w:rPr>
              <w:t>Object Perception</w:t>
            </w:r>
          </w:p>
        </w:tc>
        <w:tc>
          <w:tcPr>
            <w:tcW w:w="1644" w:type="dxa"/>
            <w:tcBorders>
              <w:top w:val="single" w:sz="4" w:space="0" w:color="FFFFFF"/>
              <w:left w:val="single" w:sz="4" w:space="0" w:color="FFFFFF"/>
              <w:bottom w:val="single" w:sz="4" w:space="0" w:color="FFFFFF"/>
              <w:right w:val="single" w:sz="4" w:space="0" w:color="FFFFFF"/>
            </w:tcBorders>
            <w:shd w:val="clear" w:color="auto" w:fill="auto"/>
          </w:tcPr>
          <w:p w14:paraId="5509AC7B" w14:textId="77777777" w:rsidR="00387A2E" w:rsidRPr="00387A2E" w:rsidRDefault="00387A2E" w:rsidP="00387A2E">
            <w:pPr>
              <w:widowControl/>
              <w:tabs>
                <w:tab w:val="clear" w:pos="720"/>
              </w:tabs>
              <w:spacing w:after="0" w:line="240" w:lineRule="auto"/>
              <w:ind w:firstLine="0"/>
              <w:jc w:val="left"/>
              <w:rPr>
                <w:rFonts w:eastAsia="Calibri"/>
                <w:sz w:val="20"/>
                <w:szCs w:val="20"/>
              </w:rPr>
            </w:pPr>
          </w:p>
        </w:tc>
        <w:tc>
          <w:tcPr>
            <w:tcW w:w="1644" w:type="dxa"/>
            <w:tcBorders>
              <w:top w:val="single" w:sz="4" w:space="0" w:color="FFFFFF"/>
              <w:left w:val="single" w:sz="4" w:space="0" w:color="FFFFFF"/>
              <w:bottom w:val="single" w:sz="4" w:space="0" w:color="FFFFFF"/>
              <w:right w:val="single" w:sz="4" w:space="0" w:color="FFFFFF"/>
            </w:tcBorders>
            <w:shd w:val="clear" w:color="auto" w:fill="auto"/>
          </w:tcPr>
          <w:p w14:paraId="6F2ADD65" w14:textId="77777777" w:rsidR="00387A2E" w:rsidRPr="00387A2E" w:rsidRDefault="00387A2E" w:rsidP="00387A2E">
            <w:pPr>
              <w:widowControl/>
              <w:tabs>
                <w:tab w:val="clear" w:pos="720"/>
              </w:tabs>
              <w:spacing w:after="0" w:line="240" w:lineRule="auto"/>
              <w:ind w:firstLine="0"/>
              <w:jc w:val="left"/>
              <w:rPr>
                <w:rFonts w:eastAsia="Calibri"/>
                <w:sz w:val="20"/>
                <w:szCs w:val="20"/>
              </w:rPr>
            </w:pPr>
          </w:p>
        </w:tc>
        <w:tc>
          <w:tcPr>
            <w:tcW w:w="1644" w:type="dxa"/>
            <w:tcBorders>
              <w:top w:val="single" w:sz="4" w:space="0" w:color="FFFFFF"/>
              <w:left w:val="single" w:sz="4" w:space="0" w:color="FFFFFF"/>
              <w:bottom w:val="single" w:sz="4" w:space="0" w:color="FFFFFF"/>
              <w:right w:val="single" w:sz="4" w:space="0" w:color="FFFFFF"/>
            </w:tcBorders>
            <w:shd w:val="clear" w:color="auto" w:fill="auto"/>
          </w:tcPr>
          <w:p w14:paraId="5A7C6F6A" w14:textId="77777777" w:rsidR="00387A2E" w:rsidRPr="00387A2E" w:rsidRDefault="00387A2E" w:rsidP="00387A2E">
            <w:pPr>
              <w:widowControl/>
              <w:tabs>
                <w:tab w:val="clear" w:pos="720"/>
              </w:tabs>
              <w:spacing w:after="0" w:line="240" w:lineRule="auto"/>
              <w:ind w:firstLine="0"/>
              <w:jc w:val="left"/>
              <w:rPr>
                <w:rFonts w:eastAsia="Calibri"/>
                <w:sz w:val="20"/>
                <w:szCs w:val="20"/>
              </w:rPr>
            </w:pPr>
          </w:p>
        </w:tc>
        <w:tc>
          <w:tcPr>
            <w:tcW w:w="2098" w:type="dxa"/>
            <w:tcBorders>
              <w:top w:val="single" w:sz="4" w:space="0" w:color="FFFFFF"/>
              <w:left w:val="single" w:sz="4" w:space="0" w:color="FFFFFF"/>
              <w:bottom w:val="single" w:sz="4" w:space="0" w:color="FFFFFF"/>
              <w:right w:val="single" w:sz="4" w:space="0" w:color="FFFFFF"/>
            </w:tcBorders>
            <w:shd w:val="clear" w:color="auto" w:fill="auto"/>
          </w:tcPr>
          <w:p w14:paraId="72CB1BEF" w14:textId="77777777" w:rsidR="00387A2E" w:rsidRPr="00387A2E" w:rsidRDefault="00387A2E" w:rsidP="00387A2E">
            <w:pPr>
              <w:widowControl/>
              <w:tabs>
                <w:tab w:val="clear" w:pos="720"/>
              </w:tabs>
              <w:spacing w:after="0" w:line="240" w:lineRule="auto"/>
              <w:ind w:firstLine="0"/>
              <w:jc w:val="left"/>
              <w:rPr>
                <w:rFonts w:eastAsia="Calibri"/>
                <w:sz w:val="20"/>
                <w:szCs w:val="20"/>
              </w:rPr>
            </w:pPr>
          </w:p>
        </w:tc>
      </w:tr>
      <w:tr w:rsidR="00387A2E" w:rsidRPr="00387A2E" w14:paraId="38D80F2C"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tcPr>
          <w:p w14:paraId="7034CC88" w14:textId="77777777" w:rsidR="00387A2E" w:rsidRPr="00387A2E" w:rsidRDefault="00387A2E" w:rsidP="00387A2E">
            <w:pPr>
              <w:widowControl/>
              <w:tabs>
                <w:tab w:val="clear" w:pos="720"/>
              </w:tabs>
              <w:spacing w:after="0" w:line="240" w:lineRule="auto"/>
              <w:ind w:firstLine="0"/>
              <w:jc w:val="left"/>
              <w:rPr>
                <w:rFonts w:eastAsia="Calibri"/>
                <w:sz w:val="20"/>
                <w:szCs w:val="20"/>
              </w:rPr>
            </w:pPr>
            <w:r w:rsidRPr="00387A2E">
              <w:rPr>
                <w:rFonts w:eastAsia="Calibri"/>
                <w:b/>
                <w:bCs/>
                <w:sz w:val="20"/>
                <w:szCs w:val="20"/>
              </w:rPr>
              <w:t xml:space="preserve">   Incomplete Letters</w:t>
            </w:r>
          </w:p>
        </w:tc>
        <w:tc>
          <w:tcPr>
            <w:tcW w:w="1644" w:type="dxa"/>
            <w:tcBorders>
              <w:top w:val="single" w:sz="4" w:space="0" w:color="FFFFFF"/>
              <w:left w:val="single" w:sz="4" w:space="0" w:color="FFFFFF"/>
              <w:bottom w:val="single" w:sz="4" w:space="0" w:color="FFFFFF"/>
              <w:right w:val="single" w:sz="4" w:space="0" w:color="FFFFFF"/>
            </w:tcBorders>
          </w:tcPr>
          <w:p w14:paraId="34977238"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1.01 (0.41)</w:t>
            </w:r>
          </w:p>
        </w:tc>
        <w:tc>
          <w:tcPr>
            <w:tcW w:w="1644" w:type="dxa"/>
            <w:tcBorders>
              <w:top w:val="single" w:sz="4" w:space="0" w:color="FFFFFF"/>
              <w:left w:val="single" w:sz="4" w:space="0" w:color="FFFFFF"/>
              <w:bottom w:val="single" w:sz="4" w:space="0" w:color="FFFFFF"/>
              <w:right w:val="single" w:sz="4" w:space="0" w:color="FFFFFF"/>
            </w:tcBorders>
          </w:tcPr>
          <w:p w14:paraId="3105AF14"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4.20 (0.76)</w:t>
            </w:r>
          </w:p>
        </w:tc>
        <w:tc>
          <w:tcPr>
            <w:tcW w:w="1644" w:type="dxa"/>
            <w:tcBorders>
              <w:top w:val="single" w:sz="4" w:space="0" w:color="FFFFFF"/>
              <w:left w:val="single" w:sz="4" w:space="0" w:color="FFFFFF"/>
              <w:bottom w:val="single" w:sz="4" w:space="0" w:color="FFFFFF"/>
              <w:right w:val="single" w:sz="4" w:space="0" w:color="FFFFFF"/>
            </w:tcBorders>
          </w:tcPr>
          <w:p w14:paraId="421A58D9"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4.38 (0.67)</w:t>
            </w:r>
          </w:p>
        </w:tc>
        <w:tc>
          <w:tcPr>
            <w:tcW w:w="2098" w:type="dxa"/>
            <w:tcBorders>
              <w:top w:val="single" w:sz="4" w:space="0" w:color="FFFFFF"/>
              <w:left w:val="single" w:sz="4" w:space="0" w:color="FFFFFF"/>
              <w:bottom w:val="single" w:sz="4" w:space="0" w:color="FFFFFF"/>
              <w:right w:val="single" w:sz="4" w:space="0" w:color="FFFFFF"/>
            </w:tcBorders>
          </w:tcPr>
          <w:p w14:paraId="07CF5AB9"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4.95 (0.22)</w:t>
            </w:r>
          </w:p>
        </w:tc>
      </w:tr>
      <w:tr w:rsidR="00387A2E" w:rsidRPr="00387A2E" w14:paraId="30FFD75D"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tcPr>
          <w:p w14:paraId="53CAEC04" w14:textId="77777777" w:rsidR="00387A2E" w:rsidRPr="00387A2E" w:rsidRDefault="00387A2E" w:rsidP="00387A2E">
            <w:pPr>
              <w:widowControl/>
              <w:tabs>
                <w:tab w:val="clear" w:pos="720"/>
              </w:tabs>
              <w:spacing w:after="0" w:line="240" w:lineRule="auto"/>
              <w:ind w:firstLine="0"/>
              <w:jc w:val="left"/>
              <w:rPr>
                <w:rFonts w:eastAsia="Calibri"/>
                <w:sz w:val="20"/>
                <w:szCs w:val="20"/>
              </w:rPr>
            </w:pPr>
            <w:r w:rsidRPr="00387A2E">
              <w:rPr>
                <w:rFonts w:eastAsia="Calibri"/>
                <w:b/>
                <w:bCs/>
                <w:sz w:val="20"/>
                <w:szCs w:val="20"/>
              </w:rPr>
              <w:t xml:space="preserve">   Silhouettes</w:t>
            </w:r>
          </w:p>
        </w:tc>
        <w:tc>
          <w:tcPr>
            <w:tcW w:w="1644" w:type="dxa"/>
            <w:tcBorders>
              <w:top w:val="single" w:sz="4" w:space="0" w:color="FFFFFF"/>
              <w:left w:val="single" w:sz="4" w:space="0" w:color="FFFFFF"/>
              <w:bottom w:val="single" w:sz="4" w:space="0" w:color="FFFFFF"/>
              <w:right w:val="single" w:sz="4" w:space="0" w:color="FFFFFF"/>
            </w:tcBorders>
          </w:tcPr>
          <w:p w14:paraId="2ACD37E9"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4.96 (1.63)</w:t>
            </w:r>
          </w:p>
        </w:tc>
        <w:tc>
          <w:tcPr>
            <w:tcW w:w="1644" w:type="dxa"/>
            <w:tcBorders>
              <w:top w:val="single" w:sz="4" w:space="0" w:color="FFFFFF"/>
              <w:left w:val="single" w:sz="4" w:space="0" w:color="FFFFFF"/>
              <w:bottom w:val="single" w:sz="4" w:space="0" w:color="FFFFFF"/>
              <w:right w:val="single" w:sz="4" w:space="0" w:color="FFFFFF"/>
            </w:tcBorders>
          </w:tcPr>
          <w:p w14:paraId="1DE6B30C"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3.93 (1.05)</w:t>
            </w:r>
          </w:p>
        </w:tc>
        <w:tc>
          <w:tcPr>
            <w:tcW w:w="1644" w:type="dxa"/>
            <w:tcBorders>
              <w:top w:val="single" w:sz="4" w:space="0" w:color="FFFFFF"/>
              <w:left w:val="single" w:sz="4" w:space="0" w:color="FFFFFF"/>
              <w:bottom w:val="single" w:sz="4" w:space="0" w:color="FFFFFF"/>
              <w:right w:val="single" w:sz="4" w:space="0" w:color="FFFFFF"/>
            </w:tcBorders>
          </w:tcPr>
          <w:p w14:paraId="366F9F30"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4.60 (0.84)</w:t>
            </w:r>
          </w:p>
        </w:tc>
        <w:tc>
          <w:tcPr>
            <w:tcW w:w="2098" w:type="dxa"/>
            <w:tcBorders>
              <w:top w:val="single" w:sz="4" w:space="0" w:color="FFFFFF"/>
              <w:left w:val="single" w:sz="4" w:space="0" w:color="FFFFFF"/>
              <w:bottom w:val="single" w:sz="4" w:space="0" w:color="FFFFFF"/>
              <w:right w:val="single" w:sz="4" w:space="0" w:color="FFFFFF"/>
            </w:tcBorders>
          </w:tcPr>
          <w:p w14:paraId="733AC761"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4.88 (0.34)</w:t>
            </w:r>
          </w:p>
        </w:tc>
      </w:tr>
      <w:tr w:rsidR="00387A2E" w:rsidRPr="00387A2E" w14:paraId="0D156332"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tcPr>
          <w:p w14:paraId="61F5DFD4" w14:textId="77777777" w:rsidR="00387A2E" w:rsidRPr="00387A2E" w:rsidRDefault="00387A2E" w:rsidP="00387A2E">
            <w:pPr>
              <w:widowControl/>
              <w:tabs>
                <w:tab w:val="clear" w:pos="720"/>
              </w:tabs>
              <w:spacing w:after="0" w:line="240" w:lineRule="auto"/>
              <w:ind w:firstLine="0"/>
              <w:jc w:val="left"/>
              <w:rPr>
                <w:rFonts w:eastAsia="Calibri"/>
                <w:sz w:val="20"/>
                <w:szCs w:val="20"/>
              </w:rPr>
            </w:pPr>
            <w:r w:rsidRPr="00387A2E">
              <w:rPr>
                <w:rFonts w:eastAsia="Calibri"/>
                <w:b/>
                <w:bCs/>
                <w:sz w:val="20"/>
                <w:szCs w:val="20"/>
              </w:rPr>
              <w:t xml:space="preserve">   Object Decision</w:t>
            </w:r>
          </w:p>
        </w:tc>
        <w:tc>
          <w:tcPr>
            <w:tcW w:w="1644" w:type="dxa"/>
            <w:tcBorders>
              <w:top w:val="single" w:sz="4" w:space="0" w:color="FFFFFF"/>
              <w:left w:val="single" w:sz="4" w:space="0" w:color="FFFFFF"/>
              <w:bottom w:val="single" w:sz="4" w:space="0" w:color="FFFFFF"/>
              <w:right w:val="single" w:sz="4" w:space="0" w:color="FFFFFF"/>
            </w:tcBorders>
          </w:tcPr>
          <w:p w14:paraId="3098A813"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4.80 (1.79)</w:t>
            </w:r>
          </w:p>
        </w:tc>
        <w:tc>
          <w:tcPr>
            <w:tcW w:w="1644" w:type="dxa"/>
            <w:tcBorders>
              <w:top w:val="single" w:sz="4" w:space="0" w:color="FFFFFF"/>
              <w:left w:val="single" w:sz="4" w:space="0" w:color="FFFFFF"/>
              <w:bottom w:val="single" w:sz="4" w:space="0" w:color="FFFFFF"/>
              <w:right w:val="single" w:sz="4" w:space="0" w:color="FFFFFF"/>
            </w:tcBorders>
          </w:tcPr>
          <w:p w14:paraId="6B74B57E"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3.85 (0.98)</w:t>
            </w:r>
          </w:p>
        </w:tc>
        <w:tc>
          <w:tcPr>
            <w:tcW w:w="1644" w:type="dxa"/>
            <w:tcBorders>
              <w:top w:val="single" w:sz="4" w:space="0" w:color="FFFFFF"/>
              <w:left w:val="single" w:sz="4" w:space="0" w:color="FFFFFF"/>
              <w:bottom w:val="single" w:sz="4" w:space="0" w:color="FFFFFF"/>
              <w:right w:val="single" w:sz="4" w:space="0" w:color="FFFFFF"/>
            </w:tcBorders>
          </w:tcPr>
          <w:p w14:paraId="7763A5BF"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4,60 (0.71)</w:t>
            </w:r>
          </w:p>
        </w:tc>
        <w:tc>
          <w:tcPr>
            <w:tcW w:w="2098" w:type="dxa"/>
            <w:tcBorders>
              <w:top w:val="single" w:sz="4" w:space="0" w:color="FFFFFF"/>
              <w:left w:val="single" w:sz="4" w:space="0" w:color="FFFFFF"/>
              <w:bottom w:val="single" w:sz="4" w:space="0" w:color="FFFFFF"/>
              <w:right w:val="single" w:sz="4" w:space="0" w:color="FFFFFF"/>
            </w:tcBorders>
          </w:tcPr>
          <w:p w14:paraId="44DA7DB5"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4.70 (0.52)</w:t>
            </w:r>
          </w:p>
        </w:tc>
      </w:tr>
      <w:tr w:rsidR="00387A2E" w:rsidRPr="00387A2E" w14:paraId="04A32A7B"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tcPr>
          <w:p w14:paraId="088B31DC" w14:textId="77777777" w:rsidR="00387A2E" w:rsidRPr="00387A2E" w:rsidRDefault="00387A2E" w:rsidP="00387A2E">
            <w:pPr>
              <w:widowControl/>
              <w:tabs>
                <w:tab w:val="clear" w:pos="720"/>
              </w:tabs>
              <w:spacing w:after="0" w:line="240" w:lineRule="auto"/>
              <w:ind w:firstLine="0"/>
              <w:jc w:val="left"/>
              <w:rPr>
                <w:rFonts w:eastAsia="Calibri"/>
                <w:sz w:val="20"/>
                <w:szCs w:val="20"/>
              </w:rPr>
            </w:pPr>
            <w:r w:rsidRPr="00387A2E">
              <w:rPr>
                <w:rFonts w:eastAsia="Calibri"/>
                <w:b/>
                <w:bCs/>
                <w:sz w:val="20"/>
                <w:szCs w:val="20"/>
              </w:rPr>
              <w:t xml:space="preserve">   Progressive Silhouettes</w:t>
            </w:r>
          </w:p>
        </w:tc>
        <w:tc>
          <w:tcPr>
            <w:tcW w:w="1644" w:type="dxa"/>
            <w:tcBorders>
              <w:top w:val="single" w:sz="4" w:space="0" w:color="FFFFFF"/>
              <w:left w:val="single" w:sz="4" w:space="0" w:color="FFFFFF"/>
              <w:bottom w:val="single" w:sz="4" w:space="0" w:color="FFFFFF"/>
              <w:right w:val="single" w:sz="4" w:space="0" w:color="FFFFFF"/>
            </w:tcBorders>
          </w:tcPr>
          <w:p w14:paraId="5F047D5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2.20 (0.95)</w:t>
            </w:r>
          </w:p>
        </w:tc>
        <w:tc>
          <w:tcPr>
            <w:tcW w:w="1644" w:type="dxa"/>
            <w:tcBorders>
              <w:top w:val="single" w:sz="4" w:space="0" w:color="FFFFFF"/>
              <w:left w:val="single" w:sz="4" w:space="0" w:color="FFFFFF"/>
              <w:bottom w:val="single" w:sz="4" w:space="0" w:color="FFFFFF"/>
              <w:right w:val="single" w:sz="4" w:space="0" w:color="FFFFFF"/>
            </w:tcBorders>
          </w:tcPr>
          <w:p w14:paraId="4A496A31"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4.53 (0.82)</w:t>
            </w:r>
          </w:p>
        </w:tc>
        <w:tc>
          <w:tcPr>
            <w:tcW w:w="1644" w:type="dxa"/>
            <w:tcBorders>
              <w:top w:val="single" w:sz="4" w:space="0" w:color="FFFFFF"/>
              <w:left w:val="single" w:sz="4" w:space="0" w:color="FFFFFF"/>
              <w:bottom w:val="single" w:sz="4" w:space="0" w:color="FFFFFF"/>
              <w:right w:val="single" w:sz="4" w:space="0" w:color="FFFFFF"/>
            </w:tcBorders>
          </w:tcPr>
          <w:p w14:paraId="7D7BAFB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4.78 (0.48)</w:t>
            </w:r>
          </w:p>
        </w:tc>
        <w:tc>
          <w:tcPr>
            <w:tcW w:w="2098" w:type="dxa"/>
            <w:tcBorders>
              <w:top w:val="single" w:sz="4" w:space="0" w:color="FFFFFF"/>
              <w:left w:val="single" w:sz="4" w:space="0" w:color="FFFFFF"/>
              <w:bottom w:val="single" w:sz="4" w:space="0" w:color="FFFFFF"/>
              <w:right w:val="single" w:sz="4" w:space="0" w:color="FFFFFF"/>
            </w:tcBorders>
          </w:tcPr>
          <w:p w14:paraId="0D11F2FA"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4.35 (0.58)</w:t>
            </w:r>
          </w:p>
        </w:tc>
      </w:tr>
      <w:tr w:rsidR="00387A2E" w:rsidRPr="00387A2E" w14:paraId="4349BCF8"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shd w:val="clear" w:color="auto" w:fill="auto"/>
          </w:tcPr>
          <w:p w14:paraId="02A15301" w14:textId="77777777" w:rsidR="00387A2E" w:rsidRPr="00387A2E" w:rsidRDefault="00387A2E" w:rsidP="00387A2E">
            <w:pPr>
              <w:widowControl/>
              <w:tabs>
                <w:tab w:val="clear" w:pos="720"/>
              </w:tabs>
              <w:spacing w:after="0" w:line="240" w:lineRule="auto"/>
              <w:ind w:firstLine="0"/>
              <w:jc w:val="left"/>
              <w:rPr>
                <w:rFonts w:eastAsia="Calibri"/>
                <w:sz w:val="20"/>
                <w:szCs w:val="20"/>
              </w:rPr>
            </w:pPr>
            <w:r w:rsidRPr="00387A2E">
              <w:rPr>
                <w:rFonts w:eastAsia="Calibri"/>
                <w:b/>
                <w:bCs/>
                <w:sz w:val="20"/>
                <w:szCs w:val="20"/>
              </w:rPr>
              <w:t>Space Perception</w:t>
            </w:r>
          </w:p>
        </w:tc>
        <w:tc>
          <w:tcPr>
            <w:tcW w:w="1644" w:type="dxa"/>
            <w:tcBorders>
              <w:top w:val="single" w:sz="4" w:space="0" w:color="FFFFFF"/>
              <w:left w:val="single" w:sz="4" w:space="0" w:color="FFFFFF"/>
              <w:bottom w:val="single" w:sz="4" w:space="0" w:color="FFFFFF"/>
              <w:right w:val="single" w:sz="4" w:space="0" w:color="FFFFFF"/>
            </w:tcBorders>
            <w:shd w:val="clear" w:color="auto" w:fill="auto"/>
          </w:tcPr>
          <w:p w14:paraId="01FA0830" w14:textId="77777777" w:rsidR="00387A2E" w:rsidRPr="00387A2E" w:rsidRDefault="00387A2E" w:rsidP="00387A2E">
            <w:pPr>
              <w:widowControl/>
              <w:tabs>
                <w:tab w:val="clear" w:pos="720"/>
              </w:tabs>
              <w:spacing w:after="0" w:line="240" w:lineRule="auto"/>
              <w:ind w:firstLine="0"/>
              <w:jc w:val="left"/>
              <w:rPr>
                <w:rFonts w:eastAsia="Calibri"/>
                <w:sz w:val="20"/>
                <w:szCs w:val="20"/>
              </w:rPr>
            </w:pPr>
          </w:p>
        </w:tc>
        <w:tc>
          <w:tcPr>
            <w:tcW w:w="1644" w:type="dxa"/>
            <w:tcBorders>
              <w:top w:val="single" w:sz="4" w:space="0" w:color="FFFFFF"/>
              <w:left w:val="single" w:sz="4" w:space="0" w:color="FFFFFF"/>
              <w:bottom w:val="single" w:sz="4" w:space="0" w:color="FFFFFF"/>
              <w:right w:val="single" w:sz="4" w:space="0" w:color="FFFFFF"/>
            </w:tcBorders>
            <w:shd w:val="clear" w:color="auto" w:fill="auto"/>
          </w:tcPr>
          <w:p w14:paraId="7018BD1A" w14:textId="77777777" w:rsidR="00387A2E" w:rsidRPr="00387A2E" w:rsidRDefault="00387A2E" w:rsidP="00387A2E">
            <w:pPr>
              <w:widowControl/>
              <w:tabs>
                <w:tab w:val="clear" w:pos="720"/>
              </w:tabs>
              <w:spacing w:after="0" w:line="240" w:lineRule="auto"/>
              <w:ind w:firstLine="0"/>
              <w:jc w:val="left"/>
              <w:rPr>
                <w:rFonts w:eastAsia="Calibri"/>
                <w:sz w:val="20"/>
                <w:szCs w:val="20"/>
              </w:rPr>
            </w:pPr>
          </w:p>
        </w:tc>
        <w:tc>
          <w:tcPr>
            <w:tcW w:w="1644" w:type="dxa"/>
            <w:tcBorders>
              <w:top w:val="single" w:sz="4" w:space="0" w:color="FFFFFF"/>
              <w:left w:val="single" w:sz="4" w:space="0" w:color="FFFFFF"/>
              <w:bottom w:val="single" w:sz="4" w:space="0" w:color="FFFFFF"/>
              <w:right w:val="single" w:sz="4" w:space="0" w:color="FFFFFF"/>
            </w:tcBorders>
            <w:shd w:val="clear" w:color="auto" w:fill="auto"/>
          </w:tcPr>
          <w:p w14:paraId="001B90F8" w14:textId="77777777" w:rsidR="00387A2E" w:rsidRPr="00387A2E" w:rsidRDefault="00387A2E" w:rsidP="00387A2E">
            <w:pPr>
              <w:widowControl/>
              <w:tabs>
                <w:tab w:val="clear" w:pos="720"/>
              </w:tabs>
              <w:spacing w:after="0" w:line="240" w:lineRule="auto"/>
              <w:ind w:firstLine="0"/>
              <w:jc w:val="left"/>
              <w:rPr>
                <w:rFonts w:eastAsia="Calibri"/>
                <w:sz w:val="20"/>
                <w:szCs w:val="20"/>
              </w:rPr>
            </w:pPr>
          </w:p>
        </w:tc>
        <w:tc>
          <w:tcPr>
            <w:tcW w:w="2098" w:type="dxa"/>
            <w:tcBorders>
              <w:top w:val="single" w:sz="4" w:space="0" w:color="FFFFFF"/>
              <w:left w:val="single" w:sz="4" w:space="0" w:color="FFFFFF"/>
              <w:bottom w:val="single" w:sz="4" w:space="0" w:color="FFFFFF"/>
              <w:right w:val="single" w:sz="4" w:space="0" w:color="FFFFFF"/>
            </w:tcBorders>
            <w:shd w:val="clear" w:color="auto" w:fill="auto"/>
          </w:tcPr>
          <w:p w14:paraId="3C95361D" w14:textId="77777777" w:rsidR="00387A2E" w:rsidRPr="00387A2E" w:rsidRDefault="00387A2E" w:rsidP="00387A2E">
            <w:pPr>
              <w:widowControl/>
              <w:tabs>
                <w:tab w:val="clear" w:pos="720"/>
              </w:tabs>
              <w:spacing w:after="0" w:line="240" w:lineRule="auto"/>
              <w:ind w:firstLine="0"/>
              <w:jc w:val="left"/>
              <w:rPr>
                <w:rFonts w:eastAsia="Calibri"/>
                <w:sz w:val="20"/>
                <w:szCs w:val="20"/>
              </w:rPr>
            </w:pPr>
          </w:p>
        </w:tc>
      </w:tr>
      <w:tr w:rsidR="00387A2E" w:rsidRPr="00387A2E" w14:paraId="34CC11D2"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tcPr>
          <w:p w14:paraId="7EE3546D" w14:textId="77777777" w:rsidR="00387A2E" w:rsidRPr="00387A2E" w:rsidRDefault="00387A2E" w:rsidP="00387A2E">
            <w:pPr>
              <w:widowControl/>
              <w:tabs>
                <w:tab w:val="clear" w:pos="720"/>
              </w:tabs>
              <w:spacing w:after="0" w:line="240" w:lineRule="auto"/>
              <w:ind w:firstLine="0"/>
              <w:jc w:val="left"/>
              <w:rPr>
                <w:rFonts w:eastAsia="Calibri"/>
                <w:sz w:val="20"/>
                <w:szCs w:val="20"/>
              </w:rPr>
            </w:pPr>
            <w:r w:rsidRPr="00387A2E">
              <w:rPr>
                <w:rFonts w:eastAsia="Calibri"/>
                <w:b/>
                <w:bCs/>
                <w:sz w:val="20"/>
                <w:szCs w:val="20"/>
              </w:rPr>
              <w:t xml:space="preserve">   Dot Counting</w:t>
            </w:r>
          </w:p>
        </w:tc>
        <w:tc>
          <w:tcPr>
            <w:tcW w:w="1644" w:type="dxa"/>
            <w:tcBorders>
              <w:top w:val="single" w:sz="4" w:space="0" w:color="FFFFFF"/>
              <w:left w:val="single" w:sz="4" w:space="0" w:color="FFFFFF"/>
              <w:bottom w:val="single" w:sz="4" w:space="0" w:color="FFFFFF"/>
              <w:right w:val="single" w:sz="4" w:space="0" w:color="FFFFFF"/>
            </w:tcBorders>
          </w:tcPr>
          <w:p w14:paraId="722ACDBC"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0.59 (0.15)</w:t>
            </w:r>
          </w:p>
        </w:tc>
        <w:tc>
          <w:tcPr>
            <w:tcW w:w="1644" w:type="dxa"/>
            <w:tcBorders>
              <w:top w:val="single" w:sz="4" w:space="0" w:color="FFFFFF"/>
              <w:left w:val="single" w:sz="4" w:space="0" w:color="FFFFFF"/>
              <w:bottom w:val="single" w:sz="4" w:space="0" w:color="FFFFFF"/>
              <w:right w:val="single" w:sz="4" w:space="0" w:color="FFFFFF"/>
            </w:tcBorders>
          </w:tcPr>
          <w:p w14:paraId="6F23941D"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4.93 (0.27)</w:t>
            </w:r>
          </w:p>
        </w:tc>
        <w:tc>
          <w:tcPr>
            <w:tcW w:w="1644" w:type="dxa"/>
            <w:tcBorders>
              <w:top w:val="single" w:sz="4" w:space="0" w:color="FFFFFF"/>
              <w:left w:val="single" w:sz="4" w:space="0" w:color="FFFFFF"/>
              <w:bottom w:val="single" w:sz="4" w:space="0" w:color="FFFFFF"/>
              <w:right w:val="single" w:sz="4" w:space="0" w:color="FFFFFF"/>
            </w:tcBorders>
          </w:tcPr>
          <w:p w14:paraId="42F60F40"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4.78 (0.48)</w:t>
            </w:r>
          </w:p>
        </w:tc>
        <w:tc>
          <w:tcPr>
            <w:tcW w:w="2098" w:type="dxa"/>
            <w:tcBorders>
              <w:top w:val="single" w:sz="4" w:space="0" w:color="FFFFFF"/>
              <w:left w:val="single" w:sz="4" w:space="0" w:color="FFFFFF"/>
              <w:bottom w:val="single" w:sz="4" w:space="0" w:color="FFFFFF"/>
              <w:right w:val="single" w:sz="4" w:space="0" w:color="FFFFFF"/>
            </w:tcBorders>
          </w:tcPr>
          <w:p w14:paraId="74B3E7AF"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5.00 (0.00)</w:t>
            </w:r>
          </w:p>
        </w:tc>
      </w:tr>
      <w:tr w:rsidR="00387A2E" w:rsidRPr="00387A2E" w14:paraId="4E51EE7D"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tcPr>
          <w:p w14:paraId="13D478D6" w14:textId="77777777" w:rsidR="00387A2E" w:rsidRPr="00387A2E" w:rsidRDefault="00387A2E" w:rsidP="00387A2E">
            <w:pPr>
              <w:widowControl/>
              <w:tabs>
                <w:tab w:val="clear" w:pos="720"/>
              </w:tabs>
              <w:spacing w:after="0" w:line="240" w:lineRule="auto"/>
              <w:ind w:firstLine="0"/>
              <w:jc w:val="left"/>
              <w:rPr>
                <w:rFonts w:eastAsia="Calibri"/>
                <w:sz w:val="20"/>
                <w:szCs w:val="20"/>
              </w:rPr>
            </w:pPr>
            <w:r w:rsidRPr="00387A2E">
              <w:rPr>
                <w:rFonts w:eastAsia="Calibri"/>
                <w:b/>
                <w:bCs/>
                <w:sz w:val="20"/>
                <w:szCs w:val="20"/>
              </w:rPr>
              <w:t xml:space="preserve">   Position Discrimination</w:t>
            </w:r>
          </w:p>
        </w:tc>
        <w:tc>
          <w:tcPr>
            <w:tcW w:w="1644" w:type="dxa"/>
            <w:tcBorders>
              <w:top w:val="single" w:sz="4" w:space="0" w:color="FFFFFF"/>
              <w:left w:val="single" w:sz="4" w:space="0" w:color="FFFFFF"/>
              <w:bottom w:val="single" w:sz="4" w:space="0" w:color="FFFFFF"/>
              <w:right w:val="single" w:sz="4" w:space="0" w:color="FFFFFF"/>
            </w:tcBorders>
          </w:tcPr>
          <w:p w14:paraId="592C7186"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1.20 (0.45)</w:t>
            </w:r>
          </w:p>
        </w:tc>
        <w:tc>
          <w:tcPr>
            <w:tcW w:w="1644" w:type="dxa"/>
            <w:tcBorders>
              <w:top w:val="single" w:sz="4" w:space="0" w:color="FFFFFF"/>
              <w:left w:val="single" w:sz="4" w:space="0" w:color="FFFFFF"/>
              <w:bottom w:val="single" w:sz="4" w:space="0" w:color="FFFFFF"/>
              <w:right w:val="single" w:sz="4" w:space="0" w:color="FFFFFF"/>
            </w:tcBorders>
          </w:tcPr>
          <w:p w14:paraId="190BFBF9"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4.85 (0.36)</w:t>
            </w:r>
          </w:p>
        </w:tc>
        <w:tc>
          <w:tcPr>
            <w:tcW w:w="1644" w:type="dxa"/>
            <w:tcBorders>
              <w:top w:val="single" w:sz="4" w:space="0" w:color="FFFFFF"/>
              <w:left w:val="single" w:sz="4" w:space="0" w:color="FFFFFF"/>
              <w:bottom w:val="single" w:sz="4" w:space="0" w:color="FFFFFF"/>
              <w:right w:val="single" w:sz="4" w:space="0" w:color="FFFFFF"/>
            </w:tcBorders>
          </w:tcPr>
          <w:p w14:paraId="7BCE2E35"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4.70 (0.52)</w:t>
            </w:r>
          </w:p>
        </w:tc>
        <w:tc>
          <w:tcPr>
            <w:tcW w:w="2098" w:type="dxa"/>
            <w:tcBorders>
              <w:top w:val="single" w:sz="4" w:space="0" w:color="FFFFFF"/>
              <w:left w:val="single" w:sz="4" w:space="0" w:color="FFFFFF"/>
              <w:bottom w:val="single" w:sz="4" w:space="0" w:color="FFFFFF"/>
              <w:right w:val="single" w:sz="4" w:space="0" w:color="FFFFFF"/>
            </w:tcBorders>
          </w:tcPr>
          <w:p w14:paraId="2FCFB4A5"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4.93 (0.27)</w:t>
            </w:r>
          </w:p>
        </w:tc>
      </w:tr>
      <w:tr w:rsidR="00387A2E" w:rsidRPr="00387A2E" w14:paraId="6801A7C6" w14:textId="77777777" w:rsidTr="000E1146">
        <w:trPr>
          <w:trHeight w:val="312"/>
        </w:trPr>
        <w:tc>
          <w:tcPr>
            <w:tcW w:w="2494" w:type="dxa"/>
            <w:tcBorders>
              <w:top w:val="single" w:sz="4" w:space="0" w:color="FFFFFF"/>
              <w:left w:val="single" w:sz="4" w:space="0" w:color="FFFFFF"/>
              <w:bottom w:val="single" w:sz="4" w:space="0" w:color="FFFFFF"/>
              <w:right w:val="single" w:sz="4" w:space="0" w:color="FFFFFF"/>
            </w:tcBorders>
          </w:tcPr>
          <w:p w14:paraId="3837155E" w14:textId="77777777" w:rsidR="00387A2E" w:rsidRPr="00387A2E" w:rsidRDefault="00387A2E" w:rsidP="00387A2E">
            <w:pPr>
              <w:widowControl/>
              <w:tabs>
                <w:tab w:val="clear" w:pos="720"/>
              </w:tabs>
              <w:spacing w:after="0" w:line="240" w:lineRule="auto"/>
              <w:ind w:firstLine="0"/>
              <w:jc w:val="left"/>
              <w:rPr>
                <w:rFonts w:eastAsia="Calibri"/>
                <w:sz w:val="20"/>
                <w:szCs w:val="20"/>
              </w:rPr>
            </w:pPr>
            <w:r w:rsidRPr="00387A2E">
              <w:rPr>
                <w:rFonts w:eastAsia="Calibri"/>
                <w:b/>
                <w:bCs/>
                <w:sz w:val="20"/>
                <w:szCs w:val="20"/>
              </w:rPr>
              <w:t xml:space="preserve">   Number Location</w:t>
            </w:r>
          </w:p>
        </w:tc>
        <w:tc>
          <w:tcPr>
            <w:tcW w:w="1644" w:type="dxa"/>
            <w:tcBorders>
              <w:top w:val="single" w:sz="4" w:space="0" w:color="FFFFFF"/>
              <w:left w:val="single" w:sz="4" w:space="0" w:color="FFFFFF"/>
              <w:bottom w:val="single" w:sz="4" w:space="0" w:color="FFFFFF"/>
              <w:right w:val="single" w:sz="4" w:space="0" w:color="FFFFFF"/>
            </w:tcBorders>
          </w:tcPr>
          <w:p w14:paraId="343B7677"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1.20 (0.56)</w:t>
            </w:r>
          </w:p>
        </w:tc>
        <w:tc>
          <w:tcPr>
            <w:tcW w:w="1644" w:type="dxa"/>
            <w:tcBorders>
              <w:top w:val="single" w:sz="4" w:space="0" w:color="FFFFFF"/>
              <w:left w:val="single" w:sz="4" w:space="0" w:color="FFFFFF"/>
              <w:bottom w:val="single" w:sz="4" w:space="0" w:color="FFFFFF"/>
              <w:right w:val="single" w:sz="4" w:space="0" w:color="FFFFFF"/>
            </w:tcBorders>
          </w:tcPr>
          <w:p w14:paraId="683C795C"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4.83 (0.39)</w:t>
            </w:r>
          </w:p>
        </w:tc>
        <w:tc>
          <w:tcPr>
            <w:tcW w:w="1644" w:type="dxa"/>
            <w:tcBorders>
              <w:top w:val="single" w:sz="4" w:space="0" w:color="FFFFFF"/>
              <w:left w:val="single" w:sz="4" w:space="0" w:color="FFFFFF"/>
              <w:bottom w:val="single" w:sz="4" w:space="0" w:color="FFFFFF"/>
              <w:right w:val="single" w:sz="4" w:space="0" w:color="FFFFFF"/>
            </w:tcBorders>
          </w:tcPr>
          <w:p w14:paraId="7308BF39"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4.35 (0.66)</w:t>
            </w:r>
          </w:p>
        </w:tc>
        <w:tc>
          <w:tcPr>
            <w:tcW w:w="2098" w:type="dxa"/>
            <w:tcBorders>
              <w:top w:val="single" w:sz="4" w:space="0" w:color="FFFFFF"/>
              <w:left w:val="single" w:sz="4" w:space="0" w:color="FFFFFF"/>
              <w:bottom w:val="single" w:sz="4" w:space="0" w:color="FFFFFF"/>
              <w:right w:val="single" w:sz="4" w:space="0" w:color="FFFFFF"/>
            </w:tcBorders>
          </w:tcPr>
          <w:p w14:paraId="319CD0C3"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4.75 (0.54)</w:t>
            </w:r>
          </w:p>
        </w:tc>
      </w:tr>
      <w:tr w:rsidR="00387A2E" w:rsidRPr="00387A2E" w14:paraId="061255E5" w14:textId="77777777" w:rsidTr="000E1146">
        <w:trPr>
          <w:trHeight w:val="312"/>
        </w:trPr>
        <w:tc>
          <w:tcPr>
            <w:tcW w:w="2494" w:type="dxa"/>
            <w:tcBorders>
              <w:top w:val="single" w:sz="4" w:space="0" w:color="FFFFFF"/>
              <w:left w:val="single" w:sz="4" w:space="0" w:color="FFFFFF"/>
              <w:right w:val="single" w:sz="4" w:space="0" w:color="FFFFFF"/>
            </w:tcBorders>
          </w:tcPr>
          <w:p w14:paraId="228E3617" w14:textId="77777777" w:rsidR="00387A2E" w:rsidRPr="00387A2E" w:rsidRDefault="00387A2E" w:rsidP="00387A2E">
            <w:pPr>
              <w:widowControl/>
              <w:tabs>
                <w:tab w:val="clear" w:pos="720"/>
              </w:tabs>
              <w:spacing w:after="0" w:line="240" w:lineRule="auto"/>
              <w:ind w:firstLine="0"/>
              <w:jc w:val="left"/>
              <w:rPr>
                <w:rFonts w:eastAsia="Calibri"/>
                <w:sz w:val="20"/>
                <w:szCs w:val="20"/>
              </w:rPr>
            </w:pPr>
            <w:r w:rsidRPr="00387A2E">
              <w:rPr>
                <w:rFonts w:eastAsia="Calibri"/>
                <w:b/>
                <w:bCs/>
                <w:sz w:val="20"/>
                <w:szCs w:val="20"/>
              </w:rPr>
              <w:t xml:space="preserve">   Cube Analysis</w:t>
            </w:r>
          </w:p>
        </w:tc>
        <w:tc>
          <w:tcPr>
            <w:tcW w:w="1644" w:type="dxa"/>
            <w:tcBorders>
              <w:top w:val="single" w:sz="4" w:space="0" w:color="FFFFFF"/>
              <w:left w:val="single" w:sz="4" w:space="0" w:color="FFFFFF"/>
              <w:right w:val="single" w:sz="4" w:space="0" w:color="FFFFFF"/>
            </w:tcBorders>
          </w:tcPr>
          <w:p w14:paraId="44BDDE0E"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1.09 (0.48)</w:t>
            </w:r>
          </w:p>
        </w:tc>
        <w:tc>
          <w:tcPr>
            <w:tcW w:w="1644" w:type="dxa"/>
            <w:tcBorders>
              <w:top w:val="single" w:sz="4" w:space="0" w:color="FFFFFF"/>
              <w:left w:val="single" w:sz="4" w:space="0" w:color="FFFFFF"/>
              <w:right w:val="single" w:sz="4" w:space="0" w:color="FFFFFF"/>
            </w:tcBorders>
          </w:tcPr>
          <w:p w14:paraId="42FCA6C9"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4.88 (0.40)</w:t>
            </w:r>
          </w:p>
        </w:tc>
        <w:tc>
          <w:tcPr>
            <w:tcW w:w="1644" w:type="dxa"/>
            <w:tcBorders>
              <w:top w:val="single" w:sz="4" w:space="0" w:color="FFFFFF"/>
              <w:left w:val="single" w:sz="4" w:space="0" w:color="FFFFFF"/>
              <w:right w:val="single" w:sz="4" w:space="0" w:color="FFFFFF"/>
            </w:tcBorders>
          </w:tcPr>
          <w:p w14:paraId="719755D7" w14:textId="77777777" w:rsidR="00387A2E" w:rsidRPr="00387A2E" w:rsidRDefault="00387A2E" w:rsidP="00387A2E">
            <w:pPr>
              <w:widowControl/>
              <w:tabs>
                <w:tab w:val="clear" w:pos="720"/>
              </w:tabs>
              <w:spacing w:after="0" w:line="240" w:lineRule="auto"/>
              <w:ind w:firstLine="0"/>
              <w:jc w:val="center"/>
              <w:rPr>
                <w:rFonts w:eastAsia="Calibri"/>
                <w:sz w:val="20"/>
                <w:szCs w:val="20"/>
                <w:cs/>
              </w:rPr>
            </w:pPr>
            <w:r w:rsidRPr="00387A2E">
              <w:rPr>
                <w:rFonts w:eastAsia="Calibri"/>
                <w:sz w:val="20"/>
                <w:szCs w:val="20"/>
              </w:rPr>
              <w:t>4.78 (0.48)</w:t>
            </w:r>
          </w:p>
        </w:tc>
        <w:tc>
          <w:tcPr>
            <w:tcW w:w="2098" w:type="dxa"/>
            <w:tcBorders>
              <w:top w:val="single" w:sz="4" w:space="0" w:color="FFFFFF"/>
              <w:left w:val="single" w:sz="4" w:space="0" w:color="FFFFFF"/>
              <w:right w:val="single" w:sz="4" w:space="0" w:color="FFFFFF"/>
            </w:tcBorders>
          </w:tcPr>
          <w:p w14:paraId="55C51DBA" w14:textId="77777777" w:rsidR="00387A2E" w:rsidRPr="00387A2E" w:rsidRDefault="00387A2E" w:rsidP="00387A2E">
            <w:pPr>
              <w:widowControl/>
              <w:tabs>
                <w:tab w:val="clear" w:pos="720"/>
              </w:tabs>
              <w:spacing w:after="0" w:line="240" w:lineRule="auto"/>
              <w:ind w:firstLine="0"/>
              <w:jc w:val="center"/>
              <w:rPr>
                <w:rFonts w:eastAsia="Calibri"/>
                <w:sz w:val="20"/>
                <w:szCs w:val="20"/>
              </w:rPr>
            </w:pPr>
            <w:r w:rsidRPr="00387A2E">
              <w:rPr>
                <w:rFonts w:eastAsia="Calibri"/>
                <w:sz w:val="20"/>
                <w:szCs w:val="20"/>
              </w:rPr>
              <w:t>4.93 (0.27)</w:t>
            </w:r>
          </w:p>
        </w:tc>
      </w:tr>
    </w:tbl>
    <w:p w14:paraId="0875E632" w14:textId="77777777" w:rsidR="00387A2E" w:rsidRPr="00387A2E" w:rsidRDefault="00387A2E" w:rsidP="00387A2E">
      <w:pPr>
        <w:widowControl/>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rPr>
          <w:rFonts w:eastAsia="Times New Roman"/>
          <w:sz w:val="20"/>
          <w:szCs w:val="20"/>
        </w:rPr>
      </w:pPr>
      <w:r w:rsidRPr="00387A2E">
        <w:rPr>
          <w:rFonts w:eastAsia="Times New Roman"/>
          <w:i/>
          <w:iCs/>
          <w:sz w:val="20"/>
          <w:szCs w:val="20"/>
        </w:rPr>
        <w:t>Note.</w:t>
      </w:r>
      <w:r w:rsidRPr="00387A2E">
        <w:rPr>
          <w:rFonts w:eastAsia="Times New Roman"/>
          <w:sz w:val="20"/>
          <w:szCs w:val="20"/>
        </w:rPr>
        <w:t xml:space="preserve"> Rating scores for image size and clarity of images and instructions were classified as 1 (terrible), 2 (somewhat terrible), 3 (fair), 4 (good), and 5 (excellent). SD, standard deviation.</w:t>
      </w:r>
    </w:p>
    <w:p w14:paraId="39E37F46" w14:textId="77777777" w:rsidR="00387A2E" w:rsidRPr="00B2401D" w:rsidRDefault="00387A2E" w:rsidP="00387A2E">
      <w:pPr>
        <w:pStyle w:val="HTMLPreformatted"/>
        <w:spacing w:after="360" w:line="360" w:lineRule="auto"/>
        <w:ind w:firstLine="0"/>
        <w:rPr>
          <w:rFonts w:ascii="Times New Roman" w:hAnsi="Times New Roman" w:cstheme="minorBidi" w:hint="cs"/>
          <w:sz w:val="24"/>
          <w:szCs w:val="24"/>
        </w:rPr>
      </w:pPr>
    </w:p>
    <w:p w14:paraId="4BE91219" w14:textId="0ACD8F96" w:rsidR="009B6855" w:rsidRPr="00C372E2" w:rsidRDefault="008010F3" w:rsidP="00A50781">
      <w:pPr>
        <w:ind w:firstLine="0"/>
        <w:rPr>
          <w:b/>
          <w:bCs/>
        </w:rPr>
      </w:pPr>
      <w:r w:rsidRPr="00C372E2">
        <w:rPr>
          <w:b/>
          <w:bCs/>
        </w:rPr>
        <w:t>DISCUSSION</w:t>
      </w:r>
    </w:p>
    <w:p w14:paraId="2D857176" w14:textId="22515191" w:rsidR="008D54A4" w:rsidRPr="00C372E2" w:rsidRDefault="00E80F45" w:rsidP="00DB4B30">
      <w:pPr>
        <w:pStyle w:val="HTMLPreformatted"/>
        <w:spacing w:after="360" w:line="360" w:lineRule="auto"/>
        <w:rPr>
          <w:rFonts w:ascii="Times New Roman" w:hAnsi="Times New Roman" w:cs="Times New Roman"/>
          <w:sz w:val="24"/>
          <w:szCs w:val="24"/>
          <w:cs/>
        </w:rPr>
      </w:pPr>
      <w:r w:rsidRPr="00C372E2">
        <w:rPr>
          <w:rFonts w:ascii="Times New Roman" w:hAnsi="Times New Roman" w:cs="Times New Roman"/>
          <w:sz w:val="24"/>
          <w:szCs w:val="24"/>
        </w:rPr>
        <w:t xml:space="preserve">The participants in this study were stratified by age, gender, and education to balance their </w:t>
      </w:r>
      <w:r w:rsidR="00DA04D6" w:rsidRPr="00C372E2">
        <w:rPr>
          <w:rFonts w:ascii="Times New Roman" w:hAnsi="Times New Roman" w:cs="Times New Roman"/>
          <w:sz w:val="24"/>
          <w:szCs w:val="24"/>
        </w:rPr>
        <w:t xml:space="preserve">demographic variables across the sample. </w:t>
      </w:r>
      <w:r w:rsidR="0027735A" w:rsidRPr="00C372E2">
        <w:rPr>
          <w:rFonts w:ascii="Times New Roman" w:hAnsi="Times New Roman" w:cs="Times New Roman"/>
          <w:sz w:val="24"/>
          <w:szCs w:val="24"/>
        </w:rPr>
        <w:t>T</w:t>
      </w:r>
      <w:r w:rsidR="004F1424" w:rsidRPr="00C372E2">
        <w:rPr>
          <w:rFonts w:ascii="Times New Roman" w:hAnsi="Times New Roman" w:cs="Times New Roman"/>
          <w:sz w:val="24"/>
          <w:szCs w:val="24"/>
        </w:rPr>
        <w:t xml:space="preserve">wo samples </w:t>
      </w:r>
      <w:r w:rsidR="0027735A" w:rsidRPr="00C372E2">
        <w:rPr>
          <w:rFonts w:ascii="Times New Roman" w:hAnsi="Times New Roman" w:cs="Times New Roman"/>
          <w:sz w:val="24"/>
          <w:szCs w:val="24"/>
        </w:rPr>
        <w:t xml:space="preserve">were </w:t>
      </w:r>
      <w:r w:rsidR="004F1424" w:rsidRPr="00C372E2">
        <w:rPr>
          <w:rFonts w:ascii="Times New Roman" w:hAnsi="Times New Roman" w:cs="Times New Roman"/>
          <w:sz w:val="24"/>
          <w:szCs w:val="24"/>
        </w:rPr>
        <w:t xml:space="preserve">used to develop </w:t>
      </w:r>
      <w:r w:rsidR="0027735A" w:rsidRPr="00C372E2">
        <w:rPr>
          <w:rFonts w:ascii="Times New Roman" w:hAnsi="Times New Roman" w:cs="Times New Roman"/>
          <w:sz w:val="24"/>
          <w:szCs w:val="24"/>
        </w:rPr>
        <w:t xml:space="preserve">the </w:t>
      </w:r>
      <w:r w:rsidR="004F1424" w:rsidRPr="00C372E2">
        <w:rPr>
          <w:rFonts w:ascii="Times New Roman" w:hAnsi="Times New Roman" w:cs="Times New Roman"/>
          <w:sz w:val="24"/>
          <w:szCs w:val="24"/>
        </w:rPr>
        <w:t xml:space="preserve">British norms for VOSP; </w:t>
      </w:r>
      <w:r w:rsidR="00932F91" w:rsidRPr="00C372E2">
        <w:rPr>
          <w:rFonts w:ascii="Times New Roman" w:hAnsi="Times New Roman" w:cs="Times New Roman"/>
          <w:sz w:val="24"/>
          <w:szCs w:val="24"/>
        </w:rPr>
        <w:t xml:space="preserve">the </w:t>
      </w:r>
      <w:r w:rsidR="0027735A" w:rsidRPr="00C372E2">
        <w:rPr>
          <w:rFonts w:ascii="Times New Roman" w:hAnsi="Times New Roman" w:cs="Times New Roman"/>
          <w:sz w:val="24"/>
          <w:szCs w:val="24"/>
        </w:rPr>
        <w:t>two-</w:t>
      </w:r>
      <w:r w:rsidR="004F1424" w:rsidRPr="00C372E2">
        <w:rPr>
          <w:rFonts w:ascii="Times New Roman" w:hAnsi="Times New Roman" w:cs="Times New Roman"/>
          <w:sz w:val="24"/>
          <w:szCs w:val="24"/>
        </w:rPr>
        <w:t xml:space="preserve">sample </w:t>
      </w:r>
      <w:r w:rsidR="00932F91" w:rsidRPr="00C372E2">
        <w:rPr>
          <w:rFonts w:ascii="Times New Roman" w:hAnsi="Times New Roman" w:cs="Times New Roman"/>
          <w:sz w:val="24"/>
          <w:szCs w:val="24"/>
        </w:rPr>
        <w:t xml:space="preserve">estimated </w:t>
      </w:r>
      <w:r w:rsidR="004F1424" w:rsidRPr="00C372E2">
        <w:rPr>
          <w:rFonts w:ascii="Times New Roman" w:hAnsi="Times New Roman" w:cs="Times New Roman"/>
          <w:sz w:val="24"/>
          <w:szCs w:val="24"/>
        </w:rPr>
        <w:t xml:space="preserve">IQ </w:t>
      </w:r>
      <w:r w:rsidR="0027735A" w:rsidRPr="00C372E2">
        <w:rPr>
          <w:rFonts w:ascii="Times New Roman" w:hAnsi="Times New Roman" w:cs="Times New Roman"/>
          <w:sz w:val="24"/>
          <w:szCs w:val="24"/>
        </w:rPr>
        <w:t xml:space="preserve">using the </w:t>
      </w:r>
      <w:r w:rsidR="00932F91" w:rsidRPr="00C372E2">
        <w:rPr>
          <w:rFonts w:ascii="Times New Roman" w:hAnsi="Times New Roman" w:cs="Times New Roman"/>
          <w:sz w:val="24"/>
          <w:szCs w:val="24"/>
        </w:rPr>
        <w:t xml:space="preserve">National Adult Reading Test was </w:t>
      </w:r>
      <w:r w:rsidR="004F1424" w:rsidRPr="00C372E2">
        <w:rPr>
          <w:rFonts w:ascii="Times New Roman" w:hAnsi="Times New Roman" w:cs="Times New Roman"/>
          <w:sz w:val="24"/>
          <w:szCs w:val="24"/>
        </w:rPr>
        <w:t>109.5</w:t>
      </w:r>
      <w:r w:rsidR="00B2432F" w:rsidRPr="00C372E2">
        <w:rPr>
          <w:rFonts w:ascii="Times New Roman" w:hAnsi="Times New Roman" w:cs="Times New Roman"/>
          <w:sz w:val="24"/>
          <w:szCs w:val="24"/>
        </w:rPr>
        <w:t xml:space="preserve"> ± </w:t>
      </w:r>
      <w:r w:rsidR="004F1424" w:rsidRPr="00C372E2">
        <w:rPr>
          <w:rFonts w:ascii="Times New Roman" w:hAnsi="Times New Roman" w:cs="Times New Roman"/>
          <w:sz w:val="24"/>
          <w:szCs w:val="24"/>
        </w:rPr>
        <w:t>8.5</w:t>
      </w:r>
      <w:r w:rsidR="00932F91" w:rsidRPr="00C372E2">
        <w:rPr>
          <w:rFonts w:ascii="Times New Roman" w:hAnsi="Times New Roman" w:cs="Times New Roman"/>
          <w:sz w:val="24"/>
          <w:szCs w:val="24"/>
        </w:rPr>
        <w:t xml:space="preserve"> and 110.7</w:t>
      </w:r>
      <w:r w:rsidR="00B2432F" w:rsidRPr="00C372E2">
        <w:rPr>
          <w:rFonts w:ascii="Times New Roman" w:hAnsi="Times New Roman" w:cs="Times New Roman"/>
          <w:sz w:val="24"/>
          <w:szCs w:val="24"/>
        </w:rPr>
        <w:t xml:space="preserve"> ± </w:t>
      </w:r>
      <w:r w:rsidR="00932F91" w:rsidRPr="00C372E2">
        <w:rPr>
          <w:rFonts w:ascii="Times New Roman" w:hAnsi="Times New Roman" w:cs="Times New Roman"/>
          <w:sz w:val="24"/>
          <w:szCs w:val="24"/>
        </w:rPr>
        <w:t>9.3</w:t>
      </w:r>
      <w:r w:rsidR="003B0B6E" w:rsidRPr="00C372E2">
        <w:rPr>
          <w:rFonts w:ascii="Times New Roman" w:hAnsi="Times New Roman" w:cs="Times New Roman"/>
          <w:sz w:val="24"/>
          <w:szCs w:val="24"/>
        </w:rPr>
        <w:t xml:space="preserve"> </w:t>
      </w:r>
      <w:r w:rsidR="003060AC" w:rsidRPr="00C372E2">
        <w:rPr>
          <w:rFonts w:ascii="Times New Roman" w:hAnsi="Times New Roman" w:cs="Times New Roman"/>
          <w:noProof/>
          <w:sz w:val="24"/>
          <w:szCs w:val="24"/>
        </w:rPr>
        <w:t>(Warrington &amp; James, 1991)</w:t>
      </w:r>
      <w:r w:rsidR="00932F91" w:rsidRPr="00C372E2">
        <w:rPr>
          <w:rFonts w:ascii="Times New Roman" w:hAnsi="Times New Roman" w:cs="Times New Roman"/>
          <w:sz w:val="24"/>
          <w:szCs w:val="24"/>
        </w:rPr>
        <w:t xml:space="preserve">. </w:t>
      </w:r>
      <w:r w:rsidR="008136D7" w:rsidRPr="00C372E2">
        <w:rPr>
          <w:rFonts w:ascii="Times New Roman" w:hAnsi="Times New Roman" w:cs="Times New Roman"/>
          <w:sz w:val="24"/>
          <w:szCs w:val="24"/>
        </w:rPr>
        <w:t xml:space="preserve">The IQ score of </w:t>
      </w:r>
      <w:r w:rsidRPr="00C372E2">
        <w:rPr>
          <w:rFonts w:ascii="Times New Roman" w:hAnsi="Times New Roman" w:cs="Times New Roman"/>
          <w:sz w:val="24"/>
          <w:szCs w:val="24"/>
        </w:rPr>
        <w:t xml:space="preserve">the current </w:t>
      </w:r>
      <w:r w:rsidR="008136D7" w:rsidRPr="00C372E2">
        <w:rPr>
          <w:rFonts w:ascii="Times New Roman" w:hAnsi="Times New Roman" w:cs="Times New Roman"/>
          <w:sz w:val="24"/>
          <w:szCs w:val="24"/>
        </w:rPr>
        <w:t>study sample was 87.88</w:t>
      </w:r>
      <w:r w:rsidR="00B2432F" w:rsidRPr="00C372E2">
        <w:rPr>
          <w:rFonts w:ascii="Times New Roman" w:hAnsi="Times New Roman" w:cs="Times New Roman"/>
          <w:sz w:val="24"/>
          <w:szCs w:val="24"/>
        </w:rPr>
        <w:t xml:space="preserve"> ± </w:t>
      </w:r>
      <w:r w:rsidR="008136D7" w:rsidRPr="00C372E2">
        <w:rPr>
          <w:rFonts w:ascii="Times New Roman" w:hAnsi="Times New Roman" w:cs="Times New Roman"/>
          <w:sz w:val="24"/>
          <w:szCs w:val="24"/>
        </w:rPr>
        <w:t>15.68</w:t>
      </w:r>
      <w:r w:rsidRPr="00C372E2">
        <w:rPr>
          <w:rFonts w:ascii="Times New Roman" w:hAnsi="Times New Roman" w:cs="Times New Roman"/>
          <w:sz w:val="24"/>
          <w:szCs w:val="24"/>
        </w:rPr>
        <w:t>,</w:t>
      </w:r>
      <w:r w:rsidR="008136D7" w:rsidRPr="00C372E2">
        <w:rPr>
          <w:rFonts w:ascii="Times New Roman" w:hAnsi="Times New Roman" w:cs="Times New Roman"/>
          <w:sz w:val="24"/>
          <w:szCs w:val="24"/>
        </w:rPr>
        <w:t xml:space="preserve"> which was</w:t>
      </w:r>
      <w:r w:rsidR="00932F91" w:rsidRPr="00C372E2">
        <w:rPr>
          <w:rFonts w:ascii="Times New Roman" w:hAnsi="Times New Roman" w:cs="Times New Roman"/>
          <w:sz w:val="24"/>
          <w:szCs w:val="24"/>
        </w:rPr>
        <w:t xml:space="preserve"> obviously lower than </w:t>
      </w:r>
      <w:r w:rsidRPr="00C372E2">
        <w:rPr>
          <w:rFonts w:ascii="Times New Roman" w:hAnsi="Times New Roman" w:cs="Times New Roman"/>
          <w:sz w:val="24"/>
          <w:szCs w:val="24"/>
        </w:rPr>
        <w:t xml:space="preserve">those for the 2 </w:t>
      </w:r>
      <w:r w:rsidR="00932F91" w:rsidRPr="00C372E2">
        <w:rPr>
          <w:rFonts w:ascii="Times New Roman" w:hAnsi="Times New Roman" w:cs="Times New Roman"/>
          <w:sz w:val="24"/>
          <w:szCs w:val="24"/>
        </w:rPr>
        <w:t xml:space="preserve">British samples. </w:t>
      </w:r>
      <w:r w:rsidRPr="00C372E2">
        <w:rPr>
          <w:rFonts w:ascii="Times New Roman" w:hAnsi="Times New Roman" w:cs="Times New Roman"/>
          <w:sz w:val="24"/>
          <w:szCs w:val="24"/>
        </w:rPr>
        <w:t>On the other hand</w:t>
      </w:r>
      <w:r w:rsidR="00932F91" w:rsidRPr="00C372E2">
        <w:rPr>
          <w:rFonts w:ascii="Times New Roman" w:hAnsi="Times New Roman" w:cs="Times New Roman"/>
          <w:sz w:val="24"/>
          <w:szCs w:val="24"/>
        </w:rPr>
        <w:t xml:space="preserve">, the Thai national survey conducted </w:t>
      </w:r>
      <w:r w:rsidR="00867A9D" w:rsidRPr="00C372E2">
        <w:rPr>
          <w:rFonts w:ascii="Times New Roman" w:hAnsi="Times New Roman" w:cs="Times New Roman"/>
          <w:sz w:val="24"/>
          <w:szCs w:val="24"/>
        </w:rPr>
        <w:t xml:space="preserve">during </w:t>
      </w:r>
      <w:r w:rsidR="00932F91" w:rsidRPr="00C372E2">
        <w:rPr>
          <w:rFonts w:ascii="Times New Roman" w:hAnsi="Times New Roman" w:cs="Times New Roman"/>
          <w:sz w:val="24"/>
          <w:szCs w:val="24"/>
        </w:rPr>
        <w:t>1996</w:t>
      </w:r>
      <w:r w:rsidR="00D754CA" w:rsidRPr="00C372E2">
        <w:rPr>
          <w:rFonts w:ascii="Times New Roman" w:hAnsi="Times New Roman" w:cs="Times New Roman"/>
          <w:sz w:val="24"/>
          <w:szCs w:val="24"/>
        </w:rPr>
        <w:t xml:space="preserve"> </w:t>
      </w:r>
      <w:r w:rsidR="00867A9D" w:rsidRPr="00C372E2">
        <w:rPr>
          <w:rFonts w:ascii="Times New Roman" w:hAnsi="Times New Roman" w:cs="Times New Roman"/>
          <w:sz w:val="24"/>
          <w:szCs w:val="24"/>
        </w:rPr>
        <w:t xml:space="preserve">and </w:t>
      </w:r>
      <w:r w:rsidR="00932F91" w:rsidRPr="00C372E2">
        <w:rPr>
          <w:rFonts w:ascii="Times New Roman" w:hAnsi="Times New Roman" w:cs="Times New Roman"/>
          <w:sz w:val="24"/>
          <w:szCs w:val="24"/>
        </w:rPr>
        <w:t>1997 report</w:t>
      </w:r>
      <w:r w:rsidR="001B188E" w:rsidRPr="00C372E2">
        <w:rPr>
          <w:rFonts w:ascii="Times New Roman" w:hAnsi="Times New Roman" w:cs="Times New Roman"/>
          <w:sz w:val="24"/>
          <w:szCs w:val="24"/>
        </w:rPr>
        <w:t>ed</w:t>
      </w:r>
      <w:r w:rsidR="00932F91" w:rsidRPr="00C372E2">
        <w:rPr>
          <w:rFonts w:ascii="Times New Roman" w:hAnsi="Times New Roman" w:cs="Times New Roman"/>
          <w:sz w:val="24"/>
          <w:szCs w:val="24"/>
        </w:rPr>
        <w:t xml:space="preserve"> </w:t>
      </w:r>
      <w:r w:rsidRPr="00C372E2">
        <w:rPr>
          <w:rFonts w:ascii="Times New Roman" w:hAnsi="Times New Roman" w:cs="Times New Roman"/>
          <w:sz w:val="24"/>
          <w:szCs w:val="24"/>
        </w:rPr>
        <w:t>that the</w:t>
      </w:r>
      <w:r w:rsidR="00867A9D" w:rsidRPr="00C372E2">
        <w:rPr>
          <w:rFonts w:ascii="Times New Roman" w:hAnsi="Times New Roman" w:cs="Times New Roman"/>
          <w:sz w:val="24"/>
          <w:szCs w:val="24"/>
        </w:rPr>
        <w:t xml:space="preserve"> Thai</w:t>
      </w:r>
      <w:r w:rsidRPr="00C372E2">
        <w:rPr>
          <w:rFonts w:ascii="Times New Roman" w:hAnsi="Times New Roman" w:cs="Times New Roman"/>
          <w:sz w:val="24"/>
          <w:szCs w:val="24"/>
        </w:rPr>
        <w:t xml:space="preserve"> </w:t>
      </w:r>
      <w:r w:rsidR="00932F91" w:rsidRPr="00C372E2">
        <w:rPr>
          <w:rFonts w:ascii="Times New Roman" w:hAnsi="Times New Roman" w:cs="Times New Roman"/>
          <w:sz w:val="24"/>
          <w:szCs w:val="24"/>
        </w:rPr>
        <w:t>IQ score</w:t>
      </w:r>
      <w:r w:rsidRPr="00C372E2">
        <w:rPr>
          <w:rFonts w:ascii="Times New Roman" w:hAnsi="Times New Roman" w:cs="Times New Roman"/>
          <w:sz w:val="24"/>
          <w:szCs w:val="24"/>
        </w:rPr>
        <w:t>—</w:t>
      </w:r>
      <w:r w:rsidR="00932F91" w:rsidRPr="00C372E2">
        <w:rPr>
          <w:rFonts w:ascii="Times New Roman" w:hAnsi="Times New Roman" w:cs="Times New Roman"/>
          <w:sz w:val="24"/>
          <w:szCs w:val="24"/>
        </w:rPr>
        <w:t>measured indirectly using the test of Nonverbal Intelligence, 2nd edition (TONI-2</w:t>
      </w:r>
      <w:r w:rsidRPr="00C372E2">
        <w:rPr>
          <w:rFonts w:ascii="Times New Roman" w:hAnsi="Times New Roman" w:cs="Times New Roman"/>
          <w:sz w:val="24"/>
          <w:szCs w:val="24"/>
        </w:rPr>
        <w:t>)—</w:t>
      </w:r>
      <w:r w:rsidR="00932F91" w:rsidRPr="00C372E2">
        <w:rPr>
          <w:rFonts w:ascii="Times New Roman" w:hAnsi="Times New Roman" w:cs="Times New Roman"/>
          <w:sz w:val="24"/>
          <w:szCs w:val="24"/>
        </w:rPr>
        <w:t>was 91.96</w:t>
      </w:r>
      <w:r w:rsidR="00B2432F" w:rsidRPr="00C372E2">
        <w:rPr>
          <w:rFonts w:ascii="Times New Roman" w:hAnsi="Times New Roman" w:cs="Times New Roman"/>
          <w:sz w:val="24"/>
          <w:szCs w:val="24"/>
        </w:rPr>
        <w:t xml:space="preserve"> ± </w:t>
      </w:r>
      <w:r w:rsidR="00932F91" w:rsidRPr="00C372E2">
        <w:rPr>
          <w:rFonts w:ascii="Times New Roman" w:hAnsi="Times New Roman" w:cs="Times New Roman"/>
          <w:sz w:val="24"/>
          <w:szCs w:val="24"/>
        </w:rPr>
        <w:t>14.87</w:t>
      </w:r>
      <w:r w:rsidR="00867A9D" w:rsidRPr="00C372E2">
        <w:rPr>
          <w:rFonts w:ascii="Times New Roman" w:hAnsi="Times New Roman" w:cs="Times New Roman"/>
          <w:sz w:val="24"/>
          <w:szCs w:val="24"/>
        </w:rPr>
        <w:t>,</w:t>
      </w:r>
      <w:r w:rsidR="00932F91" w:rsidRPr="00C372E2">
        <w:rPr>
          <w:rFonts w:ascii="Times New Roman" w:hAnsi="Times New Roman" w:cs="Times New Roman"/>
          <w:sz w:val="24"/>
          <w:szCs w:val="24"/>
        </w:rPr>
        <w:t xml:space="preserve"> with the lowest average </w:t>
      </w:r>
      <w:r w:rsidR="00867A9D" w:rsidRPr="00C372E2">
        <w:rPr>
          <w:rFonts w:ascii="Times New Roman" w:hAnsi="Times New Roman" w:cs="Times New Roman"/>
          <w:sz w:val="24"/>
          <w:szCs w:val="24"/>
        </w:rPr>
        <w:t xml:space="preserve">being </w:t>
      </w:r>
      <w:r w:rsidR="00932F91" w:rsidRPr="00C372E2">
        <w:rPr>
          <w:rFonts w:ascii="Times New Roman" w:hAnsi="Times New Roman" w:cs="Times New Roman"/>
          <w:sz w:val="24"/>
          <w:szCs w:val="24"/>
        </w:rPr>
        <w:t>87.88</w:t>
      </w:r>
      <w:r w:rsidR="00B2432F" w:rsidRPr="00C372E2">
        <w:rPr>
          <w:rFonts w:ascii="Times New Roman" w:hAnsi="Times New Roman" w:cs="Times New Roman"/>
          <w:sz w:val="24"/>
          <w:szCs w:val="24"/>
        </w:rPr>
        <w:t xml:space="preserve"> ± </w:t>
      </w:r>
      <w:r w:rsidR="00932F91" w:rsidRPr="00C372E2">
        <w:rPr>
          <w:rFonts w:ascii="Times New Roman" w:hAnsi="Times New Roman" w:cs="Times New Roman"/>
          <w:sz w:val="24"/>
          <w:szCs w:val="24"/>
        </w:rPr>
        <w:t xml:space="preserve">15.98 </w:t>
      </w:r>
      <w:r w:rsidR="00867A9D" w:rsidRPr="00C372E2">
        <w:rPr>
          <w:rFonts w:ascii="Times New Roman" w:hAnsi="Times New Roman" w:cs="Times New Roman"/>
          <w:sz w:val="24"/>
          <w:szCs w:val="24"/>
        </w:rPr>
        <w:t xml:space="preserve">for </w:t>
      </w:r>
      <w:r w:rsidR="00932F91" w:rsidRPr="00C372E2">
        <w:rPr>
          <w:rFonts w:ascii="Times New Roman" w:hAnsi="Times New Roman" w:cs="Times New Roman"/>
          <w:sz w:val="24"/>
          <w:szCs w:val="24"/>
        </w:rPr>
        <w:t>the northern region of Thailand</w:t>
      </w:r>
      <w:r w:rsidR="00867A9D" w:rsidRPr="00C372E2">
        <w:rPr>
          <w:rFonts w:ascii="Times New Roman" w:hAnsi="Times New Roman" w:cs="Times New Roman"/>
          <w:sz w:val="24"/>
          <w:szCs w:val="24"/>
        </w:rPr>
        <w:t xml:space="preserve"> </w:t>
      </w:r>
      <w:r w:rsidR="003060AC" w:rsidRPr="00C372E2">
        <w:rPr>
          <w:rFonts w:ascii="Times New Roman" w:hAnsi="Times New Roman" w:cs="Times New Roman"/>
          <w:noProof/>
          <w:sz w:val="24"/>
          <w:szCs w:val="24"/>
        </w:rPr>
        <w:t>(</w:t>
      </w:r>
      <w:r w:rsidR="003060AC" w:rsidRPr="00C372E2">
        <w:rPr>
          <w:rFonts w:ascii="Leelawadee UI" w:hAnsi="Leelawadee UI" w:cs="Leelawadee UI" w:hint="cs"/>
          <w:i/>
          <w:noProof/>
          <w:sz w:val="24"/>
          <w:szCs w:val="24"/>
          <w:cs/>
        </w:rPr>
        <w:t>ผลสภาวะสุขภาพอนามัยของประชาชนโดยการตรวจร่างกายครั้งที่</w:t>
      </w:r>
      <w:r w:rsidR="003060AC" w:rsidRPr="00C372E2">
        <w:rPr>
          <w:rFonts w:ascii="Times New Roman" w:hAnsi="Times New Roman" w:cs="Times New Roman"/>
          <w:i/>
          <w:noProof/>
          <w:sz w:val="24"/>
          <w:szCs w:val="24"/>
          <w:cs/>
        </w:rPr>
        <w:t xml:space="preserve"> </w:t>
      </w:r>
      <w:r w:rsidR="003060AC" w:rsidRPr="00C372E2">
        <w:rPr>
          <w:rFonts w:ascii="Times New Roman" w:hAnsi="Times New Roman" w:cs="Times New Roman"/>
          <w:i/>
          <w:noProof/>
          <w:sz w:val="24"/>
          <w:szCs w:val="24"/>
        </w:rPr>
        <w:t xml:space="preserve">2 </w:t>
      </w:r>
      <w:r w:rsidR="003060AC" w:rsidRPr="00C372E2">
        <w:rPr>
          <w:rFonts w:ascii="Leelawadee UI" w:hAnsi="Leelawadee UI" w:cs="Leelawadee UI" w:hint="cs"/>
          <w:i/>
          <w:noProof/>
          <w:sz w:val="24"/>
          <w:szCs w:val="24"/>
          <w:cs/>
        </w:rPr>
        <w:t>พ</w:t>
      </w:r>
      <w:r w:rsidR="003060AC" w:rsidRPr="00C372E2">
        <w:rPr>
          <w:rFonts w:ascii="Times New Roman" w:hAnsi="Times New Roman" w:cs="Times New Roman"/>
          <w:i/>
          <w:noProof/>
          <w:sz w:val="24"/>
          <w:szCs w:val="24"/>
          <w:cs/>
        </w:rPr>
        <w:t>.</w:t>
      </w:r>
      <w:r w:rsidR="003060AC" w:rsidRPr="00C372E2">
        <w:rPr>
          <w:rFonts w:ascii="Leelawadee UI" w:hAnsi="Leelawadee UI" w:cs="Leelawadee UI" w:hint="cs"/>
          <w:i/>
          <w:noProof/>
          <w:sz w:val="24"/>
          <w:szCs w:val="24"/>
          <w:cs/>
        </w:rPr>
        <w:t>ศ</w:t>
      </w:r>
      <w:r w:rsidR="003060AC" w:rsidRPr="00C372E2">
        <w:rPr>
          <w:rFonts w:ascii="Times New Roman" w:hAnsi="Times New Roman" w:cs="Times New Roman"/>
          <w:i/>
          <w:noProof/>
          <w:sz w:val="24"/>
          <w:szCs w:val="24"/>
          <w:cs/>
        </w:rPr>
        <w:t xml:space="preserve">. </w:t>
      </w:r>
      <w:r w:rsidR="003060AC" w:rsidRPr="00C372E2">
        <w:rPr>
          <w:rFonts w:ascii="Times New Roman" w:hAnsi="Times New Roman" w:cs="Times New Roman"/>
          <w:i/>
          <w:noProof/>
          <w:sz w:val="24"/>
          <w:szCs w:val="24"/>
        </w:rPr>
        <w:t>2539</w:t>
      </w:r>
      <w:r w:rsidR="00D13C0D" w:rsidRPr="00C372E2">
        <w:rPr>
          <w:rFonts w:ascii="Times New Roman" w:hAnsi="Times New Roman" w:cs="Times New Roman"/>
          <w:i/>
          <w:noProof/>
          <w:sz w:val="24"/>
          <w:szCs w:val="24"/>
        </w:rPr>
        <w:t>–</w:t>
      </w:r>
      <w:r w:rsidR="003060AC" w:rsidRPr="00C372E2">
        <w:rPr>
          <w:rFonts w:ascii="Times New Roman" w:hAnsi="Times New Roman" w:cs="Times New Roman"/>
          <w:i/>
          <w:noProof/>
          <w:sz w:val="24"/>
          <w:szCs w:val="24"/>
        </w:rPr>
        <w:t>2540</w:t>
      </w:r>
      <w:r w:rsidR="003060AC" w:rsidRPr="00C372E2">
        <w:rPr>
          <w:rFonts w:ascii="Times New Roman" w:hAnsi="Times New Roman" w:cs="Times New Roman"/>
          <w:noProof/>
          <w:sz w:val="24"/>
          <w:szCs w:val="24"/>
        </w:rPr>
        <w:t>, 1998)</w:t>
      </w:r>
      <w:r w:rsidR="00867A9D" w:rsidRPr="00C372E2">
        <w:rPr>
          <w:rFonts w:ascii="Times New Roman" w:hAnsi="Times New Roman" w:cs="Times New Roman"/>
          <w:sz w:val="24"/>
          <w:szCs w:val="24"/>
        </w:rPr>
        <w:t xml:space="preserve">. </w:t>
      </w:r>
      <w:r w:rsidR="002C4B75" w:rsidRPr="00C372E2">
        <w:rPr>
          <w:rFonts w:ascii="Times New Roman" w:hAnsi="Times New Roman" w:cs="Times New Roman"/>
          <w:sz w:val="24"/>
          <w:szCs w:val="24"/>
        </w:rPr>
        <w:t xml:space="preserve">The average Thai IQ found by that survey </w:t>
      </w:r>
      <w:r w:rsidR="001B188E" w:rsidRPr="00C372E2">
        <w:rPr>
          <w:rFonts w:ascii="Times New Roman" w:hAnsi="Times New Roman" w:cs="Times New Roman"/>
          <w:sz w:val="24"/>
          <w:szCs w:val="24"/>
        </w:rPr>
        <w:t>approximate</w:t>
      </w:r>
      <w:r w:rsidR="00867A9D" w:rsidRPr="00C372E2">
        <w:rPr>
          <w:rFonts w:ascii="Times New Roman" w:hAnsi="Times New Roman" w:cs="Times New Roman"/>
          <w:sz w:val="24"/>
          <w:szCs w:val="24"/>
        </w:rPr>
        <w:t>d</w:t>
      </w:r>
      <w:r w:rsidR="001B188E" w:rsidRPr="00C372E2">
        <w:rPr>
          <w:rFonts w:ascii="Times New Roman" w:hAnsi="Times New Roman" w:cs="Times New Roman"/>
          <w:sz w:val="24"/>
          <w:szCs w:val="24"/>
        </w:rPr>
        <w:t xml:space="preserve"> the IQ score of </w:t>
      </w:r>
      <w:r w:rsidR="00867A9D" w:rsidRPr="00C372E2">
        <w:rPr>
          <w:rFonts w:ascii="Times New Roman" w:hAnsi="Times New Roman" w:cs="Times New Roman"/>
          <w:sz w:val="24"/>
          <w:szCs w:val="24"/>
        </w:rPr>
        <w:t xml:space="preserve">the current </w:t>
      </w:r>
      <w:r w:rsidR="001B188E" w:rsidRPr="00C372E2">
        <w:rPr>
          <w:rFonts w:ascii="Times New Roman" w:hAnsi="Times New Roman" w:cs="Times New Roman"/>
          <w:sz w:val="24"/>
          <w:szCs w:val="24"/>
        </w:rPr>
        <w:t>study sample</w:t>
      </w:r>
      <w:r w:rsidR="00932F91" w:rsidRPr="00C372E2">
        <w:rPr>
          <w:rFonts w:ascii="Times New Roman" w:hAnsi="Times New Roman" w:cs="Times New Roman"/>
          <w:sz w:val="24"/>
          <w:szCs w:val="24"/>
        </w:rPr>
        <w:t xml:space="preserve">. </w:t>
      </w:r>
      <w:r w:rsidR="00867A9D" w:rsidRPr="00C372E2">
        <w:rPr>
          <w:rFonts w:ascii="Times New Roman" w:hAnsi="Times New Roman" w:cs="Times New Roman"/>
          <w:sz w:val="24"/>
          <w:szCs w:val="24"/>
        </w:rPr>
        <w:t>W</w:t>
      </w:r>
      <w:r w:rsidR="001B188E" w:rsidRPr="00C372E2">
        <w:rPr>
          <w:rFonts w:ascii="Times New Roman" w:hAnsi="Times New Roman" w:cs="Times New Roman"/>
          <w:sz w:val="24"/>
          <w:szCs w:val="24"/>
        </w:rPr>
        <w:t xml:space="preserve">e are </w:t>
      </w:r>
      <w:r w:rsidR="00867A9D" w:rsidRPr="00C372E2">
        <w:rPr>
          <w:rFonts w:ascii="Times New Roman" w:hAnsi="Times New Roman" w:cs="Times New Roman"/>
          <w:sz w:val="24"/>
          <w:szCs w:val="24"/>
        </w:rPr>
        <w:t xml:space="preserve">therefore </w:t>
      </w:r>
      <w:r w:rsidR="001B188E" w:rsidRPr="00C372E2">
        <w:rPr>
          <w:rFonts w:ascii="Times New Roman" w:hAnsi="Times New Roman" w:cs="Times New Roman"/>
          <w:sz w:val="24"/>
          <w:szCs w:val="24"/>
        </w:rPr>
        <w:t>assured</w:t>
      </w:r>
      <w:r w:rsidR="00932F91" w:rsidRPr="00C372E2">
        <w:rPr>
          <w:rFonts w:ascii="Times New Roman" w:hAnsi="Times New Roman" w:cs="Times New Roman"/>
          <w:sz w:val="24"/>
          <w:szCs w:val="24"/>
        </w:rPr>
        <w:t xml:space="preserve"> </w:t>
      </w:r>
      <w:r w:rsidR="00867A9D" w:rsidRPr="00C372E2">
        <w:rPr>
          <w:rFonts w:ascii="Times New Roman" w:hAnsi="Times New Roman" w:cs="Times New Roman"/>
          <w:sz w:val="24"/>
          <w:szCs w:val="24"/>
        </w:rPr>
        <w:t xml:space="preserve">that a pilot sample has been </w:t>
      </w:r>
      <w:r w:rsidR="00342F94" w:rsidRPr="00C372E2">
        <w:rPr>
          <w:rFonts w:ascii="Times New Roman" w:hAnsi="Times New Roman" w:cs="Times New Roman"/>
          <w:sz w:val="24"/>
          <w:szCs w:val="24"/>
        </w:rPr>
        <w:t>recruit</w:t>
      </w:r>
      <w:r w:rsidR="00867A9D" w:rsidRPr="00C372E2">
        <w:rPr>
          <w:rFonts w:ascii="Times New Roman" w:hAnsi="Times New Roman" w:cs="Times New Roman"/>
          <w:sz w:val="24"/>
          <w:szCs w:val="24"/>
        </w:rPr>
        <w:t>ed</w:t>
      </w:r>
      <w:r w:rsidR="001B188E" w:rsidRPr="00C372E2">
        <w:rPr>
          <w:rFonts w:ascii="Times New Roman" w:hAnsi="Times New Roman" w:cs="Times New Roman"/>
          <w:sz w:val="24"/>
          <w:szCs w:val="24"/>
        </w:rPr>
        <w:t xml:space="preserve"> </w:t>
      </w:r>
      <w:r w:rsidR="00342F94" w:rsidRPr="00C372E2">
        <w:rPr>
          <w:rFonts w:ascii="Times New Roman" w:hAnsi="Times New Roman" w:cs="Times New Roman"/>
          <w:sz w:val="24"/>
          <w:szCs w:val="24"/>
        </w:rPr>
        <w:t xml:space="preserve">that </w:t>
      </w:r>
      <w:r w:rsidR="00867A9D" w:rsidRPr="00C372E2">
        <w:rPr>
          <w:rFonts w:ascii="Times New Roman" w:hAnsi="Times New Roman" w:cs="Times New Roman"/>
          <w:sz w:val="24"/>
          <w:szCs w:val="24"/>
        </w:rPr>
        <w:t xml:space="preserve">represents </w:t>
      </w:r>
      <w:r w:rsidRPr="00C372E2">
        <w:rPr>
          <w:rFonts w:ascii="Times New Roman" w:hAnsi="Times New Roman" w:cs="Times New Roman"/>
          <w:sz w:val="24"/>
          <w:szCs w:val="24"/>
        </w:rPr>
        <w:t xml:space="preserve">the </w:t>
      </w:r>
      <w:r w:rsidR="00342F94" w:rsidRPr="00C372E2">
        <w:rPr>
          <w:rFonts w:ascii="Times New Roman" w:hAnsi="Times New Roman" w:cs="Times New Roman"/>
          <w:sz w:val="24"/>
          <w:szCs w:val="24"/>
        </w:rPr>
        <w:t>general Thai population</w:t>
      </w:r>
      <w:r w:rsidR="00867A9D" w:rsidRPr="00C372E2">
        <w:rPr>
          <w:rFonts w:ascii="Times New Roman" w:hAnsi="Times New Roman" w:cs="Times New Roman"/>
          <w:sz w:val="24"/>
          <w:szCs w:val="24"/>
        </w:rPr>
        <w:t>, notwithstanding</w:t>
      </w:r>
      <w:r w:rsidRPr="00C372E2">
        <w:rPr>
          <w:rFonts w:ascii="Times New Roman" w:hAnsi="Times New Roman" w:cs="Times New Roman"/>
          <w:sz w:val="24"/>
          <w:szCs w:val="24"/>
        </w:rPr>
        <w:t xml:space="preserve"> </w:t>
      </w:r>
      <w:r w:rsidR="003025E1" w:rsidRPr="00C372E2">
        <w:rPr>
          <w:rFonts w:ascii="Times New Roman" w:hAnsi="Times New Roman" w:cs="Times New Roman"/>
          <w:sz w:val="24"/>
          <w:szCs w:val="24"/>
        </w:rPr>
        <w:t xml:space="preserve">the intelligence </w:t>
      </w:r>
      <w:r w:rsidRPr="00C372E2">
        <w:rPr>
          <w:rFonts w:ascii="Times New Roman" w:hAnsi="Times New Roman" w:cs="Times New Roman"/>
          <w:sz w:val="24"/>
          <w:szCs w:val="24"/>
        </w:rPr>
        <w:t xml:space="preserve">level </w:t>
      </w:r>
      <w:r w:rsidR="003025E1" w:rsidRPr="00C372E2">
        <w:rPr>
          <w:rFonts w:ascii="Times New Roman" w:hAnsi="Times New Roman" w:cs="Times New Roman"/>
          <w:sz w:val="24"/>
          <w:szCs w:val="24"/>
        </w:rPr>
        <w:t xml:space="preserve">of the Thai pilot sample </w:t>
      </w:r>
      <w:r w:rsidRPr="00C372E2">
        <w:rPr>
          <w:rFonts w:ascii="Times New Roman" w:hAnsi="Times New Roman" w:cs="Times New Roman"/>
          <w:sz w:val="24"/>
          <w:szCs w:val="24"/>
        </w:rPr>
        <w:t xml:space="preserve">being </w:t>
      </w:r>
      <w:r w:rsidR="003025E1" w:rsidRPr="00C372E2">
        <w:rPr>
          <w:rFonts w:ascii="Times New Roman" w:hAnsi="Times New Roman" w:cs="Times New Roman"/>
          <w:sz w:val="24"/>
          <w:szCs w:val="24"/>
        </w:rPr>
        <w:t xml:space="preserve">lower than </w:t>
      </w:r>
      <w:r w:rsidRPr="00C372E2">
        <w:rPr>
          <w:rFonts w:ascii="Times New Roman" w:hAnsi="Times New Roman" w:cs="Times New Roman"/>
          <w:sz w:val="24"/>
          <w:szCs w:val="24"/>
        </w:rPr>
        <w:t xml:space="preserve">those for </w:t>
      </w:r>
      <w:r w:rsidR="003025E1" w:rsidRPr="00C372E2">
        <w:rPr>
          <w:rFonts w:ascii="Times New Roman" w:hAnsi="Times New Roman" w:cs="Times New Roman"/>
          <w:sz w:val="24"/>
          <w:szCs w:val="24"/>
        </w:rPr>
        <w:t>the British sample</w:t>
      </w:r>
      <w:r w:rsidRPr="00C372E2">
        <w:rPr>
          <w:rFonts w:ascii="Times New Roman" w:hAnsi="Times New Roman" w:cs="Times New Roman"/>
          <w:sz w:val="24"/>
          <w:szCs w:val="24"/>
        </w:rPr>
        <w:t>s</w:t>
      </w:r>
      <w:r w:rsidR="00342F94" w:rsidRPr="00C372E2">
        <w:rPr>
          <w:rFonts w:ascii="Times New Roman" w:hAnsi="Times New Roman" w:cs="Times New Roman"/>
          <w:sz w:val="24"/>
          <w:szCs w:val="24"/>
        </w:rPr>
        <w:t>.</w:t>
      </w:r>
    </w:p>
    <w:p w14:paraId="12817B04" w14:textId="00CAF957" w:rsidR="002D1C05" w:rsidRPr="00C372E2" w:rsidRDefault="00EC0032" w:rsidP="00DB4B30">
      <w:pPr>
        <w:pStyle w:val="HTMLPreformatted"/>
        <w:spacing w:after="360" w:line="360" w:lineRule="auto"/>
        <w:rPr>
          <w:rFonts w:ascii="Times New Roman" w:hAnsi="Times New Roman" w:cs="Times New Roman"/>
          <w:sz w:val="24"/>
          <w:szCs w:val="24"/>
        </w:rPr>
      </w:pPr>
      <w:r w:rsidRPr="00C372E2">
        <w:rPr>
          <w:rFonts w:ascii="Times New Roman" w:hAnsi="Times New Roman" w:cs="Times New Roman"/>
          <w:sz w:val="24"/>
          <w:szCs w:val="24"/>
        </w:rPr>
        <w:t xml:space="preserve">The initial objective of this study was to obtain preliminary normative data for each VOSP subtest </w:t>
      </w:r>
      <w:r w:rsidR="00B94DDF" w:rsidRPr="00C372E2">
        <w:rPr>
          <w:rFonts w:ascii="Times New Roman" w:hAnsi="Times New Roman" w:cs="Times New Roman"/>
          <w:sz w:val="24"/>
          <w:szCs w:val="24"/>
        </w:rPr>
        <w:t xml:space="preserve">for the </w:t>
      </w:r>
      <w:r w:rsidRPr="00C372E2">
        <w:rPr>
          <w:rFonts w:ascii="Times New Roman" w:hAnsi="Times New Roman" w:cs="Times New Roman"/>
          <w:sz w:val="24"/>
          <w:szCs w:val="24"/>
        </w:rPr>
        <w:t xml:space="preserve">Thai population. </w:t>
      </w:r>
      <w:r w:rsidR="00F4056C" w:rsidRPr="00C372E2">
        <w:rPr>
          <w:rFonts w:ascii="Times New Roman" w:hAnsi="Times New Roman" w:cs="Times New Roman"/>
          <w:sz w:val="24"/>
          <w:szCs w:val="24"/>
        </w:rPr>
        <w:t>It is possibl</w:t>
      </w:r>
      <w:r w:rsidR="00B94DDF" w:rsidRPr="00C372E2">
        <w:rPr>
          <w:rFonts w:ascii="Times New Roman" w:hAnsi="Times New Roman" w:cs="Times New Roman"/>
          <w:sz w:val="24"/>
          <w:szCs w:val="24"/>
        </w:rPr>
        <w:t>e</w:t>
      </w:r>
      <w:r w:rsidR="00F4056C" w:rsidRPr="00C372E2">
        <w:rPr>
          <w:rFonts w:ascii="Times New Roman" w:hAnsi="Times New Roman" w:cs="Times New Roman"/>
          <w:sz w:val="24"/>
          <w:szCs w:val="24"/>
        </w:rPr>
        <w:t xml:space="preserve"> that there w</w:t>
      </w:r>
      <w:r w:rsidR="009B6855" w:rsidRPr="00C372E2">
        <w:rPr>
          <w:rFonts w:ascii="Times New Roman" w:hAnsi="Times New Roman" w:cs="Times New Roman"/>
          <w:sz w:val="24"/>
          <w:szCs w:val="24"/>
        </w:rPr>
        <w:t>as</w:t>
      </w:r>
      <w:r w:rsidR="00F4056C" w:rsidRPr="00C372E2">
        <w:rPr>
          <w:rFonts w:ascii="Times New Roman" w:hAnsi="Times New Roman" w:cs="Times New Roman"/>
          <w:sz w:val="24"/>
          <w:szCs w:val="24"/>
        </w:rPr>
        <w:t xml:space="preserve"> </w:t>
      </w:r>
      <w:r w:rsidR="00B94DDF" w:rsidRPr="00C372E2">
        <w:rPr>
          <w:rFonts w:ascii="Times New Roman" w:hAnsi="Times New Roman" w:cs="Times New Roman"/>
          <w:sz w:val="24"/>
          <w:szCs w:val="24"/>
        </w:rPr>
        <w:t xml:space="preserve">a </w:t>
      </w:r>
      <w:r w:rsidR="00F4056C" w:rsidRPr="00C372E2">
        <w:rPr>
          <w:rFonts w:ascii="Times New Roman" w:hAnsi="Times New Roman" w:cs="Times New Roman"/>
          <w:sz w:val="24"/>
          <w:szCs w:val="24"/>
        </w:rPr>
        <w:t xml:space="preserve">ceiling effect on </w:t>
      </w:r>
      <w:r w:rsidR="00B94DDF" w:rsidRPr="00C372E2">
        <w:rPr>
          <w:rFonts w:ascii="Times New Roman" w:hAnsi="Times New Roman" w:cs="Times New Roman"/>
          <w:sz w:val="24"/>
          <w:szCs w:val="24"/>
        </w:rPr>
        <w:t xml:space="preserve">the </w:t>
      </w:r>
      <w:r w:rsidRPr="00C372E2">
        <w:rPr>
          <w:rFonts w:ascii="Times New Roman" w:hAnsi="Times New Roman" w:cs="Times New Roman"/>
          <w:sz w:val="24"/>
          <w:szCs w:val="24"/>
        </w:rPr>
        <w:lastRenderedPageBreak/>
        <w:t>Incomplete Letter</w:t>
      </w:r>
      <w:r w:rsidR="00373468" w:rsidRPr="00C372E2">
        <w:rPr>
          <w:rFonts w:ascii="Times New Roman" w:hAnsi="Times New Roman" w:cs="Times New Roman"/>
          <w:sz w:val="24"/>
          <w:szCs w:val="24"/>
        </w:rPr>
        <w:t>s</w:t>
      </w:r>
      <w:r w:rsidR="00906D0E" w:rsidRPr="00C372E2">
        <w:rPr>
          <w:rFonts w:ascii="Times New Roman" w:hAnsi="Times New Roman" w:cs="Times New Roman"/>
          <w:sz w:val="24"/>
          <w:szCs w:val="24"/>
        </w:rPr>
        <w:t>,</w:t>
      </w:r>
      <w:r w:rsidRPr="00C372E2">
        <w:rPr>
          <w:rFonts w:ascii="Times New Roman" w:hAnsi="Times New Roman" w:cs="Times New Roman"/>
          <w:sz w:val="24"/>
          <w:szCs w:val="24"/>
        </w:rPr>
        <w:t xml:space="preserve"> </w:t>
      </w:r>
      <w:r w:rsidR="00F4056C" w:rsidRPr="00C372E2">
        <w:rPr>
          <w:rFonts w:ascii="Times New Roman" w:hAnsi="Times New Roman" w:cs="Times New Roman"/>
          <w:sz w:val="24"/>
          <w:szCs w:val="24"/>
        </w:rPr>
        <w:t>Dot Counting</w:t>
      </w:r>
      <w:r w:rsidR="00B94DDF" w:rsidRPr="00C372E2">
        <w:rPr>
          <w:rFonts w:ascii="Times New Roman" w:hAnsi="Times New Roman" w:cs="Times New Roman"/>
          <w:sz w:val="24"/>
          <w:szCs w:val="24"/>
        </w:rPr>
        <w:t>,</w:t>
      </w:r>
      <w:r w:rsidR="00F4056C" w:rsidRPr="00C372E2">
        <w:rPr>
          <w:rFonts w:ascii="Times New Roman" w:hAnsi="Times New Roman" w:cs="Times New Roman"/>
          <w:sz w:val="24"/>
          <w:szCs w:val="24"/>
        </w:rPr>
        <w:t xml:space="preserve"> and Position Discrimination subtests. These were </w:t>
      </w:r>
      <w:r w:rsidR="00772341" w:rsidRPr="00C372E2">
        <w:rPr>
          <w:rFonts w:ascii="Times New Roman" w:hAnsi="Times New Roman" w:cs="Times New Roman"/>
          <w:sz w:val="24"/>
          <w:szCs w:val="24"/>
        </w:rPr>
        <w:t>consistent</w:t>
      </w:r>
      <w:r w:rsidR="00F4056C" w:rsidRPr="00C372E2">
        <w:rPr>
          <w:rFonts w:ascii="Times New Roman" w:hAnsi="Times New Roman" w:cs="Times New Roman"/>
          <w:sz w:val="24"/>
          <w:szCs w:val="24"/>
        </w:rPr>
        <w:t xml:space="preserve"> with the result</w:t>
      </w:r>
      <w:r w:rsidR="00F66A50" w:rsidRPr="00C372E2">
        <w:rPr>
          <w:rFonts w:ascii="Times New Roman" w:hAnsi="Times New Roman" w:cs="Times New Roman"/>
          <w:sz w:val="24"/>
          <w:szCs w:val="24"/>
        </w:rPr>
        <w:t>s</w:t>
      </w:r>
      <w:r w:rsidR="00F4056C" w:rsidRPr="00C372E2">
        <w:rPr>
          <w:rFonts w:ascii="Times New Roman" w:hAnsi="Times New Roman" w:cs="Times New Roman"/>
          <w:sz w:val="24"/>
          <w:szCs w:val="24"/>
        </w:rPr>
        <w:t xml:space="preserve"> of </w:t>
      </w:r>
      <w:r w:rsidR="00B94DDF" w:rsidRPr="00C372E2">
        <w:rPr>
          <w:rFonts w:ascii="Times New Roman" w:hAnsi="Times New Roman" w:cs="Times New Roman"/>
          <w:sz w:val="24"/>
          <w:szCs w:val="24"/>
        </w:rPr>
        <w:t xml:space="preserve">the </w:t>
      </w:r>
      <w:r w:rsidR="00F4056C" w:rsidRPr="00C372E2">
        <w:rPr>
          <w:rFonts w:ascii="Times New Roman" w:hAnsi="Times New Roman" w:cs="Times New Roman"/>
          <w:sz w:val="24"/>
          <w:szCs w:val="24"/>
        </w:rPr>
        <w:t xml:space="preserve">British </w:t>
      </w:r>
      <w:r w:rsidR="00705EE8" w:rsidRPr="00C372E2">
        <w:rPr>
          <w:rFonts w:ascii="Times New Roman" w:hAnsi="Times New Roman" w:cs="Times New Roman"/>
          <w:sz w:val="24"/>
          <w:szCs w:val="24"/>
        </w:rPr>
        <w:t>normative data</w:t>
      </w:r>
      <w:r w:rsidR="00B94DDF" w:rsidRPr="00C372E2">
        <w:rPr>
          <w:rFonts w:ascii="Times New Roman" w:hAnsi="Times New Roman" w:cs="Times New Roman"/>
          <w:sz w:val="24"/>
          <w:szCs w:val="24"/>
        </w:rPr>
        <w:t xml:space="preserve">, which </w:t>
      </w:r>
      <w:r w:rsidR="00772341" w:rsidRPr="00C372E2">
        <w:rPr>
          <w:rFonts w:ascii="Times New Roman" w:hAnsi="Times New Roman" w:cs="Times New Roman"/>
          <w:sz w:val="24"/>
          <w:szCs w:val="24"/>
        </w:rPr>
        <w:t>indicated</w:t>
      </w:r>
      <w:r w:rsidR="00F66A50" w:rsidRPr="00C372E2">
        <w:rPr>
          <w:rFonts w:ascii="Times New Roman" w:hAnsi="Times New Roman" w:cs="Times New Roman"/>
          <w:sz w:val="24"/>
          <w:szCs w:val="24"/>
        </w:rPr>
        <w:t xml:space="preserve"> that the </w:t>
      </w:r>
      <w:r w:rsidR="006B08AD" w:rsidRPr="00C372E2">
        <w:rPr>
          <w:rFonts w:ascii="Times New Roman" w:hAnsi="Times New Roman" w:cs="Times New Roman"/>
          <w:sz w:val="24"/>
          <w:szCs w:val="24"/>
        </w:rPr>
        <w:t>Dot Counting and Position Discrimination</w:t>
      </w:r>
      <w:r w:rsidR="00F66A50" w:rsidRPr="00C372E2">
        <w:rPr>
          <w:rFonts w:ascii="Times New Roman" w:hAnsi="Times New Roman" w:cs="Times New Roman"/>
          <w:sz w:val="24"/>
          <w:szCs w:val="24"/>
        </w:rPr>
        <w:t xml:space="preserve"> subtests had very high mean score</w:t>
      </w:r>
      <w:r w:rsidR="00772341" w:rsidRPr="00C372E2">
        <w:rPr>
          <w:rFonts w:ascii="Times New Roman" w:hAnsi="Times New Roman" w:cs="Times New Roman"/>
          <w:sz w:val="24"/>
          <w:szCs w:val="24"/>
        </w:rPr>
        <w:t>s</w:t>
      </w:r>
      <w:r w:rsidR="00F66A50" w:rsidRPr="00C372E2">
        <w:rPr>
          <w:rFonts w:ascii="Times New Roman" w:hAnsi="Times New Roman" w:cs="Times New Roman"/>
          <w:sz w:val="24"/>
          <w:szCs w:val="24"/>
        </w:rPr>
        <w:t xml:space="preserve"> and narrow standard deviation</w:t>
      </w:r>
      <w:r w:rsidR="00772341" w:rsidRPr="00C372E2">
        <w:rPr>
          <w:rFonts w:ascii="Times New Roman" w:hAnsi="Times New Roman" w:cs="Times New Roman"/>
          <w:noProof/>
          <w:sz w:val="24"/>
          <w:szCs w:val="24"/>
        </w:rPr>
        <w:t>s</w:t>
      </w:r>
      <w:r w:rsidR="00D13C0D" w:rsidRPr="00C372E2">
        <w:rPr>
          <w:rFonts w:ascii="Times New Roman" w:hAnsi="Times New Roman" w:cs="Times New Roman"/>
          <w:noProof/>
          <w:sz w:val="24"/>
          <w:szCs w:val="24"/>
        </w:rPr>
        <w:t xml:space="preserve"> </w:t>
      </w:r>
      <w:r w:rsidR="003060AC" w:rsidRPr="00C372E2">
        <w:rPr>
          <w:rFonts w:ascii="Times New Roman" w:hAnsi="Times New Roman" w:cs="Times New Roman"/>
          <w:noProof/>
          <w:sz w:val="24"/>
          <w:szCs w:val="24"/>
        </w:rPr>
        <w:t>(Warrington &amp; James, 1991)</w:t>
      </w:r>
      <w:r w:rsidR="00F66A50" w:rsidRPr="00C372E2">
        <w:rPr>
          <w:rFonts w:ascii="Times New Roman" w:hAnsi="Times New Roman" w:cs="Times New Roman"/>
          <w:sz w:val="24"/>
          <w:szCs w:val="24"/>
        </w:rPr>
        <w:t>.</w:t>
      </w:r>
      <w:r w:rsidR="00705EE8" w:rsidRPr="00C372E2">
        <w:rPr>
          <w:rFonts w:ascii="Times New Roman" w:hAnsi="Times New Roman" w:cs="Times New Roman"/>
          <w:sz w:val="24"/>
          <w:szCs w:val="24"/>
        </w:rPr>
        <w:t xml:space="preserve"> </w:t>
      </w:r>
      <w:r w:rsidR="006B08AD" w:rsidRPr="00C372E2">
        <w:rPr>
          <w:rFonts w:ascii="Times New Roman" w:hAnsi="Times New Roman" w:cs="Times New Roman"/>
          <w:sz w:val="24"/>
          <w:szCs w:val="24"/>
        </w:rPr>
        <w:t>Moreover</w:t>
      </w:r>
      <w:r w:rsidR="00772341" w:rsidRPr="00C372E2">
        <w:rPr>
          <w:rFonts w:ascii="Times New Roman" w:hAnsi="Times New Roman" w:cs="Times New Roman"/>
          <w:sz w:val="24"/>
          <w:szCs w:val="24"/>
        </w:rPr>
        <w:t>,</w:t>
      </w:r>
      <w:r w:rsidR="00705EE8" w:rsidRPr="00C372E2">
        <w:rPr>
          <w:rFonts w:ascii="Times New Roman" w:hAnsi="Times New Roman" w:cs="Times New Roman"/>
          <w:sz w:val="24"/>
          <w:szCs w:val="24"/>
        </w:rPr>
        <w:t xml:space="preserve"> the results of </w:t>
      </w:r>
      <w:r w:rsidR="00772341" w:rsidRPr="00C372E2">
        <w:rPr>
          <w:rFonts w:ascii="Times New Roman" w:hAnsi="Times New Roman" w:cs="Times New Roman"/>
          <w:sz w:val="24"/>
          <w:szCs w:val="24"/>
        </w:rPr>
        <w:t xml:space="preserve">the </w:t>
      </w:r>
      <w:r w:rsidR="00705EE8" w:rsidRPr="00C372E2">
        <w:rPr>
          <w:rFonts w:ascii="Times New Roman" w:hAnsi="Times New Roman" w:cs="Times New Roman"/>
          <w:sz w:val="24"/>
          <w:szCs w:val="24"/>
        </w:rPr>
        <w:t xml:space="preserve">American normative data also </w:t>
      </w:r>
      <w:r w:rsidR="00772341" w:rsidRPr="00C372E2">
        <w:rPr>
          <w:rFonts w:ascii="Times New Roman" w:hAnsi="Times New Roman" w:cs="Times New Roman"/>
          <w:sz w:val="24"/>
          <w:szCs w:val="24"/>
        </w:rPr>
        <w:t xml:space="preserve">revealed a </w:t>
      </w:r>
      <w:r w:rsidR="00705EE8" w:rsidRPr="00C372E2">
        <w:rPr>
          <w:rFonts w:ascii="Times New Roman" w:hAnsi="Times New Roman" w:cs="Times New Roman"/>
          <w:sz w:val="24"/>
          <w:szCs w:val="24"/>
        </w:rPr>
        <w:t xml:space="preserve">ceiling effect </w:t>
      </w:r>
      <w:r w:rsidR="00772341" w:rsidRPr="00C372E2">
        <w:rPr>
          <w:rFonts w:ascii="Times New Roman" w:hAnsi="Times New Roman" w:cs="Times New Roman"/>
          <w:sz w:val="24"/>
          <w:szCs w:val="24"/>
        </w:rPr>
        <w:t xml:space="preserve">for the </w:t>
      </w:r>
      <w:r w:rsidR="00705EE8" w:rsidRPr="00C372E2">
        <w:rPr>
          <w:rFonts w:ascii="Times New Roman" w:hAnsi="Times New Roman" w:cs="Times New Roman"/>
          <w:sz w:val="24"/>
          <w:szCs w:val="24"/>
        </w:rPr>
        <w:t xml:space="preserve">Incomplete </w:t>
      </w:r>
      <w:r w:rsidR="00373468" w:rsidRPr="00C372E2">
        <w:rPr>
          <w:rFonts w:ascii="Times New Roman" w:hAnsi="Times New Roman" w:cs="Times New Roman"/>
          <w:sz w:val="24"/>
          <w:szCs w:val="24"/>
        </w:rPr>
        <w:t xml:space="preserve">Letters </w:t>
      </w:r>
      <w:r w:rsidR="00705EE8" w:rsidRPr="00C372E2">
        <w:rPr>
          <w:rFonts w:ascii="Times New Roman" w:hAnsi="Times New Roman" w:cs="Times New Roman"/>
          <w:sz w:val="24"/>
          <w:szCs w:val="24"/>
        </w:rPr>
        <w:t>subtest in the population age</w:t>
      </w:r>
      <w:r w:rsidR="00772341" w:rsidRPr="00C372E2">
        <w:rPr>
          <w:rFonts w:ascii="Times New Roman" w:hAnsi="Times New Roman" w:cs="Times New Roman"/>
          <w:sz w:val="24"/>
          <w:szCs w:val="24"/>
        </w:rPr>
        <w:t>d</w:t>
      </w:r>
      <w:r w:rsidR="00705EE8" w:rsidRPr="00C372E2">
        <w:rPr>
          <w:rFonts w:ascii="Times New Roman" w:hAnsi="Times New Roman" w:cs="Times New Roman"/>
          <w:sz w:val="24"/>
          <w:szCs w:val="24"/>
        </w:rPr>
        <w:t xml:space="preserve"> less than 70 years</w:t>
      </w:r>
      <w:r w:rsidR="00D13C0D" w:rsidRPr="00C372E2">
        <w:rPr>
          <w:rFonts w:ascii="Times New Roman" w:hAnsi="Times New Roman" w:cs="Times New Roman"/>
          <w:noProof/>
          <w:sz w:val="24"/>
          <w:szCs w:val="24"/>
        </w:rPr>
        <w:t xml:space="preserve"> </w:t>
      </w:r>
      <w:r w:rsidR="003060AC" w:rsidRPr="00C372E2">
        <w:rPr>
          <w:rFonts w:ascii="Times New Roman" w:hAnsi="Times New Roman" w:cs="Times New Roman"/>
          <w:noProof/>
          <w:sz w:val="24"/>
          <w:szCs w:val="24"/>
        </w:rPr>
        <w:t>(Bonello et al., 1997)</w:t>
      </w:r>
      <w:r w:rsidR="00705EE8" w:rsidRPr="00C372E2">
        <w:rPr>
          <w:rFonts w:ascii="Times New Roman" w:hAnsi="Times New Roman" w:cs="Times New Roman"/>
          <w:sz w:val="24"/>
          <w:szCs w:val="24"/>
        </w:rPr>
        <w:t>.</w:t>
      </w:r>
      <w:r w:rsidR="00A0656F" w:rsidRPr="00C372E2">
        <w:rPr>
          <w:rFonts w:ascii="Times New Roman" w:hAnsi="Times New Roman" w:cs="Times New Roman"/>
          <w:sz w:val="24"/>
          <w:szCs w:val="24"/>
        </w:rPr>
        <w:t xml:space="preserve"> </w:t>
      </w:r>
      <w:r w:rsidR="00772341" w:rsidRPr="00C372E2">
        <w:rPr>
          <w:rFonts w:ascii="Times New Roman" w:hAnsi="Times New Roman" w:cs="Times New Roman"/>
          <w:sz w:val="24"/>
          <w:szCs w:val="24"/>
        </w:rPr>
        <w:t xml:space="preserve">The </w:t>
      </w:r>
      <w:r w:rsidR="002D1C05" w:rsidRPr="00C372E2">
        <w:rPr>
          <w:rFonts w:ascii="Times New Roman" w:hAnsi="Times New Roman" w:cs="Times New Roman"/>
          <w:sz w:val="24"/>
          <w:szCs w:val="24"/>
        </w:rPr>
        <w:t>Silhouettes, Object Decision</w:t>
      </w:r>
      <w:r w:rsidR="00772341" w:rsidRPr="00C372E2">
        <w:rPr>
          <w:rFonts w:ascii="Times New Roman" w:hAnsi="Times New Roman" w:cs="Times New Roman"/>
          <w:sz w:val="24"/>
          <w:szCs w:val="24"/>
        </w:rPr>
        <w:t>,</w:t>
      </w:r>
      <w:r w:rsidR="002D1C05" w:rsidRPr="00C372E2">
        <w:rPr>
          <w:rFonts w:ascii="Times New Roman" w:hAnsi="Times New Roman" w:cs="Times New Roman"/>
          <w:sz w:val="24"/>
          <w:szCs w:val="24"/>
        </w:rPr>
        <w:t xml:space="preserve"> and Progressive Silhouettes subtests had </w:t>
      </w:r>
      <w:r w:rsidR="00772341" w:rsidRPr="00C372E2">
        <w:rPr>
          <w:rFonts w:ascii="Times New Roman" w:hAnsi="Times New Roman" w:cs="Times New Roman"/>
          <w:sz w:val="24"/>
          <w:szCs w:val="24"/>
        </w:rPr>
        <w:t xml:space="preserve">a </w:t>
      </w:r>
      <w:r w:rsidR="002D1C05" w:rsidRPr="00C372E2">
        <w:rPr>
          <w:rFonts w:ascii="Times New Roman" w:hAnsi="Times New Roman" w:cs="Times New Roman"/>
          <w:sz w:val="24"/>
          <w:szCs w:val="24"/>
        </w:rPr>
        <w:t xml:space="preserve">high </w:t>
      </w:r>
      <w:r w:rsidR="00772341" w:rsidRPr="00C372E2">
        <w:rPr>
          <w:rFonts w:ascii="Times New Roman" w:hAnsi="Times New Roman" w:cs="Times New Roman"/>
          <w:sz w:val="24"/>
          <w:szCs w:val="24"/>
        </w:rPr>
        <w:t xml:space="preserve">degree </w:t>
      </w:r>
      <w:r w:rsidR="002D1C05" w:rsidRPr="00C372E2">
        <w:rPr>
          <w:rFonts w:ascii="Times New Roman" w:hAnsi="Times New Roman" w:cs="Times New Roman"/>
          <w:sz w:val="24"/>
          <w:szCs w:val="24"/>
        </w:rPr>
        <w:t>of score dispersion</w:t>
      </w:r>
      <w:r w:rsidR="00906D0E" w:rsidRPr="00C372E2">
        <w:rPr>
          <w:rFonts w:ascii="Times New Roman" w:hAnsi="Times New Roman" w:cs="Times New Roman"/>
          <w:sz w:val="24"/>
          <w:szCs w:val="24"/>
        </w:rPr>
        <w:t xml:space="preserve"> in </w:t>
      </w:r>
      <w:r w:rsidR="00772341" w:rsidRPr="00C372E2">
        <w:rPr>
          <w:rFonts w:ascii="Times New Roman" w:hAnsi="Times New Roman" w:cs="Times New Roman"/>
          <w:sz w:val="24"/>
          <w:szCs w:val="24"/>
        </w:rPr>
        <w:t xml:space="preserve">the </w:t>
      </w:r>
      <w:r w:rsidR="00906D0E" w:rsidRPr="00C372E2">
        <w:rPr>
          <w:rFonts w:ascii="Times New Roman" w:hAnsi="Times New Roman" w:cs="Times New Roman"/>
          <w:sz w:val="24"/>
          <w:szCs w:val="24"/>
        </w:rPr>
        <w:t>Thai population</w:t>
      </w:r>
      <w:r w:rsidR="002D1C05" w:rsidRPr="00C372E2">
        <w:rPr>
          <w:rFonts w:ascii="Times New Roman" w:hAnsi="Times New Roman" w:cs="Times New Roman"/>
          <w:sz w:val="24"/>
          <w:szCs w:val="24"/>
        </w:rPr>
        <w:t xml:space="preserve">. </w:t>
      </w:r>
      <w:r w:rsidR="00B521CD" w:rsidRPr="00C372E2">
        <w:rPr>
          <w:rFonts w:ascii="Times New Roman" w:hAnsi="Times New Roman" w:cs="Times New Roman"/>
          <w:sz w:val="24"/>
          <w:szCs w:val="24"/>
        </w:rPr>
        <w:t>Compared with the other subtests, t</w:t>
      </w:r>
      <w:r w:rsidR="002D1C05" w:rsidRPr="00C372E2">
        <w:rPr>
          <w:rFonts w:ascii="Times New Roman" w:hAnsi="Times New Roman" w:cs="Times New Roman"/>
          <w:sz w:val="24"/>
          <w:szCs w:val="24"/>
        </w:rPr>
        <w:t xml:space="preserve">hese </w:t>
      </w:r>
      <w:r w:rsidR="00B521CD" w:rsidRPr="00C372E2">
        <w:rPr>
          <w:rFonts w:ascii="Times New Roman" w:hAnsi="Times New Roman" w:cs="Times New Roman"/>
          <w:sz w:val="24"/>
          <w:szCs w:val="24"/>
        </w:rPr>
        <w:t xml:space="preserve">3 </w:t>
      </w:r>
      <w:r w:rsidR="002D1C05" w:rsidRPr="00C372E2">
        <w:rPr>
          <w:rFonts w:ascii="Times New Roman" w:hAnsi="Times New Roman" w:cs="Times New Roman"/>
          <w:sz w:val="24"/>
          <w:szCs w:val="24"/>
        </w:rPr>
        <w:t xml:space="preserve">subtests </w:t>
      </w:r>
      <w:r w:rsidR="00A0656F" w:rsidRPr="00C372E2">
        <w:rPr>
          <w:rFonts w:ascii="Times New Roman" w:hAnsi="Times New Roman" w:cs="Times New Roman"/>
          <w:sz w:val="24"/>
          <w:szCs w:val="24"/>
        </w:rPr>
        <w:t>also had mean score</w:t>
      </w:r>
      <w:r w:rsidR="00772341" w:rsidRPr="00C372E2">
        <w:rPr>
          <w:rFonts w:ascii="Times New Roman" w:hAnsi="Times New Roman" w:cs="Times New Roman"/>
          <w:sz w:val="24"/>
          <w:szCs w:val="24"/>
        </w:rPr>
        <w:t>s that were</w:t>
      </w:r>
      <w:r w:rsidR="00A0656F" w:rsidRPr="00C372E2">
        <w:rPr>
          <w:rFonts w:ascii="Times New Roman" w:hAnsi="Times New Roman" w:cs="Times New Roman"/>
          <w:sz w:val="24"/>
          <w:szCs w:val="24"/>
        </w:rPr>
        <w:t xml:space="preserve"> much lower than </w:t>
      </w:r>
      <w:r w:rsidR="00772341" w:rsidRPr="00C372E2">
        <w:rPr>
          <w:rFonts w:ascii="Times New Roman" w:hAnsi="Times New Roman" w:cs="Times New Roman"/>
          <w:sz w:val="24"/>
          <w:szCs w:val="24"/>
        </w:rPr>
        <w:t xml:space="preserve">the </w:t>
      </w:r>
      <w:r w:rsidR="00A0656F" w:rsidRPr="00C372E2">
        <w:rPr>
          <w:rFonts w:ascii="Times New Roman" w:hAnsi="Times New Roman" w:cs="Times New Roman"/>
          <w:sz w:val="24"/>
          <w:szCs w:val="24"/>
        </w:rPr>
        <w:t xml:space="preserve">full score. In </w:t>
      </w:r>
      <w:r w:rsidR="00B521CD" w:rsidRPr="00C372E2">
        <w:rPr>
          <w:rFonts w:ascii="Times New Roman" w:hAnsi="Times New Roman" w:cs="Times New Roman"/>
          <w:sz w:val="24"/>
          <w:szCs w:val="24"/>
        </w:rPr>
        <w:t xml:space="preserve">line </w:t>
      </w:r>
      <w:r w:rsidR="00A0656F" w:rsidRPr="00C372E2">
        <w:rPr>
          <w:rFonts w:ascii="Times New Roman" w:hAnsi="Times New Roman" w:cs="Times New Roman"/>
          <w:sz w:val="24"/>
          <w:szCs w:val="24"/>
        </w:rPr>
        <w:t>with th</w:t>
      </w:r>
      <w:r w:rsidR="00906D0E" w:rsidRPr="00C372E2">
        <w:rPr>
          <w:rFonts w:ascii="Times New Roman" w:hAnsi="Times New Roman" w:cs="Times New Roman"/>
          <w:sz w:val="24"/>
          <w:szCs w:val="24"/>
        </w:rPr>
        <w:t>ese</w:t>
      </w:r>
      <w:r w:rsidR="00A0656F" w:rsidRPr="00C372E2">
        <w:rPr>
          <w:rFonts w:ascii="Times New Roman" w:hAnsi="Times New Roman" w:cs="Times New Roman"/>
          <w:sz w:val="24"/>
          <w:szCs w:val="24"/>
        </w:rPr>
        <w:t xml:space="preserve"> present results, </w:t>
      </w:r>
      <w:r w:rsidR="00B521CD" w:rsidRPr="00C372E2">
        <w:rPr>
          <w:rFonts w:ascii="Times New Roman" w:hAnsi="Times New Roman" w:cs="Times New Roman"/>
          <w:sz w:val="24"/>
          <w:szCs w:val="24"/>
        </w:rPr>
        <w:t xml:space="preserve">a </w:t>
      </w:r>
      <w:r w:rsidR="00A0656F" w:rsidRPr="00C372E2">
        <w:rPr>
          <w:rFonts w:ascii="Times New Roman" w:hAnsi="Times New Roman" w:cs="Times New Roman"/>
          <w:sz w:val="24"/>
          <w:szCs w:val="24"/>
        </w:rPr>
        <w:t>previous</w:t>
      </w:r>
      <w:r w:rsidR="00A0131A" w:rsidRPr="00C372E2">
        <w:rPr>
          <w:rFonts w:ascii="Times New Roman" w:hAnsi="Times New Roman" w:cs="Times New Roman"/>
          <w:sz w:val="24"/>
          <w:szCs w:val="24"/>
        </w:rPr>
        <w:t xml:space="preserve"> statistical</w:t>
      </w:r>
      <w:r w:rsidR="00A0656F" w:rsidRPr="00C372E2">
        <w:rPr>
          <w:rFonts w:ascii="Times New Roman" w:hAnsi="Times New Roman" w:cs="Times New Roman"/>
          <w:sz w:val="24"/>
          <w:szCs w:val="24"/>
        </w:rPr>
        <w:t xml:space="preserve"> study demonstrated</w:t>
      </w:r>
      <w:r w:rsidR="00B521CD" w:rsidRPr="00C372E2">
        <w:rPr>
          <w:rFonts w:ascii="Times New Roman" w:hAnsi="Times New Roman" w:cs="Times New Roman"/>
          <w:sz w:val="24"/>
          <w:szCs w:val="24"/>
        </w:rPr>
        <w:t xml:space="preserve"> a</w:t>
      </w:r>
      <w:r w:rsidR="00A0656F" w:rsidRPr="00C372E2">
        <w:rPr>
          <w:rFonts w:ascii="Times New Roman" w:hAnsi="Times New Roman" w:cs="Times New Roman"/>
          <w:sz w:val="24"/>
          <w:szCs w:val="24"/>
        </w:rPr>
        <w:t xml:space="preserve"> significant negative correlation between score dispersion and level of performance</w:t>
      </w:r>
      <w:r w:rsidR="00D13C0D" w:rsidRPr="00C372E2">
        <w:rPr>
          <w:rFonts w:ascii="Times New Roman" w:hAnsi="Times New Roman" w:cs="Times New Roman"/>
          <w:sz w:val="24"/>
          <w:szCs w:val="24"/>
        </w:rPr>
        <w:t xml:space="preserve"> </w:t>
      </w:r>
      <w:r w:rsidR="003060AC" w:rsidRPr="00C372E2">
        <w:rPr>
          <w:rFonts w:ascii="Times New Roman" w:hAnsi="Times New Roman" w:cs="Times New Roman"/>
          <w:noProof/>
          <w:sz w:val="24"/>
          <w:szCs w:val="24"/>
        </w:rPr>
        <w:t>(Tanner-Eggen, Balzer, Perrig, &amp; Gutbrod, 2015)</w:t>
      </w:r>
      <w:r w:rsidR="00A0656F" w:rsidRPr="00C372E2">
        <w:rPr>
          <w:rFonts w:ascii="Times New Roman" w:hAnsi="Times New Roman" w:cs="Times New Roman"/>
          <w:sz w:val="24"/>
          <w:szCs w:val="24"/>
        </w:rPr>
        <w:t>.</w:t>
      </w:r>
    </w:p>
    <w:p w14:paraId="279B1C98" w14:textId="5A6A3067" w:rsidR="00DB4B30" w:rsidRPr="00C372E2" w:rsidRDefault="002D1C05" w:rsidP="00DB4B30">
      <w:pPr>
        <w:pStyle w:val="HTMLPreformatted"/>
        <w:spacing w:after="360" w:line="360" w:lineRule="auto"/>
        <w:rPr>
          <w:rFonts w:ascii="Times New Roman" w:hAnsi="Times New Roman" w:cs="Times New Roman"/>
          <w:color w:val="000000" w:themeColor="text1"/>
          <w:sz w:val="24"/>
          <w:szCs w:val="24"/>
        </w:rPr>
      </w:pPr>
      <w:r w:rsidRPr="00C372E2">
        <w:rPr>
          <w:rFonts w:ascii="Times New Roman" w:hAnsi="Times New Roman" w:cs="Times New Roman"/>
          <w:color w:val="000000" w:themeColor="text1"/>
          <w:sz w:val="24"/>
          <w:szCs w:val="24"/>
        </w:rPr>
        <w:t xml:space="preserve">All </w:t>
      </w:r>
      <w:r w:rsidR="00B33010" w:rsidRPr="00C372E2">
        <w:rPr>
          <w:rFonts w:ascii="Times New Roman" w:hAnsi="Times New Roman" w:cs="Times New Roman"/>
          <w:color w:val="000000" w:themeColor="text1"/>
          <w:sz w:val="24"/>
          <w:szCs w:val="24"/>
        </w:rPr>
        <w:t xml:space="preserve">of </w:t>
      </w:r>
      <w:r w:rsidRPr="00C372E2">
        <w:rPr>
          <w:rFonts w:ascii="Times New Roman" w:hAnsi="Times New Roman" w:cs="Times New Roman"/>
          <w:color w:val="000000" w:themeColor="text1"/>
          <w:sz w:val="24"/>
          <w:szCs w:val="24"/>
        </w:rPr>
        <w:t>t</w:t>
      </w:r>
      <w:r w:rsidR="0064341A" w:rsidRPr="00C372E2">
        <w:rPr>
          <w:rFonts w:ascii="Times New Roman" w:hAnsi="Times New Roman" w:cs="Times New Roman"/>
          <w:color w:val="000000" w:themeColor="text1"/>
          <w:sz w:val="24"/>
          <w:szCs w:val="24"/>
        </w:rPr>
        <w:t xml:space="preserve">he </w:t>
      </w:r>
      <w:r w:rsidR="00B33010" w:rsidRPr="00C372E2">
        <w:rPr>
          <w:rFonts w:ascii="Times New Roman" w:hAnsi="Times New Roman" w:cs="Times New Roman"/>
          <w:color w:val="000000" w:themeColor="text1"/>
          <w:sz w:val="24"/>
          <w:szCs w:val="24"/>
        </w:rPr>
        <w:t xml:space="preserve">Space Perception </w:t>
      </w:r>
      <w:r w:rsidR="0064341A" w:rsidRPr="00C372E2">
        <w:rPr>
          <w:rFonts w:ascii="Times New Roman" w:hAnsi="Times New Roman" w:cs="Times New Roman"/>
          <w:color w:val="000000" w:themeColor="text1"/>
          <w:sz w:val="24"/>
          <w:szCs w:val="24"/>
        </w:rPr>
        <w:t>subtest</w:t>
      </w:r>
      <w:r w:rsidR="00A0131A" w:rsidRPr="00C372E2">
        <w:rPr>
          <w:rFonts w:ascii="Times New Roman" w:hAnsi="Times New Roman" w:cs="Times New Roman"/>
          <w:color w:val="000000" w:themeColor="text1"/>
          <w:sz w:val="24"/>
          <w:szCs w:val="24"/>
        </w:rPr>
        <w:t>s</w:t>
      </w:r>
      <w:r w:rsidR="0064341A" w:rsidRPr="00C372E2">
        <w:rPr>
          <w:rFonts w:ascii="Times New Roman" w:hAnsi="Times New Roman" w:cs="Times New Roman"/>
          <w:color w:val="000000" w:themeColor="text1"/>
          <w:sz w:val="24"/>
          <w:szCs w:val="24"/>
        </w:rPr>
        <w:t xml:space="preserve"> and </w:t>
      </w:r>
      <w:r w:rsidRPr="00C372E2">
        <w:rPr>
          <w:rFonts w:ascii="Times New Roman" w:hAnsi="Times New Roman" w:cs="Times New Roman"/>
          <w:color w:val="000000" w:themeColor="text1"/>
          <w:sz w:val="24"/>
          <w:szCs w:val="24"/>
        </w:rPr>
        <w:t xml:space="preserve">two of </w:t>
      </w:r>
      <w:r w:rsidR="0064341A" w:rsidRPr="00C372E2">
        <w:rPr>
          <w:rFonts w:ascii="Times New Roman" w:hAnsi="Times New Roman" w:cs="Times New Roman"/>
          <w:color w:val="000000" w:themeColor="text1"/>
          <w:sz w:val="24"/>
          <w:szCs w:val="24"/>
        </w:rPr>
        <w:t>the</w:t>
      </w:r>
      <w:r w:rsidR="0030439A" w:rsidRPr="00C372E2">
        <w:rPr>
          <w:rFonts w:ascii="Times New Roman" w:hAnsi="Times New Roman" w:cs="Times New Roman"/>
          <w:color w:val="000000" w:themeColor="text1"/>
          <w:sz w:val="24"/>
          <w:szCs w:val="24"/>
        </w:rPr>
        <w:t xml:space="preserve"> Object Perception</w:t>
      </w:r>
      <w:r w:rsidR="00B33010" w:rsidRPr="00C372E2">
        <w:rPr>
          <w:rFonts w:ascii="Times New Roman" w:hAnsi="Times New Roman" w:cs="Times New Roman"/>
          <w:color w:val="000000" w:themeColor="text1"/>
          <w:sz w:val="24"/>
          <w:szCs w:val="24"/>
        </w:rPr>
        <w:t xml:space="preserve">, </w:t>
      </w:r>
      <w:r w:rsidR="0030439A" w:rsidRPr="00C372E2">
        <w:rPr>
          <w:rFonts w:ascii="Times New Roman" w:hAnsi="Times New Roman" w:cs="Times New Roman"/>
          <w:color w:val="000000" w:themeColor="text1"/>
          <w:sz w:val="24"/>
          <w:szCs w:val="24"/>
        </w:rPr>
        <w:t>Incomplete Letters</w:t>
      </w:r>
      <w:r w:rsidR="00B33010" w:rsidRPr="00C372E2">
        <w:rPr>
          <w:rFonts w:ascii="Times New Roman" w:hAnsi="Times New Roman" w:cs="Times New Roman"/>
          <w:color w:val="000000" w:themeColor="text1"/>
          <w:sz w:val="24"/>
          <w:szCs w:val="24"/>
        </w:rPr>
        <w:t>,</w:t>
      </w:r>
      <w:r w:rsidR="0030439A" w:rsidRPr="00C372E2">
        <w:rPr>
          <w:rFonts w:ascii="Times New Roman" w:hAnsi="Times New Roman" w:cs="Times New Roman"/>
          <w:color w:val="000000" w:themeColor="text1"/>
          <w:sz w:val="24"/>
          <w:szCs w:val="24"/>
        </w:rPr>
        <w:t xml:space="preserve"> and Progressive Silhouettes </w:t>
      </w:r>
      <w:r w:rsidR="00B33010" w:rsidRPr="00C372E2">
        <w:rPr>
          <w:rFonts w:ascii="Times New Roman" w:hAnsi="Times New Roman" w:cs="Times New Roman"/>
          <w:color w:val="000000" w:themeColor="text1"/>
          <w:sz w:val="24"/>
          <w:szCs w:val="24"/>
        </w:rPr>
        <w:t xml:space="preserve">subtests </w:t>
      </w:r>
      <w:r w:rsidR="0030439A" w:rsidRPr="00C372E2">
        <w:rPr>
          <w:rFonts w:ascii="Times New Roman" w:hAnsi="Times New Roman" w:cs="Times New Roman"/>
          <w:color w:val="000000" w:themeColor="text1"/>
          <w:sz w:val="24"/>
          <w:szCs w:val="24"/>
        </w:rPr>
        <w:t xml:space="preserve">had approximate means and </w:t>
      </w:r>
      <w:r w:rsidR="00D815BC" w:rsidRPr="00C372E2">
        <w:rPr>
          <w:rFonts w:ascii="Times New Roman" w:hAnsi="Times New Roman" w:cs="Times New Roman"/>
          <w:color w:val="000000" w:themeColor="text1"/>
          <w:sz w:val="24"/>
          <w:szCs w:val="24"/>
        </w:rPr>
        <w:t>f</w:t>
      </w:r>
      <w:r w:rsidR="0030439A" w:rsidRPr="00C372E2">
        <w:rPr>
          <w:rFonts w:ascii="Times New Roman" w:hAnsi="Times New Roman" w:cs="Times New Roman"/>
          <w:color w:val="000000" w:themeColor="text1"/>
          <w:sz w:val="24"/>
          <w:szCs w:val="24"/>
        </w:rPr>
        <w:t xml:space="preserve">ifth percentile </w:t>
      </w:r>
      <w:r w:rsidR="00EC0032" w:rsidRPr="00C372E2">
        <w:rPr>
          <w:rFonts w:ascii="Times New Roman" w:hAnsi="Times New Roman" w:cs="Times New Roman"/>
          <w:color w:val="000000" w:themeColor="text1"/>
          <w:sz w:val="24"/>
          <w:szCs w:val="24"/>
        </w:rPr>
        <w:t>cut-off score</w:t>
      </w:r>
      <w:r w:rsidR="00A0131A" w:rsidRPr="00C372E2">
        <w:rPr>
          <w:rFonts w:ascii="Times New Roman" w:hAnsi="Times New Roman" w:cs="Times New Roman"/>
          <w:color w:val="000000" w:themeColor="text1"/>
          <w:sz w:val="24"/>
          <w:szCs w:val="24"/>
        </w:rPr>
        <w:t>s</w:t>
      </w:r>
      <w:r w:rsidR="00EC0032" w:rsidRPr="00C372E2">
        <w:rPr>
          <w:rFonts w:ascii="Times New Roman" w:hAnsi="Times New Roman" w:cs="Times New Roman"/>
          <w:color w:val="000000" w:themeColor="text1"/>
          <w:sz w:val="24"/>
          <w:szCs w:val="24"/>
        </w:rPr>
        <w:t xml:space="preserve"> </w:t>
      </w:r>
      <w:r w:rsidR="00B33010" w:rsidRPr="00C372E2">
        <w:rPr>
          <w:rFonts w:ascii="Times New Roman" w:hAnsi="Times New Roman" w:cs="Times New Roman"/>
          <w:color w:val="000000" w:themeColor="text1"/>
          <w:sz w:val="24"/>
          <w:szCs w:val="24"/>
        </w:rPr>
        <w:t>that were comparable with those of</w:t>
      </w:r>
      <w:r w:rsidR="0030439A" w:rsidRPr="00C372E2">
        <w:rPr>
          <w:rFonts w:ascii="Times New Roman" w:hAnsi="Times New Roman" w:cs="Times New Roman"/>
          <w:color w:val="000000" w:themeColor="text1"/>
          <w:sz w:val="24"/>
          <w:szCs w:val="24"/>
        </w:rPr>
        <w:t xml:space="preserve"> other </w:t>
      </w:r>
      <w:r w:rsidR="00A0131A" w:rsidRPr="00C372E2">
        <w:rPr>
          <w:rFonts w:ascii="Times New Roman" w:hAnsi="Times New Roman" w:cs="Times New Roman"/>
          <w:color w:val="000000" w:themeColor="text1"/>
          <w:sz w:val="24"/>
          <w:szCs w:val="24"/>
        </w:rPr>
        <w:t xml:space="preserve">normative </w:t>
      </w:r>
      <w:r w:rsidR="0030439A" w:rsidRPr="00C372E2">
        <w:rPr>
          <w:rFonts w:ascii="Times New Roman" w:hAnsi="Times New Roman" w:cs="Times New Roman"/>
          <w:color w:val="000000" w:themeColor="text1"/>
          <w:sz w:val="24"/>
          <w:szCs w:val="24"/>
        </w:rPr>
        <w:t>studies</w:t>
      </w:r>
      <w:r w:rsidR="00D13C0D" w:rsidRPr="00C372E2">
        <w:rPr>
          <w:rFonts w:ascii="Times New Roman" w:hAnsi="Times New Roman" w:cs="Times New Roman"/>
          <w:color w:val="000000" w:themeColor="text1"/>
          <w:sz w:val="24"/>
          <w:szCs w:val="24"/>
        </w:rPr>
        <w:t xml:space="preserve"> </w:t>
      </w:r>
      <w:r w:rsidR="003060AC" w:rsidRPr="00C372E2">
        <w:rPr>
          <w:rFonts w:ascii="Times New Roman" w:hAnsi="Times New Roman" w:cs="Times New Roman"/>
          <w:noProof/>
          <w:color w:val="000000" w:themeColor="text1"/>
          <w:sz w:val="24"/>
          <w:szCs w:val="24"/>
        </w:rPr>
        <w:t>(Bonello et al., 1997; Herrera-Guzmán et al., 2004; Warrington &amp; James, 1991)</w:t>
      </w:r>
      <w:r w:rsidR="0064341A" w:rsidRPr="00C372E2">
        <w:rPr>
          <w:rFonts w:ascii="Times New Roman" w:hAnsi="Times New Roman" w:cs="Times New Roman"/>
          <w:color w:val="000000" w:themeColor="text1"/>
          <w:sz w:val="24"/>
          <w:szCs w:val="24"/>
        </w:rPr>
        <w:t>.</w:t>
      </w:r>
      <w:r w:rsidR="0030439A" w:rsidRPr="00C372E2">
        <w:rPr>
          <w:rFonts w:ascii="Times New Roman" w:hAnsi="Times New Roman" w:cs="Times New Roman"/>
          <w:color w:val="000000" w:themeColor="text1"/>
          <w:sz w:val="24"/>
          <w:szCs w:val="24"/>
        </w:rPr>
        <w:t xml:space="preserve"> In contrast,</w:t>
      </w:r>
      <w:r w:rsidR="00466A7C" w:rsidRPr="00C372E2">
        <w:rPr>
          <w:rFonts w:ascii="Times New Roman" w:hAnsi="Times New Roman" w:cs="Times New Roman"/>
          <w:color w:val="000000" w:themeColor="text1"/>
          <w:sz w:val="24"/>
          <w:szCs w:val="24"/>
        </w:rPr>
        <w:t xml:space="preserve"> the</w:t>
      </w:r>
      <w:r w:rsidR="0030439A" w:rsidRPr="00C372E2">
        <w:rPr>
          <w:rFonts w:ascii="Times New Roman" w:hAnsi="Times New Roman" w:cs="Times New Roman"/>
          <w:color w:val="000000" w:themeColor="text1"/>
          <w:sz w:val="24"/>
          <w:szCs w:val="24"/>
        </w:rPr>
        <w:t xml:space="preserve"> Silhouettes and Object Decision</w:t>
      </w:r>
      <w:r w:rsidR="00466A7C" w:rsidRPr="00C372E2">
        <w:rPr>
          <w:rFonts w:ascii="Times New Roman" w:hAnsi="Times New Roman" w:cs="Times New Roman"/>
          <w:color w:val="000000" w:themeColor="text1"/>
          <w:sz w:val="24"/>
          <w:szCs w:val="24"/>
        </w:rPr>
        <w:t xml:space="preserve"> subtests</w:t>
      </w:r>
      <w:r w:rsidR="0030439A" w:rsidRPr="00C372E2">
        <w:rPr>
          <w:rFonts w:ascii="Times New Roman" w:hAnsi="Times New Roman" w:cs="Times New Roman"/>
          <w:color w:val="000000" w:themeColor="text1"/>
          <w:sz w:val="24"/>
          <w:szCs w:val="24"/>
        </w:rPr>
        <w:t xml:space="preserve"> had lower means and </w:t>
      </w:r>
      <w:r w:rsidR="00D815BC" w:rsidRPr="00C372E2">
        <w:rPr>
          <w:rFonts w:ascii="Times New Roman" w:hAnsi="Times New Roman" w:cs="Times New Roman"/>
          <w:color w:val="000000" w:themeColor="text1"/>
          <w:sz w:val="24"/>
          <w:szCs w:val="24"/>
        </w:rPr>
        <w:t>f</w:t>
      </w:r>
      <w:r w:rsidR="0030439A" w:rsidRPr="00C372E2">
        <w:rPr>
          <w:rFonts w:ascii="Times New Roman" w:hAnsi="Times New Roman" w:cs="Times New Roman"/>
          <w:color w:val="000000" w:themeColor="text1"/>
          <w:sz w:val="24"/>
          <w:szCs w:val="24"/>
        </w:rPr>
        <w:t>ifth percentile</w:t>
      </w:r>
      <w:r w:rsidR="00EC0032" w:rsidRPr="00C372E2">
        <w:rPr>
          <w:rFonts w:ascii="Times New Roman" w:hAnsi="Times New Roman" w:cs="Times New Roman"/>
          <w:color w:val="000000" w:themeColor="text1"/>
          <w:sz w:val="24"/>
          <w:szCs w:val="24"/>
        </w:rPr>
        <w:t xml:space="preserve"> cut-off scor</w:t>
      </w:r>
      <w:r w:rsidR="00A0131A" w:rsidRPr="00C372E2">
        <w:rPr>
          <w:rFonts w:ascii="Times New Roman" w:hAnsi="Times New Roman" w:cs="Times New Roman"/>
          <w:color w:val="000000" w:themeColor="text1"/>
          <w:sz w:val="24"/>
          <w:szCs w:val="24"/>
        </w:rPr>
        <w:t>es</w:t>
      </w:r>
      <w:r w:rsidR="002E1AF8" w:rsidRPr="00C372E2">
        <w:rPr>
          <w:rFonts w:ascii="Times New Roman" w:hAnsi="Times New Roman" w:cs="Times New Roman"/>
          <w:color w:val="000000" w:themeColor="text1"/>
          <w:sz w:val="24"/>
          <w:szCs w:val="24"/>
        </w:rPr>
        <w:t xml:space="preserve">. </w:t>
      </w:r>
      <w:r w:rsidR="0064341A" w:rsidRPr="00C372E2">
        <w:rPr>
          <w:rFonts w:ascii="Times New Roman" w:hAnsi="Times New Roman" w:cs="Times New Roman"/>
          <w:color w:val="000000" w:themeColor="text1"/>
          <w:sz w:val="24"/>
          <w:szCs w:val="24"/>
        </w:rPr>
        <w:t xml:space="preserve">This finding, while preliminary, suggests that </w:t>
      </w:r>
      <w:r w:rsidR="00466A7C" w:rsidRPr="00C372E2">
        <w:rPr>
          <w:rFonts w:ascii="Times New Roman" w:hAnsi="Times New Roman" w:cs="Times New Roman"/>
          <w:color w:val="000000" w:themeColor="text1"/>
          <w:sz w:val="24"/>
          <w:szCs w:val="24"/>
        </w:rPr>
        <w:t xml:space="preserve">the </w:t>
      </w:r>
      <w:r w:rsidR="0064341A" w:rsidRPr="00C372E2">
        <w:rPr>
          <w:rFonts w:ascii="Times New Roman" w:hAnsi="Times New Roman" w:cs="Times New Roman"/>
          <w:color w:val="000000" w:themeColor="text1"/>
          <w:sz w:val="24"/>
          <w:szCs w:val="24"/>
        </w:rPr>
        <w:t>c</w:t>
      </w:r>
      <w:r w:rsidR="002E1AF8" w:rsidRPr="00C372E2">
        <w:rPr>
          <w:rFonts w:ascii="Times New Roman" w:hAnsi="Times New Roman" w:cs="Times New Roman"/>
          <w:color w:val="000000" w:themeColor="text1"/>
          <w:sz w:val="24"/>
          <w:szCs w:val="24"/>
        </w:rPr>
        <w:t>ut</w:t>
      </w:r>
      <w:r w:rsidR="0064341A" w:rsidRPr="00C372E2">
        <w:rPr>
          <w:rFonts w:ascii="Times New Roman" w:hAnsi="Times New Roman" w:cs="Times New Roman"/>
          <w:color w:val="000000" w:themeColor="text1"/>
          <w:sz w:val="24"/>
          <w:szCs w:val="24"/>
        </w:rPr>
        <w:t>-</w:t>
      </w:r>
      <w:r w:rsidR="002E1AF8" w:rsidRPr="00C372E2">
        <w:rPr>
          <w:rFonts w:ascii="Times New Roman" w:hAnsi="Times New Roman" w:cs="Times New Roman"/>
          <w:color w:val="000000" w:themeColor="text1"/>
          <w:sz w:val="24"/>
          <w:szCs w:val="24"/>
        </w:rPr>
        <w:t xml:space="preserve">off score </w:t>
      </w:r>
      <w:r w:rsidR="0064341A" w:rsidRPr="00C372E2">
        <w:rPr>
          <w:rFonts w:ascii="Times New Roman" w:hAnsi="Times New Roman" w:cs="Times New Roman"/>
          <w:color w:val="000000" w:themeColor="text1"/>
          <w:sz w:val="24"/>
          <w:szCs w:val="24"/>
        </w:rPr>
        <w:t xml:space="preserve">of the </w:t>
      </w:r>
      <w:r w:rsidR="002E1AF8" w:rsidRPr="00C372E2">
        <w:rPr>
          <w:rFonts w:ascii="Times New Roman" w:hAnsi="Times New Roman" w:cs="Times New Roman"/>
          <w:color w:val="000000" w:themeColor="text1"/>
          <w:sz w:val="24"/>
          <w:szCs w:val="24"/>
        </w:rPr>
        <w:t xml:space="preserve">original </w:t>
      </w:r>
      <w:r w:rsidR="0064341A" w:rsidRPr="00C372E2">
        <w:rPr>
          <w:rFonts w:ascii="Times New Roman" w:hAnsi="Times New Roman" w:cs="Times New Roman"/>
          <w:color w:val="000000" w:themeColor="text1"/>
          <w:sz w:val="24"/>
          <w:szCs w:val="24"/>
        </w:rPr>
        <w:t xml:space="preserve">British </w:t>
      </w:r>
      <w:r w:rsidR="002E1AF8" w:rsidRPr="00C372E2">
        <w:rPr>
          <w:rFonts w:ascii="Times New Roman" w:hAnsi="Times New Roman" w:cs="Times New Roman"/>
          <w:color w:val="000000" w:themeColor="text1"/>
          <w:sz w:val="24"/>
          <w:szCs w:val="24"/>
        </w:rPr>
        <w:t xml:space="preserve">normative </w:t>
      </w:r>
      <w:r w:rsidR="0064341A" w:rsidRPr="00C372E2">
        <w:rPr>
          <w:rFonts w:ascii="Times New Roman" w:hAnsi="Times New Roman" w:cs="Times New Roman"/>
          <w:color w:val="000000" w:themeColor="text1"/>
          <w:sz w:val="24"/>
          <w:szCs w:val="24"/>
        </w:rPr>
        <w:t>study</w:t>
      </w:r>
      <w:r w:rsidR="002E1AF8" w:rsidRPr="00C372E2">
        <w:rPr>
          <w:rFonts w:ascii="Times New Roman" w:hAnsi="Times New Roman" w:cs="Times New Roman"/>
          <w:color w:val="000000" w:themeColor="text1"/>
          <w:sz w:val="24"/>
          <w:szCs w:val="24"/>
        </w:rPr>
        <w:t xml:space="preserve"> </w:t>
      </w:r>
      <w:r w:rsidR="00A0131A" w:rsidRPr="00C372E2">
        <w:rPr>
          <w:rFonts w:ascii="Times New Roman" w:hAnsi="Times New Roman" w:cs="Times New Roman"/>
          <w:color w:val="000000" w:themeColor="text1"/>
          <w:sz w:val="24"/>
          <w:szCs w:val="24"/>
        </w:rPr>
        <w:t>may</w:t>
      </w:r>
      <w:r w:rsidR="002E1AF8" w:rsidRPr="00C372E2">
        <w:rPr>
          <w:rFonts w:ascii="Times New Roman" w:hAnsi="Times New Roman" w:cs="Times New Roman"/>
          <w:color w:val="000000" w:themeColor="text1"/>
          <w:sz w:val="24"/>
          <w:szCs w:val="24"/>
        </w:rPr>
        <w:t xml:space="preserve"> not </w:t>
      </w:r>
      <w:r w:rsidR="00A0131A" w:rsidRPr="00C372E2">
        <w:rPr>
          <w:rFonts w:ascii="Times New Roman" w:hAnsi="Times New Roman" w:cs="Times New Roman"/>
          <w:color w:val="000000" w:themeColor="text1"/>
          <w:sz w:val="24"/>
          <w:szCs w:val="24"/>
        </w:rPr>
        <w:t xml:space="preserve">be </w:t>
      </w:r>
      <w:r w:rsidR="002E1AF8" w:rsidRPr="00C372E2">
        <w:rPr>
          <w:rFonts w:ascii="Times New Roman" w:hAnsi="Times New Roman" w:cs="Times New Roman"/>
          <w:color w:val="000000" w:themeColor="text1"/>
          <w:sz w:val="24"/>
          <w:szCs w:val="24"/>
        </w:rPr>
        <w:t xml:space="preserve">applicable </w:t>
      </w:r>
      <w:r w:rsidR="00466A7C" w:rsidRPr="00C372E2">
        <w:rPr>
          <w:rFonts w:ascii="Times New Roman" w:hAnsi="Times New Roman" w:cs="Times New Roman"/>
          <w:color w:val="000000" w:themeColor="text1"/>
          <w:sz w:val="24"/>
          <w:szCs w:val="24"/>
        </w:rPr>
        <w:t xml:space="preserve">to the </w:t>
      </w:r>
      <w:r w:rsidR="002E1AF8" w:rsidRPr="00C372E2">
        <w:rPr>
          <w:rFonts w:ascii="Times New Roman" w:hAnsi="Times New Roman" w:cs="Times New Roman"/>
          <w:color w:val="000000" w:themeColor="text1"/>
          <w:sz w:val="24"/>
          <w:szCs w:val="24"/>
        </w:rPr>
        <w:t xml:space="preserve">Thai population. </w:t>
      </w:r>
      <w:r w:rsidR="00466A7C" w:rsidRPr="00C372E2">
        <w:rPr>
          <w:rFonts w:ascii="Times New Roman" w:hAnsi="Times New Roman" w:cs="Times New Roman"/>
          <w:color w:val="000000" w:themeColor="text1"/>
          <w:sz w:val="24"/>
          <w:szCs w:val="24"/>
        </w:rPr>
        <w:t>A l</w:t>
      </w:r>
      <w:r w:rsidR="002E1AF8" w:rsidRPr="00C372E2">
        <w:rPr>
          <w:rFonts w:ascii="Times New Roman" w:hAnsi="Times New Roman" w:cs="Times New Roman"/>
          <w:color w:val="000000" w:themeColor="text1"/>
          <w:sz w:val="24"/>
          <w:szCs w:val="24"/>
        </w:rPr>
        <w:t xml:space="preserve">ow score may not </w:t>
      </w:r>
      <w:r w:rsidR="00466A7C" w:rsidRPr="00C372E2">
        <w:rPr>
          <w:rFonts w:ascii="Times New Roman" w:hAnsi="Times New Roman" w:cs="Times New Roman"/>
          <w:color w:val="000000" w:themeColor="text1"/>
          <w:sz w:val="24"/>
          <w:szCs w:val="24"/>
        </w:rPr>
        <w:t xml:space="preserve">necessarily </w:t>
      </w:r>
      <w:r w:rsidR="0064341A" w:rsidRPr="00C372E2">
        <w:rPr>
          <w:rFonts w:ascii="Times New Roman" w:hAnsi="Times New Roman" w:cs="Times New Roman"/>
          <w:color w:val="000000" w:themeColor="text1"/>
          <w:sz w:val="24"/>
          <w:szCs w:val="24"/>
        </w:rPr>
        <w:t>reflect</w:t>
      </w:r>
      <w:r w:rsidR="002E1AF8" w:rsidRPr="00C372E2">
        <w:rPr>
          <w:rFonts w:ascii="Times New Roman" w:hAnsi="Times New Roman" w:cs="Times New Roman"/>
          <w:color w:val="000000" w:themeColor="text1"/>
          <w:sz w:val="24"/>
          <w:szCs w:val="24"/>
        </w:rPr>
        <w:t xml:space="preserve"> </w:t>
      </w:r>
      <w:r w:rsidR="00466A7C" w:rsidRPr="00C372E2">
        <w:rPr>
          <w:rFonts w:ascii="Times New Roman" w:hAnsi="Times New Roman" w:cs="Times New Roman"/>
          <w:color w:val="000000" w:themeColor="text1"/>
          <w:sz w:val="24"/>
          <w:szCs w:val="24"/>
        </w:rPr>
        <w:t xml:space="preserve">a </w:t>
      </w:r>
      <w:r w:rsidR="002E1AF8" w:rsidRPr="00C372E2">
        <w:rPr>
          <w:rFonts w:ascii="Times New Roman" w:hAnsi="Times New Roman" w:cs="Times New Roman"/>
          <w:color w:val="000000" w:themeColor="text1"/>
          <w:sz w:val="24"/>
          <w:szCs w:val="24"/>
        </w:rPr>
        <w:t>low performance</w:t>
      </w:r>
      <w:r w:rsidR="0030439A" w:rsidRPr="00C372E2">
        <w:rPr>
          <w:rFonts w:ascii="Times New Roman" w:hAnsi="Times New Roman" w:cs="Times New Roman"/>
          <w:color w:val="000000" w:themeColor="text1"/>
          <w:sz w:val="24"/>
          <w:szCs w:val="24"/>
        </w:rPr>
        <w:t xml:space="preserve"> because </w:t>
      </w:r>
      <w:r w:rsidR="00A0131A" w:rsidRPr="00C372E2">
        <w:rPr>
          <w:rFonts w:ascii="Times New Roman" w:hAnsi="Times New Roman" w:cs="Times New Roman"/>
          <w:color w:val="000000" w:themeColor="text1"/>
          <w:sz w:val="24"/>
          <w:szCs w:val="24"/>
        </w:rPr>
        <w:t>a number of</w:t>
      </w:r>
      <w:r w:rsidR="0030439A" w:rsidRPr="00C372E2">
        <w:rPr>
          <w:rFonts w:ascii="Times New Roman" w:hAnsi="Times New Roman" w:cs="Times New Roman"/>
          <w:color w:val="000000" w:themeColor="text1"/>
          <w:sz w:val="24"/>
          <w:szCs w:val="24"/>
        </w:rPr>
        <w:t xml:space="preserve"> objects in </w:t>
      </w:r>
      <w:r w:rsidR="00466A7C" w:rsidRPr="00C372E2">
        <w:rPr>
          <w:rFonts w:ascii="Times New Roman" w:hAnsi="Times New Roman" w:cs="Times New Roman"/>
          <w:color w:val="000000" w:themeColor="text1"/>
          <w:sz w:val="24"/>
          <w:szCs w:val="24"/>
        </w:rPr>
        <w:t xml:space="preserve">the </w:t>
      </w:r>
      <w:r w:rsidR="0064341A" w:rsidRPr="00C372E2">
        <w:rPr>
          <w:rFonts w:ascii="Times New Roman" w:hAnsi="Times New Roman" w:cs="Times New Roman"/>
          <w:color w:val="000000" w:themeColor="text1"/>
          <w:sz w:val="24"/>
          <w:szCs w:val="24"/>
        </w:rPr>
        <w:t>Silhouettes and Object Decision</w:t>
      </w:r>
      <w:r w:rsidR="00FC2C98" w:rsidRPr="00C372E2">
        <w:rPr>
          <w:rFonts w:ascii="Times New Roman" w:hAnsi="Times New Roman" w:cs="Times New Roman"/>
          <w:color w:val="000000" w:themeColor="text1"/>
          <w:sz w:val="24"/>
          <w:szCs w:val="24"/>
        </w:rPr>
        <w:t xml:space="preserve"> </w:t>
      </w:r>
      <w:r w:rsidR="0030439A" w:rsidRPr="00C372E2">
        <w:rPr>
          <w:rFonts w:ascii="Times New Roman" w:hAnsi="Times New Roman" w:cs="Times New Roman"/>
          <w:color w:val="000000" w:themeColor="text1"/>
          <w:sz w:val="24"/>
          <w:szCs w:val="24"/>
        </w:rPr>
        <w:t xml:space="preserve">subtests are uncommon for </w:t>
      </w:r>
      <w:r w:rsidR="00466A7C" w:rsidRPr="00C372E2">
        <w:rPr>
          <w:rFonts w:ascii="Times New Roman" w:hAnsi="Times New Roman" w:cs="Times New Roman"/>
          <w:color w:val="000000" w:themeColor="text1"/>
          <w:sz w:val="24"/>
          <w:szCs w:val="24"/>
        </w:rPr>
        <w:t xml:space="preserve">the </w:t>
      </w:r>
      <w:r w:rsidR="0030439A" w:rsidRPr="00C372E2">
        <w:rPr>
          <w:rFonts w:ascii="Times New Roman" w:hAnsi="Times New Roman" w:cs="Times New Roman"/>
          <w:color w:val="000000" w:themeColor="text1"/>
          <w:sz w:val="24"/>
          <w:szCs w:val="24"/>
        </w:rPr>
        <w:t>Thai culture and context</w:t>
      </w:r>
      <w:r w:rsidR="00D13C0D" w:rsidRPr="00C372E2">
        <w:rPr>
          <w:rFonts w:ascii="Times New Roman" w:hAnsi="Times New Roman" w:cs="Times New Roman"/>
          <w:color w:val="000000" w:themeColor="text1"/>
          <w:sz w:val="24"/>
          <w:szCs w:val="24"/>
        </w:rPr>
        <w:t xml:space="preserve"> </w:t>
      </w:r>
      <w:r w:rsidR="003060AC" w:rsidRPr="00C372E2">
        <w:rPr>
          <w:rFonts w:ascii="Times New Roman" w:hAnsi="Times New Roman" w:cs="Times New Roman"/>
          <w:noProof/>
          <w:color w:val="000000" w:themeColor="text1"/>
          <w:sz w:val="24"/>
          <w:szCs w:val="24"/>
        </w:rPr>
        <w:t>(Rosselli &amp; Ardila, 2003)</w:t>
      </w:r>
      <w:r w:rsidR="00FC2C98" w:rsidRPr="00C372E2">
        <w:rPr>
          <w:rFonts w:ascii="Times New Roman" w:hAnsi="Times New Roman" w:cs="Times New Roman"/>
          <w:color w:val="000000" w:themeColor="text1"/>
          <w:sz w:val="24"/>
          <w:szCs w:val="24"/>
        </w:rPr>
        <w:t xml:space="preserve">. Some animals in </w:t>
      </w:r>
      <w:r w:rsidR="00466A7C" w:rsidRPr="00C372E2">
        <w:rPr>
          <w:rFonts w:ascii="Times New Roman" w:hAnsi="Times New Roman" w:cs="Times New Roman"/>
          <w:color w:val="000000" w:themeColor="text1"/>
          <w:sz w:val="24"/>
          <w:szCs w:val="24"/>
        </w:rPr>
        <w:t xml:space="preserve">the </w:t>
      </w:r>
      <w:r w:rsidR="00FC2C98" w:rsidRPr="00C372E2">
        <w:rPr>
          <w:rFonts w:ascii="Times New Roman" w:hAnsi="Times New Roman" w:cs="Times New Roman"/>
          <w:color w:val="000000" w:themeColor="text1"/>
          <w:sz w:val="24"/>
          <w:szCs w:val="24"/>
        </w:rPr>
        <w:t>Silhouettes subtest, for example</w:t>
      </w:r>
      <w:r w:rsidR="00466A7C" w:rsidRPr="00C372E2">
        <w:rPr>
          <w:rFonts w:ascii="Times New Roman" w:hAnsi="Times New Roman" w:cs="Times New Roman"/>
          <w:color w:val="000000" w:themeColor="text1"/>
          <w:sz w:val="24"/>
          <w:szCs w:val="24"/>
        </w:rPr>
        <w:t>, a k</w:t>
      </w:r>
      <w:r w:rsidR="00FC2C98" w:rsidRPr="00C372E2">
        <w:rPr>
          <w:rFonts w:ascii="Times New Roman" w:hAnsi="Times New Roman" w:cs="Times New Roman"/>
          <w:color w:val="000000" w:themeColor="text1"/>
          <w:sz w:val="24"/>
          <w:szCs w:val="24"/>
        </w:rPr>
        <w:t xml:space="preserve">angaroo and </w:t>
      </w:r>
      <w:r w:rsidR="00466A7C" w:rsidRPr="00C372E2">
        <w:rPr>
          <w:rFonts w:ascii="Times New Roman" w:hAnsi="Times New Roman" w:cs="Times New Roman"/>
          <w:color w:val="000000" w:themeColor="text1"/>
          <w:sz w:val="24"/>
          <w:szCs w:val="24"/>
        </w:rPr>
        <w:t xml:space="preserve">a </w:t>
      </w:r>
      <w:r w:rsidR="00FC2C98" w:rsidRPr="00C372E2">
        <w:rPr>
          <w:rFonts w:ascii="Times New Roman" w:hAnsi="Times New Roman" w:cs="Times New Roman"/>
          <w:color w:val="000000" w:themeColor="text1"/>
          <w:sz w:val="24"/>
          <w:szCs w:val="24"/>
        </w:rPr>
        <w:t>seal</w:t>
      </w:r>
      <w:r w:rsidR="00466A7C" w:rsidRPr="00C372E2">
        <w:rPr>
          <w:rFonts w:ascii="Times New Roman" w:hAnsi="Times New Roman" w:cs="Times New Roman"/>
          <w:color w:val="000000" w:themeColor="text1"/>
          <w:sz w:val="24"/>
          <w:szCs w:val="24"/>
        </w:rPr>
        <w:t>, do not</w:t>
      </w:r>
      <w:r w:rsidR="00FC2C98" w:rsidRPr="00C372E2">
        <w:rPr>
          <w:rFonts w:ascii="Times New Roman" w:hAnsi="Times New Roman" w:cs="Times New Roman"/>
          <w:color w:val="000000" w:themeColor="text1"/>
          <w:sz w:val="24"/>
          <w:szCs w:val="24"/>
          <w:cs/>
        </w:rPr>
        <w:t xml:space="preserve"> </w:t>
      </w:r>
      <w:r w:rsidR="00FC2C98" w:rsidRPr="00C372E2">
        <w:rPr>
          <w:rFonts w:ascii="Times New Roman" w:hAnsi="Times New Roman" w:cs="Times New Roman"/>
          <w:color w:val="000000" w:themeColor="text1"/>
          <w:sz w:val="24"/>
          <w:szCs w:val="24"/>
        </w:rPr>
        <w:t xml:space="preserve">naturally exist in Thailand. </w:t>
      </w:r>
      <w:r w:rsidR="00064815" w:rsidRPr="00C372E2">
        <w:rPr>
          <w:rFonts w:ascii="Times New Roman" w:hAnsi="Times New Roman" w:cs="Times New Roman"/>
          <w:color w:val="000000" w:themeColor="text1"/>
          <w:sz w:val="24"/>
          <w:szCs w:val="24"/>
        </w:rPr>
        <w:t>Similarly, s</w:t>
      </w:r>
      <w:r w:rsidR="00FC2C98" w:rsidRPr="00C372E2">
        <w:rPr>
          <w:rFonts w:ascii="Times New Roman" w:hAnsi="Times New Roman" w:cs="Times New Roman"/>
          <w:color w:val="000000" w:themeColor="text1"/>
          <w:sz w:val="24"/>
          <w:szCs w:val="24"/>
        </w:rPr>
        <w:t xml:space="preserve">ome objects in </w:t>
      </w:r>
      <w:r w:rsidR="00466A7C" w:rsidRPr="00C372E2">
        <w:rPr>
          <w:rFonts w:ascii="Times New Roman" w:hAnsi="Times New Roman" w:cs="Times New Roman"/>
          <w:color w:val="000000" w:themeColor="text1"/>
          <w:sz w:val="24"/>
          <w:szCs w:val="24"/>
        </w:rPr>
        <w:t xml:space="preserve">the </w:t>
      </w:r>
      <w:r w:rsidR="00FC2C98" w:rsidRPr="00C372E2">
        <w:rPr>
          <w:rFonts w:ascii="Times New Roman" w:hAnsi="Times New Roman" w:cs="Times New Roman"/>
          <w:color w:val="000000" w:themeColor="text1"/>
          <w:sz w:val="24"/>
          <w:szCs w:val="24"/>
        </w:rPr>
        <w:t xml:space="preserve">Object Decision subtest, for </w:t>
      </w:r>
      <w:r w:rsidR="00466A7C" w:rsidRPr="00C372E2">
        <w:rPr>
          <w:rFonts w:ascii="Times New Roman" w:hAnsi="Times New Roman" w:cs="Times New Roman"/>
          <w:color w:val="000000" w:themeColor="text1"/>
          <w:sz w:val="24"/>
          <w:szCs w:val="24"/>
        </w:rPr>
        <w:t xml:space="preserve">instance, a </w:t>
      </w:r>
      <w:r w:rsidR="001B4A19" w:rsidRPr="00C372E2">
        <w:rPr>
          <w:rFonts w:ascii="Times New Roman" w:hAnsi="Times New Roman" w:cs="Times New Roman"/>
          <w:color w:val="000000" w:themeColor="text1"/>
          <w:sz w:val="24"/>
          <w:szCs w:val="24"/>
        </w:rPr>
        <w:t>piano and</w:t>
      </w:r>
      <w:r w:rsidR="00FC2C98" w:rsidRPr="00C372E2">
        <w:rPr>
          <w:rFonts w:ascii="Times New Roman" w:hAnsi="Times New Roman" w:cs="Times New Roman"/>
          <w:color w:val="000000" w:themeColor="text1"/>
          <w:sz w:val="24"/>
          <w:szCs w:val="24"/>
        </w:rPr>
        <w:t xml:space="preserve"> </w:t>
      </w:r>
      <w:r w:rsidR="00466A7C" w:rsidRPr="00C372E2">
        <w:rPr>
          <w:rFonts w:ascii="Times New Roman" w:hAnsi="Times New Roman" w:cs="Times New Roman"/>
          <w:color w:val="000000" w:themeColor="text1"/>
          <w:sz w:val="24"/>
          <w:szCs w:val="24"/>
        </w:rPr>
        <w:t xml:space="preserve">a </w:t>
      </w:r>
      <w:r w:rsidR="001B4A19" w:rsidRPr="00C372E2">
        <w:rPr>
          <w:rFonts w:ascii="Times New Roman" w:hAnsi="Times New Roman" w:cs="Times New Roman"/>
          <w:color w:val="000000" w:themeColor="text1"/>
          <w:sz w:val="24"/>
          <w:szCs w:val="24"/>
        </w:rPr>
        <w:t>yacht</w:t>
      </w:r>
      <w:r w:rsidR="00466A7C" w:rsidRPr="00C372E2">
        <w:rPr>
          <w:rFonts w:ascii="Times New Roman" w:hAnsi="Times New Roman" w:cs="Times New Roman"/>
          <w:color w:val="000000" w:themeColor="text1"/>
          <w:sz w:val="24"/>
          <w:szCs w:val="24"/>
        </w:rPr>
        <w:t>,</w:t>
      </w:r>
      <w:r w:rsidR="001B4A19" w:rsidRPr="00C372E2">
        <w:rPr>
          <w:rFonts w:ascii="Times New Roman" w:hAnsi="Times New Roman" w:cs="Times New Roman"/>
          <w:color w:val="000000" w:themeColor="text1"/>
          <w:sz w:val="24"/>
          <w:szCs w:val="24"/>
        </w:rPr>
        <w:t xml:space="preserve"> are </w:t>
      </w:r>
      <w:r w:rsidR="00064815" w:rsidRPr="00C372E2">
        <w:rPr>
          <w:rFonts w:ascii="Times New Roman" w:hAnsi="Times New Roman" w:cs="Times New Roman"/>
          <w:color w:val="000000" w:themeColor="text1"/>
          <w:sz w:val="24"/>
          <w:szCs w:val="24"/>
        </w:rPr>
        <w:t>a</w:t>
      </w:r>
      <w:r w:rsidR="001B4A19" w:rsidRPr="00C372E2">
        <w:rPr>
          <w:rFonts w:ascii="Times New Roman" w:hAnsi="Times New Roman" w:cs="Times New Roman"/>
          <w:color w:val="000000" w:themeColor="text1"/>
          <w:sz w:val="24"/>
          <w:szCs w:val="24"/>
        </w:rPr>
        <w:t>typical object</w:t>
      </w:r>
      <w:r w:rsidR="00466A7C" w:rsidRPr="00C372E2">
        <w:rPr>
          <w:rFonts w:ascii="Times New Roman" w:hAnsi="Times New Roman" w:cs="Times New Roman"/>
          <w:color w:val="000000" w:themeColor="text1"/>
          <w:sz w:val="24"/>
          <w:szCs w:val="24"/>
        </w:rPr>
        <w:t>s</w:t>
      </w:r>
      <w:r w:rsidR="001B4A19" w:rsidRPr="00C372E2">
        <w:rPr>
          <w:rFonts w:ascii="Times New Roman" w:hAnsi="Times New Roman" w:cs="Times New Roman"/>
          <w:color w:val="000000" w:themeColor="text1"/>
          <w:sz w:val="24"/>
          <w:szCs w:val="24"/>
        </w:rPr>
        <w:t xml:space="preserve"> for </w:t>
      </w:r>
      <w:r w:rsidR="00466A7C" w:rsidRPr="00C372E2">
        <w:rPr>
          <w:rFonts w:ascii="Times New Roman" w:hAnsi="Times New Roman" w:cs="Times New Roman"/>
          <w:color w:val="000000" w:themeColor="text1"/>
          <w:sz w:val="24"/>
          <w:szCs w:val="24"/>
        </w:rPr>
        <w:t xml:space="preserve">the </w:t>
      </w:r>
      <w:r w:rsidR="001B4A19" w:rsidRPr="00C372E2">
        <w:rPr>
          <w:rFonts w:ascii="Times New Roman" w:hAnsi="Times New Roman" w:cs="Times New Roman"/>
          <w:color w:val="000000" w:themeColor="text1"/>
          <w:sz w:val="24"/>
          <w:szCs w:val="24"/>
        </w:rPr>
        <w:t xml:space="preserve">Thai population. </w:t>
      </w:r>
      <w:r w:rsidR="009441E4" w:rsidRPr="00C372E2">
        <w:rPr>
          <w:rFonts w:ascii="Times New Roman" w:hAnsi="Times New Roman" w:cs="Times New Roman"/>
          <w:color w:val="000000" w:themeColor="text1"/>
          <w:sz w:val="24"/>
          <w:szCs w:val="24"/>
        </w:rPr>
        <w:t xml:space="preserve">An implication from this study is that </w:t>
      </w:r>
      <w:r w:rsidR="00064815" w:rsidRPr="00C372E2">
        <w:rPr>
          <w:rFonts w:ascii="Times New Roman" w:hAnsi="Times New Roman" w:cs="Times New Roman"/>
          <w:color w:val="000000" w:themeColor="text1"/>
          <w:sz w:val="24"/>
          <w:szCs w:val="24"/>
        </w:rPr>
        <w:t xml:space="preserve">a </w:t>
      </w:r>
      <w:r w:rsidR="009441E4" w:rsidRPr="00C372E2">
        <w:rPr>
          <w:rFonts w:ascii="Times New Roman" w:hAnsi="Times New Roman" w:cs="Times New Roman"/>
          <w:color w:val="000000" w:themeColor="text1"/>
          <w:sz w:val="24"/>
          <w:szCs w:val="24"/>
        </w:rPr>
        <w:t>f</w:t>
      </w:r>
      <w:r w:rsidR="00972879" w:rsidRPr="00C372E2">
        <w:rPr>
          <w:rFonts w:ascii="Times New Roman" w:hAnsi="Times New Roman" w:cs="Times New Roman"/>
          <w:color w:val="000000" w:themeColor="text1"/>
          <w:sz w:val="24"/>
          <w:szCs w:val="24"/>
        </w:rPr>
        <w:t xml:space="preserve">uture national normative </w:t>
      </w:r>
      <w:r w:rsidRPr="00C372E2">
        <w:rPr>
          <w:rFonts w:ascii="Times New Roman" w:hAnsi="Times New Roman" w:cs="Times New Roman"/>
          <w:color w:val="000000" w:themeColor="text1"/>
          <w:sz w:val="24"/>
          <w:szCs w:val="24"/>
        </w:rPr>
        <w:t xml:space="preserve">study </w:t>
      </w:r>
      <w:r w:rsidR="00EE2B0B" w:rsidRPr="00C372E2">
        <w:rPr>
          <w:rFonts w:ascii="Times New Roman" w:hAnsi="Times New Roman" w:cs="Times New Roman"/>
          <w:color w:val="000000" w:themeColor="text1"/>
          <w:sz w:val="24"/>
          <w:szCs w:val="24"/>
        </w:rPr>
        <w:t>of</w:t>
      </w:r>
      <w:r w:rsidRPr="00C372E2">
        <w:rPr>
          <w:rFonts w:ascii="Times New Roman" w:hAnsi="Times New Roman" w:cs="Times New Roman"/>
          <w:color w:val="000000" w:themeColor="text1"/>
          <w:sz w:val="24"/>
          <w:szCs w:val="24"/>
        </w:rPr>
        <w:t xml:space="preserve"> VOSP </w:t>
      </w:r>
      <w:r w:rsidR="00064815" w:rsidRPr="00C372E2">
        <w:rPr>
          <w:rFonts w:ascii="Times New Roman" w:hAnsi="Times New Roman" w:cs="Times New Roman"/>
          <w:color w:val="000000" w:themeColor="text1"/>
          <w:sz w:val="24"/>
          <w:szCs w:val="24"/>
        </w:rPr>
        <w:t xml:space="preserve">for the </w:t>
      </w:r>
      <w:r w:rsidRPr="00C372E2">
        <w:rPr>
          <w:rFonts w:ascii="Times New Roman" w:hAnsi="Times New Roman" w:cs="Times New Roman"/>
          <w:color w:val="000000" w:themeColor="text1"/>
          <w:sz w:val="24"/>
          <w:szCs w:val="24"/>
        </w:rPr>
        <w:t>Thai population</w:t>
      </w:r>
      <w:r w:rsidR="00972879" w:rsidRPr="00C372E2">
        <w:rPr>
          <w:rFonts w:ascii="Times New Roman" w:hAnsi="Times New Roman" w:cs="Times New Roman"/>
          <w:sz w:val="24"/>
          <w:szCs w:val="24"/>
        </w:rPr>
        <w:t xml:space="preserve"> </w:t>
      </w:r>
      <w:r w:rsidR="00972879" w:rsidRPr="00C372E2">
        <w:rPr>
          <w:rFonts w:ascii="Times New Roman" w:hAnsi="Times New Roman" w:cs="Times New Roman"/>
          <w:color w:val="000000" w:themeColor="text1"/>
          <w:sz w:val="24"/>
          <w:szCs w:val="24"/>
        </w:rPr>
        <w:t>will need to be undertaken</w:t>
      </w:r>
      <w:r w:rsidR="00A0131A" w:rsidRPr="00C372E2">
        <w:rPr>
          <w:rFonts w:ascii="Times New Roman" w:hAnsi="Times New Roman" w:cs="Times New Roman"/>
          <w:color w:val="000000" w:themeColor="text1"/>
          <w:sz w:val="24"/>
          <w:szCs w:val="24"/>
        </w:rPr>
        <w:t xml:space="preserve"> to reveal appropriate cut-off scores</w:t>
      </w:r>
      <w:r w:rsidRPr="00C372E2">
        <w:rPr>
          <w:rFonts w:ascii="Times New Roman" w:hAnsi="Times New Roman" w:cs="Times New Roman"/>
          <w:color w:val="000000" w:themeColor="text1"/>
          <w:sz w:val="24"/>
          <w:szCs w:val="24"/>
        </w:rPr>
        <w:t xml:space="preserve">. </w:t>
      </w:r>
      <w:r w:rsidR="00064815" w:rsidRPr="00C372E2">
        <w:rPr>
          <w:rFonts w:ascii="Times New Roman" w:hAnsi="Times New Roman" w:cs="Times New Roman"/>
          <w:color w:val="000000" w:themeColor="text1"/>
          <w:sz w:val="24"/>
          <w:szCs w:val="24"/>
        </w:rPr>
        <w:t xml:space="preserve">With the </w:t>
      </w:r>
      <w:r w:rsidRPr="00C372E2">
        <w:rPr>
          <w:rFonts w:ascii="Times New Roman" w:hAnsi="Times New Roman" w:cs="Times New Roman"/>
          <w:color w:val="000000" w:themeColor="text1"/>
          <w:sz w:val="24"/>
          <w:szCs w:val="24"/>
        </w:rPr>
        <w:t xml:space="preserve">Silhouettes and Object Decision </w:t>
      </w:r>
      <w:r w:rsidR="00972879" w:rsidRPr="00C372E2">
        <w:rPr>
          <w:rFonts w:ascii="Times New Roman" w:hAnsi="Times New Roman" w:cs="Times New Roman"/>
          <w:color w:val="000000" w:themeColor="text1"/>
          <w:sz w:val="24"/>
          <w:szCs w:val="24"/>
        </w:rPr>
        <w:t>subtests</w:t>
      </w:r>
      <w:r w:rsidR="00D815BC" w:rsidRPr="00C372E2">
        <w:rPr>
          <w:rFonts w:ascii="Times New Roman" w:hAnsi="Times New Roman" w:cs="Times New Roman"/>
          <w:color w:val="000000" w:themeColor="text1"/>
          <w:sz w:val="24"/>
          <w:szCs w:val="24"/>
        </w:rPr>
        <w:t>,</w:t>
      </w:r>
      <w:r w:rsidR="00F33D58" w:rsidRPr="00C372E2">
        <w:rPr>
          <w:rFonts w:ascii="Times New Roman" w:hAnsi="Times New Roman" w:cs="Times New Roman"/>
          <w:color w:val="000000" w:themeColor="text1"/>
          <w:sz w:val="24"/>
          <w:szCs w:val="24"/>
        </w:rPr>
        <w:t xml:space="preserve"> </w:t>
      </w:r>
      <w:r w:rsidRPr="00C372E2">
        <w:rPr>
          <w:rFonts w:ascii="Times New Roman" w:hAnsi="Times New Roman" w:cs="Times New Roman"/>
          <w:color w:val="000000" w:themeColor="text1"/>
          <w:sz w:val="24"/>
          <w:szCs w:val="24"/>
        </w:rPr>
        <w:t>s</w:t>
      </w:r>
      <w:r w:rsidR="00972879" w:rsidRPr="00C372E2">
        <w:rPr>
          <w:rFonts w:ascii="Times New Roman" w:hAnsi="Times New Roman" w:cs="Times New Roman"/>
          <w:color w:val="000000" w:themeColor="text1"/>
          <w:sz w:val="24"/>
          <w:szCs w:val="24"/>
        </w:rPr>
        <w:t xml:space="preserve">ome pictures </w:t>
      </w:r>
      <w:r w:rsidR="00F33D58" w:rsidRPr="00C372E2">
        <w:rPr>
          <w:rFonts w:ascii="Times New Roman" w:hAnsi="Times New Roman" w:cs="Times New Roman"/>
          <w:color w:val="000000" w:themeColor="text1"/>
          <w:sz w:val="24"/>
          <w:szCs w:val="24"/>
        </w:rPr>
        <w:t xml:space="preserve">may </w:t>
      </w:r>
      <w:r w:rsidR="00972879" w:rsidRPr="00C372E2">
        <w:rPr>
          <w:rFonts w:ascii="Times New Roman" w:hAnsi="Times New Roman" w:cs="Times New Roman"/>
          <w:color w:val="000000" w:themeColor="text1"/>
          <w:sz w:val="24"/>
          <w:szCs w:val="24"/>
        </w:rPr>
        <w:t>need to be replaced with more common objects</w:t>
      </w:r>
      <w:r w:rsidR="00F33D58" w:rsidRPr="00C372E2">
        <w:rPr>
          <w:rFonts w:ascii="Times New Roman" w:hAnsi="Times New Roman" w:cs="Times New Roman"/>
          <w:color w:val="000000" w:themeColor="text1"/>
          <w:sz w:val="24"/>
          <w:szCs w:val="24"/>
        </w:rPr>
        <w:t xml:space="preserve"> for</w:t>
      </w:r>
      <w:r w:rsidR="00064815" w:rsidRPr="00C372E2">
        <w:rPr>
          <w:rFonts w:ascii="Times New Roman" w:hAnsi="Times New Roman" w:cs="Times New Roman"/>
          <w:color w:val="000000" w:themeColor="text1"/>
          <w:sz w:val="24"/>
          <w:szCs w:val="24"/>
        </w:rPr>
        <w:t xml:space="preserve"> the</w:t>
      </w:r>
      <w:r w:rsidR="00F33D58" w:rsidRPr="00C372E2">
        <w:rPr>
          <w:rFonts w:ascii="Times New Roman" w:hAnsi="Times New Roman" w:cs="Times New Roman"/>
          <w:color w:val="000000" w:themeColor="text1"/>
          <w:sz w:val="24"/>
          <w:szCs w:val="24"/>
        </w:rPr>
        <w:t xml:space="preserve"> Thai population</w:t>
      </w:r>
      <w:r w:rsidR="00064815" w:rsidRPr="00C372E2">
        <w:rPr>
          <w:rFonts w:ascii="Times New Roman" w:hAnsi="Times New Roman" w:cs="Times New Roman"/>
          <w:color w:val="000000" w:themeColor="text1"/>
          <w:sz w:val="24"/>
          <w:szCs w:val="24"/>
        </w:rPr>
        <w:t>;</w:t>
      </w:r>
      <w:r w:rsidRPr="00C372E2">
        <w:rPr>
          <w:rFonts w:ascii="Times New Roman" w:hAnsi="Times New Roman" w:cs="Times New Roman"/>
          <w:color w:val="000000" w:themeColor="text1"/>
          <w:sz w:val="24"/>
          <w:szCs w:val="24"/>
        </w:rPr>
        <w:t xml:space="preserve"> otherwise</w:t>
      </w:r>
      <w:r w:rsidR="00064815" w:rsidRPr="00C372E2">
        <w:rPr>
          <w:rFonts w:ascii="Times New Roman" w:hAnsi="Times New Roman" w:cs="Times New Roman"/>
          <w:color w:val="000000" w:themeColor="text1"/>
          <w:sz w:val="24"/>
          <w:szCs w:val="24"/>
        </w:rPr>
        <w:t>,</w:t>
      </w:r>
      <w:r w:rsidRPr="00C372E2">
        <w:rPr>
          <w:rFonts w:ascii="Times New Roman" w:hAnsi="Times New Roman" w:cs="Times New Roman"/>
          <w:color w:val="000000" w:themeColor="text1"/>
          <w:sz w:val="24"/>
          <w:szCs w:val="24"/>
        </w:rPr>
        <w:t xml:space="preserve"> lower cut-off score</w:t>
      </w:r>
      <w:r w:rsidR="006E5DAD" w:rsidRPr="00C372E2">
        <w:rPr>
          <w:rFonts w:ascii="Times New Roman" w:hAnsi="Times New Roman" w:cs="Times New Roman"/>
          <w:color w:val="000000" w:themeColor="text1"/>
          <w:sz w:val="24"/>
          <w:szCs w:val="24"/>
        </w:rPr>
        <w:t>s</w:t>
      </w:r>
      <w:r w:rsidRPr="00C372E2">
        <w:rPr>
          <w:rFonts w:ascii="Times New Roman" w:hAnsi="Times New Roman" w:cs="Times New Roman"/>
          <w:color w:val="000000" w:themeColor="text1"/>
          <w:sz w:val="24"/>
          <w:szCs w:val="24"/>
        </w:rPr>
        <w:t xml:space="preserve"> need to be </w:t>
      </w:r>
      <w:r w:rsidR="00D815BC" w:rsidRPr="00C372E2">
        <w:rPr>
          <w:rFonts w:ascii="Times New Roman" w:hAnsi="Times New Roman" w:cs="Times New Roman"/>
          <w:color w:val="000000" w:themeColor="text1"/>
          <w:sz w:val="24"/>
          <w:szCs w:val="24"/>
        </w:rPr>
        <w:t>indicat</w:t>
      </w:r>
      <w:r w:rsidRPr="00C372E2">
        <w:rPr>
          <w:rFonts w:ascii="Times New Roman" w:hAnsi="Times New Roman" w:cs="Times New Roman"/>
          <w:color w:val="000000" w:themeColor="text1"/>
          <w:sz w:val="24"/>
          <w:szCs w:val="24"/>
        </w:rPr>
        <w:t>ed.</w:t>
      </w:r>
    </w:p>
    <w:p w14:paraId="56CE8B11" w14:textId="59EDBA5F" w:rsidR="00D845C3" w:rsidRPr="00C372E2" w:rsidRDefault="00D845C3" w:rsidP="00DB4B30">
      <w:pPr>
        <w:rPr>
          <w:shd w:val="clear" w:color="auto" w:fill="FFFFFF"/>
          <w:cs/>
        </w:rPr>
      </w:pPr>
      <w:r w:rsidRPr="00C372E2">
        <w:t xml:space="preserve">Contrary to expectations, </w:t>
      </w:r>
      <w:r w:rsidR="00064815" w:rsidRPr="00C372E2">
        <w:t xml:space="preserve">a </w:t>
      </w:r>
      <w:r w:rsidRPr="00C372E2">
        <w:t>small number of observed significant effect</w:t>
      </w:r>
      <w:r w:rsidR="00064815" w:rsidRPr="00C372E2">
        <w:t>s</w:t>
      </w:r>
      <w:r w:rsidRPr="00C372E2">
        <w:t xml:space="preserve"> between </w:t>
      </w:r>
      <w:r w:rsidR="00064815" w:rsidRPr="00C372E2">
        <w:t xml:space="preserve">the </w:t>
      </w:r>
      <w:r w:rsidRPr="00C372E2">
        <w:t xml:space="preserve">demographic variables and </w:t>
      </w:r>
      <w:r w:rsidR="00064815" w:rsidRPr="00C372E2">
        <w:t xml:space="preserve">the </w:t>
      </w:r>
      <w:r w:rsidRPr="00C372E2">
        <w:t xml:space="preserve">VOSP subtest scores </w:t>
      </w:r>
      <w:r w:rsidR="00A472DF" w:rsidRPr="00C372E2">
        <w:t xml:space="preserve">found </w:t>
      </w:r>
      <w:r w:rsidRPr="00C372E2">
        <w:t xml:space="preserve">in </w:t>
      </w:r>
      <w:r w:rsidR="00064815" w:rsidRPr="00C372E2">
        <w:t xml:space="preserve">the </w:t>
      </w:r>
      <w:r w:rsidRPr="00C372E2">
        <w:t xml:space="preserve">univariate analysis remained in </w:t>
      </w:r>
      <w:r w:rsidR="00064815" w:rsidRPr="00C372E2">
        <w:t xml:space="preserve">the </w:t>
      </w:r>
      <w:r w:rsidRPr="00C372E2">
        <w:t xml:space="preserve">multivariate analysis. </w:t>
      </w:r>
      <w:r w:rsidR="00BE41C8" w:rsidRPr="00C372E2">
        <w:t xml:space="preserve">One possible explanation </w:t>
      </w:r>
      <w:bookmarkStart w:id="14" w:name="_Hlk38892820"/>
      <w:r w:rsidR="00BE41C8" w:rsidRPr="00C372E2">
        <w:t>might be</w:t>
      </w:r>
      <w:r w:rsidRPr="00C372E2">
        <w:t xml:space="preserve"> </w:t>
      </w:r>
      <w:r w:rsidR="00A472DF" w:rsidRPr="00C372E2">
        <w:t xml:space="preserve">a </w:t>
      </w:r>
      <w:r w:rsidRPr="00C372E2">
        <w:t xml:space="preserve">multi-collinearity problem in </w:t>
      </w:r>
      <w:r w:rsidR="00BE41C8" w:rsidRPr="00C372E2">
        <w:t>this pilot data</w:t>
      </w:r>
      <w:r w:rsidRPr="00C372E2">
        <w:t xml:space="preserve">. </w:t>
      </w:r>
      <w:r w:rsidR="00A472DF" w:rsidRPr="00C372E2">
        <w:t xml:space="preserve">A </w:t>
      </w:r>
      <w:r w:rsidRPr="00C372E2">
        <w:t>correlation between</w:t>
      </w:r>
      <w:r w:rsidR="00BE41C8" w:rsidRPr="00C372E2">
        <w:t xml:space="preserve"> </w:t>
      </w:r>
      <w:r w:rsidR="00A472DF" w:rsidRPr="00C372E2">
        <w:t xml:space="preserve">the </w:t>
      </w:r>
      <w:r w:rsidR="00BE41C8" w:rsidRPr="00C372E2">
        <w:t>demographic variables was found, for example</w:t>
      </w:r>
      <w:r w:rsidR="00A472DF" w:rsidRPr="00C372E2">
        <w:t>, a</w:t>
      </w:r>
      <w:r w:rsidR="00BE41C8" w:rsidRPr="00C372E2">
        <w:t xml:space="preserve"> </w:t>
      </w:r>
      <w:r w:rsidR="00343C29" w:rsidRPr="00C372E2">
        <w:t>moderate</w:t>
      </w:r>
      <w:r w:rsidR="00BE41C8" w:rsidRPr="00C372E2">
        <w:t xml:space="preserve"> correlation between educational year and IQ</w:t>
      </w:r>
      <w:r w:rsidR="00343C29" w:rsidRPr="00C372E2">
        <w:t xml:space="preserve"> (</w:t>
      </w:r>
      <w:proofErr w:type="spellStart"/>
      <w:r w:rsidR="00343C29" w:rsidRPr="00C372E2">
        <w:rPr>
          <w:i/>
          <w:iCs/>
        </w:rPr>
        <w:t>r</w:t>
      </w:r>
      <w:r w:rsidR="00343C29" w:rsidRPr="00C372E2">
        <w:rPr>
          <w:i/>
          <w:iCs/>
          <w:vertAlign w:val="subscript"/>
        </w:rPr>
        <w:t>s</w:t>
      </w:r>
      <w:proofErr w:type="spellEnd"/>
      <w:r w:rsidR="00C85C27" w:rsidRPr="00C372E2">
        <w:t>,</w:t>
      </w:r>
      <w:r w:rsidR="00343C29" w:rsidRPr="00C372E2">
        <w:t xml:space="preserve"> 0.50</w:t>
      </w:r>
      <w:r w:rsidR="00C85C27" w:rsidRPr="00C372E2">
        <w:t xml:space="preserve">; </w:t>
      </w:r>
      <w:r w:rsidR="00343C29" w:rsidRPr="00C372E2">
        <w:t>p &lt; 0.01)</w:t>
      </w:r>
      <w:bookmarkEnd w:id="14"/>
      <w:r w:rsidR="00BE41C8" w:rsidRPr="00C372E2">
        <w:t xml:space="preserve">. </w:t>
      </w:r>
      <w:r w:rsidR="00A472DF" w:rsidRPr="00C372E2">
        <w:t>Still</w:t>
      </w:r>
      <w:r w:rsidR="00BE41C8" w:rsidRPr="00C372E2">
        <w:t xml:space="preserve">, </w:t>
      </w:r>
      <w:r w:rsidR="00A472DF" w:rsidRPr="00C372E2">
        <w:t>a</w:t>
      </w:r>
      <w:r w:rsidR="00BE41C8" w:rsidRPr="00C372E2">
        <w:t xml:space="preserve"> test for multi</w:t>
      </w:r>
      <w:r w:rsidR="005534B8" w:rsidRPr="00C372E2">
        <w:t>-</w:t>
      </w:r>
      <w:r w:rsidR="00BE41C8" w:rsidRPr="00C372E2">
        <w:lastRenderedPageBreak/>
        <w:t>coll</w:t>
      </w:r>
      <w:r w:rsidR="005534B8" w:rsidRPr="00C372E2">
        <w:t>i</w:t>
      </w:r>
      <w:r w:rsidR="00BE41C8" w:rsidRPr="00C372E2">
        <w:t>nearity with variance inflation factors</w:t>
      </w:r>
      <w:r w:rsidR="00A472DF" w:rsidRPr="00C372E2">
        <w:t xml:space="preserve"> </w:t>
      </w:r>
      <w:r w:rsidR="00BE41C8" w:rsidRPr="00C372E2">
        <w:t>was done</w:t>
      </w:r>
      <w:r w:rsidR="00A472DF" w:rsidRPr="00C372E2">
        <w:t xml:space="preserve"> in the multivariate analysis</w:t>
      </w:r>
      <w:r w:rsidR="00BE41C8" w:rsidRPr="00C372E2">
        <w:t xml:space="preserve">. The </w:t>
      </w:r>
      <w:r w:rsidR="00A472DF" w:rsidRPr="00C372E2">
        <w:t>variance inflation factors</w:t>
      </w:r>
      <w:r w:rsidR="00BE41C8" w:rsidRPr="00C372E2">
        <w:t xml:space="preserve"> of all </w:t>
      </w:r>
      <w:r w:rsidR="00593527" w:rsidRPr="00C372E2">
        <w:t xml:space="preserve">of </w:t>
      </w:r>
      <w:r w:rsidR="00BE41C8" w:rsidRPr="00C372E2">
        <w:t xml:space="preserve">the </w:t>
      </w:r>
      <w:r w:rsidR="00593527" w:rsidRPr="00C372E2">
        <w:t xml:space="preserve">analyses </w:t>
      </w:r>
      <w:r w:rsidR="00BE41C8" w:rsidRPr="00C372E2">
        <w:t>were between 1</w:t>
      </w:r>
      <w:r w:rsidR="00D24E53" w:rsidRPr="00C372E2">
        <w:t xml:space="preserve"> </w:t>
      </w:r>
      <w:r w:rsidR="00593527" w:rsidRPr="00C372E2">
        <w:t xml:space="preserve">and </w:t>
      </w:r>
      <w:r w:rsidR="00BE41C8" w:rsidRPr="00C372E2">
        <w:t>2</w:t>
      </w:r>
      <w:r w:rsidR="00593527" w:rsidRPr="00C372E2">
        <w:t>,</w:t>
      </w:r>
      <w:r w:rsidR="00BE41C8" w:rsidRPr="00C372E2">
        <w:t xml:space="preserve"> which </w:t>
      </w:r>
      <w:r w:rsidR="00593527" w:rsidRPr="00C372E2">
        <w:t xml:space="preserve">indicates a </w:t>
      </w:r>
      <w:r w:rsidR="00BE41C8" w:rsidRPr="00C372E2">
        <w:t>moderate correlation</w:t>
      </w:r>
      <w:r w:rsidR="00593527" w:rsidRPr="00C372E2">
        <w:t>; this</w:t>
      </w:r>
      <w:r w:rsidR="00BE41C8" w:rsidRPr="00C372E2">
        <w:t xml:space="preserve"> was not severe enough to warrant corrective measure</w:t>
      </w:r>
      <w:r w:rsidR="00593527" w:rsidRPr="00C372E2">
        <w:t>s</w:t>
      </w:r>
      <w:r w:rsidR="00BE41C8" w:rsidRPr="00C372E2">
        <w:t xml:space="preserve">. </w:t>
      </w:r>
      <w:r w:rsidR="005534B8" w:rsidRPr="00C372E2">
        <w:t xml:space="preserve">The significant demographic factors from </w:t>
      </w:r>
      <w:r w:rsidR="00593527" w:rsidRPr="00C372E2">
        <w:t xml:space="preserve">the </w:t>
      </w:r>
      <w:r w:rsidR="005534B8" w:rsidRPr="00C372E2">
        <w:t>multivariate analysis were discussed instead of the significant demographic factors from</w:t>
      </w:r>
      <w:r w:rsidR="00593527" w:rsidRPr="00C372E2">
        <w:t xml:space="preserve"> the</w:t>
      </w:r>
      <w:r w:rsidR="005534B8" w:rsidRPr="00C372E2">
        <w:t xml:space="preserve"> univariate analysis because </w:t>
      </w:r>
      <w:r w:rsidR="00D24E53" w:rsidRPr="00C372E2">
        <w:t xml:space="preserve">we need to control for </w:t>
      </w:r>
      <w:r w:rsidR="005534B8" w:rsidRPr="00C372E2">
        <w:t>the effect</w:t>
      </w:r>
      <w:r w:rsidR="00593527" w:rsidRPr="00C372E2">
        <w:t>s</w:t>
      </w:r>
      <w:r w:rsidR="005534B8" w:rsidRPr="00C372E2">
        <w:t xml:space="preserve"> between </w:t>
      </w:r>
      <w:r w:rsidR="00283109" w:rsidRPr="00C372E2">
        <w:t>each</w:t>
      </w:r>
      <w:r w:rsidR="005534B8" w:rsidRPr="00C372E2">
        <w:t xml:space="preserve"> demographic variable.</w:t>
      </w:r>
    </w:p>
    <w:p w14:paraId="3054F91B" w14:textId="49210E43" w:rsidR="009053B4" w:rsidRPr="00C372E2" w:rsidRDefault="00A03AD4" w:rsidP="00DB4B30">
      <w:r w:rsidRPr="00C372E2">
        <w:t>Age and education showed no significant influence</w:t>
      </w:r>
      <w:r w:rsidR="00593527" w:rsidRPr="00C372E2">
        <w:t>s</w:t>
      </w:r>
      <w:r w:rsidRPr="00C372E2">
        <w:t xml:space="preserve"> on </w:t>
      </w:r>
      <w:r w:rsidR="00593527" w:rsidRPr="00C372E2">
        <w:t xml:space="preserve">the </w:t>
      </w:r>
      <w:r w:rsidRPr="00C372E2">
        <w:t>VOSP subtest score</w:t>
      </w:r>
      <w:r w:rsidR="00334D06" w:rsidRPr="00C372E2">
        <w:t>s</w:t>
      </w:r>
      <w:r w:rsidRPr="00C372E2">
        <w:t xml:space="preserve"> in this study</w:t>
      </w:r>
      <w:r w:rsidR="00334D06" w:rsidRPr="00C372E2">
        <w:t>.</w:t>
      </w:r>
      <w:r w:rsidRPr="00C372E2">
        <w:t xml:space="preserve"> </w:t>
      </w:r>
      <w:r w:rsidR="007F1467" w:rsidRPr="00C372E2">
        <w:t>A</w:t>
      </w:r>
      <w:r w:rsidR="000B1661" w:rsidRPr="00C372E2">
        <w:t>dditional decline</w:t>
      </w:r>
      <w:r w:rsidR="007F1467" w:rsidRPr="00C372E2">
        <w:t>s</w:t>
      </w:r>
      <w:r w:rsidR="000B1661" w:rsidRPr="00C372E2">
        <w:t xml:space="preserve"> in </w:t>
      </w:r>
      <w:r w:rsidR="007F1467" w:rsidRPr="00C372E2">
        <w:t xml:space="preserve">the </w:t>
      </w:r>
      <w:r w:rsidR="000B1661" w:rsidRPr="00C372E2">
        <w:t>VOSP subtest</w:t>
      </w:r>
      <w:r w:rsidR="00593527" w:rsidRPr="00C372E2">
        <w:t xml:space="preserve"> scoring</w:t>
      </w:r>
      <w:r w:rsidR="000B1661" w:rsidRPr="00C372E2">
        <w:t xml:space="preserve"> performance</w:t>
      </w:r>
      <w:r w:rsidR="007F1467" w:rsidRPr="00C372E2">
        <w:t>s</w:t>
      </w:r>
      <w:r w:rsidR="00593527" w:rsidRPr="00C372E2">
        <w:t xml:space="preserve"> for the </w:t>
      </w:r>
      <w:r w:rsidR="000B1661" w:rsidRPr="00C372E2">
        <w:t>Silhouettes, Object Decision, Progressive S</w:t>
      </w:r>
      <w:r w:rsidR="003A70D0" w:rsidRPr="00C372E2">
        <w:t>il</w:t>
      </w:r>
      <w:r w:rsidR="000B1661" w:rsidRPr="00C372E2">
        <w:t>houettes</w:t>
      </w:r>
      <w:r w:rsidR="00593527" w:rsidRPr="00C372E2">
        <w:t>,</w:t>
      </w:r>
      <w:r w:rsidR="000B1661" w:rsidRPr="00C372E2">
        <w:t xml:space="preserve"> and Number Location</w:t>
      </w:r>
      <w:r w:rsidR="00334D06" w:rsidRPr="00C372E2">
        <w:t xml:space="preserve"> </w:t>
      </w:r>
      <w:r w:rsidR="00593527" w:rsidRPr="00C372E2">
        <w:t xml:space="preserve">subtests have previously been </w:t>
      </w:r>
      <w:r w:rsidR="00334D06" w:rsidRPr="00C372E2">
        <w:t xml:space="preserve">reported </w:t>
      </w:r>
      <w:r w:rsidR="007F1467" w:rsidRPr="00C372E2">
        <w:t xml:space="preserve">for individuals </w:t>
      </w:r>
      <w:r w:rsidR="00334D06" w:rsidRPr="00C372E2">
        <w:t>age</w:t>
      </w:r>
      <w:r w:rsidR="007F1467" w:rsidRPr="00C372E2">
        <w:t>d over</w:t>
      </w:r>
      <w:r w:rsidR="00334D06" w:rsidRPr="00C372E2">
        <w:t xml:space="preserve"> 70 years </w:t>
      </w:r>
      <w:r w:rsidR="003060AC" w:rsidRPr="00C372E2">
        <w:rPr>
          <w:noProof/>
        </w:rPr>
        <w:t>(Bonello et al., 1997; Herrera-Guzmán et al., 2004)</w:t>
      </w:r>
      <w:r w:rsidR="00334D06" w:rsidRPr="00C372E2">
        <w:t>.</w:t>
      </w:r>
      <w:r w:rsidR="00334D06" w:rsidRPr="00C372E2">
        <w:rPr>
          <w:cs/>
        </w:rPr>
        <w:t xml:space="preserve"> </w:t>
      </w:r>
      <w:r w:rsidR="00334D06" w:rsidRPr="00C372E2">
        <w:t xml:space="preserve">Nevertheless, </w:t>
      </w:r>
      <w:r w:rsidR="007F1467" w:rsidRPr="00C372E2">
        <w:t xml:space="preserve">as the </w:t>
      </w:r>
      <w:r w:rsidR="00334D06" w:rsidRPr="00C372E2">
        <w:t>age range of</w:t>
      </w:r>
      <w:r w:rsidR="007F1467" w:rsidRPr="00C372E2">
        <w:t xml:space="preserve"> the</w:t>
      </w:r>
      <w:r w:rsidR="00334D06" w:rsidRPr="00C372E2">
        <w:t xml:space="preserve"> normal population in </w:t>
      </w:r>
      <w:r w:rsidR="007F1467" w:rsidRPr="00C372E2">
        <w:t xml:space="preserve">the current </w:t>
      </w:r>
      <w:r w:rsidR="00334D06" w:rsidRPr="00C372E2">
        <w:t xml:space="preserve">study was </w:t>
      </w:r>
      <w:r w:rsidR="00822D80" w:rsidRPr="00C372E2">
        <w:t xml:space="preserve">restricted </w:t>
      </w:r>
      <w:r w:rsidR="00334D06" w:rsidRPr="00C372E2">
        <w:t xml:space="preserve">to </w:t>
      </w:r>
      <w:r w:rsidR="007F1467" w:rsidRPr="00C372E2">
        <w:t xml:space="preserve">between </w:t>
      </w:r>
      <w:r w:rsidR="00334D06" w:rsidRPr="00C372E2">
        <w:t>50</w:t>
      </w:r>
      <w:r w:rsidR="009B6855" w:rsidRPr="00C372E2">
        <w:t xml:space="preserve"> </w:t>
      </w:r>
      <w:r w:rsidR="007F1467" w:rsidRPr="00C372E2">
        <w:t xml:space="preserve">and </w:t>
      </w:r>
      <w:r w:rsidR="00334D06" w:rsidRPr="00C372E2">
        <w:t>70 years,</w:t>
      </w:r>
      <w:r w:rsidR="003A70D0" w:rsidRPr="00C372E2">
        <w:t xml:space="preserve"> this </w:t>
      </w:r>
      <w:r w:rsidR="00813EF1" w:rsidRPr="00C372E2">
        <w:t xml:space="preserve">pilot </w:t>
      </w:r>
      <w:r w:rsidR="003A70D0" w:rsidRPr="00C372E2">
        <w:t>study may not be able to illustrate</w:t>
      </w:r>
      <w:r w:rsidR="00334D06" w:rsidRPr="00C372E2">
        <w:t xml:space="preserve"> </w:t>
      </w:r>
      <w:r w:rsidR="007F1467" w:rsidRPr="00C372E2">
        <w:t xml:space="preserve">a </w:t>
      </w:r>
      <w:r w:rsidR="00334D06" w:rsidRPr="00C372E2">
        <w:t xml:space="preserve">significant effect of age on VOSP subtest performance. </w:t>
      </w:r>
      <w:r w:rsidR="009053B4" w:rsidRPr="00C372E2">
        <w:t xml:space="preserve">Education </w:t>
      </w:r>
      <w:r w:rsidR="00822D80" w:rsidRPr="00C372E2">
        <w:t xml:space="preserve">has been </w:t>
      </w:r>
      <w:r w:rsidR="009053B4" w:rsidRPr="00C372E2">
        <w:t xml:space="preserve">reported </w:t>
      </w:r>
      <w:r w:rsidR="00822D80" w:rsidRPr="00C372E2">
        <w:t xml:space="preserve">to have </w:t>
      </w:r>
      <w:r w:rsidR="009053B4" w:rsidRPr="00C372E2">
        <w:t>marginally significant association</w:t>
      </w:r>
      <w:r w:rsidR="00822D80" w:rsidRPr="00C372E2">
        <w:t>s with</w:t>
      </w:r>
      <w:r w:rsidR="009053B4" w:rsidRPr="00C372E2">
        <w:t xml:space="preserve"> </w:t>
      </w:r>
      <w:r w:rsidR="00822D80" w:rsidRPr="00C372E2">
        <w:t xml:space="preserve">the scoring </w:t>
      </w:r>
      <w:r w:rsidR="009053B4" w:rsidRPr="00C372E2">
        <w:t>performance</w:t>
      </w:r>
      <w:r w:rsidR="00822D80" w:rsidRPr="00C372E2">
        <w:t>s</w:t>
      </w:r>
      <w:r w:rsidR="009053B4" w:rsidRPr="00C372E2">
        <w:t xml:space="preserve"> </w:t>
      </w:r>
      <w:r w:rsidR="00822D80" w:rsidRPr="00C372E2">
        <w:t xml:space="preserve">for the </w:t>
      </w:r>
      <w:r w:rsidR="009053B4" w:rsidRPr="00C372E2">
        <w:t>Silhouettes</w:t>
      </w:r>
      <w:r w:rsidR="00822D80" w:rsidRPr="00C372E2">
        <w:t xml:space="preserve"> </w:t>
      </w:r>
      <w:r w:rsidR="003060AC" w:rsidRPr="00C372E2">
        <w:rPr>
          <w:noProof/>
        </w:rPr>
        <w:t>(Herrera-Guzmán et al., 2004)</w:t>
      </w:r>
      <w:r w:rsidR="009053B4" w:rsidRPr="00C372E2">
        <w:t>, Object Decision</w:t>
      </w:r>
      <w:r w:rsidR="00D13C0D" w:rsidRPr="00C372E2">
        <w:rPr>
          <w:noProof/>
        </w:rPr>
        <w:t xml:space="preserve"> </w:t>
      </w:r>
      <w:r w:rsidR="003060AC" w:rsidRPr="00C372E2">
        <w:rPr>
          <w:noProof/>
        </w:rPr>
        <w:t>(Bonello et al., 1997; Herrera-Guzmán et al., 2004)</w:t>
      </w:r>
      <w:r w:rsidR="009053B4" w:rsidRPr="00C372E2">
        <w:t xml:space="preserve">, and </w:t>
      </w:r>
      <w:r w:rsidR="00822D80" w:rsidRPr="00C372E2">
        <w:t xml:space="preserve">Number Location </w:t>
      </w:r>
      <w:r w:rsidR="003060AC" w:rsidRPr="00C372E2">
        <w:rPr>
          <w:noProof/>
        </w:rPr>
        <w:t>(Bonello et al., 1997; Herrera-Guzmán et al., 2004)</w:t>
      </w:r>
      <w:r w:rsidR="009053B4" w:rsidRPr="00C372E2">
        <w:t xml:space="preserve"> subtests</w:t>
      </w:r>
      <w:r w:rsidR="002471F0" w:rsidRPr="00C372E2">
        <w:t xml:space="preserve">. </w:t>
      </w:r>
      <w:r w:rsidR="00813EF1" w:rsidRPr="00C372E2">
        <w:t>Notwithstanding</w:t>
      </w:r>
      <w:r w:rsidR="002471F0" w:rsidRPr="00C372E2">
        <w:t xml:space="preserve"> that, the sample size of this pilot study </w:t>
      </w:r>
      <w:r w:rsidR="00813EF1" w:rsidRPr="00C372E2">
        <w:t>m</w:t>
      </w:r>
      <w:r w:rsidR="009529F4" w:rsidRPr="00C372E2">
        <w:t xml:space="preserve">ight </w:t>
      </w:r>
      <w:r w:rsidR="00822D80" w:rsidRPr="00C372E2">
        <w:t>have been</w:t>
      </w:r>
      <w:r w:rsidR="00813EF1" w:rsidRPr="00C372E2">
        <w:t xml:space="preserve"> too </w:t>
      </w:r>
      <w:r w:rsidR="002471F0" w:rsidRPr="00C372E2">
        <w:t>small</w:t>
      </w:r>
      <w:r w:rsidR="00813EF1" w:rsidRPr="00C372E2">
        <w:t xml:space="preserve"> to demonstrate</w:t>
      </w:r>
      <w:r w:rsidR="00DD2EE4" w:rsidRPr="00C372E2">
        <w:t xml:space="preserve"> </w:t>
      </w:r>
      <w:r w:rsidR="00813EF1" w:rsidRPr="00C372E2">
        <w:t>statistically significant associations</w:t>
      </w:r>
      <w:r w:rsidR="002471F0" w:rsidRPr="00C372E2">
        <w:t>.</w:t>
      </w:r>
    </w:p>
    <w:p w14:paraId="207F722E" w14:textId="04D7BB5B" w:rsidR="005534B8" w:rsidRPr="00C372E2" w:rsidRDefault="005D4FA4" w:rsidP="00DB4B30">
      <w:r w:rsidRPr="00C372E2">
        <w:t>Gender had significant effect</w:t>
      </w:r>
      <w:r w:rsidR="00822D80" w:rsidRPr="00C372E2">
        <w:t>s</w:t>
      </w:r>
      <w:r w:rsidRPr="00C372E2">
        <w:t xml:space="preserve"> on </w:t>
      </w:r>
      <w:r w:rsidR="00822D80" w:rsidRPr="00C372E2">
        <w:t xml:space="preserve">the </w:t>
      </w:r>
      <w:r w:rsidRPr="00C372E2">
        <w:t>Silhouettes and Progressive Silhouettes subtest score</w:t>
      </w:r>
      <w:r w:rsidR="00822D80" w:rsidRPr="00C372E2">
        <w:t>s</w:t>
      </w:r>
      <w:r w:rsidRPr="00C372E2">
        <w:t xml:space="preserve">. This finding </w:t>
      </w:r>
      <w:r w:rsidR="009529F4" w:rsidRPr="00C372E2">
        <w:t>wa</w:t>
      </w:r>
      <w:r w:rsidRPr="00C372E2">
        <w:t>s consistent with the Spanish normative study</w:t>
      </w:r>
      <w:r w:rsidR="00822D80" w:rsidRPr="00C372E2">
        <w:t>, in</w:t>
      </w:r>
      <w:r w:rsidRPr="00C372E2">
        <w:t xml:space="preserve"> which g</w:t>
      </w:r>
      <w:r w:rsidR="005534B8" w:rsidRPr="00C372E2">
        <w:t>ender had been described</w:t>
      </w:r>
      <w:r w:rsidR="007545FF" w:rsidRPr="00C372E2">
        <w:t xml:space="preserve"> </w:t>
      </w:r>
      <w:r w:rsidR="00822D80" w:rsidRPr="00C372E2">
        <w:t xml:space="preserve">as having </w:t>
      </w:r>
      <w:r w:rsidR="007545FF" w:rsidRPr="00C372E2">
        <w:t xml:space="preserve">significant </w:t>
      </w:r>
      <w:r w:rsidRPr="00C372E2">
        <w:t>effect</w:t>
      </w:r>
      <w:r w:rsidR="00545C6F" w:rsidRPr="00C372E2">
        <w:t>s</w:t>
      </w:r>
      <w:r w:rsidRPr="00C372E2">
        <w:t xml:space="preserve"> on </w:t>
      </w:r>
      <w:r w:rsidR="00545C6F" w:rsidRPr="00C372E2">
        <w:t xml:space="preserve">5 </w:t>
      </w:r>
      <w:r w:rsidRPr="00C372E2">
        <w:t>VOSP subtests</w:t>
      </w:r>
      <w:r w:rsidR="00545C6F" w:rsidRPr="00C372E2">
        <w:t xml:space="preserve">: </w:t>
      </w:r>
      <w:r w:rsidRPr="00C372E2">
        <w:t>Silhouettes, Object Decision, Progressive Silhouettes, Position Discrimination</w:t>
      </w:r>
      <w:r w:rsidR="00545C6F" w:rsidRPr="00C372E2">
        <w:t>,</w:t>
      </w:r>
      <w:r w:rsidRPr="00C372E2">
        <w:t xml:space="preserve"> and Cube Analysis</w:t>
      </w:r>
      <w:r w:rsidR="00D13C0D" w:rsidRPr="00C372E2">
        <w:rPr>
          <w:noProof/>
        </w:rPr>
        <w:t xml:space="preserve"> </w:t>
      </w:r>
      <w:r w:rsidR="003060AC" w:rsidRPr="00C372E2">
        <w:rPr>
          <w:noProof/>
        </w:rPr>
        <w:t>(Herrera-Guzmán et al., 2004)</w:t>
      </w:r>
      <w:r w:rsidRPr="00C372E2">
        <w:t xml:space="preserve">. In contrast, the American normative study </w:t>
      </w:r>
      <w:r w:rsidR="0091684A" w:rsidRPr="00C372E2">
        <w:t>reported</w:t>
      </w:r>
      <w:r w:rsidRPr="00C372E2">
        <w:t xml:space="preserve"> no significant effect</w:t>
      </w:r>
      <w:r w:rsidR="00545C6F" w:rsidRPr="00C372E2">
        <w:t>s</w:t>
      </w:r>
      <w:r w:rsidRPr="00C372E2">
        <w:t xml:space="preserve"> of gender on any VOSP subtest</w:t>
      </w:r>
      <w:r w:rsidR="00D13C0D" w:rsidRPr="00C372E2">
        <w:rPr>
          <w:noProof/>
        </w:rPr>
        <w:t xml:space="preserve"> </w:t>
      </w:r>
      <w:r w:rsidR="003060AC" w:rsidRPr="00C372E2">
        <w:rPr>
          <w:noProof/>
        </w:rPr>
        <w:t>(Bonello et al., 1997)</w:t>
      </w:r>
      <w:r w:rsidRPr="00C372E2">
        <w:t xml:space="preserve">. </w:t>
      </w:r>
      <w:r w:rsidR="009529F4" w:rsidRPr="00C372E2">
        <w:t xml:space="preserve">The </w:t>
      </w:r>
      <w:r w:rsidR="00CF5D6B" w:rsidRPr="00C372E2">
        <w:t>other studies confirm</w:t>
      </w:r>
      <w:r w:rsidR="009529F4" w:rsidRPr="00C372E2">
        <w:t>ed that</w:t>
      </w:r>
      <w:r w:rsidR="00CF5D6B" w:rsidRPr="00C372E2">
        <w:t xml:space="preserve"> g</w:t>
      </w:r>
      <w:r w:rsidR="00A14B4F" w:rsidRPr="00C372E2">
        <w:t>ender difference</w:t>
      </w:r>
      <w:r w:rsidR="00545C6F" w:rsidRPr="00C372E2">
        <w:t>—</w:t>
      </w:r>
      <w:r w:rsidR="00A14B4F" w:rsidRPr="00C372E2">
        <w:t>with males outperforming females</w:t>
      </w:r>
      <w:r w:rsidR="00545C6F" w:rsidRPr="00C372E2">
        <w:t>—</w:t>
      </w:r>
      <w:r w:rsidR="00CF5D6B" w:rsidRPr="00C372E2">
        <w:t>wa</w:t>
      </w:r>
      <w:r w:rsidR="00A14B4F" w:rsidRPr="00C372E2">
        <w:t>s seen in</w:t>
      </w:r>
      <w:r w:rsidR="007E4E4C" w:rsidRPr="00C372E2">
        <w:t xml:space="preserve"> perceptual task</w:t>
      </w:r>
      <w:r w:rsidR="0068029B" w:rsidRPr="00C372E2">
        <w:t>s</w:t>
      </w:r>
      <w:r w:rsidR="00D13C0D" w:rsidRPr="00C372E2">
        <w:rPr>
          <w:noProof/>
        </w:rPr>
        <w:t xml:space="preserve"> </w:t>
      </w:r>
      <w:r w:rsidR="003060AC" w:rsidRPr="00C372E2">
        <w:rPr>
          <w:noProof/>
        </w:rPr>
        <w:t>(Shaqiri et al., 2018)</w:t>
      </w:r>
      <w:r w:rsidR="0068029B" w:rsidRPr="00C372E2">
        <w:t xml:space="preserve"> and visual scene recognition</w:t>
      </w:r>
      <w:r w:rsidR="00D13C0D" w:rsidRPr="00C372E2">
        <w:rPr>
          <w:noProof/>
        </w:rPr>
        <w:t xml:space="preserve"> </w:t>
      </w:r>
      <w:r w:rsidR="003060AC" w:rsidRPr="00C372E2">
        <w:rPr>
          <w:noProof/>
        </w:rPr>
        <w:t>(Hamel &amp; Ryan-Jones, 1997)</w:t>
      </w:r>
      <w:r w:rsidR="00A14B4F" w:rsidRPr="00C372E2">
        <w:t>.</w:t>
      </w:r>
      <w:r w:rsidR="007E4E4C" w:rsidRPr="00C372E2">
        <w:t xml:space="preserve"> </w:t>
      </w:r>
      <w:r w:rsidR="0068029B" w:rsidRPr="00C372E2">
        <w:t>Therefore, it</w:t>
      </w:r>
      <w:r w:rsidR="007E4E4C" w:rsidRPr="00C372E2">
        <w:t xml:space="preserve"> </w:t>
      </w:r>
      <w:r w:rsidR="00545C6F" w:rsidRPr="00C372E2">
        <w:t xml:space="preserve">is </w:t>
      </w:r>
      <w:r w:rsidR="007E4E4C" w:rsidRPr="00C372E2">
        <w:t xml:space="preserve">important to control for gender in cognitive measures using </w:t>
      </w:r>
      <w:r w:rsidR="00545C6F" w:rsidRPr="00C372E2">
        <w:t>visually-</w:t>
      </w:r>
      <w:r w:rsidR="007E4E4C" w:rsidRPr="00C372E2">
        <w:t>based tasks.</w:t>
      </w:r>
    </w:p>
    <w:p w14:paraId="3D117B86" w14:textId="509CDA6C" w:rsidR="00DB4B30" w:rsidRPr="00C372E2" w:rsidRDefault="0073680E" w:rsidP="00DB4B30">
      <w:r w:rsidRPr="00C372E2">
        <w:t xml:space="preserve">Although </w:t>
      </w:r>
      <w:r w:rsidR="009B2E14" w:rsidRPr="00C372E2">
        <w:t xml:space="preserve">IQ </w:t>
      </w:r>
      <w:r w:rsidRPr="00C372E2">
        <w:t xml:space="preserve">demonstrated </w:t>
      </w:r>
      <w:r w:rsidR="009B2E14" w:rsidRPr="00C372E2">
        <w:t>significant effect</w:t>
      </w:r>
      <w:r w:rsidRPr="00C372E2">
        <w:t>s</w:t>
      </w:r>
      <w:r w:rsidR="009B2E14" w:rsidRPr="00C372E2">
        <w:t xml:space="preserve"> on various VOS</w:t>
      </w:r>
      <w:r w:rsidR="00145832" w:rsidRPr="00C372E2">
        <w:t>P</w:t>
      </w:r>
      <w:r w:rsidR="009B2E14" w:rsidRPr="00C372E2">
        <w:t xml:space="preserve"> subtests</w:t>
      </w:r>
      <w:r w:rsidR="00005AA3" w:rsidRPr="00C372E2">
        <w:t xml:space="preserve"> in</w:t>
      </w:r>
      <w:r w:rsidRPr="00C372E2">
        <w:t xml:space="preserve"> the</w:t>
      </w:r>
      <w:r w:rsidR="00005AA3" w:rsidRPr="00C372E2">
        <w:t xml:space="preserve"> univariate analysis</w:t>
      </w:r>
      <w:r w:rsidRPr="00C372E2">
        <w:t>,</w:t>
      </w:r>
      <w:r w:rsidR="009B2E14" w:rsidRPr="00C372E2">
        <w:t xml:space="preserve"> the effect</w:t>
      </w:r>
      <w:r w:rsidRPr="00C372E2">
        <w:t>s</w:t>
      </w:r>
      <w:r w:rsidR="009B2E14" w:rsidRPr="00C372E2">
        <w:t xml:space="preserve"> remained significant </w:t>
      </w:r>
      <w:r w:rsidR="00474C2D" w:rsidRPr="00C372E2">
        <w:t xml:space="preserve">only </w:t>
      </w:r>
      <w:r w:rsidRPr="00C372E2">
        <w:t xml:space="preserve">for the </w:t>
      </w:r>
      <w:r w:rsidR="009B2E14" w:rsidRPr="00C372E2">
        <w:t>Silhouettes and Object Decision subtests</w:t>
      </w:r>
      <w:r w:rsidR="00005AA3" w:rsidRPr="00C372E2">
        <w:t xml:space="preserve"> in </w:t>
      </w:r>
      <w:r w:rsidRPr="00C372E2">
        <w:t xml:space="preserve">the </w:t>
      </w:r>
      <w:r w:rsidR="00005AA3" w:rsidRPr="00C372E2">
        <w:t>multivariate analysis</w:t>
      </w:r>
      <w:r w:rsidR="009B2E14" w:rsidRPr="00C372E2">
        <w:t>.</w:t>
      </w:r>
      <w:r w:rsidR="0048690B" w:rsidRPr="00C372E2">
        <w:t xml:space="preserve"> </w:t>
      </w:r>
      <w:r w:rsidR="00005AA3" w:rsidRPr="00C372E2">
        <w:t xml:space="preserve">This rather contradictory result </w:t>
      </w:r>
      <w:r w:rsidR="00DC783F" w:rsidRPr="00C372E2">
        <w:t>might</w:t>
      </w:r>
      <w:r w:rsidR="00005AA3" w:rsidRPr="00C372E2">
        <w:t xml:space="preserve"> be </w:t>
      </w:r>
      <w:r w:rsidR="00DC783F" w:rsidRPr="00C372E2">
        <w:t xml:space="preserve">a result of </w:t>
      </w:r>
      <w:r w:rsidRPr="00C372E2">
        <w:t xml:space="preserve">a </w:t>
      </w:r>
      <w:r w:rsidR="00DC783F" w:rsidRPr="00C372E2">
        <w:t>multi-collinearity problem in this pilot data</w:t>
      </w:r>
      <w:r w:rsidRPr="00C372E2">
        <w:t>,</w:t>
      </w:r>
      <w:r w:rsidR="00DC783F" w:rsidRPr="00C372E2">
        <w:t xml:space="preserve"> </w:t>
      </w:r>
      <w:r w:rsidR="00005AA3" w:rsidRPr="00C372E2">
        <w:t xml:space="preserve">which </w:t>
      </w:r>
      <w:r w:rsidRPr="00C372E2">
        <w:t xml:space="preserve">has </w:t>
      </w:r>
      <w:r w:rsidR="00DC783F" w:rsidRPr="00C372E2">
        <w:t>been previously discussed</w:t>
      </w:r>
      <w:r w:rsidR="00005AA3" w:rsidRPr="00C372E2">
        <w:t xml:space="preserve">. </w:t>
      </w:r>
      <w:r w:rsidR="00DC783F" w:rsidRPr="00C372E2">
        <w:t xml:space="preserve">The </w:t>
      </w:r>
      <w:r w:rsidR="00734B2F" w:rsidRPr="00C372E2">
        <w:lastRenderedPageBreak/>
        <w:t>other</w:t>
      </w:r>
      <w:r w:rsidR="00DC783F" w:rsidRPr="00C372E2">
        <w:t xml:space="preserve"> studies </w:t>
      </w:r>
      <w:r w:rsidR="0048690B" w:rsidRPr="00C372E2">
        <w:t>also report</w:t>
      </w:r>
      <w:r w:rsidR="00DC783F" w:rsidRPr="00C372E2">
        <w:t>ed</w:t>
      </w:r>
      <w:r w:rsidR="0048690B" w:rsidRPr="00C372E2">
        <w:t xml:space="preserve"> </w:t>
      </w:r>
      <w:r w:rsidR="000764A0" w:rsidRPr="00C372E2">
        <w:t xml:space="preserve">a </w:t>
      </w:r>
      <w:r w:rsidR="0048690B" w:rsidRPr="00C372E2">
        <w:t xml:space="preserve">significant correlation between </w:t>
      </w:r>
      <w:r w:rsidR="000764A0" w:rsidRPr="00C372E2">
        <w:t xml:space="preserve">the </w:t>
      </w:r>
      <w:r w:rsidR="0048690B" w:rsidRPr="00C372E2">
        <w:t xml:space="preserve">estimated IQ </w:t>
      </w:r>
      <w:r w:rsidR="00C90196" w:rsidRPr="00C372E2">
        <w:t>determined with</w:t>
      </w:r>
      <w:r w:rsidR="0048690B" w:rsidRPr="00C372E2">
        <w:t xml:space="preserve"> </w:t>
      </w:r>
      <w:r w:rsidR="0027735A" w:rsidRPr="00C372E2">
        <w:t>the National Adult Reading Test</w:t>
      </w:r>
      <w:r w:rsidR="0048690B" w:rsidRPr="00C372E2">
        <w:t xml:space="preserve"> </w:t>
      </w:r>
      <w:r w:rsidR="000764A0" w:rsidRPr="00C372E2">
        <w:t xml:space="preserve">and the </w:t>
      </w:r>
      <w:r w:rsidR="0048690B" w:rsidRPr="00C372E2">
        <w:t>Silhouettes subtest score</w:t>
      </w:r>
      <w:r w:rsidR="00D13C0D" w:rsidRPr="00C372E2">
        <w:t xml:space="preserve"> </w:t>
      </w:r>
      <w:r w:rsidR="003060AC" w:rsidRPr="00C372E2">
        <w:rPr>
          <w:noProof/>
        </w:rPr>
        <w:t>(Bird, Papadopoulou, Ricciardelli, Rossor, &amp; Cipolotti, 2004)</w:t>
      </w:r>
      <w:r w:rsidR="000764A0" w:rsidRPr="00C372E2">
        <w:t>.</w:t>
      </w:r>
      <w:r w:rsidR="00AA0268" w:rsidRPr="00C372E2">
        <w:t xml:space="preserve"> Similarly, </w:t>
      </w:r>
      <w:r w:rsidR="000764A0" w:rsidRPr="00C372E2">
        <w:t xml:space="preserve">significant correlations have been noted between the </w:t>
      </w:r>
      <w:r w:rsidR="00474C2D" w:rsidRPr="00C372E2">
        <w:t xml:space="preserve">estimated IQ </w:t>
      </w:r>
      <w:r w:rsidR="00C90196" w:rsidRPr="00C372E2">
        <w:t>established with the</w:t>
      </w:r>
      <w:r w:rsidR="00474C2D" w:rsidRPr="00C372E2">
        <w:t xml:space="preserve"> Shipley-Hartford Vocabulary Test </w:t>
      </w:r>
      <w:r w:rsidR="000764A0" w:rsidRPr="00C372E2">
        <w:t xml:space="preserve">and the </w:t>
      </w:r>
      <w:r w:rsidR="00474C2D" w:rsidRPr="00C372E2">
        <w:t>Silhouettes, Dot Counting</w:t>
      </w:r>
      <w:r w:rsidR="000764A0" w:rsidRPr="00C372E2">
        <w:t>,</w:t>
      </w:r>
      <w:r w:rsidR="00474C2D" w:rsidRPr="00C372E2">
        <w:t xml:space="preserve"> and Cube Analysis</w:t>
      </w:r>
      <w:r w:rsidR="000764A0" w:rsidRPr="00C372E2">
        <w:t xml:space="preserve"> subtests</w:t>
      </w:r>
      <w:r w:rsidR="00D13C0D" w:rsidRPr="00C372E2">
        <w:t xml:space="preserve"> </w:t>
      </w:r>
      <w:r w:rsidR="003060AC" w:rsidRPr="00C372E2">
        <w:rPr>
          <w:noProof/>
        </w:rPr>
        <w:t>(Bonello et al., 1997)</w:t>
      </w:r>
      <w:r w:rsidR="0048690B" w:rsidRPr="00C372E2">
        <w:t>.</w:t>
      </w:r>
      <w:r w:rsidR="00005AA3" w:rsidRPr="00C372E2">
        <w:t xml:space="preserve"> </w:t>
      </w:r>
      <w:r w:rsidR="00EB73A6" w:rsidRPr="00C372E2">
        <w:t xml:space="preserve">Unsurprisingly, </w:t>
      </w:r>
      <w:r w:rsidR="00EE4CCF" w:rsidRPr="00C372E2">
        <w:t>VA had significant effect</w:t>
      </w:r>
      <w:r w:rsidR="005703DA" w:rsidRPr="00C372E2">
        <w:t>s</w:t>
      </w:r>
      <w:r w:rsidR="00EE4CCF" w:rsidRPr="00C372E2">
        <w:t xml:space="preserve"> on Shape </w:t>
      </w:r>
      <w:r w:rsidR="005703DA" w:rsidRPr="00C372E2">
        <w:t xml:space="preserve">Detection </w:t>
      </w:r>
      <w:r w:rsidR="00EE4CCF" w:rsidRPr="00C372E2">
        <w:t>and Position Discrimination</w:t>
      </w:r>
      <w:r w:rsidR="00462C5C" w:rsidRPr="00C372E2">
        <w:t xml:space="preserve"> because these two subtests most require </w:t>
      </w:r>
      <w:r w:rsidR="005703DA" w:rsidRPr="00C372E2">
        <w:t xml:space="preserve">a </w:t>
      </w:r>
      <w:r w:rsidR="00462C5C" w:rsidRPr="00C372E2">
        <w:t xml:space="preserve">high </w:t>
      </w:r>
      <w:r w:rsidR="00B84F42" w:rsidRPr="00C372E2">
        <w:t>VA</w:t>
      </w:r>
      <w:r w:rsidR="00462C5C" w:rsidRPr="00C372E2">
        <w:t xml:space="preserve"> </w:t>
      </w:r>
      <w:r w:rsidR="003060AC" w:rsidRPr="00C372E2">
        <w:rPr>
          <w:noProof/>
        </w:rPr>
        <w:t>(Warrington &amp; James, 1991)</w:t>
      </w:r>
      <w:r w:rsidR="00EB73A6" w:rsidRPr="00C372E2">
        <w:t>.</w:t>
      </w:r>
      <w:r w:rsidR="00B94AB6" w:rsidRPr="00C372E2">
        <w:t xml:space="preserve"> The other normative studies did not report </w:t>
      </w:r>
      <w:r w:rsidR="005703DA" w:rsidRPr="00C372E2">
        <w:t xml:space="preserve">any </w:t>
      </w:r>
      <w:r w:rsidR="00B94AB6" w:rsidRPr="00C372E2">
        <w:t>effect</w:t>
      </w:r>
      <w:r w:rsidR="005703DA" w:rsidRPr="00C372E2">
        <w:t>s</w:t>
      </w:r>
      <w:r w:rsidR="00B94AB6" w:rsidRPr="00C372E2">
        <w:t xml:space="preserve"> of VA on </w:t>
      </w:r>
      <w:r w:rsidR="005703DA" w:rsidRPr="00C372E2">
        <w:t xml:space="preserve">the </w:t>
      </w:r>
      <w:r w:rsidR="00B94AB6" w:rsidRPr="00C372E2">
        <w:t>VOSP subtests</w:t>
      </w:r>
      <w:r w:rsidR="00D13C0D" w:rsidRPr="00C372E2">
        <w:rPr>
          <w:noProof/>
        </w:rPr>
        <w:t xml:space="preserve"> </w:t>
      </w:r>
      <w:r w:rsidR="003060AC" w:rsidRPr="00C372E2">
        <w:rPr>
          <w:noProof/>
        </w:rPr>
        <w:t>(Bonello et al., 1997; Herrera-Guzmán et al., 2004; Warrington &amp; James, 1991)</w:t>
      </w:r>
      <w:r w:rsidR="00B94AB6" w:rsidRPr="00C372E2">
        <w:t xml:space="preserve">. </w:t>
      </w:r>
      <w:r w:rsidR="00A6423A" w:rsidRPr="00C372E2">
        <w:t>T</w:t>
      </w:r>
      <w:r w:rsidR="00EE4CCF" w:rsidRPr="00C372E2">
        <w:t xml:space="preserve">he </w:t>
      </w:r>
      <w:r w:rsidR="00EB73A6" w:rsidRPr="00C372E2">
        <w:t xml:space="preserve">only </w:t>
      </w:r>
      <w:r w:rsidR="00EE4CCF" w:rsidRPr="00C372E2">
        <w:t xml:space="preserve">VOSP subtest which </w:t>
      </w:r>
      <w:r w:rsidR="001F2F1C" w:rsidRPr="00C372E2">
        <w:t xml:space="preserve">was </w:t>
      </w:r>
      <w:r w:rsidR="00EE4CCF" w:rsidRPr="00C372E2">
        <w:t xml:space="preserve">not influenced by demographic factors in </w:t>
      </w:r>
      <w:r w:rsidR="00EB73A6" w:rsidRPr="00C372E2">
        <w:t xml:space="preserve">this </w:t>
      </w:r>
      <w:r w:rsidR="00EE4CCF" w:rsidRPr="00C372E2">
        <w:t>Thai</w:t>
      </w:r>
      <w:r w:rsidR="00EB73A6" w:rsidRPr="00C372E2">
        <w:t xml:space="preserve"> pilot sample </w:t>
      </w:r>
      <w:r w:rsidR="005703DA" w:rsidRPr="00C372E2">
        <w:t xml:space="preserve">was </w:t>
      </w:r>
      <w:r w:rsidR="00EB73A6" w:rsidRPr="00C372E2">
        <w:t>Incomplete Letters.</w:t>
      </w:r>
      <w:r w:rsidR="002009D7" w:rsidRPr="00C372E2">
        <w:t xml:space="preserve"> </w:t>
      </w:r>
      <w:r w:rsidR="0051680A" w:rsidRPr="00C372E2">
        <w:t>This is significant as it means that the</w:t>
      </w:r>
      <w:r w:rsidR="002009D7" w:rsidRPr="00C372E2">
        <w:t xml:space="preserve"> Incomplete Letter</w:t>
      </w:r>
      <w:r w:rsidR="0051680A" w:rsidRPr="00C372E2">
        <w:t>s</w:t>
      </w:r>
      <w:r w:rsidR="002009D7" w:rsidRPr="00C372E2">
        <w:t xml:space="preserve"> </w:t>
      </w:r>
      <w:r w:rsidR="0051680A" w:rsidRPr="00C372E2">
        <w:t xml:space="preserve">subtest </w:t>
      </w:r>
      <w:r w:rsidR="002009D7" w:rsidRPr="00C372E2">
        <w:t>is</w:t>
      </w:r>
      <w:r w:rsidR="003F4673" w:rsidRPr="00C372E2">
        <w:t xml:space="preserve"> a </w:t>
      </w:r>
      <w:r w:rsidR="002009D7" w:rsidRPr="00C372E2">
        <w:t>neuropsychological test</w:t>
      </w:r>
      <w:r w:rsidR="003F4673" w:rsidRPr="00C372E2">
        <w:t xml:space="preserve"> </w:t>
      </w:r>
      <w:r w:rsidR="003F3F56" w:rsidRPr="00C372E2">
        <w:t>for the assessment of</w:t>
      </w:r>
      <w:r w:rsidR="003F4673" w:rsidRPr="00C372E2">
        <w:t xml:space="preserve"> object perception abilit</w:t>
      </w:r>
      <w:r w:rsidR="0051680A" w:rsidRPr="00C372E2">
        <w:t>ies</w:t>
      </w:r>
      <w:r w:rsidR="002009D7" w:rsidRPr="00C372E2">
        <w:t xml:space="preserve"> </w:t>
      </w:r>
      <w:r w:rsidR="003F3F56" w:rsidRPr="00C372E2">
        <w:t>which</w:t>
      </w:r>
      <w:r w:rsidR="002009D7" w:rsidRPr="00C372E2">
        <w:t xml:space="preserve"> is neutral to demographic variables</w:t>
      </w:r>
      <w:r w:rsidR="003F4673" w:rsidRPr="00C372E2">
        <w:t>.</w:t>
      </w:r>
    </w:p>
    <w:p w14:paraId="6E6109C4" w14:textId="1214F7F1" w:rsidR="009B2E14" w:rsidRPr="00C372E2" w:rsidRDefault="009B2E14" w:rsidP="00DB4B30">
      <w:r w:rsidRPr="00C372E2">
        <w:t>T</w:t>
      </w:r>
      <w:r w:rsidR="001F2F1C" w:rsidRPr="00C372E2">
        <w:t>he t</w:t>
      </w:r>
      <w:r w:rsidR="003807AE" w:rsidRPr="00C372E2">
        <w:t>otal t</w:t>
      </w:r>
      <w:r w:rsidRPr="00C372E2">
        <w:t>esting time</w:t>
      </w:r>
      <w:r w:rsidR="003807AE" w:rsidRPr="00C372E2">
        <w:t xml:space="preserve"> of the original British </w:t>
      </w:r>
      <w:r w:rsidR="005532F8" w:rsidRPr="00C372E2">
        <w:t xml:space="preserve">normative </w:t>
      </w:r>
      <w:r w:rsidR="003807AE" w:rsidRPr="00C372E2">
        <w:t>VOSP</w:t>
      </w:r>
      <w:r w:rsidR="005532F8" w:rsidRPr="00C372E2">
        <w:t xml:space="preserve"> study</w:t>
      </w:r>
      <w:r w:rsidR="003807AE" w:rsidRPr="00C372E2">
        <w:t xml:space="preserve"> was not reported</w:t>
      </w:r>
      <w:r w:rsidR="00D13C0D" w:rsidRPr="00C372E2">
        <w:t xml:space="preserve"> </w:t>
      </w:r>
      <w:r w:rsidR="003060AC" w:rsidRPr="00C372E2">
        <w:rPr>
          <w:noProof/>
        </w:rPr>
        <w:t>(Warrington &amp; James, 1991)</w:t>
      </w:r>
      <w:r w:rsidR="003807AE" w:rsidRPr="00C372E2">
        <w:t xml:space="preserve">, </w:t>
      </w:r>
      <w:r w:rsidR="00113BD0" w:rsidRPr="00C372E2">
        <w:t>but</w:t>
      </w:r>
      <w:r w:rsidR="003807AE" w:rsidRPr="00C372E2">
        <w:t xml:space="preserve"> </w:t>
      </w:r>
      <w:r w:rsidR="00113BD0" w:rsidRPr="00C372E2">
        <w:t xml:space="preserve">it </w:t>
      </w:r>
      <w:r w:rsidR="003807AE" w:rsidRPr="00C372E2">
        <w:t xml:space="preserve">was estimated </w:t>
      </w:r>
      <w:r w:rsidR="001F2F1C" w:rsidRPr="00C372E2">
        <w:t xml:space="preserve">to be </w:t>
      </w:r>
      <w:r w:rsidR="003807AE" w:rsidRPr="00C372E2">
        <w:t>approximately 40</w:t>
      </w:r>
      <w:r w:rsidR="00D13C0D" w:rsidRPr="00C372E2">
        <w:t>–</w:t>
      </w:r>
      <w:r w:rsidR="003807AE" w:rsidRPr="00C372E2">
        <w:t>80 minutes</w:t>
      </w:r>
      <w:r w:rsidR="00D13C0D" w:rsidRPr="00C372E2">
        <w:rPr>
          <w:noProof/>
        </w:rPr>
        <w:t xml:space="preserve"> </w:t>
      </w:r>
      <w:r w:rsidR="003060AC" w:rsidRPr="00C372E2">
        <w:rPr>
          <w:noProof/>
        </w:rPr>
        <w:t>(Strauss et al., 2006)</w:t>
      </w:r>
      <w:r w:rsidR="003807AE" w:rsidRPr="00C372E2">
        <w:t xml:space="preserve">. </w:t>
      </w:r>
      <w:r w:rsidR="00113BD0" w:rsidRPr="00C372E2">
        <w:t xml:space="preserve">The mean total testing time </w:t>
      </w:r>
      <w:r w:rsidR="001F2F1C" w:rsidRPr="00C372E2">
        <w:t xml:space="preserve">for the </w:t>
      </w:r>
      <w:r w:rsidR="00113BD0" w:rsidRPr="00C372E2">
        <w:t xml:space="preserve">normal </w:t>
      </w:r>
      <w:r w:rsidR="001F2F1C" w:rsidRPr="00C372E2">
        <w:t xml:space="preserve">Thai </w:t>
      </w:r>
      <w:r w:rsidR="00113BD0" w:rsidRPr="00C372E2">
        <w:t>participants was 18 minutes</w:t>
      </w:r>
      <w:r w:rsidR="001F2F1C" w:rsidRPr="00C372E2">
        <w:t>,</w:t>
      </w:r>
      <w:r w:rsidR="00113BD0" w:rsidRPr="00C372E2">
        <w:t xml:space="preserve"> </w:t>
      </w:r>
      <w:r w:rsidR="001F2F1C" w:rsidRPr="00C372E2">
        <w:t xml:space="preserve">ranging </w:t>
      </w:r>
      <w:r w:rsidR="00187488" w:rsidRPr="00C372E2">
        <w:t>from 10.35 to 29.83 minutes</w:t>
      </w:r>
      <w:r w:rsidR="001F2F1C" w:rsidRPr="00C372E2">
        <w:t>,</w:t>
      </w:r>
      <w:r w:rsidR="00187488" w:rsidRPr="00C372E2">
        <w:t xml:space="preserve"> </w:t>
      </w:r>
      <w:r w:rsidR="00113BD0" w:rsidRPr="00C372E2">
        <w:t xml:space="preserve">which </w:t>
      </w:r>
      <w:r w:rsidR="001F2F1C" w:rsidRPr="00C372E2">
        <w:t xml:space="preserve">is </w:t>
      </w:r>
      <w:r w:rsidR="00113BD0" w:rsidRPr="00C372E2">
        <w:t>apparently shorter than the estimated testing time</w:t>
      </w:r>
      <w:r w:rsidR="00CA2197" w:rsidRPr="00C372E2">
        <w:t xml:space="preserve">. This information </w:t>
      </w:r>
      <w:r w:rsidR="001F2F1C" w:rsidRPr="00C372E2">
        <w:t xml:space="preserve">will be </w:t>
      </w:r>
      <w:r w:rsidR="00CA2197" w:rsidRPr="00C372E2">
        <w:t xml:space="preserve">beneficial </w:t>
      </w:r>
      <w:r w:rsidR="001F2F1C" w:rsidRPr="00C372E2">
        <w:t>when planning</w:t>
      </w:r>
      <w:r w:rsidR="00CA2197" w:rsidRPr="00C372E2">
        <w:rPr>
          <w:cs/>
        </w:rPr>
        <w:t xml:space="preserve"> </w:t>
      </w:r>
      <w:r w:rsidR="001F2F1C" w:rsidRPr="00C372E2">
        <w:rPr>
          <w:rFonts w:cstheme="minorBidi" w:hint="cs"/>
          <w:cs/>
        </w:rPr>
        <w:t xml:space="preserve">the </w:t>
      </w:r>
      <w:r w:rsidR="00CA2197" w:rsidRPr="00C372E2">
        <w:t xml:space="preserve">data collection </w:t>
      </w:r>
      <w:r w:rsidR="001F2F1C" w:rsidRPr="00C372E2">
        <w:t xml:space="preserve">for </w:t>
      </w:r>
      <w:r w:rsidR="00CA2197" w:rsidRPr="00C372E2">
        <w:t>a</w:t>
      </w:r>
      <w:r w:rsidR="001F2F1C" w:rsidRPr="00C372E2">
        <w:t xml:space="preserve"> future,</w:t>
      </w:r>
      <w:r w:rsidR="004878DE" w:rsidRPr="00C372E2">
        <w:t xml:space="preserve"> large-scale</w:t>
      </w:r>
      <w:r w:rsidR="001F2F1C" w:rsidRPr="00C372E2">
        <w:t>,</w:t>
      </w:r>
      <w:r w:rsidR="004878DE" w:rsidRPr="00C372E2">
        <w:t xml:space="preserve"> </w:t>
      </w:r>
      <w:r w:rsidR="00CA2197" w:rsidRPr="00C372E2">
        <w:t>national normative study.</w:t>
      </w:r>
      <w:r w:rsidR="00C60D2D" w:rsidRPr="00C372E2">
        <w:t xml:space="preserve"> </w:t>
      </w:r>
      <w:r w:rsidR="008C110D" w:rsidRPr="00C372E2">
        <w:t>The score</w:t>
      </w:r>
      <w:r w:rsidR="00031378" w:rsidRPr="00C372E2">
        <w:t>s for</w:t>
      </w:r>
      <w:r w:rsidR="008C110D" w:rsidRPr="00C372E2">
        <w:t xml:space="preserve"> i</w:t>
      </w:r>
      <w:r w:rsidR="0015391E" w:rsidRPr="00C372E2">
        <w:t xml:space="preserve">mage clarity </w:t>
      </w:r>
      <w:r w:rsidR="008C110D" w:rsidRPr="00C372E2">
        <w:t>in</w:t>
      </w:r>
      <w:r w:rsidR="0015391E" w:rsidRPr="00C372E2">
        <w:t xml:space="preserve"> </w:t>
      </w:r>
      <w:r w:rsidR="00031378" w:rsidRPr="00C372E2">
        <w:t xml:space="preserve">the </w:t>
      </w:r>
      <w:r w:rsidR="0015391E" w:rsidRPr="00C372E2">
        <w:t>Silhouettes and Object Decision</w:t>
      </w:r>
      <w:r w:rsidR="008C110D" w:rsidRPr="00C372E2">
        <w:t xml:space="preserve"> subtests were lower than </w:t>
      </w:r>
      <w:r w:rsidR="00031378" w:rsidRPr="00C372E2">
        <w:t xml:space="preserve">those for </w:t>
      </w:r>
      <w:r w:rsidR="008C110D" w:rsidRPr="00C372E2">
        <w:t>the other</w:t>
      </w:r>
      <w:r w:rsidR="00031378" w:rsidRPr="00C372E2">
        <w:t xml:space="preserve"> subtest</w:t>
      </w:r>
      <w:r w:rsidR="008C110D" w:rsidRPr="00C372E2">
        <w:t>s. This discrepancy could be attributed to the reason previously discuss</w:t>
      </w:r>
      <w:r w:rsidR="005532F8" w:rsidRPr="00C372E2">
        <w:t>ed</w:t>
      </w:r>
      <w:r w:rsidR="00031378" w:rsidRPr="00C372E2">
        <w:t>,</w:t>
      </w:r>
      <w:r w:rsidR="008C110D" w:rsidRPr="00C372E2">
        <w:t xml:space="preserve"> which </w:t>
      </w:r>
      <w:r w:rsidR="00031378" w:rsidRPr="00C372E2">
        <w:t xml:space="preserve">is that </w:t>
      </w:r>
      <w:r w:rsidR="008C110D" w:rsidRPr="00C372E2">
        <w:t xml:space="preserve">the </w:t>
      </w:r>
      <w:r w:rsidR="008C110D" w:rsidRPr="00C372E2">
        <w:rPr>
          <w:color w:val="000000" w:themeColor="text1"/>
        </w:rPr>
        <w:t xml:space="preserve">objects in </w:t>
      </w:r>
      <w:r w:rsidR="00031378" w:rsidRPr="00C372E2">
        <w:rPr>
          <w:color w:val="000000" w:themeColor="text1"/>
        </w:rPr>
        <w:t xml:space="preserve">the </w:t>
      </w:r>
      <w:r w:rsidR="008C110D" w:rsidRPr="00C372E2">
        <w:rPr>
          <w:color w:val="000000" w:themeColor="text1"/>
        </w:rPr>
        <w:t xml:space="preserve">Silhouettes and Object Decision subtests </w:t>
      </w:r>
      <w:r w:rsidR="00031378" w:rsidRPr="00C372E2">
        <w:rPr>
          <w:color w:val="000000" w:themeColor="text1"/>
        </w:rPr>
        <w:t xml:space="preserve">are </w:t>
      </w:r>
      <w:r w:rsidR="008C110D" w:rsidRPr="00C372E2">
        <w:rPr>
          <w:color w:val="000000" w:themeColor="text1"/>
        </w:rPr>
        <w:t xml:space="preserve">uncommon for </w:t>
      </w:r>
      <w:r w:rsidR="00031378" w:rsidRPr="00C372E2">
        <w:rPr>
          <w:color w:val="000000" w:themeColor="text1"/>
        </w:rPr>
        <w:t xml:space="preserve">the </w:t>
      </w:r>
      <w:r w:rsidR="008C110D" w:rsidRPr="00C372E2">
        <w:rPr>
          <w:color w:val="000000" w:themeColor="text1"/>
        </w:rPr>
        <w:t>Thai culture and context.</w:t>
      </w:r>
      <w:r w:rsidR="001528A5" w:rsidRPr="00C372E2">
        <w:t xml:space="preserve"> </w:t>
      </w:r>
      <w:r w:rsidR="00031378" w:rsidRPr="00C372E2">
        <w:t>The r</w:t>
      </w:r>
      <w:r w:rsidRPr="00C372E2">
        <w:t xml:space="preserve">ating scores </w:t>
      </w:r>
      <w:r w:rsidR="00031378" w:rsidRPr="00C372E2">
        <w:t xml:space="preserve">for </w:t>
      </w:r>
      <w:r w:rsidRPr="00C372E2">
        <w:t xml:space="preserve">image size and </w:t>
      </w:r>
      <w:r w:rsidR="00031378" w:rsidRPr="00C372E2">
        <w:t xml:space="preserve">for </w:t>
      </w:r>
      <w:r w:rsidRPr="00C372E2">
        <w:t>clarity of</w:t>
      </w:r>
      <w:r w:rsidR="00031378" w:rsidRPr="00C372E2">
        <w:t xml:space="preserve"> the</w:t>
      </w:r>
      <w:r w:rsidRPr="00C372E2">
        <w:t xml:space="preserve"> images and instructions</w:t>
      </w:r>
      <w:r w:rsidR="00031378" w:rsidRPr="00C372E2">
        <w:t xml:space="preserve"> for</w:t>
      </w:r>
      <w:r w:rsidRPr="00C372E2">
        <w:t xml:space="preserve"> each VOSP subtest</w:t>
      </w:r>
      <w:r w:rsidR="001528A5" w:rsidRPr="00C372E2">
        <w:t xml:space="preserve"> indicated </w:t>
      </w:r>
      <w:r w:rsidR="00031378" w:rsidRPr="00C372E2">
        <w:t xml:space="preserve">that the </w:t>
      </w:r>
      <w:r w:rsidR="001528A5" w:rsidRPr="00C372E2">
        <w:t>quality of</w:t>
      </w:r>
      <w:r w:rsidR="00031378" w:rsidRPr="00C372E2">
        <w:t xml:space="preserve"> the</w:t>
      </w:r>
      <w:r w:rsidR="001528A5" w:rsidRPr="00C372E2">
        <w:t xml:space="preserve"> images </w:t>
      </w:r>
      <w:r w:rsidR="00031378" w:rsidRPr="00C372E2">
        <w:t xml:space="preserve">were good and that the </w:t>
      </w:r>
      <w:r w:rsidR="001528A5" w:rsidRPr="00C372E2">
        <w:t>instruction</w:t>
      </w:r>
      <w:r w:rsidR="00031378" w:rsidRPr="00C372E2">
        <w:t>s were comprehensible</w:t>
      </w:r>
      <w:r w:rsidR="001528A5" w:rsidRPr="00C372E2">
        <w:t>.</w:t>
      </w:r>
    </w:p>
    <w:p w14:paraId="0A340E2F" w14:textId="415AFD27" w:rsidR="00457B50" w:rsidRPr="00C372E2" w:rsidRDefault="00DB741D" w:rsidP="00457B50">
      <w:r w:rsidRPr="00C372E2">
        <w:t xml:space="preserve">This study provided preliminary normative results for VOSP in </w:t>
      </w:r>
      <w:r w:rsidR="00031378" w:rsidRPr="00C372E2">
        <w:t xml:space="preserve">the </w:t>
      </w:r>
      <w:r w:rsidR="005532F8" w:rsidRPr="00C372E2">
        <w:t>healthy</w:t>
      </w:r>
      <w:r w:rsidR="00031378" w:rsidRPr="00C372E2">
        <w:t>,</w:t>
      </w:r>
      <w:r w:rsidRPr="00C372E2">
        <w:t xml:space="preserve"> older</w:t>
      </w:r>
      <w:r w:rsidR="00031378" w:rsidRPr="00C372E2">
        <w:t>,</w:t>
      </w:r>
      <w:r w:rsidRPr="00C372E2">
        <w:t xml:space="preserve"> adult</w:t>
      </w:r>
      <w:r w:rsidR="00031378" w:rsidRPr="00C372E2">
        <w:t xml:space="preserve">, Thai </w:t>
      </w:r>
      <w:r w:rsidR="00EB1888" w:rsidRPr="00C372E2">
        <w:t>population</w:t>
      </w:r>
      <w:r w:rsidRPr="00C372E2">
        <w:t>.</w:t>
      </w:r>
      <w:r w:rsidR="00EB1888" w:rsidRPr="00C372E2">
        <w:t xml:space="preserve"> </w:t>
      </w:r>
      <w:r w:rsidR="00EC4F4C" w:rsidRPr="00C372E2">
        <w:t xml:space="preserve">However, </w:t>
      </w:r>
      <w:bookmarkStart w:id="15" w:name="_Hlk38807074"/>
      <w:r w:rsidR="00031378" w:rsidRPr="00C372E2">
        <w:t xml:space="preserve">a </w:t>
      </w:r>
      <w:r w:rsidR="00EB1888" w:rsidRPr="00C372E2">
        <w:t>national normative study should be conducted</w:t>
      </w:r>
      <w:bookmarkEnd w:id="15"/>
      <w:r w:rsidR="00EB1888" w:rsidRPr="00C372E2">
        <w:t xml:space="preserve"> with</w:t>
      </w:r>
      <w:r w:rsidR="00031378" w:rsidRPr="00C372E2">
        <w:t xml:space="preserve"> a</w:t>
      </w:r>
      <w:r w:rsidR="00EB1888" w:rsidRPr="00C372E2">
        <w:t xml:space="preserve"> larger sample size, </w:t>
      </w:r>
      <w:r w:rsidR="00CD2B54" w:rsidRPr="00C372E2">
        <w:t xml:space="preserve">a </w:t>
      </w:r>
      <w:r w:rsidR="00EB1888" w:rsidRPr="00C372E2">
        <w:t>broader age group</w:t>
      </w:r>
      <w:r w:rsidR="00CD2B54" w:rsidRPr="00C372E2">
        <w:t>,</w:t>
      </w:r>
      <w:r w:rsidR="00EB1888" w:rsidRPr="00C372E2">
        <w:t xml:space="preserve"> and </w:t>
      </w:r>
      <w:r w:rsidR="00CD2B54" w:rsidRPr="00C372E2">
        <w:t xml:space="preserve">the inclusion of a </w:t>
      </w:r>
      <w:r w:rsidR="00EB1888" w:rsidRPr="00C372E2">
        <w:t xml:space="preserve">pathological </w:t>
      </w:r>
      <w:r w:rsidR="00CD2B54" w:rsidRPr="00C372E2">
        <w:t>sub</w:t>
      </w:r>
      <w:r w:rsidR="00EB1888" w:rsidRPr="00C372E2">
        <w:t>population.</w:t>
      </w:r>
    </w:p>
    <w:p w14:paraId="17204F2D" w14:textId="1DAD5BE7" w:rsidR="00457B50" w:rsidRPr="00C372E2" w:rsidRDefault="00457B50" w:rsidP="00457B50">
      <w:pPr>
        <w:ind w:firstLine="0"/>
        <w:rPr>
          <w:b/>
          <w:bCs/>
        </w:rPr>
      </w:pPr>
      <w:r w:rsidRPr="00C372E2">
        <w:rPr>
          <w:b/>
          <w:bCs/>
        </w:rPr>
        <w:t xml:space="preserve">AUTHOR CONTRIBUTIONS </w:t>
      </w:r>
    </w:p>
    <w:p w14:paraId="34FBFC22" w14:textId="07477C79" w:rsidR="00967BB1" w:rsidRPr="00C372E2" w:rsidRDefault="00457B50" w:rsidP="00457B50">
      <w:pPr>
        <w:ind w:firstLine="0"/>
      </w:pPr>
      <w:r w:rsidRPr="00C372E2">
        <w:t xml:space="preserve">The authors fulfill criteria for authorship as listed at: https://us.sagepub.com/en-us/nam/manuscript-submission-guidelines#Authorship. BS and KJ equally contributed to the conception and design of the work, data acquisition and analysis, drafting or revising the paper </w:t>
      </w:r>
      <w:r w:rsidRPr="00C372E2">
        <w:lastRenderedPageBreak/>
        <w:t>critically for important intellectual content. Both authors gave approval for the final version to be published and agree to be accountable in ensuring that questions related to the accuracy or integrity of any part of the work are appropriately investigated and resolved.</w:t>
      </w:r>
    </w:p>
    <w:p w14:paraId="58135BB6" w14:textId="1AF55BD9" w:rsidR="00457B50" w:rsidRPr="00C372E2" w:rsidRDefault="00457B50" w:rsidP="00457B50">
      <w:pPr>
        <w:ind w:firstLine="0"/>
        <w:rPr>
          <w:b/>
          <w:bCs/>
        </w:rPr>
      </w:pPr>
      <w:r w:rsidRPr="00C372E2">
        <w:rPr>
          <w:b/>
          <w:bCs/>
        </w:rPr>
        <w:t>FUNDING</w:t>
      </w:r>
    </w:p>
    <w:p w14:paraId="79B231E0" w14:textId="77777777" w:rsidR="00457B50" w:rsidRPr="00C372E2" w:rsidRDefault="00457B50" w:rsidP="00457B50">
      <w:pPr>
        <w:ind w:firstLine="0"/>
      </w:pPr>
      <w:r w:rsidRPr="00C372E2">
        <w:t>This research received no specific grant from any funding agency in the public, commercial, or not-for-profit sectors.</w:t>
      </w:r>
    </w:p>
    <w:p w14:paraId="0C33DB61" w14:textId="5A6EBF42" w:rsidR="00457B50" w:rsidRPr="00C372E2" w:rsidRDefault="00457B50" w:rsidP="00457B50">
      <w:pPr>
        <w:ind w:firstLine="0"/>
        <w:rPr>
          <w:b/>
          <w:bCs/>
        </w:rPr>
      </w:pPr>
      <w:r w:rsidRPr="00C372E2">
        <w:rPr>
          <w:b/>
          <w:bCs/>
        </w:rPr>
        <w:t>CONFLICT OF INTEREST STATEMENT</w:t>
      </w:r>
    </w:p>
    <w:p w14:paraId="744BD381" w14:textId="3C73CBB7" w:rsidR="00457B50" w:rsidRPr="00C372E2" w:rsidRDefault="00457B50" w:rsidP="00457B50">
      <w:pPr>
        <w:ind w:firstLine="0"/>
        <w:sectPr w:rsidR="00457B50" w:rsidRPr="00C372E2" w:rsidSect="006A1817">
          <w:pgSz w:w="11906" w:h="16838" w:code="9"/>
          <w:pgMar w:top="1440" w:right="1440" w:bottom="1440" w:left="1440" w:header="720" w:footer="720" w:gutter="0"/>
          <w:cols w:space="720"/>
          <w:docGrid w:linePitch="360"/>
        </w:sectPr>
      </w:pPr>
      <w:r w:rsidRPr="00C372E2">
        <w:t>The authors declare that the research was conducted in the absence of any commercial or financial relationships that could be construed as a potential conflict of interest.</w:t>
      </w:r>
    </w:p>
    <w:p w14:paraId="1E71BF37" w14:textId="5E84B0F6" w:rsidR="009B6855" w:rsidRPr="00C372E2" w:rsidRDefault="00457B50" w:rsidP="00C651F8">
      <w:pPr>
        <w:ind w:firstLine="0"/>
        <w:rPr>
          <w:b/>
          <w:bCs/>
        </w:rPr>
      </w:pPr>
      <w:r w:rsidRPr="00C372E2">
        <w:rPr>
          <w:b/>
          <w:bCs/>
        </w:rPr>
        <w:lastRenderedPageBreak/>
        <w:t>REFERENCES</w:t>
      </w:r>
    </w:p>
    <w:p w14:paraId="1F510328" w14:textId="77777777" w:rsidR="00AB5ACE"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Aroonmanakun, W., Tansiri, K., &amp; Nittayanuparp, P. (2009). </w:t>
      </w:r>
      <w:r w:rsidRPr="00C372E2">
        <w:rPr>
          <w:rFonts w:ascii="Times New Roman" w:hAnsi="Times New Roman" w:cs="Times New Roman"/>
          <w:i/>
        </w:rPr>
        <w:t>Thai National Corpus: a progress report.</w:t>
      </w:r>
      <w:r w:rsidRPr="00C372E2">
        <w:rPr>
          <w:rFonts w:ascii="Times New Roman" w:hAnsi="Times New Roman" w:cs="Times New Roman"/>
        </w:rPr>
        <w:t xml:space="preserve"> Paper presented at the proceedings of the 7th workshop on Asian language resources.</w:t>
      </w:r>
    </w:p>
    <w:p w14:paraId="571EF9B4" w14:textId="2718F2C2"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Bak, T., Caine, D., Hearn, V., &amp; Hodges, J. (2006). Visuospatial functions in atypical parkinsonian syndromes. </w:t>
      </w:r>
      <w:r w:rsidRPr="00C372E2">
        <w:rPr>
          <w:rFonts w:ascii="Times New Roman" w:hAnsi="Times New Roman" w:cs="Times New Roman"/>
          <w:i/>
        </w:rPr>
        <w:t>Journal of Neurology, Neurosurgery &amp; Psychiatry, 77</w:t>
      </w:r>
      <w:r w:rsidRPr="00C372E2">
        <w:rPr>
          <w:rFonts w:ascii="Times New Roman" w:hAnsi="Times New Roman" w:cs="Times New Roman"/>
        </w:rPr>
        <w:t>(4), 454</w:t>
      </w:r>
      <w:r w:rsidR="00D13C0D" w:rsidRPr="00C372E2">
        <w:rPr>
          <w:rFonts w:ascii="Times New Roman" w:hAnsi="Times New Roman" w:cs="Times New Roman"/>
        </w:rPr>
        <w:t>–</w:t>
      </w:r>
      <w:r w:rsidRPr="00C372E2">
        <w:rPr>
          <w:rFonts w:ascii="Times New Roman" w:hAnsi="Times New Roman" w:cs="Times New Roman"/>
        </w:rPr>
        <w:t>456.</w:t>
      </w:r>
    </w:p>
    <w:p w14:paraId="721F01E6" w14:textId="5ABBD434"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Bird, C. M., Papadopoulou, K., Ricciardelli, P., Rossor, M. N., &amp; Cipolotti, L. (2004). Monitoring cognitive changes: Psychometric properties of six cognitive tests. </w:t>
      </w:r>
      <w:r w:rsidRPr="00C372E2">
        <w:rPr>
          <w:rFonts w:ascii="Times New Roman" w:hAnsi="Times New Roman" w:cs="Times New Roman"/>
          <w:i/>
        </w:rPr>
        <w:t>British Journal of Clinical Psychology, 43</w:t>
      </w:r>
      <w:r w:rsidRPr="00C372E2">
        <w:rPr>
          <w:rFonts w:ascii="Times New Roman" w:hAnsi="Times New Roman" w:cs="Times New Roman"/>
        </w:rPr>
        <w:t>(2), 197</w:t>
      </w:r>
      <w:r w:rsidR="00D13C0D" w:rsidRPr="00C372E2">
        <w:rPr>
          <w:rFonts w:ascii="Times New Roman" w:hAnsi="Times New Roman" w:cs="Times New Roman"/>
        </w:rPr>
        <w:t>–</w:t>
      </w:r>
      <w:r w:rsidRPr="00C372E2">
        <w:rPr>
          <w:rFonts w:ascii="Times New Roman" w:hAnsi="Times New Roman" w:cs="Times New Roman"/>
        </w:rPr>
        <w:t>210.</w:t>
      </w:r>
    </w:p>
    <w:p w14:paraId="42E216EA" w14:textId="19CC9648"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Bonello, P. J., Rapport, L. J., &amp; Millis, S. R. (1997). Psychometric properties of the visual object and space perception battery in normal older adults. </w:t>
      </w:r>
      <w:r w:rsidRPr="00C372E2">
        <w:rPr>
          <w:rFonts w:ascii="Times New Roman" w:hAnsi="Times New Roman" w:cs="Times New Roman"/>
          <w:i/>
        </w:rPr>
        <w:t>The Clinical Neuropsychologist, 11</w:t>
      </w:r>
      <w:r w:rsidRPr="00C372E2">
        <w:rPr>
          <w:rFonts w:ascii="Times New Roman" w:hAnsi="Times New Roman" w:cs="Times New Roman"/>
        </w:rPr>
        <w:t>(4), 436</w:t>
      </w:r>
      <w:r w:rsidR="00D13C0D" w:rsidRPr="00C372E2">
        <w:rPr>
          <w:rFonts w:ascii="Times New Roman" w:hAnsi="Times New Roman" w:cs="Times New Roman"/>
        </w:rPr>
        <w:t>–</w:t>
      </w:r>
      <w:r w:rsidRPr="00C372E2">
        <w:rPr>
          <w:rFonts w:ascii="Times New Roman" w:hAnsi="Times New Roman" w:cs="Times New Roman"/>
        </w:rPr>
        <w:t>442.</w:t>
      </w:r>
    </w:p>
    <w:p w14:paraId="6D246041" w14:textId="46292B8A"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Calderon, J., Perry, R., Erzinclioglu, S., Berrios, G., Dening, T., &amp; Hodges, J. (2001). Perception, attention, and working memory are disproportionately impaired in dementia with Lewy bodies compared with Alzheimer</w:t>
      </w:r>
      <w:r w:rsidR="009011B7" w:rsidRPr="00C372E2">
        <w:rPr>
          <w:rFonts w:ascii="Times New Roman" w:hAnsi="Times New Roman" w:cs="Times New Roman"/>
        </w:rPr>
        <w:t>’</w:t>
      </w:r>
      <w:r w:rsidRPr="00C372E2">
        <w:rPr>
          <w:rFonts w:ascii="Times New Roman" w:hAnsi="Times New Roman" w:cs="Times New Roman"/>
        </w:rPr>
        <w:t xml:space="preserve">s disease. </w:t>
      </w:r>
      <w:r w:rsidRPr="00C372E2">
        <w:rPr>
          <w:rFonts w:ascii="Times New Roman" w:hAnsi="Times New Roman" w:cs="Times New Roman"/>
          <w:i/>
        </w:rPr>
        <w:t>Journal of Neurology, Neurosurgery &amp; Psychiatry, 70</w:t>
      </w:r>
      <w:r w:rsidRPr="00C372E2">
        <w:rPr>
          <w:rFonts w:ascii="Times New Roman" w:hAnsi="Times New Roman" w:cs="Times New Roman"/>
        </w:rPr>
        <w:t>(2), 157</w:t>
      </w:r>
      <w:r w:rsidR="00D13C0D" w:rsidRPr="00C372E2">
        <w:rPr>
          <w:rFonts w:ascii="Times New Roman" w:hAnsi="Times New Roman" w:cs="Times New Roman"/>
        </w:rPr>
        <w:t>–</w:t>
      </w:r>
      <w:r w:rsidRPr="00C372E2">
        <w:rPr>
          <w:rFonts w:ascii="Times New Roman" w:hAnsi="Times New Roman" w:cs="Times New Roman"/>
        </w:rPr>
        <w:t>164.</w:t>
      </w:r>
    </w:p>
    <w:p w14:paraId="7F146ADC" w14:textId="512F6B38"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Calvo, L., Casals-Coll, M., Sánchez-Benavides, G., Quintana, M., Manero, R., Rognoni, T., . . . Peña-Casanova, J. (2013). Spanish normative studies in young adults (NEURONORMA young adults project): Norms for the Visual Object and Space Perception Battery and Judgment of Line Orientation tests. </w:t>
      </w:r>
      <w:r w:rsidRPr="00C372E2">
        <w:rPr>
          <w:rFonts w:ascii="Times New Roman" w:hAnsi="Times New Roman" w:cs="Times New Roman"/>
          <w:i/>
        </w:rPr>
        <w:t>Neurología (English Edition), 28</w:t>
      </w:r>
      <w:r w:rsidRPr="00C372E2">
        <w:rPr>
          <w:rFonts w:ascii="Times New Roman" w:hAnsi="Times New Roman" w:cs="Times New Roman"/>
        </w:rPr>
        <w:t>(3), 153</w:t>
      </w:r>
      <w:r w:rsidR="00D13C0D" w:rsidRPr="00C372E2">
        <w:rPr>
          <w:rFonts w:ascii="Times New Roman" w:hAnsi="Times New Roman" w:cs="Times New Roman"/>
        </w:rPr>
        <w:t>–</w:t>
      </w:r>
      <w:r w:rsidRPr="00C372E2">
        <w:rPr>
          <w:rFonts w:ascii="Times New Roman" w:hAnsi="Times New Roman" w:cs="Times New Roman"/>
        </w:rPr>
        <w:t>159.</w:t>
      </w:r>
    </w:p>
    <w:p w14:paraId="3AF2656A" w14:textId="308F4AD9"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Chew, M. L., Mulsant, B. H., Pollock, B. G., Lehman, M. E., Greenspan, A., Mahmoud, R. A., . . . Gharabawi, G. (2008). Anticholinergic activity of 107 medications commonly used by older adults. </w:t>
      </w:r>
      <w:r w:rsidRPr="00C372E2">
        <w:rPr>
          <w:rFonts w:ascii="Times New Roman" w:hAnsi="Times New Roman" w:cs="Times New Roman"/>
          <w:i/>
        </w:rPr>
        <w:t>Journal of the American Geriatrics Society, 56</w:t>
      </w:r>
      <w:r w:rsidRPr="00C372E2">
        <w:rPr>
          <w:rFonts w:ascii="Times New Roman" w:hAnsi="Times New Roman" w:cs="Times New Roman"/>
        </w:rPr>
        <w:t>(7), 1333</w:t>
      </w:r>
      <w:r w:rsidR="00D13C0D" w:rsidRPr="00C372E2">
        <w:rPr>
          <w:rFonts w:ascii="Times New Roman" w:hAnsi="Times New Roman" w:cs="Times New Roman"/>
        </w:rPr>
        <w:t>–</w:t>
      </w:r>
      <w:r w:rsidRPr="00C372E2">
        <w:rPr>
          <w:rFonts w:ascii="Times New Roman" w:hAnsi="Times New Roman" w:cs="Times New Roman"/>
        </w:rPr>
        <w:t>1341.</w:t>
      </w:r>
    </w:p>
    <w:p w14:paraId="4CA30B8D" w14:textId="1B4ADA0F"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Gabrovska, V. S., Laws, K. R., Sinclair, J., &amp; McKenna, P. J. (2003). Visual object processing in schizophrenia: evidence for an associative agnosic deficit. </w:t>
      </w:r>
      <w:r w:rsidRPr="00C372E2">
        <w:rPr>
          <w:rFonts w:ascii="Times New Roman" w:hAnsi="Times New Roman" w:cs="Times New Roman"/>
          <w:i/>
        </w:rPr>
        <w:t>Schizophrenia research, 59</w:t>
      </w:r>
      <w:r w:rsidRPr="00C372E2">
        <w:rPr>
          <w:rFonts w:ascii="Times New Roman" w:hAnsi="Times New Roman" w:cs="Times New Roman"/>
        </w:rPr>
        <w:t>(2</w:t>
      </w:r>
      <w:r w:rsidR="00D13C0D" w:rsidRPr="00C372E2">
        <w:rPr>
          <w:rFonts w:ascii="Times New Roman" w:hAnsi="Times New Roman" w:cs="Times New Roman"/>
        </w:rPr>
        <w:t>–</w:t>
      </w:r>
      <w:r w:rsidRPr="00C372E2">
        <w:rPr>
          <w:rFonts w:ascii="Times New Roman" w:hAnsi="Times New Roman" w:cs="Times New Roman"/>
        </w:rPr>
        <w:t>3), 277</w:t>
      </w:r>
      <w:r w:rsidR="00D13C0D" w:rsidRPr="00C372E2">
        <w:rPr>
          <w:rFonts w:ascii="Times New Roman" w:hAnsi="Times New Roman" w:cs="Times New Roman"/>
        </w:rPr>
        <w:t>–</w:t>
      </w:r>
      <w:r w:rsidRPr="00C372E2">
        <w:rPr>
          <w:rFonts w:ascii="Times New Roman" w:hAnsi="Times New Roman" w:cs="Times New Roman"/>
        </w:rPr>
        <w:t>286.</w:t>
      </w:r>
    </w:p>
    <w:p w14:paraId="43B1E204" w14:textId="00359345"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Hamel, C. J., &amp; Ryan-Jones, D. L. (1997). Effect of visual detail on scene recognition: Some unexpected sex differences. </w:t>
      </w:r>
      <w:r w:rsidRPr="00C372E2">
        <w:rPr>
          <w:rFonts w:ascii="Times New Roman" w:hAnsi="Times New Roman" w:cs="Times New Roman"/>
          <w:i/>
        </w:rPr>
        <w:t>Perceptual and motor skills, 84</w:t>
      </w:r>
      <w:r w:rsidRPr="00C372E2">
        <w:rPr>
          <w:rFonts w:ascii="Times New Roman" w:hAnsi="Times New Roman" w:cs="Times New Roman"/>
        </w:rPr>
        <w:t>(2), 619</w:t>
      </w:r>
      <w:r w:rsidR="00D13C0D" w:rsidRPr="00C372E2">
        <w:rPr>
          <w:rFonts w:ascii="Times New Roman" w:hAnsi="Times New Roman" w:cs="Times New Roman"/>
        </w:rPr>
        <w:t>–</w:t>
      </w:r>
      <w:r w:rsidRPr="00C372E2">
        <w:rPr>
          <w:rFonts w:ascii="Times New Roman" w:hAnsi="Times New Roman" w:cs="Times New Roman"/>
        </w:rPr>
        <w:t>626.</w:t>
      </w:r>
    </w:p>
    <w:p w14:paraId="04E4FB31" w14:textId="44489F83"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Herrera-Guzmán, I., Peña-Casanova, J., Lara, J., Gudayol-Ferre, E., &amp; Böhm, P. (2004). Influence of age, sex, and education on the Visual Object and Space Perception Battery (VOSP) in a healthy normal elderly population. </w:t>
      </w:r>
      <w:r w:rsidRPr="00C372E2">
        <w:rPr>
          <w:rFonts w:ascii="Times New Roman" w:hAnsi="Times New Roman" w:cs="Times New Roman"/>
          <w:i/>
        </w:rPr>
        <w:t>The Clinical Neuropsychologist, 18</w:t>
      </w:r>
      <w:r w:rsidRPr="00C372E2">
        <w:rPr>
          <w:rFonts w:ascii="Times New Roman" w:hAnsi="Times New Roman" w:cs="Times New Roman"/>
        </w:rPr>
        <w:t>(3), 385</w:t>
      </w:r>
      <w:r w:rsidR="00D13C0D" w:rsidRPr="00C372E2">
        <w:rPr>
          <w:rFonts w:ascii="Times New Roman" w:hAnsi="Times New Roman" w:cs="Times New Roman"/>
        </w:rPr>
        <w:t>–</w:t>
      </w:r>
      <w:r w:rsidRPr="00C372E2">
        <w:rPr>
          <w:rFonts w:ascii="Times New Roman" w:hAnsi="Times New Roman" w:cs="Times New Roman"/>
        </w:rPr>
        <w:t>394.</w:t>
      </w:r>
    </w:p>
    <w:p w14:paraId="1510E7DB" w14:textId="23C7914F"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Hertzog, M. A. (2008). Considerations in determining sample size for pilot studies. </w:t>
      </w:r>
      <w:r w:rsidRPr="00C372E2">
        <w:rPr>
          <w:rFonts w:ascii="Times New Roman" w:hAnsi="Times New Roman" w:cs="Times New Roman"/>
          <w:i/>
        </w:rPr>
        <w:t>Research in nursing &amp; health, 31</w:t>
      </w:r>
      <w:r w:rsidRPr="00C372E2">
        <w:rPr>
          <w:rFonts w:ascii="Times New Roman" w:hAnsi="Times New Roman" w:cs="Times New Roman"/>
        </w:rPr>
        <w:t>(2), 180</w:t>
      </w:r>
      <w:r w:rsidR="00D13C0D" w:rsidRPr="00C372E2">
        <w:rPr>
          <w:rFonts w:ascii="Times New Roman" w:hAnsi="Times New Roman" w:cs="Times New Roman"/>
        </w:rPr>
        <w:t>–</w:t>
      </w:r>
      <w:r w:rsidRPr="00C372E2">
        <w:rPr>
          <w:rFonts w:ascii="Times New Roman" w:hAnsi="Times New Roman" w:cs="Times New Roman"/>
        </w:rPr>
        <w:t>191.</w:t>
      </w:r>
    </w:p>
    <w:p w14:paraId="1BEEE662" w14:textId="34880766"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Kosmidis, M. H., Tsotsi, S., Karambela, O., Takou, E., &amp; Vlahou, C. H. (2010). Cultural factors influencing performance on visuoperceptual neuropsychological tasks. </w:t>
      </w:r>
      <w:r w:rsidRPr="00C372E2">
        <w:rPr>
          <w:rFonts w:ascii="Times New Roman" w:hAnsi="Times New Roman" w:cs="Times New Roman"/>
          <w:i/>
        </w:rPr>
        <w:t>Behavioural neurology, 23</w:t>
      </w:r>
      <w:r w:rsidRPr="00C372E2">
        <w:rPr>
          <w:rFonts w:ascii="Times New Roman" w:hAnsi="Times New Roman" w:cs="Times New Roman"/>
        </w:rPr>
        <w:t>(4), 245</w:t>
      </w:r>
      <w:r w:rsidR="00D13C0D" w:rsidRPr="00C372E2">
        <w:rPr>
          <w:rFonts w:ascii="Times New Roman" w:hAnsi="Times New Roman" w:cs="Times New Roman"/>
        </w:rPr>
        <w:t>–</w:t>
      </w:r>
      <w:r w:rsidRPr="00C372E2">
        <w:rPr>
          <w:rFonts w:ascii="Times New Roman" w:hAnsi="Times New Roman" w:cs="Times New Roman"/>
        </w:rPr>
        <w:t>247.</w:t>
      </w:r>
    </w:p>
    <w:p w14:paraId="25D6D64C" w14:textId="449B7BF3" w:rsidR="00AB5ACE"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McCarthy, R. A., &amp; Warrington, E. K. (1990). </w:t>
      </w:r>
      <w:r w:rsidRPr="00C372E2">
        <w:rPr>
          <w:rFonts w:ascii="Times New Roman" w:hAnsi="Times New Roman" w:cs="Times New Roman"/>
          <w:i/>
        </w:rPr>
        <w:t>Cognitive neuropsychology: A clinical introduction</w:t>
      </w:r>
      <w:r w:rsidRPr="00C372E2">
        <w:rPr>
          <w:rFonts w:ascii="Times New Roman" w:hAnsi="Times New Roman" w:cs="Times New Roman"/>
        </w:rPr>
        <w:t>: Academic press.</w:t>
      </w:r>
    </w:p>
    <w:p w14:paraId="6C8E4403" w14:textId="064F3D29"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Mishkin, M., Ungerleider, L. G., &amp; Macko, K. A. (1983). Object vision and spatial vision: two cortical pathways. </w:t>
      </w:r>
      <w:r w:rsidRPr="00C372E2">
        <w:rPr>
          <w:rFonts w:ascii="Times New Roman" w:hAnsi="Times New Roman" w:cs="Times New Roman"/>
          <w:i/>
        </w:rPr>
        <w:t>Trends in neurosciences, 6</w:t>
      </w:r>
      <w:r w:rsidRPr="00C372E2">
        <w:rPr>
          <w:rFonts w:ascii="Times New Roman" w:hAnsi="Times New Roman" w:cs="Times New Roman"/>
        </w:rPr>
        <w:t>, 414</w:t>
      </w:r>
      <w:r w:rsidR="00D13C0D" w:rsidRPr="00C372E2">
        <w:rPr>
          <w:rFonts w:ascii="Times New Roman" w:hAnsi="Times New Roman" w:cs="Times New Roman"/>
        </w:rPr>
        <w:t>–</w:t>
      </w:r>
      <w:r w:rsidRPr="00C372E2">
        <w:rPr>
          <w:rFonts w:ascii="Times New Roman" w:hAnsi="Times New Roman" w:cs="Times New Roman"/>
        </w:rPr>
        <w:t>417.</w:t>
      </w:r>
    </w:p>
    <w:p w14:paraId="6E2AD79C" w14:textId="349F670C"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Mongkol, A., Visanuyothin, T., Chanarong, P., Pavasuthipaisit, C., &amp; Panyawong, W. (2012). IQ distribution of Thai students. </w:t>
      </w:r>
      <w:r w:rsidRPr="00C372E2">
        <w:rPr>
          <w:rFonts w:ascii="Times New Roman" w:hAnsi="Times New Roman" w:cs="Times New Roman"/>
          <w:i/>
        </w:rPr>
        <w:t>Journal of Mental Health of Thailand, 20</w:t>
      </w:r>
      <w:r w:rsidRPr="00C372E2">
        <w:rPr>
          <w:rFonts w:ascii="Times New Roman" w:hAnsi="Times New Roman" w:cs="Times New Roman"/>
        </w:rPr>
        <w:t>(2), 90</w:t>
      </w:r>
      <w:r w:rsidR="00D13C0D" w:rsidRPr="00C372E2">
        <w:rPr>
          <w:rFonts w:ascii="Times New Roman" w:hAnsi="Times New Roman" w:cs="Times New Roman"/>
        </w:rPr>
        <w:t>–</w:t>
      </w:r>
      <w:r w:rsidRPr="00C372E2">
        <w:rPr>
          <w:rFonts w:ascii="Times New Roman" w:hAnsi="Times New Roman" w:cs="Times New Roman"/>
        </w:rPr>
        <w:t>102.</w:t>
      </w:r>
    </w:p>
    <w:p w14:paraId="630C5FD9" w14:textId="72A880F1"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Muangpaisan, W., Assantachai, P., Sitthichai, K., Richardson, K., &amp; Brayne, C. (2015). The distribution of Thai Mental State Examination Scores among non-demented elderly in Suburban Bangkok Metropolitan and associated factors. </w:t>
      </w:r>
      <w:r w:rsidRPr="00C372E2">
        <w:rPr>
          <w:rFonts w:ascii="Times New Roman" w:hAnsi="Times New Roman" w:cs="Times New Roman"/>
          <w:i/>
        </w:rPr>
        <w:t>J Med Assoc Thai, 98</w:t>
      </w:r>
      <w:r w:rsidRPr="00C372E2">
        <w:rPr>
          <w:rFonts w:ascii="Times New Roman" w:hAnsi="Times New Roman" w:cs="Times New Roman"/>
        </w:rPr>
        <w:t>(9), 916</w:t>
      </w:r>
      <w:r w:rsidR="00D13C0D" w:rsidRPr="00C372E2">
        <w:rPr>
          <w:rFonts w:ascii="Times New Roman" w:hAnsi="Times New Roman" w:cs="Times New Roman"/>
        </w:rPr>
        <w:t>–</w:t>
      </w:r>
      <w:r w:rsidRPr="00C372E2">
        <w:rPr>
          <w:rFonts w:ascii="Times New Roman" w:hAnsi="Times New Roman" w:cs="Times New Roman"/>
        </w:rPr>
        <w:lastRenderedPageBreak/>
        <w:t>924.</w:t>
      </w:r>
    </w:p>
    <w:p w14:paraId="0001C30E" w14:textId="315B5B09"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Peña-Casanova, J., Quintana-Aparicio, M., Quiñones-Úbeda, S., Aguilar, M., Molinuevo, J. L., Serradell, M., . . . Antúnez, C. (2009). Spanish Multicenter Normative Studies (NEURONORMA Project): norms for the visual object and space perception battery-abbreviated, and judgment of line orientation. </w:t>
      </w:r>
      <w:r w:rsidRPr="00C372E2">
        <w:rPr>
          <w:rFonts w:ascii="Times New Roman" w:hAnsi="Times New Roman" w:cs="Times New Roman"/>
          <w:i/>
        </w:rPr>
        <w:t>Archives of Clinical Neuropsychology, 24</w:t>
      </w:r>
      <w:r w:rsidRPr="00C372E2">
        <w:rPr>
          <w:rFonts w:ascii="Times New Roman" w:hAnsi="Times New Roman" w:cs="Times New Roman"/>
        </w:rPr>
        <w:t>(4), 355</w:t>
      </w:r>
      <w:r w:rsidR="00D13C0D" w:rsidRPr="00C372E2">
        <w:rPr>
          <w:rFonts w:ascii="Times New Roman" w:hAnsi="Times New Roman" w:cs="Times New Roman"/>
        </w:rPr>
        <w:t>–</w:t>
      </w:r>
      <w:r w:rsidRPr="00C372E2">
        <w:rPr>
          <w:rFonts w:ascii="Times New Roman" w:hAnsi="Times New Roman" w:cs="Times New Roman"/>
        </w:rPr>
        <w:t>370.</w:t>
      </w:r>
    </w:p>
    <w:p w14:paraId="6CDEA016" w14:textId="7ED56323"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Quental, N. B. M., Brucki, S. M. D., &amp; Bueno, O. F. A. (2013). Visuospatial function in early Alzheimer</w:t>
      </w:r>
      <w:r w:rsidR="009011B7" w:rsidRPr="00C372E2">
        <w:rPr>
          <w:rFonts w:ascii="Times New Roman" w:hAnsi="Times New Roman" w:cs="Times New Roman"/>
        </w:rPr>
        <w:t>’</w:t>
      </w:r>
      <w:r w:rsidRPr="00C372E2">
        <w:rPr>
          <w:rFonts w:ascii="Times New Roman" w:hAnsi="Times New Roman" w:cs="Times New Roman"/>
        </w:rPr>
        <w:t xml:space="preserve">s disease—the use of the Visual Object and Space Perception (VOSP) battery. </w:t>
      </w:r>
      <w:r w:rsidRPr="00C372E2">
        <w:rPr>
          <w:rFonts w:ascii="Times New Roman" w:hAnsi="Times New Roman" w:cs="Times New Roman"/>
          <w:i/>
        </w:rPr>
        <w:t>PLoS One, 8</w:t>
      </w:r>
      <w:r w:rsidRPr="00C372E2">
        <w:rPr>
          <w:rFonts w:ascii="Times New Roman" w:hAnsi="Times New Roman" w:cs="Times New Roman"/>
        </w:rPr>
        <w:t>(7).</w:t>
      </w:r>
    </w:p>
    <w:p w14:paraId="11C930C6" w14:textId="224AA2A2"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Radford, K. A., &amp; Lincoln, N. B. (2004). Concurrent validity of the stroke drivers screening assessment. </w:t>
      </w:r>
      <w:r w:rsidRPr="00C372E2">
        <w:rPr>
          <w:rFonts w:ascii="Times New Roman" w:hAnsi="Times New Roman" w:cs="Times New Roman"/>
          <w:i/>
        </w:rPr>
        <w:t>Archives of physical medicine and rehabilitation, 85</w:t>
      </w:r>
      <w:r w:rsidRPr="00C372E2">
        <w:rPr>
          <w:rFonts w:ascii="Times New Roman" w:hAnsi="Times New Roman" w:cs="Times New Roman"/>
        </w:rPr>
        <w:t>(2), 324</w:t>
      </w:r>
      <w:r w:rsidR="00D13C0D" w:rsidRPr="00C372E2">
        <w:rPr>
          <w:rFonts w:ascii="Times New Roman" w:hAnsi="Times New Roman" w:cs="Times New Roman"/>
        </w:rPr>
        <w:t>–</w:t>
      </w:r>
      <w:r w:rsidRPr="00C372E2">
        <w:rPr>
          <w:rFonts w:ascii="Times New Roman" w:hAnsi="Times New Roman" w:cs="Times New Roman"/>
        </w:rPr>
        <w:t>328.</w:t>
      </w:r>
    </w:p>
    <w:p w14:paraId="14E1A4DC" w14:textId="58A0CEA5"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Rapport, L. J., Millis, S. R., &amp; Bonello, P. J. (1998). Validation of the Warrington theory of visual processing and the Visual Object and Space Perception Battery. </w:t>
      </w:r>
      <w:r w:rsidRPr="00C372E2">
        <w:rPr>
          <w:rFonts w:ascii="Times New Roman" w:hAnsi="Times New Roman" w:cs="Times New Roman"/>
          <w:i/>
        </w:rPr>
        <w:t>Journal of clinical and experimental neuropsychology, 20</w:t>
      </w:r>
      <w:r w:rsidRPr="00C372E2">
        <w:rPr>
          <w:rFonts w:ascii="Times New Roman" w:hAnsi="Times New Roman" w:cs="Times New Roman"/>
        </w:rPr>
        <w:t>(2), 211</w:t>
      </w:r>
      <w:r w:rsidR="00D13C0D" w:rsidRPr="00C372E2">
        <w:rPr>
          <w:rFonts w:ascii="Times New Roman" w:hAnsi="Times New Roman" w:cs="Times New Roman"/>
        </w:rPr>
        <w:t>–</w:t>
      </w:r>
      <w:r w:rsidRPr="00C372E2">
        <w:rPr>
          <w:rFonts w:ascii="Times New Roman" w:hAnsi="Times New Roman" w:cs="Times New Roman"/>
        </w:rPr>
        <w:t>220.</w:t>
      </w:r>
    </w:p>
    <w:p w14:paraId="199DBA5E" w14:textId="216178CF"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Raven, J. (2008). The Raven progressive matrices tests: their theoretical basis and measurement model. </w:t>
      </w:r>
      <w:r w:rsidRPr="00C372E2">
        <w:rPr>
          <w:rFonts w:ascii="Times New Roman" w:hAnsi="Times New Roman" w:cs="Times New Roman"/>
          <w:i/>
        </w:rPr>
        <w:t>Uses and abuses of intelligence. Studies advancing Spearman and Raven</w:t>
      </w:r>
      <w:r w:rsidR="009011B7" w:rsidRPr="00C372E2">
        <w:rPr>
          <w:rFonts w:ascii="Times New Roman" w:hAnsi="Times New Roman" w:cs="Times New Roman"/>
          <w:i/>
        </w:rPr>
        <w:t>’</w:t>
      </w:r>
      <w:r w:rsidRPr="00C372E2">
        <w:rPr>
          <w:rFonts w:ascii="Times New Roman" w:hAnsi="Times New Roman" w:cs="Times New Roman"/>
          <w:i/>
        </w:rPr>
        <w:t>s quest for non-arbitrary metrics</w:t>
      </w:r>
      <w:r w:rsidRPr="00C372E2">
        <w:rPr>
          <w:rFonts w:ascii="Times New Roman" w:hAnsi="Times New Roman" w:cs="Times New Roman"/>
        </w:rPr>
        <w:t>, 17</w:t>
      </w:r>
      <w:r w:rsidR="00D13C0D" w:rsidRPr="00C372E2">
        <w:rPr>
          <w:rFonts w:ascii="Times New Roman" w:hAnsi="Times New Roman" w:cs="Times New Roman"/>
        </w:rPr>
        <w:t>–</w:t>
      </w:r>
      <w:r w:rsidRPr="00C372E2">
        <w:rPr>
          <w:rFonts w:ascii="Times New Roman" w:hAnsi="Times New Roman" w:cs="Times New Roman"/>
        </w:rPr>
        <w:t>68.</w:t>
      </w:r>
    </w:p>
    <w:p w14:paraId="43FE4DDD" w14:textId="77777777"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Rosenbaum, J. (1982). Rosenbaum vision pocket screener. </w:t>
      </w:r>
      <w:r w:rsidRPr="00C372E2">
        <w:rPr>
          <w:rFonts w:ascii="Times New Roman" w:hAnsi="Times New Roman" w:cs="Times New Roman"/>
          <w:i/>
        </w:rPr>
        <w:t>Quincy, MA: Grass Instruments</w:t>
      </w:r>
      <w:r w:rsidRPr="00C372E2">
        <w:rPr>
          <w:rFonts w:ascii="Times New Roman" w:hAnsi="Times New Roman" w:cs="Times New Roman"/>
        </w:rPr>
        <w:t>.</w:t>
      </w:r>
    </w:p>
    <w:p w14:paraId="63825A00" w14:textId="66D83F8C"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Rosselli, M., &amp; Ardila, A. (2003). The impact of culture and education on non-verbal neuropsychological measurements: A critical review. </w:t>
      </w:r>
      <w:r w:rsidRPr="00C372E2">
        <w:rPr>
          <w:rFonts w:ascii="Times New Roman" w:hAnsi="Times New Roman" w:cs="Times New Roman"/>
          <w:i/>
        </w:rPr>
        <w:t>Brain and cognition, 52</w:t>
      </w:r>
      <w:r w:rsidRPr="00C372E2">
        <w:rPr>
          <w:rFonts w:ascii="Times New Roman" w:hAnsi="Times New Roman" w:cs="Times New Roman"/>
        </w:rPr>
        <w:t>(3), 326</w:t>
      </w:r>
      <w:r w:rsidR="00D13C0D" w:rsidRPr="00C372E2">
        <w:rPr>
          <w:rFonts w:ascii="Times New Roman" w:hAnsi="Times New Roman" w:cs="Times New Roman"/>
        </w:rPr>
        <w:t>–</w:t>
      </w:r>
      <w:r w:rsidRPr="00C372E2">
        <w:rPr>
          <w:rFonts w:ascii="Times New Roman" w:hAnsi="Times New Roman" w:cs="Times New Roman"/>
        </w:rPr>
        <w:t>333.</w:t>
      </w:r>
    </w:p>
    <w:p w14:paraId="5D736AC6" w14:textId="64AEAEC1"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Schintu, S., Hadj-Bouziane, F., Dal Monte, O., Knutson, K. M., Pardini, M., Wassermann, E. M., . . . Krueger, F. (2014). Object and space perception–is it a matter of hemisphere? </w:t>
      </w:r>
      <w:r w:rsidRPr="00C372E2">
        <w:rPr>
          <w:rFonts w:ascii="Times New Roman" w:hAnsi="Times New Roman" w:cs="Times New Roman"/>
          <w:i/>
        </w:rPr>
        <w:t>Cortex, 57</w:t>
      </w:r>
      <w:r w:rsidRPr="00C372E2">
        <w:rPr>
          <w:rFonts w:ascii="Times New Roman" w:hAnsi="Times New Roman" w:cs="Times New Roman"/>
        </w:rPr>
        <w:t>, 244</w:t>
      </w:r>
      <w:r w:rsidR="00D13C0D" w:rsidRPr="00C372E2">
        <w:rPr>
          <w:rFonts w:ascii="Times New Roman" w:hAnsi="Times New Roman" w:cs="Times New Roman"/>
        </w:rPr>
        <w:t>–</w:t>
      </w:r>
      <w:r w:rsidRPr="00C372E2">
        <w:rPr>
          <w:rFonts w:ascii="Times New Roman" w:hAnsi="Times New Roman" w:cs="Times New Roman"/>
        </w:rPr>
        <w:t>253.</w:t>
      </w:r>
    </w:p>
    <w:p w14:paraId="749C9DD7" w14:textId="077CB4AA"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Shaqiri, A., Roinishvili, M., Grzeczkowski, L., Chkonia, E., Pilz, K., Mohr, C., . . . Herzog, M. H. (2018). Sex-related differences in vision are heterogeneous. </w:t>
      </w:r>
      <w:r w:rsidRPr="00C372E2">
        <w:rPr>
          <w:rFonts w:ascii="Times New Roman" w:hAnsi="Times New Roman" w:cs="Times New Roman"/>
          <w:i/>
        </w:rPr>
        <w:t>Scientific reports, 8</w:t>
      </w:r>
      <w:r w:rsidRPr="00C372E2">
        <w:rPr>
          <w:rFonts w:ascii="Times New Roman" w:hAnsi="Times New Roman" w:cs="Times New Roman"/>
        </w:rPr>
        <w:t>(1), 1</w:t>
      </w:r>
      <w:r w:rsidR="00D13C0D" w:rsidRPr="00C372E2">
        <w:rPr>
          <w:rFonts w:ascii="Times New Roman" w:hAnsi="Times New Roman" w:cs="Times New Roman"/>
        </w:rPr>
        <w:t>–</w:t>
      </w:r>
      <w:r w:rsidRPr="00C372E2">
        <w:rPr>
          <w:rFonts w:ascii="Times New Roman" w:hAnsi="Times New Roman" w:cs="Times New Roman"/>
        </w:rPr>
        <w:t>10.</w:t>
      </w:r>
    </w:p>
    <w:p w14:paraId="32FC6AC0" w14:textId="2FD40A51" w:rsidR="00AB5ACE"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Strauss, E., Sherman, E. M., &amp; Spreen, O. (2006). </w:t>
      </w:r>
      <w:r w:rsidRPr="00C372E2">
        <w:rPr>
          <w:rFonts w:ascii="Times New Roman" w:hAnsi="Times New Roman" w:cs="Times New Roman"/>
          <w:i/>
        </w:rPr>
        <w:t>A compendium of neuropsychological tests: Administration, norms, and commentary</w:t>
      </w:r>
      <w:r w:rsidRPr="00C372E2">
        <w:rPr>
          <w:rFonts w:ascii="Times New Roman" w:hAnsi="Times New Roman" w:cs="Times New Roman"/>
        </w:rPr>
        <w:t>: American Chemical Society.</w:t>
      </w:r>
    </w:p>
    <w:p w14:paraId="7EE4F16A" w14:textId="5E2DB676"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Tanner-Eggen, C., Balzer, C., Perrig, W. J., &amp; Gutbrod, K. (2015). The neuropsychological assessment of cognitive deficits considering measures of performance variability. </w:t>
      </w:r>
      <w:r w:rsidRPr="00C372E2">
        <w:rPr>
          <w:rFonts w:ascii="Times New Roman" w:hAnsi="Times New Roman" w:cs="Times New Roman"/>
          <w:i/>
        </w:rPr>
        <w:t>Archives of Clinical Neuropsychology, 30</w:t>
      </w:r>
      <w:r w:rsidRPr="00C372E2">
        <w:rPr>
          <w:rFonts w:ascii="Times New Roman" w:hAnsi="Times New Roman" w:cs="Times New Roman"/>
        </w:rPr>
        <w:t>(3), 217</w:t>
      </w:r>
      <w:r w:rsidR="00D13C0D" w:rsidRPr="00C372E2">
        <w:rPr>
          <w:rFonts w:ascii="Times New Roman" w:hAnsi="Times New Roman" w:cs="Times New Roman"/>
        </w:rPr>
        <w:t>–</w:t>
      </w:r>
      <w:r w:rsidRPr="00C372E2">
        <w:rPr>
          <w:rFonts w:ascii="Times New Roman" w:hAnsi="Times New Roman" w:cs="Times New Roman"/>
        </w:rPr>
        <w:t>227.</w:t>
      </w:r>
    </w:p>
    <w:p w14:paraId="331D1F3F" w14:textId="7C06F903"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Turnbull, O. H. (1997). A double dissociation between knowledge of object identity and object orientation. </w:t>
      </w:r>
      <w:r w:rsidRPr="00C372E2">
        <w:rPr>
          <w:rFonts w:ascii="Times New Roman" w:hAnsi="Times New Roman" w:cs="Times New Roman"/>
          <w:i/>
        </w:rPr>
        <w:t>Neuropsychologia, 35</w:t>
      </w:r>
      <w:r w:rsidRPr="00C372E2">
        <w:rPr>
          <w:rFonts w:ascii="Times New Roman" w:hAnsi="Times New Roman" w:cs="Times New Roman"/>
        </w:rPr>
        <w:t>(4), 567</w:t>
      </w:r>
      <w:r w:rsidR="00D13C0D" w:rsidRPr="00C372E2">
        <w:rPr>
          <w:rFonts w:ascii="Times New Roman" w:hAnsi="Times New Roman" w:cs="Times New Roman"/>
        </w:rPr>
        <w:t>–</w:t>
      </w:r>
      <w:r w:rsidRPr="00C372E2">
        <w:rPr>
          <w:rFonts w:ascii="Times New Roman" w:hAnsi="Times New Roman" w:cs="Times New Roman"/>
        </w:rPr>
        <w:t>570.</w:t>
      </w:r>
    </w:p>
    <w:p w14:paraId="7F7D3E19" w14:textId="3CD6F182"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Videaud, H., Torny, F., Prado-Jean, A., &amp; Couratier, P. (2009). Use of the Visual Object and Space Perception (VOSP) test battery in two cases of posterior cortical atrophy. </w:t>
      </w:r>
      <w:r w:rsidRPr="00C372E2">
        <w:rPr>
          <w:rFonts w:ascii="Times New Roman" w:hAnsi="Times New Roman" w:cs="Times New Roman"/>
          <w:i/>
        </w:rPr>
        <w:t>Neurocase, 15</w:t>
      </w:r>
      <w:r w:rsidRPr="00C372E2">
        <w:rPr>
          <w:rFonts w:ascii="Times New Roman" w:hAnsi="Times New Roman" w:cs="Times New Roman"/>
        </w:rPr>
        <w:t>(1), 32</w:t>
      </w:r>
      <w:r w:rsidR="00D13C0D" w:rsidRPr="00C372E2">
        <w:rPr>
          <w:rFonts w:ascii="Times New Roman" w:hAnsi="Times New Roman" w:cs="Times New Roman"/>
        </w:rPr>
        <w:t>–</w:t>
      </w:r>
      <w:r w:rsidRPr="00C372E2">
        <w:rPr>
          <w:rFonts w:ascii="Times New Roman" w:hAnsi="Times New Roman" w:cs="Times New Roman"/>
        </w:rPr>
        <w:t>36.</w:t>
      </w:r>
    </w:p>
    <w:p w14:paraId="3F048EDF" w14:textId="77777777"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Warrington, E. K., &amp; James, M. (1988). Visual apperceptive agnosia: a clinico-anatomical study of three cases.</w:t>
      </w:r>
    </w:p>
    <w:p w14:paraId="5A0BD6D8" w14:textId="02C447D6" w:rsidR="00AB5ACE"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Warrington, E. K., &amp; James, M. (1991). </w:t>
      </w:r>
      <w:r w:rsidRPr="00C372E2">
        <w:rPr>
          <w:rFonts w:ascii="Times New Roman" w:hAnsi="Times New Roman" w:cs="Times New Roman"/>
          <w:i/>
        </w:rPr>
        <w:t>Visual Object and Space Perception Battery (VOSP)</w:t>
      </w:r>
      <w:r w:rsidRPr="00C372E2">
        <w:rPr>
          <w:rFonts w:ascii="Times New Roman" w:hAnsi="Times New Roman" w:cs="Times New Roman"/>
        </w:rPr>
        <w:t>. Bury St. Edmunds, UK: Thames Valley Test Company.</w:t>
      </w:r>
    </w:p>
    <w:p w14:paraId="1FB7C5D1" w14:textId="0492A992"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Weber, P., Pache, M., Lütschg, J., &amp; Kaiser, H. (2004). Visual object and space perception battery: Normal values for children from 8 to 12. </w:t>
      </w:r>
      <w:r w:rsidRPr="00C372E2">
        <w:rPr>
          <w:rFonts w:ascii="Times New Roman" w:hAnsi="Times New Roman" w:cs="Times New Roman"/>
          <w:i/>
        </w:rPr>
        <w:t>Klinische Monatsblatter fur Augenheilkunde, 221</w:t>
      </w:r>
      <w:r w:rsidRPr="00C372E2">
        <w:rPr>
          <w:rFonts w:ascii="Times New Roman" w:hAnsi="Times New Roman" w:cs="Times New Roman"/>
        </w:rPr>
        <w:t>(7), 583</w:t>
      </w:r>
      <w:r w:rsidR="00D13C0D" w:rsidRPr="00C372E2">
        <w:rPr>
          <w:rFonts w:ascii="Times New Roman" w:hAnsi="Times New Roman" w:cs="Times New Roman"/>
        </w:rPr>
        <w:t>–</w:t>
      </w:r>
      <w:r w:rsidRPr="00C372E2">
        <w:rPr>
          <w:rFonts w:ascii="Times New Roman" w:hAnsi="Times New Roman" w:cs="Times New Roman"/>
        </w:rPr>
        <w:t>587.</w:t>
      </w:r>
    </w:p>
    <w:p w14:paraId="13366C36" w14:textId="2D494E0F" w:rsidR="00DB4B30" w:rsidRPr="00C372E2" w:rsidRDefault="00AB5ACE" w:rsidP="00DB4B30">
      <w:pPr>
        <w:pStyle w:val="EndNoteBibliography"/>
        <w:spacing w:after="0"/>
        <w:ind w:left="720" w:hanging="720"/>
        <w:rPr>
          <w:rFonts w:ascii="Times New Roman" w:hAnsi="Times New Roman" w:cs="Times New Roman"/>
        </w:rPr>
      </w:pPr>
      <w:r w:rsidRPr="00C372E2">
        <w:rPr>
          <w:rFonts w:ascii="Times New Roman" w:hAnsi="Times New Roman" w:cs="Times New Roman"/>
        </w:rPr>
        <w:t xml:space="preserve">Yamin, S., Stinchcombe, A., &amp; Gagnon, S. (2015). Driving competence in mild dementia with Lewy bodies: in search of cognitive predictors using driving simulation. </w:t>
      </w:r>
      <w:r w:rsidRPr="00C372E2">
        <w:rPr>
          <w:rFonts w:ascii="Times New Roman" w:hAnsi="Times New Roman" w:cs="Times New Roman"/>
          <w:i/>
        </w:rPr>
        <w:t>International journal of Alzheimer</w:t>
      </w:r>
      <w:r w:rsidR="009011B7" w:rsidRPr="00C372E2">
        <w:rPr>
          <w:rFonts w:ascii="Times New Roman" w:hAnsi="Times New Roman" w:cs="Times New Roman"/>
          <w:i/>
        </w:rPr>
        <w:t>’</w:t>
      </w:r>
      <w:r w:rsidRPr="00C372E2">
        <w:rPr>
          <w:rFonts w:ascii="Times New Roman" w:hAnsi="Times New Roman" w:cs="Times New Roman"/>
          <w:i/>
        </w:rPr>
        <w:t>s disease, 2015</w:t>
      </w:r>
      <w:r w:rsidRPr="00C372E2">
        <w:rPr>
          <w:rFonts w:ascii="Times New Roman" w:hAnsi="Times New Roman" w:cs="Times New Roman"/>
        </w:rPr>
        <w:t>.</w:t>
      </w:r>
    </w:p>
    <w:p w14:paraId="38BCD612" w14:textId="56E407B8" w:rsidR="00C651F8" w:rsidRPr="00C372E2" w:rsidRDefault="00AB5ACE" w:rsidP="00C651F8">
      <w:pPr>
        <w:pStyle w:val="EndNoteBibliography"/>
        <w:spacing w:after="0"/>
        <w:ind w:left="720" w:hanging="720"/>
        <w:jc w:val="left"/>
        <w:rPr>
          <w:rFonts w:ascii="Times New Roman" w:hAnsi="Times New Roman" w:cs="Times New Roman"/>
        </w:rPr>
      </w:pPr>
      <w:r w:rsidRPr="00C372E2">
        <w:rPr>
          <w:rFonts w:ascii="Leelawadee UI" w:hAnsi="Leelawadee UI" w:cs="Leelawadee UI" w:hint="cs"/>
          <w:i/>
          <w:cs/>
        </w:rPr>
        <w:t>ผลสภาวะสุขภาพอนามัยของประชาชนโดยการตรวจร่างกายครั้งที่</w:t>
      </w:r>
      <w:r w:rsidRPr="00C372E2">
        <w:rPr>
          <w:rFonts w:ascii="Times New Roman" w:hAnsi="Times New Roman" w:cs="Times New Roman"/>
          <w:i/>
          <w:cs/>
        </w:rPr>
        <w:t xml:space="preserve"> </w:t>
      </w:r>
      <w:r w:rsidRPr="00C372E2">
        <w:rPr>
          <w:rFonts w:ascii="Times New Roman" w:hAnsi="Times New Roman" w:cs="Times New Roman"/>
          <w:i/>
        </w:rPr>
        <w:t>2</w:t>
      </w:r>
      <w:r w:rsidRPr="00C372E2">
        <w:rPr>
          <w:rFonts w:ascii="Times New Roman" w:hAnsi="Times New Roman" w:cs="Times New Roman"/>
          <w:i/>
          <w:cs/>
        </w:rPr>
        <w:t xml:space="preserve"> </w:t>
      </w:r>
      <w:r w:rsidRPr="00C372E2">
        <w:rPr>
          <w:rFonts w:ascii="Leelawadee UI" w:hAnsi="Leelawadee UI" w:cs="Leelawadee UI" w:hint="cs"/>
          <w:i/>
          <w:cs/>
        </w:rPr>
        <w:t>พ</w:t>
      </w:r>
      <w:r w:rsidRPr="00C372E2">
        <w:rPr>
          <w:rFonts w:ascii="Times New Roman" w:hAnsi="Times New Roman" w:cs="Times New Roman"/>
          <w:i/>
          <w:cs/>
        </w:rPr>
        <w:t>.</w:t>
      </w:r>
      <w:r w:rsidRPr="00C372E2">
        <w:rPr>
          <w:rFonts w:ascii="Leelawadee UI" w:hAnsi="Leelawadee UI" w:cs="Leelawadee UI" w:hint="cs"/>
          <w:i/>
          <w:cs/>
        </w:rPr>
        <w:t>ศ</w:t>
      </w:r>
      <w:r w:rsidRPr="00C372E2">
        <w:rPr>
          <w:rFonts w:ascii="Times New Roman" w:hAnsi="Times New Roman" w:cs="Times New Roman"/>
          <w:i/>
          <w:cs/>
        </w:rPr>
        <w:t xml:space="preserve">. </w:t>
      </w:r>
      <w:r w:rsidRPr="00C372E2">
        <w:rPr>
          <w:rFonts w:ascii="Times New Roman" w:hAnsi="Times New Roman" w:cs="Times New Roman"/>
          <w:i/>
        </w:rPr>
        <w:t>2539</w:t>
      </w:r>
      <w:r w:rsidR="00D13C0D" w:rsidRPr="00C372E2">
        <w:rPr>
          <w:rFonts w:ascii="Times New Roman" w:hAnsi="Times New Roman" w:cs="Times New Roman"/>
          <w:i/>
        </w:rPr>
        <w:t>–</w:t>
      </w:r>
      <w:r w:rsidRPr="00C372E2">
        <w:rPr>
          <w:rFonts w:ascii="Times New Roman" w:hAnsi="Times New Roman" w:cs="Times New Roman"/>
          <w:i/>
        </w:rPr>
        <w:t>2540</w:t>
      </w:r>
      <w:r w:rsidRPr="00C372E2">
        <w:rPr>
          <w:rFonts w:ascii="Times New Roman" w:hAnsi="Times New Roman" w:cs="Times New Roman"/>
        </w:rPr>
        <w:t xml:space="preserve"> (ISBN 974</w:t>
      </w:r>
      <w:r w:rsidR="00D13C0D" w:rsidRPr="00C372E2">
        <w:rPr>
          <w:rFonts w:ascii="Times New Roman" w:hAnsi="Times New Roman" w:cs="Times New Roman"/>
        </w:rPr>
        <w:t>–</w:t>
      </w:r>
      <w:r w:rsidRPr="00C372E2">
        <w:rPr>
          <w:rFonts w:ascii="Times New Roman" w:hAnsi="Times New Roman" w:cs="Times New Roman"/>
        </w:rPr>
        <w:t>294</w:t>
      </w:r>
      <w:r w:rsidR="00D13C0D" w:rsidRPr="00C372E2">
        <w:rPr>
          <w:rFonts w:ascii="Times New Roman" w:hAnsi="Times New Roman" w:cs="Times New Roman"/>
        </w:rPr>
        <w:t>–</w:t>
      </w:r>
      <w:r w:rsidRPr="00C372E2">
        <w:rPr>
          <w:rFonts w:ascii="Times New Roman" w:hAnsi="Times New Roman" w:cs="Times New Roman"/>
        </w:rPr>
        <w:t>402</w:t>
      </w:r>
      <w:r w:rsidR="00D13C0D" w:rsidRPr="00C372E2">
        <w:rPr>
          <w:rFonts w:ascii="Times New Roman" w:hAnsi="Times New Roman" w:cs="Times New Roman"/>
        </w:rPr>
        <w:t>–</w:t>
      </w:r>
      <w:r w:rsidRPr="00C372E2">
        <w:rPr>
          <w:rFonts w:ascii="Times New Roman" w:hAnsi="Times New Roman" w:cs="Times New Roman"/>
        </w:rPr>
        <w:t>4). (1998). Retrieved from</w:t>
      </w:r>
      <w:r w:rsidR="00C651F8" w:rsidRPr="00C372E2">
        <w:rPr>
          <w:rFonts w:ascii="Times New Roman" w:hAnsi="Times New Roman" w:cs="Times New Roman"/>
        </w:rPr>
        <w:t xml:space="preserve"> </w:t>
      </w:r>
      <w:hyperlink r:id="rId10" w:history="1">
        <w:r w:rsidR="00C651F8" w:rsidRPr="00C372E2">
          <w:rPr>
            <w:rStyle w:val="Hyperlink"/>
            <w:rFonts w:ascii="Times New Roman" w:hAnsi="Times New Roman" w:cs="Times New Roman"/>
          </w:rPr>
          <w:t>https://www.hiso.or.th/hiso5/report/sreport.php?m=4</w:t>
        </w:r>
      </w:hyperlink>
    </w:p>
    <w:sectPr w:rsidR="00C651F8" w:rsidRPr="00C372E2" w:rsidSect="00BE29EA">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F01AC5" w14:textId="77777777" w:rsidR="00FE0908" w:rsidRDefault="00FE0908" w:rsidP="00850DC6">
      <w:pPr>
        <w:spacing w:after="0" w:line="240" w:lineRule="auto"/>
      </w:pPr>
      <w:r>
        <w:separator/>
      </w:r>
    </w:p>
  </w:endnote>
  <w:endnote w:type="continuationSeparator" w:id="0">
    <w:p w14:paraId="56C75AA9" w14:textId="77777777" w:rsidR="00FE0908" w:rsidRDefault="00FE0908" w:rsidP="00850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PC-Cordi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3AC98" w14:textId="77777777" w:rsidR="00457B50" w:rsidRPr="00850DC6" w:rsidRDefault="00457B50" w:rsidP="00850DC6">
    <w:pPr>
      <w:pStyle w:val="Footer"/>
      <w:ind w:firstLine="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B9736" w14:textId="77777777" w:rsidR="00FE0908" w:rsidRDefault="00FE0908" w:rsidP="00850DC6">
      <w:pPr>
        <w:spacing w:after="0" w:line="240" w:lineRule="auto"/>
      </w:pPr>
      <w:r>
        <w:separator/>
      </w:r>
    </w:p>
  </w:footnote>
  <w:footnote w:type="continuationSeparator" w:id="0">
    <w:p w14:paraId="32B34DA8" w14:textId="77777777" w:rsidR="00FE0908" w:rsidRDefault="00FE0908" w:rsidP="00850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2A45B" w14:textId="77777777" w:rsidR="00457B50" w:rsidRPr="00850DC6" w:rsidRDefault="00457B50" w:rsidP="00850DC6">
    <w:pPr>
      <w:pStyle w:val="Header"/>
      <w:ind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F00A9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AA63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CE88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4492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3016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0437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3E6A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D020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5A36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9EF6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607DE1"/>
    <w:multiLevelType w:val="hybridMultilevel"/>
    <w:tmpl w:val="661A7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134F28"/>
    <w:multiLevelType w:val="hybridMultilevel"/>
    <w:tmpl w:val="71F66C3C"/>
    <w:lvl w:ilvl="0" w:tplc="DBCCC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v5fzwezotd9d4et22kv52puwx99as9sesvs&quot;&gt;VOSPmanuscript_1Apr2020&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30&lt;/item&gt;&lt;item&gt;31&lt;/item&gt;&lt;item&gt;33&lt;/item&gt;&lt;item&gt;34&lt;/item&gt;&lt;item&gt;35&lt;/item&gt;&lt;item&gt;36&lt;/item&gt;&lt;/record-ids&gt;&lt;/item&gt;&lt;/Libraries&gt;"/>
  </w:docVars>
  <w:rsids>
    <w:rsidRoot w:val="005D52DB"/>
    <w:rsid w:val="00005AA3"/>
    <w:rsid w:val="000228B5"/>
    <w:rsid w:val="00031378"/>
    <w:rsid w:val="000447E3"/>
    <w:rsid w:val="00062E40"/>
    <w:rsid w:val="00064815"/>
    <w:rsid w:val="000764A0"/>
    <w:rsid w:val="00080FCE"/>
    <w:rsid w:val="00084961"/>
    <w:rsid w:val="00090DD3"/>
    <w:rsid w:val="000A46C6"/>
    <w:rsid w:val="000A6AA9"/>
    <w:rsid w:val="000B1661"/>
    <w:rsid w:val="000B1E5B"/>
    <w:rsid w:val="000C0BAB"/>
    <w:rsid w:val="000C31CB"/>
    <w:rsid w:val="000C71F5"/>
    <w:rsid w:val="000D0B13"/>
    <w:rsid w:val="000E0E72"/>
    <w:rsid w:val="000E3516"/>
    <w:rsid w:val="000E7744"/>
    <w:rsid w:val="000F4534"/>
    <w:rsid w:val="00104905"/>
    <w:rsid w:val="00113BD0"/>
    <w:rsid w:val="00115797"/>
    <w:rsid w:val="00131A79"/>
    <w:rsid w:val="00142226"/>
    <w:rsid w:val="00145832"/>
    <w:rsid w:val="00146485"/>
    <w:rsid w:val="001528A5"/>
    <w:rsid w:val="00152986"/>
    <w:rsid w:val="0015391E"/>
    <w:rsid w:val="00153970"/>
    <w:rsid w:val="0016404D"/>
    <w:rsid w:val="001653E4"/>
    <w:rsid w:val="00171B0C"/>
    <w:rsid w:val="00175ECE"/>
    <w:rsid w:val="001801E0"/>
    <w:rsid w:val="0018290B"/>
    <w:rsid w:val="00186110"/>
    <w:rsid w:val="00187488"/>
    <w:rsid w:val="001925FE"/>
    <w:rsid w:val="001A1B99"/>
    <w:rsid w:val="001A418A"/>
    <w:rsid w:val="001A6A97"/>
    <w:rsid w:val="001A6B76"/>
    <w:rsid w:val="001B188E"/>
    <w:rsid w:val="001B4A19"/>
    <w:rsid w:val="001C03FC"/>
    <w:rsid w:val="001D62E5"/>
    <w:rsid w:val="001E5399"/>
    <w:rsid w:val="001F2D94"/>
    <w:rsid w:val="001F2F1C"/>
    <w:rsid w:val="001F382D"/>
    <w:rsid w:val="001F3E6E"/>
    <w:rsid w:val="002009D7"/>
    <w:rsid w:val="00201E38"/>
    <w:rsid w:val="00202F04"/>
    <w:rsid w:val="002110C1"/>
    <w:rsid w:val="00227E1F"/>
    <w:rsid w:val="002471F0"/>
    <w:rsid w:val="00253DC5"/>
    <w:rsid w:val="002618F9"/>
    <w:rsid w:val="002641BC"/>
    <w:rsid w:val="002657CA"/>
    <w:rsid w:val="00266870"/>
    <w:rsid w:val="002671C4"/>
    <w:rsid w:val="002754EB"/>
    <w:rsid w:val="0027735A"/>
    <w:rsid w:val="00283109"/>
    <w:rsid w:val="00287BAD"/>
    <w:rsid w:val="00294F81"/>
    <w:rsid w:val="002A0A22"/>
    <w:rsid w:val="002A6700"/>
    <w:rsid w:val="002A749A"/>
    <w:rsid w:val="002B31FE"/>
    <w:rsid w:val="002B7345"/>
    <w:rsid w:val="002C4B75"/>
    <w:rsid w:val="002D0407"/>
    <w:rsid w:val="002D1C05"/>
    <w:rsid w:val="002D34AD"/>
    <w:rsid w:val="002E1AF8"/>
    <w:rsid w:val="003010A1"/>
    <w:rsid w:val="003025E1"/>
    <w:rsid w:val="0030285D"/>
    <w:rsid w:val="00302B53"/>
    <w:rsid w:val="0030439A"/>
    <w:rsid w:val="003060AC"/>
    <w:rsid w:val="003264B9"/>
    <w:rsid w:val="00327DF9"/>
    <w:rsid w:val="00327ED9"/>
    <w:rsid w:val="00334D06"/>
    <w:rsid w:val="00337CEC"/>
    <w:rsid w:val="00342F94"/>
    <w:rsid w:val="00343C29"/>
    <w:rsid w:val="00344A2C"/>
    <w:rsid w:val="00345771"/>
    <w:rsid w:val="00345BFE"/>
    <w:rsid w:val="00347553"/>
    <w:rsid w:val="0034770A"/>
    <w:rsid w:val="00361370"/>
    <w:rsid w:val="00373468"/>
    <w:rsid w:val="003807AE"/>
    <w:rsid w:val="00381EEE"/>
    <w:rsid w:val="00383D05"/>
    <w:rsid w:val="00386E2A"/>
    <w:rsid w:val="00387A2E"/>
    <w:rsid w:val="00390DC6"/>
    <w:rsid w:val="00391168"/>
    <w:rsid w:val="0039341A"/>
    <w:rsid w:val="00394745"/>
    <w:rsid w:val="00395C58"/>
    <w:rsid w:val="003A1C58"/>
    <w:rsid w:val="003A46F1"/>
    <w:rsid w:val="003A57FC"/>
    <w:rsid w:val="003A6744"/>
    <w:rsid w:val="003A70D0"/>
    <w:rsid w:val="003B0B6E"/>
    <w:rsid w:val="003C0E22"/>
    <w:rsid w:val="003C3B08"/>
    <w:rsid w:val="003D108E"/>
    <w:rsid w:val="003E1C57"/>
    <w:rsid w:val="003F35F5"/>
    <w:rsid w:val="003F3F56"/>
    <w:rsid w:val="003F4673"/>
    <w:rsid w:val="003F6979"/>
    <w:rsid w:val="003F7E75"/>
    <w:rsid w:val="004008F7"/>
    <w:rsid w:val="00404F9C"/>
    <w:rsid w:val="00412002"/>
    <w:rsid w:val="00425921"/>
    <w:rsid w:val="0043172C"/>
    <w:rsid w:val="004374FB"/>
    <w:rsid w:val="0044276A"/>
    <w:rsid w:val="00444A12"/>
    <w:rsid w:val="004463E2"/>
    <w:rsid w:val="00450ECB"/>
    <w:rsid w:val="004521B2"/>
    <w:rsid w:val="004530A2"/>
    <w:rsid w:val="00457B50"/>
    <w:rsid w:val="00462C5C"/>
    <w:rsid w:val="00466A7C"/>
    <w:rsid w:val="00474C2D"/>
    <w:rsid w:val="00476F71"/>
    <w:rsid w:val="0048690B"/>
    <w:rsid w:val="004878DE"/>
    <w:rsid w:val="00494C38"/>
    <w:rsid w:val="00495E40"/>
    <w:rsid w:val="00496807"/>
    <w:rsid w:val="004A0A68"/>
    <w:rsid w:val="004C4B50"/>
    <w:rsid w:val="004C60A8"/>
    <w:rsid w:val="004D02DD"/>
    <w:rsid w:val="004D186F"/>
    <w:rsid w:val="004D3695"/>
    <w:rsid w:val="004E04B2"/>
    <w:rsid w:val="004E0C39"/>
    <w:rsid w:val="004E34D0"/>
    <w:rsid w:val="004F0995"/>
    <w:rsid w:val="004F1424"/>
    <w:rsid w:val="00502B79"/>
    <w:rsid w:val="005142EA"/>
    <w:rsid w:val="00514DEE"/>
    <w:rsid w:val="0051680A"/>
    <w:rsid w:val="00523C06"/>
    <w:rsid w:val="00545C6F"/>
    <w:rsid w:val="00550C05"/>
    <w:rsid w:val="005532F8"/>
    <w:rsid w:val="005534B8"/>
    <w:rsid w:val="005637C1"/>
    <w:rsid w:val="005703DA"/>
    <w:rsid w:val="00576C60"/>
    <w:rsid w:val="0058640D"/>
    <w:rsid w:val="00593527"/>
    <w:rsid w:val="00597D0C"/>
    <w:rsid w:val="005A06B5"/>
    <w:rsid w:val="005A24FC"/>
    <w:rsid w:val="005B3304"/>
    <w:rsid w:val="005B5EC7"/>
    <w:rsid w:val="005D188F"/>
    <w:rsid w:val="005D4FA4"/>
    <w:rsid w:val="005D52DB"/>
    <w:rsid w:val="00607F2B"/>
    <w:rsid w:val="006176CC"/>
    <w:rsid w:val="0062647E"/>
    <w:rsid w:val="0064282C"/>
    <w:rsid w:val="0064341A"/>
    <w:rsid w:val="00645C44"/>
    <w:rsid w:val="00660089"/>
    <w:rsid w:val="00661C7B"/>
    <w:rsid w:val="00672510"/>
    <w:rsid w:val="0068029B"/>
    <w:rsid w:val="00692F97"/>
    <w:rsid w:val="006A1817"/>
    <w:rsid w:val="006B08AD"/>
    <w:rsid w:val="006B3DEB"/>
    <w:rsid w:val="006C379A"/>
    <w:rsid w:val="006D0C39"/>
    <w:rsid w:val="006D4060"/>
    <w:rsid w:val="006E2F0C"/>
    <w:rsid w:val="006E543D"/>
    <w:rsid w:val="006E5DAD"/>
    <w:rsid w:val="006E7D84"/>
    <w:rsid w:val="006F519C"/>
    <w:rsid w:val="00705EE8"/>
    <w:rsid w:val="00713F18"/>
    <w:rsid w:val="00716C1E"/>
    <w:rsid w:val="00716E75"/>
    <w:rsid w:val="0073096C"/>
    <w:rsid w:val="00734B2F"/>
    <w:rsid w:val="0073680E"/>
    <w:rsid w:val="00741327"/>
    <w:rsid w:val="007545FF"/>
    <w:rsid w:val="00760B1B"/>
    <w:rsid w:val="0077001C"/>
    <w:rsid w:val="00772341"/>
    <w:rsid w:val="00775493"/>
    <w:rsid w:val="00780B4C"/>
    <w:rsid w:val="00781FB2"/>
    <w:rsid w:val="00781FE3"/>
    <w:rsid w:val="00787EB1"/>
    <w:rsid w:val="0079174F"/>
    <w:rsid w:val="00795BF7"/>
    <w:rsid w:val="007975A3"/>
    <w:rsid w:val="007A1FB4"/>
    <w:rsid w:val="007A432E"/>
    <w:rsid w:val="007B25B9"/>
    <w:rsid w:val="007C366E"/>
    <w:rsid w:val="007D51C3"/>
    <w:rsid w:val="007E2E46"/>
    <w:rsid w:val="007E4E4C"/>
    <w:rsid w:val="007E7810"/>
    <w:rsid w:val="007E7954"/>
    <w:rsid w:val="007F1467"/>
    <w:rsid w:val="008010F3"/>
    <w:rsid w:val="008042A0"/>
    <w:rsid w:val="00805560"/>
    <w:rsid w:val="008136D7"/>
    <w:rsid w:val="00813EF1"/>
    <w:rsid w:val="00822D80"/>
    <w:rsid w:val="008230C6"/>
    <w:rsid w:val="00830212"/>
    <w:rsid w:val="0083299A"/>
    <w:rsid w:val="00840784"/>
    <w:rsid w:val="0084331B"/>
    <w:rsid w:val="00850DC6"/>
    <w:rsid w:val="00851F42"/>
    <w:rsid w:val="00854FEC"/>
    <w:rsid w:val="00863B0D"/>
    <w:rsid w:val="00867A9D"/>
    <w:rsid w:val="0087235B"/>
    <w:rsid w:val="008915F6"/>
    <w:rsid w:val="00892455"/>
    <w:rsid w:val="00893C0D"/>
    <w:rsid w:val="00894D8E"/>
    <w:rsid w:val="008A424B"/>
    <w:rsid w:val="008B0BAD"/>
    <w:rsid w:val="008B5425"/>
    <w:rsid w:val="008B6410"/>
    <w:rsid w:val="008C09CD"/>
    <w:rsid w:val="008C110D"/>
    <w:rsid w:val="008D0041"/>
    <w:rsid w:val="008D54A4"/>
    <w:rsid w:val="008E2266"/>
    <w:rsid w:val="008E2C2A"/>
    <w:rsid w:val="008F046E"/>
    <w:rsid w:val="008F0811"/>
    <w:rsid w:val="008F3791"/>
    <w:rsid w:val="008F5F1D"/>
    <w:rsid w:val="009011B7"/>
    <w:rsid w:val="00904268"/>
    <w:rsid w:val="009053B4"/>
    <w:rsid w:val="00906073"/>
    <w:rsid w:val="00906D0E"/>
    <w:rsid w:val="00907B59"/>
    <w:rsid w:val="00907DD6"/>
    <w:rsid w:val="00911F32"/>
    <w:rsid w:val="00913015"/>
    <w:rsid w:val="0091684A"/>
    <w:rsid w:val="00921C21"/>
    <w:rsid w:val="00922728"/>
    <w:rsid w:val="009242A6"/>
    <w:rsid w:val="0092767F"/>
    <w:rsid w:val="00930A55"/>
    <w:rsid w:val="0093162D"/>
    <w:rsid w:val="00932F91"/>
    <w:rsid w:val="0094133E"/>
    <w:rsid w:val="009441E4"/>
    <w:rsid w:val="00945986"/>
    <w:rsid w:val="00950F59"/>
    <w:rsid w:val="00951B78"/>
    <w:rsid w:val="009529F4"/>
    <w:rsid w:val="00957612"/>
    <w:rsid w:val="00962A9E"/>
    <w:rsid w:val="00967BB1"/>
    <w:rsid w:val="00972879"/>
    <w:rsid w:val="00982FE0"/>
    <w:rsid w:val="00983596"/>
    <w:rsid w:val="0098436A"/>
    <w:rsid w:val="00987A7D"/>
    <w:rsid w:val="00994A30"/>
    <w:rsid w:val="00994CF3"/>
    <w:rsid w:val="009B2E14"/>
    <w:rsid w:val="009B6855"/>
    <w:rsid w:val="009C39B4"/>
    <w:rsid w:val="009C3DB0"/>
    <w:rsid w:val="009E7059"/>
    <w:rsid w:val="00A0131A"/>
    <w:rsid w:val="00A03AD4"/>
    <w:rsid w:val="00A0656F"/>
    <w:rsid w:val="00A14B4F"/>
    <w:rsid w:val="00A25884"/>
    <w:rsid w:val="00A27C12"/>
    <w:rsid w:val="00A33D61"/>
    <w:rsid w:val="00A34BDC"/>
    <w:rsid w:val="00A472DF"/>
    <w:rsid w:val="00A50781"/>
    <w:rsid w:val="00A56CBD"/>
    <w:rsid w:val="00A61E50"/>
    <w:rsid w:val="00A6423A"/>
    <w:rsid w:val="00A715F4"/>
    <w:rsid w:val="00A834AD"/>
    <w:rsid w:val="00A8497E"/>
    <w:rsid w:val="00A94DE3"/>
    <w:rsid w:val="00A96715"/>
    <w:rsid w:val="00AA0268"/>
    <w:rsid w:val="00AA04BC"/>
    <w:rsid w:val="00AB117A"/>
    <w:rsid w:val="00AB5ACE"/>
    <w:rsid w:val="00AC6109"/>
    <w:rsid w:val="00AD42C4"/>
    <w:rsid w:val="00AD5ED1"/>
    <w:rsid w:val="00AF440D"/>
    <w:rsid w:val="00AF5FFC"/>
    <w:rsid w:val="00B01292"/>
    <w:rsid w:val="00B0159D"/>
    <w:rsid w:val="00B03C22"/>
    <w:rsid w:val="00B11D71"/>
    <w:rsid w:val="00B1523B"/>
    <w:rsid w:val="00B20C92"/>
    <w:rsid w:val="00B2401D"/>
    <w:rsid w:val="00B2432F"/>
    <w:rsid w:val="00B30FA9"/>
    <w:rsid w:val="00B319B7"/>
    <w:rsid w:val="00B33010"/>
    <w:rsid w:val="00B514A2"/>
    <w:rsid w:val="00B521CD"/>
    <w:rsid w:val="00B6158B"/>
    <w:rsid w:val="00B76FDA"/>
    <w:rsid w:val="00B84F42"/>
    <w:rsid w:val="00B94894"/>
    <w:rsid w:val="00B94AB6"/>
    <w:rsid w:val="00B94DDF"/>
    <w:rsid w:val="00BA6E68"/>
    <w:rsid w:val="00BA7061"/>
    <w:rsid w:val="00BD3850"/>
    <w:rsid w:val="00BE29EA"/>
    <w:rsid w:val="00BE41C8"/>
    <w:rsid w:val="00BE5ADC"/>
    <w:rsid w:val="00BE787B"/>
    <w:rsid w:val="00BF054B"/>
    <w:rsid w:val="00BF4CDB"/>
    <w:rsid w:val="00BF6900"/>
    <w:rsid w:val="00C13A95"/>
    <w:rsid w:val="00C23E1D"/>
    <w:rsid w:val="00C31A6B"/>
    <w:rsid w:val="00C3381B"/>
    <w:rsid w:val="00C36A7C"/>
    <w:rsid w:val="00C372E2"/>
    <w:rsid w:val="00C45656"/>
    <w:rsid w:val="00C54194"/>
    <w:rsid w:val="00C60D2D"/>
    <w:rsid w:val="00C651F8"/>
    <w:rsid w:val="00C656AD"/>
    <w:rsid w:val="00C70B24"/>
    <w:rsid w:val="00C70F1B"/>
    <w:rsid w:val="00C84EF3"/>
    <w:rsid w:val="00C85C27"/>
    <w:rsid w:val="00C87EBA"/>
    <w:rsid w:val="00C90196"/>
    <w:rsid w:val="00C90676"/>
    <w:rsid w:val="00CA2197"/>
    <w:rsid w:val="00CB47C9"/>
    <w:rsid w:val="00CB765C"/>
    <w:rsid w:val="00CC4DE3"/>
    <w:rsid w:val="00CD2B54"/>
    <w:rsid w:val="00CE6A0F"/>
    <w:rsid w:val="00CE70A0"/>
    <w:rsid w:val="00CF0047"/>
    <w:rsid w:val="00CF37ED"/>
    <w:rsid w:val="00CF4BA1"/>
    <w:rsid w:val="00CF5D6B"/>
    <w:rsid w:val="00CF6913"/>
    <w:rsid w:val="00D11961"/>
    <w:rsid w:val="00D1260F"/>
    <w:rsid w:val="00D13C0D"/>
    <w:rsid w:val="00D2136A"/>
    <w:rsid w:val="00D24E53"/>
    <w:rsid w:val="00D305D1"/>
    <w:rsid w:val="00D3110B"/>
    <w:rsid w:val="00D50EBE"/>
    <w:rsid w:val="00D57D8B"/>
    <w:rsid w:val="00D61523"/>
    <w:rsid w:val="00D65956"/>
    <w:rsid w:val="00D672CA"/>
    <w:rsid w:val="00D754CA"/>
    <w:rsid w:val="00D7728B"/>
    <w:rsid w:val="00D80A80"/>
    <w:rsid w:val="00D815BC"/>
    <w:rsid w:val="00D845C3"/>
    <w:rsid w:val="00D94C54"/>
    <w:rsid w:val="00D96583"/>
    <w:rsid w:val="00DA04D6"/>
    <w:rsid w:val="00DB4B30"/>
    <w:rsid w:val="00DB741D"/>
    <w:rsid w:val="00DC783F"/>
    <w:rsid w:val="00DD1DF8"/>
    <w:rsid w:val="00DD2129"/>
    <w:rsid w:val="00DD2EE4"/>
    <w:rsid w:val="00DE53FE"/>
    <w:rsid w:val="00DF633F"/>
    <w:rsid w:val="00E018F3"/>
    <w:rsid w:val="00E2486E"/>
    <w:rsid w:val="00E30BF8"/>
    <w:rsid w:val="00E40EDD"/>
    <w:rsid w:val="00E47236"/>
    <w:rsid w:val="00E50D17"/>
    <w:rsid w:val="00E56A30"/>
    <w:rsid w:val="00E610BD"/>
    <w:rsid w:val="00E7178B"/>
    <w:rsid w:val="00E74FF0"/>
    <w:rsid w:val="00E7670A"/>
    <w:rsid w:val="00E7679F"/>
    <w:rsid w:val="00E80F45"/>
    <w:rsid w:val="00E81224"/>
    <w:rsid w:val="00E85D8C"/>
    <w:rsid w:val="00E96B88"/>
    <w:rsid w:val="00EB1888"/>
    <w:rsid w:val="00EB73A6"/>
    <w:rsid w:val="00EC0032"/>
    <w:rsid w:val="00EC4387"/>
    <w:rsid w:val="00EC4F4C"/>
    <w:rsid w:val="00ED1787"/>
    <w:rsid w:val="00ED639B"/>
    <w:rsid w:val="00ED6D16"/>
    <w:rsid w:val="00EE2B0B"/>
    <w:rsid w:val="00EE4B25"/>
    <w:rsid w:val="00EE4CCF"/>
    <w:rsid w:val="00F07856"/>
    <w:rsid w:val="00F11B5C"/>
    <w:rsid w:val="00F17B42"/>
    <w:rsid w:val="00F31E4B"/>
    <w:rsid w:val="00F33D58"/>
    <w:rsid w:val="00F4056C"/>
    <w:rsid w:val="00F66A50"/>
    <w:rsid w:val="00F7053E"/>
    <w:rsid w:val="00F821B1"/>
    <w:rsid w:val="00F82B02"/>
    <w:rsid w:val="00F82B77"/>
    <w:rsid w:val="00F91024"/>
    <w:rsid w:val="00FB4CDC"/>
    <w:rsid w:val="00FC0224"/>
    <w:rsid w:val="00FC2C98"/>
    <w:rsid w:val="00FC6657"/>
    <w:rsid w:val="00FD1591"/>
    <w:rsid w:val="00FD1E7D"/>
    <w:rsid w:val="00FD24F9"/>
    <w:rsid w:val="00FD27C1"/>
    <w:rsid w:val="00FE0908"/>
    <w:rsid w:val="00FE6FCC"/>
    <w:rsid w:val="00FF0427"/>
    <w:rsid w:val="00FF1C4A"/>
    <w:rsid w:val="00FF2C8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1686"/>
  <w14:defaultImageDpi w14:val="32767"/>
  <w15:chartTrackingRefBased/>
  <w15:docId w15:val="{4446B624-9953-41FA-A51B-4ED5C139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A9"/>
    <w:pPr>
      <w:widowControl w:val="0"/>
      <w:tabs>
        <w:tab w:val="left" w:pos="720"/>
      </w:tabs>
      <w:spacing w:after="360" w:line="360" w:lineRule="auto"/>
      <w:ind w:firstLine="720"/>
      <w:jc w:val="both"/>
    </w:pPr>
  </w:style>
  <w:style w:type="paragraph" w:styleId="Heading1">
    <w:name w:val="heading 1"/>
    <w:basedOn w:val="Normal"/>
    <w:link w:val="Heading1Char"/>
    <w:uiPriority w:val="9"/>
    <w:qFormat/>
    <w:rsid w:val="005D52DB"/>
    <w:pPr>
      <w:spacing w:before="100" w:beforeAutospacing="1" w:after="100" w:afterAutospacing="1" w:line="240" w:lineRule="auto"/>
      <w:outlineLvl w:val="0"/>
    </w:pPr>
    <w:rPr>
      <w:rFonts w:ascii="Tahoma" w:eastAsia="Times New Roman" w:hAnsi="Tahoma" w:cs="Tahoma"/>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2DB"/>
    <w:rPr>
      <w:rFonts w:ascii="Tahoma" w:eastAsia="Times New Roman" w:hAnsi="Tahoma" w:cs="Tahoma"/>
      <w:b/>
      <w:bCs/>
      <w:kern w:val="36"/>
      <w:sz w:val="48"/>
      <w:szCs w:val="48"/>
    </w:rPr>
  </w:style>
  <w:style w:type="character" w:customStyle="1" w:styleId="st">
    <w:name w:val="st"/>
    <w:basedOn w:val="DefaultParagraphFont"/>
    <w:rsid w:val="005D52DB"/>
  </w:style>
  <w:style w:type="paragraph" w:styleId="HTMLPreformatted">
    <w:name w:val="HTML Preformatted"/>
    <w:basedOn w:val="Normal"/>
    <w:link w:val="HTMLPreformattedChar"/>
    <w:uiPriority w:val="99"/>
    <w:unhideWhenUsed/>
    <w:rsid w:val="005D5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rPr>
  </w:style>
  <w:style w:type="character" w:customStyle="1" w:styleId="HTMLPreformattedChar">
    <w:name w:val="HTML Preformatted Char"/>
    <w:basedOn w:val="DefaultParagraphFont"/>
    <w:link w:val="HTMLPreformatted"/>
    <w:uiPriority w:val="99"/>
    <w:rsid w:val="005D52DB"/>
    <w:rPr>
      <w:rFonts w:ascii="Tahoma" w:eastAsia="Times New Roman" w:hAnsi="Tahoma" w:cs="Tahoma"/>
      <w:sz w:val="20"/>
      <w:szCs w:val="20"/>
    </w:rPr>
  </w:style>
  <w:style w:type="paragraph" w:customStyle="1" w:styleId="Default">
    <w:name w:val="Default"/>
    <w:basedOn w:val="Normal"/>
    <w:rsid w:val="000F4534"/>
    <w:pPr>
      <w:autoSpaceDE w:val="0"/>
      <w:autoSpaceDN w:val="0"/>
      <w:adjustRightInd w:val="0"/>
    </w:pPr>
    <w:rPr>
      <w:rFonts w:cs="UPC-Cordia"/>
      <w:color w:val="000000"/>
    </w:rPr>
  </w:style>
  <w:style w:type="paragraph" w:customStyle="1" w:styleId="EndNoteBibliographyTitle">
    <w:name w:val="EndNote Bibliography Title"/>
    <w:basedOn w:val="Normal"/>
    <w:link w:val="EndNoteBibliographyTitleChar"/>
    <w:rsid w:val="00854FE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54FEC"/>
    <w:rPr>
      <w:rFonts w:ascii="Calibri" w:hAnsi="Calibri" w:cs="Calibri"/>
      <w:noProof/>
    </w:rPr>
  </w:style>
  <w:style w:type="paragraph" w:customStyle="1" w:styleId="EndNoteBibliography">
    <w:name w:val="EndNote Bibliography"/>
    <w:basedOn w:val="Normal"/>
    <w:link w:val="EndNoteBibliographyChar"/>
    <w:rsid w:val="00854FE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54FEC"/>
    <w:rPr>
      <w:rFonts w:ascii="Calibri" w:hAnsi="Calibri" w:cs="Calibri"/>
      <w:noProof/>
    </w:rPr>
  </w:style>
  <w:style w:type="paragraph" w:styleId="ListParagraph">
    <w:name w:val="List Paragraph"/>
    <w:basedOn w:val="Normal"/>
    <w:uiPriority w:val="34"/>
    <w:qFormat/>
    <w:rsid w:val="00383D05"/>
    <w:pPr>
      <w:ind w:left="720"/>
      <w:contextualSpacing/>
    </w:pPr>
  </w:style>
  <w:style w:type="character" w:styleId="Hyperlink">
    <w:name w:val="Hyperlink"/>
    <w:basedOn w:val="DefaultParagraphFont"/>
    <w:uiPriority w:val="99"/>
    <w:unhideWhenUsed/>
    <w:rsid w:val="003060AC"/>
    <w:rPr>
      <w:color w:val="0563C1" w:themeColor="hyperlink"/>
      <w:u w:val="single"/>
    </w:rPr>
  </w:style>
  <w:style w:type="character" w:styleId="UnresolvedMention">
    <w:name w:val="Unresolved Mention"/>
    <w:basedOn w:val="DefaultParagraphFont"/>
    <w:uiPriority w:val="99"/>
    <w:semiHidden/>
    <w:unhideWhenUsed/>
    <w:rsid w:val="003060AC"/>
    <w:rPr>
      <w:color w:val="605E5C"/>
      <w:shd w:val="clear" w:color="auto" w:fill="E1DFDD"/>
    </w:rPr>
  </w:style>
  <w:style w:type="table" w:styleId="TableGrid">
    <w:name w:val="Table Grid"/>
    <w:basedOn w:val="TableNormal"/>
    <w:uiPriority w:val="59"/>
    <w:rsid w:val="00294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1A6A97"/>
  </w:style>
  <w:style w:type="paragraph" w:styleId="BalloonText">
    <w:name w:val="Balloon Text"/>
    <w:basedOn w:val="Normal"/>
    <w:link w:val="BalloonTextChar"/>
    <w:uiPriority w:val="99"/>
    <w:semiHidden/>
    <w:unhideWhenUsed/>
    <w:rsid w:val="00DB4B30"/>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DB4B30"/>
    <w:rPr>
      <w:rFonts w:ascii="Segoe UI" w:hAnsi="Segoe UI" w:cs="Angsana New"/>
      <w:sz w:val="18"/>
      <w:szCs w:val="22"/>
    </w:rPr>
  </w:style>
  <w:style w:type="paragraph" w:styleId="Revision">
    <w:name w:val="Revision"/>
    <w:hidden/>
    <w:uiPriority w:val="99"/>
    <w:semiHidden/>
    <w:rsid w:val="00CD2B54"/>
    <w:pPr>
      <w:spacing w:after="0" w:line="240" w:lineRule="auto"/>
    </w:pPr>
    <w:rPr>
      <w:rFonts w:cs="Angsana New"/>
      <w:szCs w:val="30"/>
    </w:rPr>
  </w:style>
  <w:style w:type="paragraph" w:styleId="Header">
    <w:name w:val="header"/>
    <w:basedOn w:val="Normal"/>
    <w:link w:val="HeaderChar"/>
    <w:uiPriority w:val="99"/>
    <w:unhideWhenUsed/>
    <w:rsid w:val="00850DC6"/>
    <w:pPr>
      <w:tabs>
        <w:tab w:val="clear" w:pos="720"/>
        <w:tab w:val="center" w:pos="4680"/>
        <w:tab w:val="right" w:pos="9360"/>
      </w:tabs>
      <w:spacing w:after="0" w:line="240" w:lineRule="auto"/>
    </w:pPr>
    <w:rPr>
      <w:rFonts w:cs="Angsana New"/>
      <w:szCs w:val="30"/>
    </w:rPr>
  </w:style>
  <w:style w:type="character" w:customStyle="1" w:styleId="HeaderChar">
    <w:name w:val="Header Char"/>
    <w:basedOn w:val="DefaultParagraphFont"/>
    <w:link w:val="Header"/>
    <w:uiPriority w:val="99"/>
    <w:rsid w:val="00850DC6"/>
    <w:rPr>
      <w:rFonts w:cs="Angsana New"/>
      <w:szCs w:val="30"/>
    </w:rPr>
  </w:style>
  <w:style w:type="paragraph" w:styleId="Footer">
    <w:name w:val="footer"/>
    <w:basedOn w:val="Normal"/>
    <w:link w:val="FooterChar"/>
    <w:uiPriority w:val="99"/>
    <w:unhideWhenUsed/>
    <w:rsid w:val="00850DC6"/>
    <w:pPr>
      <w:tabs>
        <w:tab w:val="clear" w:pos="720"/>
        <w:tab w:val="center" w:pos="4680"/>
        <w:tab w:val="right" w:pos="9360"/>
      </w:tabs>
      <w:spacing w:after="0" w:line="240" w:lineRule="auto"/>
    </w:pPr>
    <w:rPr>
      <w:rFonts w:cs="Angsana New"/>
      <w:szCs w:val="30"/>
    </w:rPr>
  </w:style>
  <w:style w:type="character" w:customStyle="1" w:styleId="FooterChar">
    <w:name w:val="Footer Char"/>
    <w:basedOn w:val="DefaultParagraphFont"/>
    <w:link w:val="Footer"/>
    <w:uiPriority w:val="99"/>
    <w:rsid w:val="00850DC6"/>
    <w:rPr>
      <w:rFonts w:cs="Angsana New"/>
      <w:szCs w:val="30"/>
    </w:rPr>
  </w:style>
  <w:style w:type="character" w:styleId="CommentReference">
    <w:name w:val="annotation reference"/>
    <w:basedOn w:val="DefaultParagraphFont"/>
    <w:uiPriority w:val="99"/>
    <w:semiHidden/>
    <w:unhideWhenUsed/>
    <w:rsid w:val="00AF5FFC"/>
    <w:rPr>
      <w:sz w:val="16"/>
      <w:szCs w:val="16"/>
    </w:rPr>
  </w:style>
  <w:style w:type="paragraph" w:styleId="CommentText">
    <w:name w:val="annotation text"/>
    <w:basedOn w:val="Normal"/>
    <w:link w:val="CommentTextChar"/>
    <w:uiPriority w:val="99"/>
    <w:semiHidden/>
    <w:unhideWhenUsed/>
    <w:rsid w:val="00AF5FFC"/>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AF5FFC"/>
    <w:rPr>
      <w:rFonts w:cs="Angsana New"/>
      <w:sz w:val="20"/>
      <w:szCs w:val="25"/>
    </w:rPr>
  </w:style>
  <w:style w:type="paragraph" w:styleId="CommentSubject">
    <w:name w:val="annotation subject"/>
    <w:basedOn w:val="CommentText"/>
    <w:next w:val="CommentText"/>
    <w:link w:val="CommentSubjectChar"/>
    <w:uiPriority w:val="99"/>
    <w:semiHidden/>
    <w:unhideWhenUsed/>
    <w:rsid w:val="00AF5FFC"/>
    <w:rPr>
      <w:b/>
      <w:bCs/>
    </w:rPr>
  </w:style>
  <w:style w:type="character" w:customStyle="1" w:styleId="CommentSubjectChar">
    <w:name w:val="Comment Subject Char"/>
    <w:basedOn w:val="CommentTextChar"/>
    <w:link w:val="CommentSubject"/>
    <w:uiPriority w:val="99"/>
    <w:semiHidden/>
    <w:rsid w:val="00AF5FFC"/>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21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hiso.or.th/hiso5/report/sreport.php?m=4"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A93C1-0E54-4217-B0D6-E31CC97A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6702</Words>
  <Characters>38208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pompam jaisin</dc:creator>
  <cp:keywords/>
  <dc:description/>
  <cp:lastModifiedBy>pompam jaisin</cp:lastModifiedBy>
  <cp:revision>8</cp:revision>
  <dcterms:created xsi:type="dcterms:W3CDTF">2020-07-08T04:55:00Z</dcterms:created>
  <dcterms:modified xsi:type="dcterms:W3CDTF">2020-07-08T08:21:00Z</dcterms:modified>
</cp:coreProperties>
</file>