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C94" w:rsidRPr="00275295" w:rsidRDefault="00F37C94" w:rsidP="00F37C94">
      <w:pPr>
        <w:pStyle w:val="spstitsecc1"/>
        <w:rPr>
          <w:rFonts w:ascii="Times New Roman" w:hAnsi="Times New Roman" w:cs="Times New Roman"/>
          <w:sz w:val="24"/>
        </w:rPr>
      </w:pPr>
      <w:r w:rsidRPr="00275295">
        <w:rPr>
          <w:rFonts w:ascii="Times New Roman" w:hAnsi="Times New Roman" w:cs="Times New Roman"/>
          <w:sz w:val="24"/>
        </w:rPr>
        <w:t>Introducción</w:t>
      </w:r>
    </w:p>
    <w:p w:rsidR="00F37C94" w:rsidRDefault="00F37C94" w:rsidP="00F37C94">
      <w:pPr>
        <w:pStyle w:val="spsinstrucciones"/>
        <w:rPr>
          <w:rFonts w:ascii="Times New Roman" w:hAnsi="Times New Roman" w:cs="Times New Roman"/>
          <w:b w:val="0"/>
          <w:color w:val="auto"/>
          <w:lang w:val="es-ES"/>
        </w:rPr>
      </w:pPr>
    </w:p>
    <w:p w:rsidR="00F37C94" w:rsidRPr="00275295" w:rsidRDefault="00F37C94" w:rsidP="00F37C94">
      <w:pPr>
        <w:pStyle w:val="spsinstrucciones"/>
        <w:ind w:firstLine="708"/>
        <w:rPr>
          <w:rFonts w:ascii="Times New Roman" w:hAnsi="Times New Roman" w:cs="Times New Roman"/>
          <w:b w:val="0"/>
          <w:color w:val="auto"/>
          <w:lang w:val="es-ES"/>
        </w:rPr>
      </w:pPr>
      <w:r w:rsidRPr="00275295">
        <w:rPr>
          <w:rFonts w:ascii="Times New Roman" w:hAnsi="Times New Roman" w:cs="Times New Roman"/>
          <w:b w:val="0"/>
          <w:color w:val="auto"/>
          <w:lang w:val="es-ES"/>
        </w:rPr>
        <w:t xml:space="preserve">El mundo está enfrentando una de las situaciones más complejas de los últimos cien años. La pandemia por el virus SARS-COV 2 ha tenido como resultado al día de hoy más de 11 millones de contagiados y solo en las Américas tiene más de 5 millones de casos y más de 500 mil muertes asociadas al virus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{"citationItems":[{"id":"ITEM-1","itemData":{"URL":"https://www.paho.org/es/tag/informes-situacion-covid-19","accessed":{"date-parts":[["2020","7","4"]]},"author":[{"dropping-particle":"","family":"Organización Mundial de la Salud","given":"","non-dropping-particle":"","parse-names":false,"suffix":""}],"id":"ITEM-1","issued":{"date-parts":[["2020"]]},"title":"Informes de Situación para COVID-19 | OPS/OMS | Organización Panamericana de la Salud","type":"webpage"},"uris":["http://www.mendeley.com/documents/?uuid=201918cf-dd93-3d13-9b8e-409d80699b52"]}],"mendeley":{"formattedCitation":"(Organización Mundial de la Salud, 2020)","plainTextFormattedCitation":"(Organización Mundial de la Salud, 2020)","previouslyFormattedCitation":"(Organización Mundial de la Salud 2020)"},"properties":{"noteIndex":0},"schema":"https://github.com/citation-style-language/schema/raw/master/csl-citation.json"}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(Organización Mundial de la Salud, 2020)</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w:t>
      </w:r>
    </w:p>
    <w:p w:rsidR="00F37C94" w:rsidRPr="00275295" w:rsidRDefault="00F37C94" w:rsidP="00F37C94">
      <w:pPr>
        <w:pStyle w:val="spsinstrucciones"/>
        <w:ind w:firstLine="708"/>
        <w:rPr>
          <w:rFonts w:ascii="Times New Roman" w:hAnsi="Times New Roman" w:cs="Times New Roman"/>
          <w:b w:val="0"/>
          <w:color w:val="auto"/>
          <w:lang w:val="es-ES"/>
        </w:rPr>
      </w:pPr>
      <w:r w:rsidRPr="00275295">
        <w:rPr>
          <w:rFonts w:ascii="Times New Roman" w:hAnsi="Times New Roman" w:cs="Times New Roman"/>
          <w:b w:val="0"/>
          <w:color w:val="auto"/>
          <w:lang w:val="es-ES"/>
        </w:rPr>
        <w:t xml:space="preserve">La Organización Internacional del Trabajo define al teletrabajo como el trabajo realizado alejado de la oficina central, separando al trabajador del contacto con sus compañeros habituales apoyándose en la tecnología y las comunicaciones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{"citationItems":[{"id":"ITEM-1","itemData":{"ISBN":"978-92-2-325464-3","abstract":"Este manual de buenas prácticas en teletrabajo es producto de las experiencias y recomendaciones surgidas del Programa Piloto de Seguimiento y Promoción del Teletrabajo en Empresas Privadas (PROPET), liderado por la Coordinación de Teletrabajo del Ministerio de Trabajo, Empleo y Seguridad Social de la Nación, que ha facilitado el teletrabajo en las empresas. En la elaboración del presente manual se tuvieron en cuenta consideraciones, opiniones y vivencias de las personas entrevistadas durante la labor previa, en su mayoría participantes del PROPET en representación de las organizaciones empresariales, sindicales, de la Superintendencia de Riesgos del Trabajo, del sector académico y del Ministerio de Trabajo, Empleo y Seguridad Social. Agradecemos a los entrevistados, que aportaron sus valiosas experiencias, conocimientos y recomendaciones, y proveyeron documentación, acuerdos e información relevante para la elaboración de este manual.","author":[{"dropping-particle":"","family":"OIT","given":"","non-dropping-particle":"","parse-names":false,"suffix":""}],"id":"ITEM-1","issued":{"date-parts":[["2011"]]},"number-of-pages":"1-48","title":"Manual de Buenas Prácticas en Teletrabajo","type":"report"},"uris":["http://www.mendeley.com/documents/?uuid=0f363bf9-567c-3081-8d69-e1534806de1d"]}],"mendeley":{"formattedCitation":"(OIT, 2011)","plainTextFormattedCitation":"(OIT, 2011)","previouslyFormattedCitation":"(OIT 2011)"},"properties":{"noteIndex":0},"schema":"https://github.com/citation-style-language/schema/raw/master/csl-citation.json"}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(OIT, 2011)</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Durante mucho tiempo se ha visto al teletrabajo como una solución que ha ido aumentando exponencialmente en los últimos años. Se dice que el 60% de las empresas lo entregan como un beneficio para sus empleados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{"citationItems":[{"id":"ITEM-1","itemData":{"abstract":"Kossek, E., Hammer, L., Thompson, R., &amp;amp; Burke, L. (2014). Leveraging workplace flexibility: Fostering engagement and productivity. SHRM foundation’s effective practice guidelines series. Alexandra, VA: SHRM Foundation","author":[{"dropping-particle":"","family":"Kossek","given":"Ellen Ernst","non-dropping-particle":"","parse-names":false,"suffix":""},{"dropping-particle":"","family":"Hammer","given":"Leslie B.","non-dropping-particle":"","parse-names":false,"suffix":""},{"dropping-particle":"","family":"Thompson","given":"Rebecca J.","non-dropping-particle":"","parse-names":false,"suffix":""},{"dropping-particle":"","family":"Burke","given":"Lisa Buxbaum","non-dropping-particle":"","parse-names":false,"suffix":""}],"container-title":"SHRM foundation","id":"ITEM-1","issued":{"date-parts":[["2014"]]},"number-of-pages":"60","title":"Leveraging Workplace Flexibility for Engagement and Productivity","type":"book"},"uris":["http://www.mendeley.com/documents/?uuid=37d6995f-046c-3c24-89c0-6252bbc82467"]}],"mendeley":{"formattedCitation":"(Kossek, Hammer, Thompson, &amp; Burke, 2014)","plainTextFormattedCitation":"(Kossek, Hammer, Thompson, &amp; Burke, 2014)","previouslyFormattedCitation":"(Kossek et al. 2014)"},"properties":{"noteIndex":0},"schema":"https://github.com/citation-style-language/schema/raw/master/csl-citation.json"}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(Kossek, Hammer, Thompson, &amp; Burke, 2014)</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esperándose que para el 2022 sea una cifra cercana a los dos mil millones de personas que ocupen este formato para desarrollar su trabajo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{"citationItems":[{"id":"ITEM-1","itemData":{"author":[{"dropping-particle":"","family":"Luk","given":"G","non-dropping-particle":"","parse-names":false,"suffix":""}],"edition":"Strategy A","id":"ITEM-1","issued":{"date-parts":[["2015"]]},"publisher-place":"Boston, MA","title":"Global Mobile Workforce Forecast Update 2016-2022.","type":"book"},"uris":["http://www.mendeley.com/documents/?uuid=3c3bd5ae-e517-4074-86fd-2a6b3465a954"]}],"mendeley":{"formattedCitation":"(Luk, 2015)","plainTextFormattedCitation":"(Luk, 2015)","previouslyFormattedCitation":"(Luk 2015)"},"properties":{"noteIndex":0},"schema":"https://github.com/citation-style-language/schema/raw/master/csl-citation.json"}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(Luk, 2015)</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Sin embargo, cada día se demuestra que el trabajo remoto tiene otras implicancias para los trabajadores como lo son el riesgo de aislamiento social, de estrés, de la dificultad de diferenciar el trabajo de la vida personal, la influencia que debe tener el liderazgo para que mantengan sus niveles de compromiso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author":[{"dropping-particle":"","family":"Dechen","given":"T","non-dropping-particle":"","parse-names":false,"suffix":""},{"dropping-particle":"","family":"Wangyal","given":"S","non-dropping-particle":"","parse-names":false,"suffix":""},{"dropping-particle":"","family":"Tanimoto","given":"S","non-dropping-particle":"","parse-names":false,"suffix":""},{"dropping-particle":"","family":"Sato","given":"H","non-dropping-particle":"","parse-names":false,"suffix":""},{"dropping-particle":"","family":"Kanai","given":"A","non-dropping-particle":"","parse-names":false,"suffix":""}],"container-title":"Bulletin of Networking, Computing, Systems, and Software","id":"ITEM-1","issue":"1","issued":{"date-parts":[["2020"]]},"title":"A Preliminary Study of Risk Assessment of Mobile Workers for Improvement of Work-Life Balance","type":"article-journal","volume":"9"},"uris":["http://www.mendeley.com/documents/?uuid=61b81f61-3d13-38e1-bb97-6f47e6d4c169"]},{"id":"ITEM-2","itemData":{"DOI":"10.1177/0734371X18776049","ISSN":"0734-371X","abstract":"A substantial number of federal employees have been teleworking due to its perceived benefits—time and location flexibility and better balance between family and work. Yet, managing teleworkers in public organizations can be challenging due to the added expenses associated with monitoring remote workers. Also, the unforeseen drawbacks of remote work may decrease teleworker satisfaction with telework programs. Drawing on insights from the political economy of hierarchy and institution theories, this study examines whether leadership commitment to telework and performance-oriented culture matter for federal teleworker satisfaction with telework programs. It examines two-year datasets of the 2008 and 2015 Federal Employee Viewpoint Surveys. The findings show that leadership commitment to telework, performance-oriented culture, and the enactment of the 2010 Telework Enhancement Act all play significant roles in enhancing federal teleworker satisfaction with telework programs.","author":[{"dropping-particle":"","family":"Kwon","given":"Myungjung","non-dropping-particle":"","parse-names":false,"suffix":""},{"dropping-particle":"","family":"Jeon","given":"So Hee","non-dropping-particle":"","parse-names":false,"suffix":""}],"container-title":"Review of Public Personnel Administration","id":"ITEM-2","issue":"1","issued":{"date-parts":[["2020","3","28"]]},"page":"36-55","publisher":"SAGE Publications Inc.","title":"Do Leadership Commitment and Performance-Oriented Culture Matter for Federal Teleworker Satisfaction With Telework Programs?","type":"article-journal","volume":"40"},"uris":["http://www.mendeley.com/documents/?uuid=234f0b24-a224-3246-9aaf-c5529617e25d"]}],"mendeley":{"formattedCitation":"(Dechen, Wangyal, Tanimoto, Sato, &amp; Kanai, 2020; Kwon &amp; Jeon, 2020)","plainTextFormattedCitation":"(Dechen, Wangyal, Tanimoto, Sato, &amp; Kanai, 2020; Kwon &amp; Jeon, 2020)","previouslyFormattedCitation":"(Dechen et al. 2020; Kwon y Jeon 2020)"},"properties":{"noteIndex":0},"schema":"https://github.com/citation-style-language/schema/raw/master/csl-citation.json"}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(Dechen, Wangyal, Tanimoto, Sato, &amp; Kanai, 2020; Kwon &amp; Jeon, 2020)</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y  la necesidad que tienen los trabajadores del contacto social con sus compañeros de forma presencial</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{"citationItems":[{"id":"ITEM-1","itemData":{"abstract":"Organisations are enabling and encouraging the use of information technologies in work-related tasks. In Brazil, few organisations have implemented telework and some issues need to be discussed considering the Brazilian organisations' reality. Who is eligible to telework? What is the profile of the teleworker? How is telework evaluated from the viewpoint of teleworkers themselves? Thus, this paper examines the perception that Brazilian teleworkers have about the advantages and disadvantages of this labour regime. It determines which are the facilitators and obstacles of telecommuting within a large Brazilian organisation. The paper is based upon 67 structured questionnaires completed by Brazilian teleworkers. The findings show that some of the advantages are flexibility, greater family time and the lower displacement costs. The Brazilian teleworkers seem motivated with this kind of modality of work, although most people miss their daily social contact with co-workers. The effects of telecommuting must be investigated in later studies.","author":[{"dropping-particle":"","family":"Junior","given":"Francisco Antonio Coelho","non-dropping-particle":"","parse-names":false,"suffix":""},{"dropping-particle":"","family":"Faiad","given":"Cristiane","non-dropping-particle":"","parse-names":false,"suffix":""},{"dropping-particle":"","family":"Rego","given":"Mariana Carolina Barbosa","non-dropping-particle":"","parse-names":false,"suffix":""},{"dropping-particle":"","family":"Ramos","given":"Wilsa Maria","non-dropping-particle":"","parse-names":false,"suffix":""}],"container-title":"International Journal of Business Excellence","id":"ITEM-1","issue":"1","issued":{"date-parts":[["2020"]]},"page":"16-31","publisher":"Inderscience Enterprises Ltd","title":"What Brazilian workers think about flexible work and telework?","type":"article-journal","volume":"20"},"uris":["http://www.mendeley.com/documents/?uuid=723d16f6-1045-3840-be1e-8a04c21d33cd"]}],"mendeley":{"formattedCitation":"(Junior, Faiad, Rego, &amp; Ramos, 2020)","plainTextFormattedCitation":"(Junior, Faiad, Rego, &amp; Ramos, 2020)","previouslyFormattedCitation":"(Junior et al. 2020)"},"properties":{"noteIndex":0},"schema":"https://github.com/citation-style-language/schema/raw/master/csl-citation.json"}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(Junior, Faiad, Rego, &amp; Ramos, 2020)</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w:t>
      </w:r>
    </w:p>
    <w:p w:rsidR="00F37C94" w:rsidRPr="00275295" w:rsidRDefault="00F37C94" w:rsidP="00F37C94">
      <w:pPr>
        <w:pStyle w:val="spsinstrucciones"/>
        <w:ind w:firstLine="708"/>
        <w:rPr>
          <w:rFonts w:ascii="Times New Roman" w:hAnsi="Times New Roman" w:cs="Times New Roman"/>
          <w:b w:val="0"/>
          <w:color w:val="auto"/>
          <w:lang w:val="es-ES"/>
        </w:rPr>
      </w:pPr>
      <w:r w:rsidRPr="00275295">
        <w:rPr>
          <w:rFonts w:ascii="Times New Roman" w:hAnsi="Times New Roman" w:cs="Times New Roman"/>
          <w:b w:val="0"/>
          <w:color w:val="auto"/>
          <w:lang w:val="es-ES"/>
        </w:rPr>
        <w:t xml:space="preserve">En Chile, la necesidad de prevenir las enfermedades tanto físicas como profesionales son encargadas por entidades del estado que van buscando ciertas alternativas para mejorar la prevención de riesgos en ambos contextos. Si bien el Ministerio de Salud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{"citationItems":[{"id":"ITEM-1","itemData":{"abstract":"CVE 1307383 MINISTERIO DE SALUD APRUEBA ACTUALIZACIÓN DE PROTOCOLO DE VIGILANCIA DE RIESGO PSICOSOCIAL EN EL TRABAJO (Resolución) Núm. 1.433 exenta.-Santiago, 10 de noviembre de 2017. Vistos: Lo dispuesto en el artículo 82 del DFL 725 que aprueba el Código Sanitario; Art. 4 y 7 del DFL1/2005 del Ministerio de Salud; Artículo 65 y 68 de la Ley 16.744 sobre Accidentes del Trabajo y Enfermedades Profesionales; DS 594/1999 del Ministerio de Salud, que aprueba Reglamento sobre Condiciones Sanitarias y Ambientales Básicas en los Lugares de Trabajo; la resolución exenta 336/2013 del Ministerio de Salud, que aprobó Protocolo de Vigilancia de Riesgos Sicosociales en el Trabajo; Circular 3243/2016 de la Superintendencia de Seguridad Social, que Imparte Instrucciones a los organismos administradores del Seguro, sobre Metodología de evaluación e Intervención en Riesgo Psicosocial Laboral Circular 3244 / 2016 de la Superintendencia de Seguridad Social, que Imparte Instrucciones a los organismos administradores del Seguro, y entidades que participan en la administración del Régimen de Salud común para la calificación de patologías del artículo 77 bis de la Ley 16.744 sobre Metodología de Evaluación e Intervención en Riesgo Psicosocial Laboral; y lo dispuesto en la resolución 1600/2008 de Contraloría General de la República; Considerando: 1. Implementado el Protocolo de Vigilancia de Riesgos Sicosociales en el Trabajo en órganos públicos y órganos privados, desde el año 2013 a la fecha, es posible actualizarlo, según la experiencia adquirida en la identificación, evaluación y gestión del riesgo sicosocial laboral. 2. La sistematización de los datos resultantes, obtenidos de la aplicación del protocolo en organismos públicos y privados, que realizó la Superintendencia de Seguridad Social permite concluir tendencias, respecto del tipo de organización en donde ocurre el riesgo alto, mediano o bajo, desagregar por tamaño, rama de actividad del lugar. Además, ha sido posible diferenciar entre el tipo de conflicto que tensiona y genera el riesgo, y según el género del trabajador. 3. A su vez, la aplicación de este Protocolo muestra que se requiere avanzar en el glosario de definiciones, tanto porque algunas definiciones deben ser enriquecidas a partir de la evidencia empírica, como porque se requiere la incorporación de nuevas definiciones; además se requiere desarrollar la metodología para establecer el estándar mínimo de salud del ambiente laboral. 4. La necesidad de inco…","author":[{"dropping-particle":"De","family":"Chile","given":"Republica","non-dropping-particle":"","parse-names":false,"suffix":""}],"container-title":"Diario Oficial de la República de Chile","id":"ITEM-1","issued":{"date-parts":[["2017"]]},"page":"1-17","title":"Ministerio De Salud Aprueba Actualización De Protocolo De Vigilancia De Riesgo Psicosocial En El Trabajo","type":"article-journal"},"uris":["http://www.mendeley.com/documents/?uuid=5d264789-8ee9-35cd-a2ed-1eadd13ec30a"]}],"mendeley":{"formattedCitation":"(Chile, 2017)","plainTextFormattedCitation":"(Chile, 2017)","previouslyFormattedCitation":"(Chile 2017)"},"properties":{"noteIndex":0},"schema":"https://github.com/citation-style-language/schema/raw/master/csl-citation.json"}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(Chile, 2017)</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ha instruido la obligatoriedad de medir los factores psicosociales desde 2013 para ayudar en la gestión de las enfermedades profesionales, esta decisión no se ha visto reflejado en una baja en la cantidad de enfermedades profesionales asociadas a la salud mental por ahora. </w:t>
      </w:r>
    </w:p>
    <w:p w:rsidR="00F37C94" w:rsidRPr="00275295" w:rsidRDefault="00F37C94" w:rsidP="00F37C94">
      <w:pPr>
        <w:pStyle w:val="spsinstrucciones"/>
        <w:ind w:firstLine="708"/>
        <w:rPr>
          <w:rFonts w:ascii="Times New Roman" w:hAnsi="Times New Roman" w:cs="Times New Roman"/>
          <w:b w:val="0"/>
          <w:color w:val="auto"/>
          <w:lang w:val="es-ES"/>
        </w:rPr>
      </w:pPr>
      <w:r w:rsidRPr="00275295">
        <w:rPr>
          <w:rFonts w:ascii="Times New Roman" w:hAnsi="Times New Roman" w:cs="Times New Roman"/>
          <w:b w:val="0"/>
          <w:color w:val="auto"/>
          <w:lang w:val="es-ES"/>
        </w:rPr>
        <w:t xml:space="preserve">Todo el cambio que se preveía en los años anteriores se tuvo que acelerar en el contexto de pandemia que estamos viviendo en distintos países a nivel mundial. Muchos analistas y expertos en la materia señalan que han surgido algunas críticas al proceso de trabajo remoto ya que claramente se ve afectado por las condiciones mundiales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{"citationItems":[{"id":"ITEM-1","itemData":{"DOI":"10.1016/j.bbi.2020.03.032","ISSN":"10902139","PMID":"32240766","author":[{"dropping-particle":"","family":"Montemurro","given":"Nicola","non-dropping-particle":"","parse-names":false,"suffix":""}],"container-title":"Brain, Behavior, and Immunity","id":"ITEM-1","issued":{"date-parts":[["2020"]]},"page":"23","publisher":"Academic Press Inc.","title":"The emotional impact of COVID-19: From medical staff to common people","type":"article","volume":"87"},"uris":["http://www.mendeley.com/documents/?uuid=afc5f9ea-bf3a-36b9-bcb8-bc91bb54abb4"]},{"id":"ITEM-2","itemData":{"DOI":"10.1016/j.psychres.2020.112915","ISSN":"18727123","PMID":"32199182","abstract":"Background: : A novel form of Coronavirus (2019-nCoV) in Wuhan has created a confused and rapidly evolving situation. In this situational framework, patients and front-line healthcare workers are vulnerable. Method: : Studies were identified using large-circulation international journals found in two electronic databases: Scopus and Embase. Results: : Populations of patients that may require tailored interventions are older adults and international migrant workers. Older adults with psychiatric conditions may be experiencing further distress. The COVID-19 epidemic has underscored potential gaps in mental health services during emergencies. Conclusions: : Most health professionals working in isolation units and hospitals do not receive any training for providing mental health care. Fear seems more certainly a consequence of mass quarantine.","author":[{"dropping-particle":"","family":"Lima","given":"Carlos Kennedy Tavares","non-dropping-particle":"","parse-names":false,"suffix":""},{"dropping-particle":"","family":"Carvalho","given":"Poliana Moreira de Medeiros","non-dropping-particle":"","parse-names":false,"suffix":""},{"dropping-particle":"","family":"Lima","given":"Igor de Araújo Araruna Silva","non-dropping-particle":"","parse-names":false,"suffix":""},{"dropping-particle":"","family":"Nunes","given":"José Victor Alexandre de Oliveira","non-dropping-particle":"","parse-names":false,"suffix":""},{"dropping-particle":"","family":"Saraiva","given":"Jeferson Steves","non-dropping-particle":"","parse-names":false,"suffix":""},{"dropping-particle":"","family":"Souza","given":"Ricardo Inácio","non-dropping-particle":"de","parse-names":false,"suffix":""},{"dropping-particle":"","family":"Silva","given":"Claúdio Gleidiston Lima","non-dropping-particle":"da","parse-names":false,"suffix":""},{"dropping-particle":"","family":"Neto","given":"Modesto Leite Rolim","non-dropping-particle":"","parse-names":false,"suffix":""}],"container-title":"Psychiatry Research","id":"ITEM-2","issued":{"date-parts":[["2020","5","1"]]},"publisher":"Elsevier Ireland Ltd","title":"The emotional impact of Coronavirus 2019-nCoV (new Coronavirus disease)","type":"article-journal","volume":"287"},"uris":["http://www.mendeley.com/documents/?uuid=ab7534c3-439e-373c-93a2-f09bff289ada"]},{"id":"ITEM-3","itemData":{"DOI":"10.1016/j.psychres.2020.112958","ISSN":"18727123","PMID":"32283450","abstract":"We assess the health and wellbeing of normal adults living and working after one month of confinement to contain the COVID-19 outbreak in China. On Feb 20–21, 2020, we surveyed 369 adults in 64 cities in China that varied in their rates of confirmed coronavirus cases on their health conditions, distress and life satisfaction. 27% of the participants worked at the office, 38% resorted to working from home, and 25% stopped working due to the outbreak. Those who stopped working reported worse mental and physical health conditions as well as distress. The severity of COVID-19 in an individual's home city predicts their life satisfaction, and this relationship is contingent upon individuals’ existing chronic health issues and their hours of exercise. Our evidence supports the need to pay attention to the health of people who were not infected by the virus, especially for people who stopped working during the outbreak. Our results highlight that physically active people might be more susceptible to wellbeing issues during the lockdown. Policymakers who are considering introducing restrictive measures to contain COVID-19 may benefit from understanding such health and wellbeing implications.","author":[{"dropping-particle":"","family":"Zhang","given":"Stephen X.","non-dropping-particle":"","parse-names":false,"suffix":""},{"dropping-particle":"","family":"Wang","given":"Yifei","non-dropping-particle":"","parse-names":false,"suffix":""},{"dropping-particle":"","family":"Rauch","given":"Andreas","non-dropping-particle":"","parse-names":false,"suffix":""},{"dropping-particle":"","family":"Wei","given":"Feng","non-dropping-particle":"","parse-names":false,"suffix":""}],"container-title":"Psychiatry Research","id":"ITEM-3","issued":{"date-parts":[["2020","6","1"]]},"page":"112958","publisher":"Elsevier Ireland Ltd","title":"Unprecedented disruption of lives and work: Health, distress and life satisfaction of working adults in China one month into the COVID-19 outbreak","type":"article-journal","volume":"288"},"uris":["http://www.mendeley.com/documents/?uuid=fae62ce2-b13b-396f-bf02-83fc5dd1c895"]}],"mendeley":{"formattedCitation":"(Lima et al., 2020; Montemurro, 2020; Zhang, Wang, Rauch, &amp; Wei, 2020)","plainTextFormattedCitation":"(Lima et al., 2020; Montemurro, 2020; Zhang, Wang, Rauch, &amp; Wei, 2020)","previouslyFormattedCitation":"(Lima et al. 2020; Montemurro 2020; Zhang et al. 2020)"},"properties":{"noteIndex":0},"schema":"https://github.com/citation-style-language/schema/raw/master/csl-citation.json"}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(Lima et al., 2020; Montemurro, 2020; Zhang, Wang, Rauch, &amp; Wei, 2020)</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w:t>
      </w:r>
    </w:p>
    <w:p w:rsidR="00F37C94" w:rsidRPr="00275295" w:rsidRDefault="00F37C94" w:rsidP="00F37C94">
      <w:pPr>
        <w:pStyle w:val="spsinstrucciones"/>
        <w:ind w:firstLine="708"/>
        <w:rPr>
          <w:rFonts w:ascii="Times New Roman" w:hAnsi="Times New Roman" w:cs="Times New Roman"/>
          <w:b w:val="0"/>
          <w:color w:val="auto"/>
          <w:lang w:val="es-ES"/>
        </w:rPr>
      </w:pPr>
      <w:r w:rsidRPr="00275295">
        <w:rPr>
          <w:rFonts w:ascii="Times New Roman" w:hAnsi="Times New Roman" w:cs="Times New Roman"/>
          <w:b w:val="0"/>
          <w:color w:val="auto"/>
          <w:lang w:val="es-ES"/>
        </w:rPr>
        <w:t xml:space="preserve">Si bien el síndrome de burnout se asoció en un comienzo a las personas que trabajaban cercanas a gente (en particular profesores y personas relacionadas con la salud)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{"citationItems":[{"id":"ITEM-1","itemData":{"DOI":"10.1002/job.4030020205","ISSN":"10991379","abstract":"A scale designed to assess various aspects of the burnout syndrome was administered to a wide range of human services professionals. Three subscales emerged from the data analysis: emotional exhaustion, depersonalization, and personal accomplishment. Various psychometric analyses showed that the scale has both high reliability and validity as a measure of burnout. Copyright © 1981 John Wiley &amp; Sons, Ltd.","author":[{"dropping-particle":"","family":"Maslach","given":"Christina","non-dropping-particle":"","parse-names":false,"suffix":""},{"dropping-particle":"","family":"Jackson","given":"Susan E.","non-dropping-particle":"","parse-names":false,"suffix":""}],"container-title":"Journal of Organizational Behavior","id":"ITEM-1","issue":"2","issued":{"date-parts":[["1981","4","1"]]},"page":"99-113","publisher":"John Wiley &amp; Sons, Ltd","title":"The measurement of experienced burnout","type":"article-journal","volume":"2"},"uris":["http://www.mendeley.com/documents/?uuid=f1c70813-a500-3172-8f3e-43eafd1d301b"]}],"mendeley":{"formattedCitation":"(Maslach &amp; Jackson, 1981)","plainTextFormattedCitation":"(Maslach &amp; Jackson, 1981)","previouslyFormattedCitation":"(Maslach y Jackson 1981)"},"properties":{"noteIndex":0},"schema":"https://github.com/citation-style-language/schema/raw/master/csl-citation.json"}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(Maslach &amp; Jackson, 1981)</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se puede encontrar en evaluaciones en distintos tipos de servicios y tiene el mismo impacto en las personas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{"citationItems":[{"id":"ITEM-1","itemData":{"DOI":"10.1080/02678373.2019.1577312","ISSN":"14645335","abstract":"This study investigated the different effects of employee burnout dimensions (depersonalisation and emotional exhaustion) on customer service perceptions. We hypothesised that customers who interact with depersonalising employees will feel angry and hostile, which, in turn, should be related to low service perceptions. Emotional exhaustion was hypothesised to attenuate this effect because customers might perceive exhaustion as a reason for the depersonalising behaviour and may be affected less negatively. Each of the 156 study participants read 12 vignettes in which university employees displayed depersonalisation and emotional exhaustion symptoms. Multilevel analysis showed that employee depersonalisation negatively affected customer perceptions towards employee service and organisation service. Customer anger and hostility mediated this effect. Employee emotional exhaustion moderated the indirect effect such that depersonalisation had the strongest effect on customer service perceptions via anger and hostility when the employee did not display emotional exhaustion. Findings highlight the importance of studying the effects of depersonalisation and emotional exhaustion separately, and taking into account customer affective processes.","author":[{"dropping-particle":"","family":"Nesher Shoshan","given":"Hadar","non-dropping-particle":"","parse-names":false,"suffix":""},{"dropping-particle":"","family":"Sonnentag","given":"Sabine","non-dropping-particle":"","parse-names":false,"suffix":""}],"container-title":"Work and Stress","id":"ITEM-1","issue":"2","issued":{"date-parts":[["2020","4","2"]]},"page":"127-147","publisher":"Routledge","title":"The effects of employee burnout on customers: An experimental approach","type":"article-journal","volume":"34"},"uris":["http://www.mendeley.com/documents/?uuid=575d53dd-f930-39d0-bccc-b40ce7464c19"]},{"id":"ITEM-2","itemData":{"author":[{"dropping-particle":"","family":"Bricio","given":"Silvia","non-dropping-particle":"","parse-names":false,"suffix":""},{"dropping-particle":"","family":"Pacheco","given":"Gladys","non-dropping-particle":"","parse-names":false,"suffix":""}],"id":"ITEM-2","issued":{"date-parts":[["2019"]]},"publisher":"Universidad Técnica de Babahoyo","title":"Sindrome de burnout y su relación con el desempeño de las funciones de enfermeria en el Hospital General Martín Icaza de la ciudad de Babahoyo en los meses de octubre 2019 a febrero 2020","type":"thesis"},"uris":["http://www.mendeley.com/documents/?uuid=e3b87e3c-613d-3ea9-a090-631bd663c6a2"]},{"id":"ITEM-3","itemData":{"DOI":"10.1002/hfm.20821","ISSN":"1090-8471","abstract":"Technological advances within the work environment have dynamically changed the tools with which work is done and the methods applied for performing it, with a large amount of modern work being fast-paced and sedentary in nature, that is, being done seated in front of a computer screen. This study investigated the relationship between work intensity, workaholism, burnout, and musculoskeletal complaints (MSCs). The results of this study could assist organizations in gaining a clearer understanding of how each of these constructs influences the other, promoting a healthier, and ultimately more productive workforce. A cross-sectional research design was adopted and implemented by means of a survey amongst office employees within a large engineering services organization (n = 398). Structural equation modeling methods were applied to analyze the data. The results revealed that work intensity was positively related to workaholism and that workaholism was, in turn, also positively related to employees’ burnout and MSCs. Finally, burnout was also shown to be significantly related to MSCs. Awareness of these phenomena and the promotion of effort recovery is important to obviate the effects on employee health and well-being in the long term.","author":[{"dropping-particle":"","family":"Engelbrecht","given":"Gerhard J.","non-dropping-particle":"","parse-names":false,"suffix":""},{"dropping-particle":"","family":"Beer","given":"Leon T.","non-dropping-particle":"","parse-names":false,"suffix":""},{"dropping-particle":"","family":"Schaufeli","given":"Wilmar B.","non-dropping-particle":"","parse-names":false,"suffix":""}],"container-title":"Human Factors and Ergonomics in Manufacturing &amp; Service Industries","id":"ITEM-3","issue":"1","issued":{"date-parts":[["2020","1","23"]]},"page":"59-70","publisher":"John Wiley and Sons Inc.","title":"The relationships between work intensity, workaholism, burnout, and self‐reported musculoskeletal complaints","type":"article-journal","volume":"30"},"uris":["http://www.mendeley.com/documents/?uuid=6c22089e-6271-3c76-8fc3-44b4c31572e5"]}],"mendeley":{"formattedCitation":"(Bricio &amp; Pacheco, 2019; Engelbrecht, Beer, &amp; Schaufeli, 2020; Nesher Shoshan &amp; Sonnentag, 2020)","plainTextFormattedCitation":"(Bricio &amp; Pacheco, 2019; Engelbrecht, Beer, &amp; Schaufeli, 2020; Nesher Shoshan &amp; Sonnentag, 2020)","previouslyFormattedCitation":"(Bricio y Pacheco 2019; Engelbrecht, Beer, y Schaufeli 2020; Nesher Shoshan y Sonnentag 2020)"},"properties":{"noteIndex":0},"schema":"https://github.com/citation-style-language/schema/raw/master/csl-citation.json"}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(Bricio &amp; Pacheco, 2019; Engelbrecht, Beer, &amp; Schaufeli, 2020; Nesher Shoshan &amp; Sonnentag, 2020)</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Este se define como una respuesta que da el organismo a los factores estresantes y las demandas que tiene el trabajador que es caracterizado por tres dimensiones, agotamiento emocional, despersonalización y baja realización personal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{"citationItems":[{"id":"ITEM-1","itemData":{"DOI":"10.1146/annurev.psych.52.1.397","ISSN":"0066-4308","abstract":"Burnout is a prolonged response to chronic emotional and interpersonal stressors on the job, and is defined by the three dimensions of exhaustion, cynicism, and inefficacy. The past 25 years of research has established the complexity of the construct, and places the individual stress experience within a larger organizational context of people's relation to their work. Recently, the work on burnout has expanded internationally and has led to new conceptual models. The focus on engagement, the positive antithesis of burnout, promises to yield new perspectives on interventions to alleviate burnout. The social focus of burnout, the solid research basis concerning the syndrome, and its specific ties to the work domain make a distinct and valuable contribution to people's health and well-being.","author":[{"dropping-particle":"","family":"Maslach","given":"Christina","non-dropping-particle":"","parse-names":false,"suffix":""},{"dropping-particle":"","family":"Schaufeli","given":"Wilmar B.","non-dropping-particle":"","parse-names":false,"suffix":""},{"dropping-particle":"","family":"Leiter","given":"Michael P.","non-dropping-particle":"","parse-names":false,"suffix":""}],"container-title":"Annual Review of Psychology","id":"ITEM-1","issue":"1","issued":{"date-parts":[["2001","2","28"]]},"page":"397-422","publisher":"Annual Reviews","title":"Job Burnout","type":"article-journal","volume":"52"},"uris":["http://www.mendeley.com/documents/?uuid=ea63c04f-b82e-3263-927f-f4cccb7198aa"]}],"mendeley":{"formattedCitation":"(Maslach, Schaufeli, &amp; Leiter, 2001)","plainTextFormattedCitation":"(Maslach, Schaufeli, &amp; Leiter, 2001)","previouslyFormattedCitation":"(Maslach, Schaufeli, y Leiter 2001)"},"properties":{"noteIndex":0},"schema":"https://github.com/citation-style-language/schema/raw/master/csl-citation.json"}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(Maslach, Schaufeli, &amp; Leiter, 2001)</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El término se ha hispanizado y en España y Latinoamérica se ocupa síndrome de quemarse por el trabajo donde Gil Monte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{"citationItems":[{"id":"ITEM-1","itemData":{"author":[{"dropping-particle":"","family":"Gil-Monte","given":"Pedro R","non-dropping-particle":"","parse-names":false,"suffix":""},{"dropping-particle":"","family":"Carretero","given":"Noelia","non-dropping-particle":"","parse-names":false,"suffix":""}],"edition":"Pirámide","id":"ITEM-1","issued":{"date-parts":[["2005"]]},"page":"107-123","publisher-place":"Madrid","title":"Prevalencia del síndrome de quemarse por el trabajo","type":"article-journal","volume":"21"},"uris":["http://www.mendeley.com/documents/?uuid=20a6daeb-6f42-3306-8195-dfc7f1bde359"]}],"mendeley":{"formattedCitation":"(P. R. Gil-Monte &amp; Carretero, 2005)","plainTextFormattedCitation":"(P. R. Gil-Monte &amp; Carretero, 2005)","previouslyFormattedCitation":"(Gil-Monte y Carretero 2005)"},"properties":{"noteIndex":0},"schema":"https://github.com/citation-style-language/schema/raw/master/csl-citation.json"}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(P. R. Gil-Monte &amp; Carretero, 2005)</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lo define como la respuesta que tiene el individuo al estrés crónico que caracteriza a las personas que trabajan con otras personas. Este autor señala que el síndrome lo componen tres dimensiones, la ilusión por el trabajo, el desgaste psíquico y </w:t>
      </w:r>
      <w:r w:rsidRPr="00275295">
        <w:rPr>
          <w:rFonts w:ascii="Times New Roman" w:hAnsi="Times New Roman" w:cs="Times New Roman"/>
          <w:b w:val="0"/>
          <w:color w:val="auto"/>
          <w:lang w:val="es-ES"/>
        </w:rPr>
        <w:lastRenderedPageBreak/>
        <w:t xml:space="preserve">la indolencia siendo en algunos casos un síndrome que se presenta con culpa en los trabajadores. La presencia del síndrome tiene relación directa con distintas variables en los trabajadores, por ejemplo, el </w:t>
      </w:r>
      <w:proofErr w:type="spellStart"/>
      <w:r w:rsidRPr="00275295">
        <w:rPr>
          <w:rFonts w:ascii="Times New Roman" w:hAnsi="Times New Roman" w:cs="Times New Roman"/>
          <w:b w:val="0"/>
          <w:color w:val="auto"/>
          <w:lang w:val="es-ES"/>
        </w:rPr>
        <w:t>engagement</w:t>
      </w:r>
      <w:proofErr w:type="spellEnd"/>
      <w:r w:rsidRPr="00275295">
        <w:rPr>
          <w:rFonts w:ascii="Times New Roman" w:hAnsi="Times New Roman" w:cs="Times New Roman"/>
          <w:b w:val="0"/>
          <w:color w:val="auto"/>
          <w:lang w:val="es-ES"/>
        </w:rPr>
        <w:t xml:space="preserve">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{"citationItems":[{"id":"ITEM-1","itemData":{"DOI":"10.17081/psico.22.41.3311","ISSN":"0124-0137","abstract":"Objetivo: Conocer los indicadores de desgaste profesional y compromiso laboral en empleados públicos a partir del modelo burnout-engagement. Método: Investigación descriptiva-explicativa. Se trabajó con una muestra intencional (n=147) de empleados que cumplen tareas administrativas en un organismo público (Mendoza, Argentina). Los datos fueron recogidos mediante un cuestionario general sobre calidad de vida laboral, donde destaca la aplicación de dos pruebas psicométricas: el Maslach Burnout Inventory –General Survey y el Utrech Work Engagement Scale– UWES. Resultados: se presentan los principales resultados a nivel descriptivo y explicativo de los indicadores psicosociales sobre desgaste y compromiso laboral. A nivel bivariado el análisis muestra que ambos instrumentos se hallan altamente correlacionados en sus distintas subescalas. En un análisis por conglomerados de k media, se observa que un 25,8% de la muestra presenta elevados niveles de cansancio emocional y cinismo; mientras que el resto (74,2%) se caracteriza por altos niveles de eficacia profesional y engagement. Así, el modelo burnout/engagement permite identificar dos perfiles psicosociales coexistentes que explicarían los diferentes niveles de bienestar/malestar de los empleados. Conclusiones: Los resultados obtenidos son insumos relevantes en la construcción de estrategias orientadas a la prevención del desgaste laboral como riesgo psicosocial, al fortalecimiento del compromiso laboral y el fomento de la revalorización del empleo público.","author":[{"dropping-particle":"","family":"Marsollier","given":"Roxana Graciela","non-dropping-particle":"","parse-names":false,"suffix":""}],"container-title":"PSICOGENTE","id":"ITEM-1","issue":"41","issued":{"date-parts":[["2019"]]},"page":"1-18","title":"Análisis del modelo burnout-engagement en empleados públicos","type":"article-journal","volume":"22"},"uris":["http://www.mendeley.com/documents/?uuid=6578cb57-a159-35a0-9d02-9bf4d4f60a8e"]}],"mendeley":{"formattedCitation":"(Marsollier, 2019)","plainTextFormattedCitation":"(Marsollier, 2019)","previouslyFormattedCitation":"(Marsollier 2019)"},"properties":{"noteIndex":0},"schema":"https://github.com/citation-style-language/schema/raw/master/csl-citation.json"}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(Marsollier, 2019)</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satisfacción laboral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author":[{"dropping-particle":"","family":"Figueiredo-Ferraz","given":"H","non-dropping-particle":"","parse-names":false,"suffix":""},{"dropping-particle":"","family":"Grau-Alberola","given":"E","non-dropping-particle":"","parse-names":false,"suffix":""},{"dropping-particle":"","family":"Gil-Monte","given":"P","non-dropping-particle":"","parse-names":false,"suffix":""},{"dropping-particle":"","family":"Garcia-Juesas","given":"J","non-dropping-particle":"","parse-names":false,"suffix":""}],"container-title":"Psicothema","id":"ITEM-1","issue":"2","issued":{"date-parts":[["2012"]]},"page":"271-276","title":"Burnout and job satisfaction among nursing professionals","type":"article-journal","volume":"24"},"uris":["http://www.mendeley.com/documents/?uuid=5ad08d1a-91c3-35b3-9bf5-cb15fbce2529"]}],"mendeley":{"formattedCitation":"(Figueiredo-Ferraz, Grau-Alberola, Gil-Monte, &amp; Garcia-Juesas, 2012)","plainTextFormattedCitation":"(Figueiredo-Ferraz, Grau-Alberola, Gil-Monte, &amp; Garcia-Juesas, 2012)","previouslyFormattedCitation":"(Figueiredo-Ferraz et al. 2012)"},"properties":{"noteIndex":0},"schema":"https://github.com/citation-style-language/schema/raw/master/csl-citation.json"}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(Figueiredo-Ferraz, Grau-Alberola, Gil-Monte, &amp; Garcia-Juesas, 2012)</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e inclusive en los equipos donde los líderes presentan este síndrome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{"citationItems":[{"id":"ITEM-1","itemData":{"DOI":"10.1080/1359432X.2016.1167682","ISSN":"1359-432X","abstract":"The primary purpose of this 6-month two-wave longitudinal study among 104 Chinese leader–follower dyads is to investigate whether burnout could cross over from leaders to followers, and if so, whether this crossover process could be mediated by changes of followers’ job and personal resources. As expected, the structural equation modelling results show that after controlling for follower burnout at T1, leader burnout at T1 is negatively related to changes of followers’ job and personal resources over a period of 6 months, which in turn are negatively related to follower burnout at T2. Our longitudinal study has demonstrated that resource loss plays a mediating role in the crossover of burnout from leaders to followers. The implications of these findings for the intervention of burnout in the work context are discussed.","author":[{"dropping-particle":"","family":"Huang","given":"Jie","non-dropping-particle":"","parse-names":false,"suffix":""},{"dropping-particle":"","family":"Wang","given":"Yansong","non-dropping-particle":"","parse-names":false,"suffix":""},{"dropping-particle":"","family":"Wu","given":"Guoqiang","non-dropping-particle":"","parse-names":false,"suffix":""},{"dropping-particle":"","family":"You","given":"Xuqun","non-dropping-particle":"","parse-names":false,"suffix":""}],"container-title":"European Journal of Work and Organizational Psychology","id":"ITEM-1","issue":"6","issued":{"date-parts":[["2016","11","11"]]},"page":"849-861","publisher":"Routledge","title":"Crossover of burnout from leaders to followers: a longitudinal study","type":"article-journal","volume":"25"},"uris":["http://www.mendeley.com/documents/?uuid=02903b77-8077-36f2-adfa-15d3dd1fc04a"]}],"mendeley":{"formattedCitation":"(Huang, Wang, Wu, &amp; You, 2016)","plainTextFormattedCitation":"(Huang, Wang, Wu, &amp; You, 2016)","previouslyFormattedCitation":"(Huang et al. 2016)"},"properties":{"noteIndex":0},"schema":"https://github.com/citation-style-language/schema/raw/master/csl-citation.json"}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(Huang, Wang, Wu, &amp; You, 2016)</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w:t>
      </w:r>
    </w:p>
    <w:p w:rsidR="00F37C94" w:rsidRPr="00275295" w:rsidRDefault="00F37C94" w:rsidP="00F37C94">
      <w:pPr>
        <w:pStyle w:val="spsinstrucciones"/>
        <w:ind w:firstLine="708"/>
        <w:rPr>
          <w:rFonts w:ascii="Times New Roman" w:hAnsi="Times New Roman" w:cs="Times New Roman"/>
          <w:b w:val="0"/>
          <w:color w:val="auto"/>
          <w:lang w:val="es-ES"/>
        </w:rPr>
      </w:pPr>
      <w:r w:rsidRPr="00275295">
        <w:rPr>
          <w:rFonts w:ascii="Times New Roman" w:hAnsi="Times New Roman" w:cs="Times New Roman"/>
          <w:b w:val="0"/>
          <w:color w:val="auto"/>
          <w:lang w:val="es-ES"/>
        </w:rPr>
        <w:t xml:space="preserve">Por otro lado, los factores psicosociales son todas las condiciones que se presentan a los trabajadores y que tienen que ver con contenido, organización y ejecución dentro de la organización que desempeña sus tareas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{"citationItems":[{"id":"ITEM-1","itemData":{"DOI":"10.13140/2.1.2183.9040","abstract":"factores psicosociales","author":[{"dropping-particle":"","family":"Gil-Monte","given":"Pedro","non-dropping-particle":"","parse-names":false,"suffix":""}],"edition":"Piramide","id":"ITEM-1","issue":"June","issued":{"date-parts":[["2014"]]},"publisher-place":"Madrid","title":"Manual de psicosociología aplicada al trabajo y a la prevención de los riesgos laborales","type":"book","volume":"1"},"uris":["http://www.mendeley.com/documents/?uuid=efbe7146-456a-3037-8b18-778c6bec3fbd"]}],"mendeley":{"formattedCitation":"(P. Gil-Monte, 2014)","plainTextFormattedCitation":"(P. Gil-Monte, 2014)","previouslyFormattedCitation":"(Gil-Monte 2014)"},"properties":{"noteIndex":0},"schema":"https://github.com/citation-style-language/schema/raw/master/csl-citation.json"}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(P. Gil-Monte, 2014)</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Al final, el trabajador percibe los factores que plantea la organización (la autonomía que tiene para trabajar, el horario laboral, las decisiones relevantes, la carga del trabajo, entre otras) y esto puede afectar su propio desarrollo productivo, su calidad de vida laboral e inclusive su desarrollo personal y social. Se sabe que los riesgos psicosociales tienen un impacto directo en muchas variables importantes para el desarrollo y la productividad de los trabajadores como son, por ejemplo, la salud percibida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{"citationItems":[{"id":"ITEM-1","itemData":{"DOI":"10.9790/1959-0901015864","abstract":"Several studies reveal that, regardless of the type of profession or occupation that is being carried out, psychosocial risk factors impact health, being also detrimental to the productivity and competitiveness of the company (1). MethodologyThe present study is cross-sectional and correlational, with the objective of determining the prevalence of Psychosocial Risk Factors and their association with the general state of self-perceived health. 359 surveys were applied to workers of various professions and occupations of the economically active population (EAP) of Colombia, chosen at random. It is a non-representative sample. The instruments applied are; the scale of Psychosocial Factors at Work (2), and; Goldberg General Health Questionnaire (GHQ) abbreviated version of 30 items. (3).ResultsThe results show a high prevalence with 32.6% in the psychosocial labor requirements factor; However, the significant association risk factor that represents self-perceived mental health involvement is located with the Social Interaction and Organizational Aspects (p &lt;0.00, OR = 3.973) and the workload (p &lt;0.00, OR = 3.181). Conclusions. The study shows how the greatest emotional demands are the result of deficiencies in the design, organization and management of work, as well as the limited social context of work. These psychosocial factors can be prevented, which constitutes the challenge of conducting similar studies, focused on the empirical evidence of this phenomenon and thus generate efforts for a safe and healthy work culture.","author":[{"dropping-particle":"","family":"Refugio López Paloma","given":"Madel","non-dropping-particle":"","parse-names":false,"suffix":""},{"dropping-particle":"","family":"Adriana Rodríguez Paloma","given":"Sara","non-dropping-particle":"","parse-names":false,"suffix":""},{"dropping-particle":"","family":"Rodriguez López","given":"Adriana","non-dropping-particle":"","parse-names":false,"suffix":""},{"dropping-particle":"","family":"Pando Moreno","given":"Manuel","non-dropping-particle":"","parse-names":false,"suffix":""},{"dropping-particle":"","family":"Javier Maldonado Virgen","given":"Francisco","non-dropping-particle":"","parse-names":false,"suffix":""},{"dropping-particle":"","family":"Author","given":"Corresponding","non-dropping-particle":"","parse-names":false,"suffix":""},{"dropping-particle":"","family":"Refugio López Paloma","given":"MaDel","non-dropping-particle":"","parse-names":false,"suffix":""}],"container-title":"Issue 1 Ser. I","id":"ITEM-1","issued":{"date-parts":[["0"]]},"page":"58-64","title":"Psychosocial risk factors of labor origin and its relationship with the General health condition (self-perceived)","type":"article-journal","volume":"9"},"uris":["http://www.mendeley.com/documents/?uuid=c6e98ae4-da93-30d9-9dac-ddccfc6f6f54"]}],"mendeley":{"formattedCitation":"(Refugio López Paloma et al., s. f.)","plainTextFormattedCitation":"(Refugio López Paloma et al., s. f.)","previouslyFormattedCitation":"(Refugio López Paloma et al. s. f.)"},"properties":{"noteIndex":0},"schema":"https://github.com/citation-style-language/schema/raw/master/csl-citation.json"}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(Refugio López Paloma et al., s. f.)</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o el estrés, presentismo y </w:t>
      </w:r>
      <w:proofErr w:type="spellStart"/>
      <w:r w:rsidRPr="00275295">
        <w:rPr>
          <w:rFonts w:ascii="Times New Roman" w:hAnsi="Times New Roman" w:cs="Times New Roman"/>
          <w:b w:val="0"/>
          <w:color w:val="auto"/>
          <w:lang w:val="es-ES"/>
        </w:rPr>
        <w:t>engagement</w:t>
      </w:r>
      <w:proofErr w:type="spellEnd"/>
      <w:r w:rsidRPr="00275295">
        <w:rPr>
          <w:rFonts w:ascii="Times New Roman" w:hAnsi="Times New Roman" w:cs="Times New Roman"/>
          <w:b w:val="0"/>
          <w:color w:val="auto"/>
          <w:lang w:val="es-ES"/>
        </w:rPr>
        <w:t xml:space="preserve"> en el trabajo </w:t>
      </w:r>
      <w:r w:rsidRPr="00275295">
        <w:rPr>
          <w:rFonts w:ascii="Times New Roman" w:hAnsi="Times New Roman" w:cs="Times New Roman"/>
          <w:b w:val="0"/>
          <w:color w:val="auto"/>
          <w:lang w:val="es-ES"/>
        </w:rPr>
        <w:fldChar w:fldCharType="begin" w:fldLock="1"/>
      </w:r>
      <w:r>
        <w:rPr>
          <w:rFonts w:ascii="Times New Roman" w:hAnsi="Times New Roman" w:cs="Times New Roman"/>
          <w:b w:val="0"/>
          <w:color w:val="auto"/>
          <w:lang w:val="es-ES"/>
        </w:rPr>
        <w:instrText>ADDIN CSL_CITATION {"citationItems":[{"id":"ITEM-1","itemData":{"DOI":"10.1097/HMR.0000000000000207","ISSN":"15505030","PMID":"29957704","abstract":"BACKGROUND: The high prevalence of burnout and depression among doctors highlights the need to understand the psychosocial antecedents to their work-related well-being. However, much of the existing research has been atheoretical, operationalized a narrow measurement of well-being, and predominantly examined such relationships at the individual level. PURPOSE: This study uses a multilevel perspective to examine individual (i.e., job demands and resources) and organizational-level psychosocial predictors of three measures of work-related well-being: perceived stress, presenteeism, and work engagement. The job demands-resources theory underpins the postulated relationships. METHODOLOGY: The 2014 National Health Service Staff Survey was analyzed using multilevel modeling in MPlus. The data set involved 14,066 hospital-based doctors grouped into 157 English hospital organizations (i.e., Trusts). RESULTS: Congruent with job demands-resources theory, job demands (workplace aggression and insufficient work resources) were stronger predictors of perceived stress and presenteeism than job resources. Equally, job resources (job control and manager support) were generally stronger predictors of work engagement than job demands. At the organizational level, bed occupancy rates and number of emergency admissions predicted work engagement. No hypothesized individual or multilevel interactions were observed between any of the job demands and resources. PRACTICAL IMPLICATIONS: The findings emphasize that a broader perspective of work-related well-being among hospital doctors should be employed and the empirical value of examining such relationships from a multilevel perspective. Successful health intervention should target the appropriate antecedent pathway and recognize the role of organizational-level factors when trying to manage hospital doctors' work-related well-being.","author":[{"dropping-particle":"","family":"Teoh","given":"Kevin R.H.","non-dropping-particle":"","parse-names":false,"suffix":""},{"dropping-particle":"","family":"Hassard","given":"Juliet","non-dropping-particle":"","parse-names":false,"suffix":""},{"dropping-particle":"","family":"Cox","given":"Tom","non-dropping-particle":"","parse-names":false,"suffix":""}],"container-title":"Health care management review","id":"ITEM-1","issue":"2","issued":{"date-parts":[["2020","4","1"]]},"page":"162-172","publisher":"NLM (Medline)","title":"Individual and organizational psychosocial predictors of hospital doctors' work-related well-being: A multilevel and moderation perspective","type":"article-journal","volume":"45"},"uris":["http://www.mendeley.com/documents/?uuid=592b990a-1ee7-3015-90d5-dfb1483ec4f6"]}],"mendeley":{"formattedCitation":"(Teoh, Hassard, &amp; Cox, 2020)","plainTextFormattedCitation":"(Teoh, Hassard, &amp; Cox, 2020)","previouslyFormattedCitation":"(Teoh, Hassard, y Cox 2020)"},"properties":{"noteIndex":0},"schema":"https://github.com/citation-style-language/schema/raw/master/csl-citation.json"}</w:instrText>
      </w:r>
      <w:r w:rsidRPr="00275295">
        <w:rPr>
          <w:rFonts w:ascii="Times New Roman" w:hAnsi="Times New Roman" w:cs="Times New Roman"/>
          <w:b w:val="0"/>
          <w:color w:val="auto"/>
          <w:lang w:val="es-ES"/>
        </w:rPr>
        <w:fldChar w:fldCharType="separate"/>
      </w:r>
      <w:r w:rsidRPr="006869BC">
        <w:rPr>
          <w:rFonts w:ascii="Times New Roman" w:hAnsi="Times New Roman" w:cs="Times New Roman"/>
          <w:b w:val="0"/>
          <w:noProof/>
          <w:color w:val="auto"/>
          <w:lang w:val="es-ES"/>
        </w:rPr>
        <w:t>(Teoh, Hassard, &amp; Cox, 2020)</w:t>
      </w:r>
      <w:r w:rsidRPr="00275295">
        <w:rPr>
          <w:rFonts w:ascii="Times New Roman" w:hAnsi="Times New Roman" w:cs="Times New Roman"/>
          <w:b w:val="0"/>
          <w:color w:val="auto"/>
          <w:lang w:val="es-ES"/>
        </w:rPr>
        <w:fldChar w:fldCharType="end"/>
      </w:r>
      <w:r w:rsidRPr="00275295">
        <w:rPr>
          <w:rFonts w:ascii="Times New Roman" w:hAnsi="Times New Roman" w:cs="Times New Roman"/>
          <w:b w:val="0"/>
          <w:color w:val="auto"/>
          <w:lang w:val="es-ES"/>
        </w:rPr>
        <w:t xml:space="preserve">. </w:t>
      </w:r>
    </w:p>
    <w:p w:rsidR="00F37C94" w:rsidRPr="00275295" w:rsidRDefault="00F37C94" w:rsidP="00F37C94">
      <w:pPr>
        <w:pStyle w:val="spsinstrucciones"/>
        <w:ind w:firstLine="708"/>
        <w:rPr>
          <w:rFonts w:ascii="Times New Roman" w:hAnsi="Times New Roman" w:cs="Times New Roman"/>
        </w:rPr>
      </w:pPr>
      <w:r w:rsidRPr="00275295">
        <w:rPr>
          <w:rFonts w:ascii="Times New Roman" w:hAnsi="Times New Roman" w:cs="Times New Roman"/>
          <w:b w:val="0"/>
          <w:color w:val="auto"/>
          <w:lang w:val="es-ES"/>
        </w:rPr>
        <w:t xml:space="preserve">El objetivo del presente estudio comparar variables que se asocian directamente con la calidad de vida de los trabajadores como lo son el síndrome de quemarse por el trabajo y los factores psicosociales con sus factores de demanda y recursos entre dos grupos de trabajadores de empresas de servicios que en el momento de la evaluación tenían trabajo remoto y trabajo presencial para ver si existen diferencias en la forma que se explica el síndrome de quemarse por el trabajo a través de los factores psicosociales. </w:t>
      </w:r>
    </w:p>
    <w:p w:rsidR="00F37C94" w:rsidRDefault="00F37C94" w:rsidP="00F37C94">
      <w:pPr>
        <w:pStyle w:val="spstitsecc1"/>
        <w:rPr>
          <w:rFonts w:ascii="Times New Roman" w:hAnsi="Times New Roman" w:cs="Times New Roman"/>
          <w:sz w:val="24"/>
        </w:rPr>
      </w:pPr>
    </w:p>
    <w:p w:rsidR="00F37C94" w:rsidRPr="00275295" w:rsidRDefault="00F37C94" w:rsidP="00F37C94">
      <w:pPr>
        <w:pStyle w:val="spstitsecc1"/>
        <w:rPr>
          <w:rFonts w:ascii="Times New Roman" w:hAnsi="Times New Roman" w:cs="Times New Roman"/>
          <w:sz w:val="24"/>
        </w:rPr>
      </w:pPr>
      <w:r w:rsidRPr="00275295">
        <w:rPr>
          <w:rFonts w:ascii="Times New Roman" w:hAnsi="Times New Roman" w:cs="Times New Roman"/>
          <w:sz w:val="24"/>
        </w:rPr>
        <w:t xml:space="preserve">Métodos </w:t>
      </w:r>
    </w:p>
    <w:p w:rsidR="00F37C94" w:rsidRDefault="00F37C94" w:rsidP="00F37C94">
      <w:pPr>
        <w:pStyle w:val="spslineablanca"/>
        <w:rPr>
          <w:rFonts w:ascii="Times New Roman" w:hAnsi="Times New Roman" w:cs="Times New Roman"/>
        </w:rPr>
      </w:pPr>
    </w:p>
    <w:p w:rsidR="00F37C94" w:rsidRPr="00E92390" w:rsidRDefault="00F37C94" w:rsidP="00F37C94">
      <w:pPr>
        <w:pStyle w:val="spslineablanca"/>
        <w:rPr>
          <w:rFonts w:ascii="Times New Roman" w:hAnsi="Times New Roman" w:cs="Times New Roman"/>
          <w:b/>
          <w:color w:val="auto"/>
        </w:rPr>
      </w:pPr>
      <w:r w:rsidRPr="00E92390">
        <w:rPr>
          <w:rFonts w:ascii="Times New Roman" w:hAnsi="Times New Roman" w:cs="Times New Roman"/>
          <w:b/>
          <w:color w:val="auto"/>
        </w:rPr>
        <w:t>Participantes</w:t>
      </w:r>
    </w:p>
    <w:p w:rsidR="00F37C94" w:rsidRDefault="00F37C94" w:rsidP="00F37C94">
      <w:pPr>
        <w:ind w:firstLine="708"/>
        <w:rPr>
          <w:rFonts w:ascii="Times New Roman" w:hAnsi="Times New Roman" w:cs="Times New Roman"/>
          <w:color w:val="000000"/>
        </w:rPr>
      </w:pPr>
      <w:r w:rsidRPr="00275295">
        <w:rPr>
          <w:rFonts w:ascii="Times New Roman" w:hAnsi="Times New Roman" w:cs="Times New Roman"/>
        </w:rPr>
        <w:t xml:space="preserve">Se eligió un muestreo no probabilístico del tipo accidental </w:t>
      </w:r>
      <w:r>
        <w:rPr>
          <w:rFonts w:ascii="Times New Roman" w:hAnsi="Times New Roman" w:cs="Times New Roman"/>
        </w:rPr>
        <w:t>donde se invitaba a todos los trabajadores a participar. Las empresas elegidas eran</w:t>
      </w:r>
      <w:r w:rsidRPr="00275295">
        <w:rPr>
          <w:rFonts w:ascii="Times New Roman" w:hAnsi="Times New Roman" w:cs="Times New Roman"/>
        </w:rPr>
        <w:t xml:space="preserve"> dedicadas al comercio particularmente </w:t>
      </w:r>
      <w:r>
        <w:rPr>
          <w:rFonts w:ascii="Times New Roman" w:hAnsi="Times New Roman" w:cs="Times New Roman"/>
        </w:rPr>
        <w:t xml:space="preserve">servicios de </w:t>
      </w:r>
      <w:proofErr w:type="spellStart"/>
      <w:r w:rsidRPr="00275295">
        <w:rPr>
          <w:rFonts w:ascii="Times New Roman" w:hAnsi="Times New Roman" w:cs="Times New Roman"/>
        </w:rPr>
        <w:t>retail</w:t>
      </w:r>
      <w:proofErr w:type="spellEnd"/>
      <w:r w:rsidRPr="00275295">
        <w:rPr>
          <w:rFonts w:ascii="Times New Roman" w:hAnsi="Times New Roman" w:cs="Times New Roman"/>
        </w:rPr>
        <w:t xml:space="preserve"> y de servicios de tecnología. Se realizó la evaluación durante el mes de abril 2020</w:t>
      </w:r>
      <w:r w:rsidRPr="00275295">
        <w:rPr>
          <w:rFonts w:ascii="Times New Roman" w:hAnsi="Times New Roman" w:cs="Times New Roman"/>
          <w:color w:val="000000"/>
        </w:rPr>
        <w:t xml:space="preserve"> a través de plataformas digitales.</w:t>
      </w:r>
    </w:p>
    <w:p w:rsidR="00F37C94" w:rsidRPr="00275295" w:rsidRDefault="00F37C94" w:rsidP="00F37C94">
      <w:pPr>
        <w:ind w:firstLine="708"/>
        <w:rPr>
          <w:rFonts w:ascii="Times New Roman" w:hAnsi="Times New Roman" w:cs="Times New Roman"/>
        </w:rPr>
      </w:pPr>
      <w:r w:rsidRPr="00275295">
        <w:rPr>
          <w:rFonts w:ascii="Times New Roman" w:hAnsi="Times New Roman" w:cs="Times New Roman"/>
        </w:rPr>
        <w:t>Participaron 884 personas, de las cuales son 508 hombres (57,5%) y 352 mujeres que representan al 39,8% de los encuestados. En función de su jornada de trabajo, la gran mayoría presenta jornada completa (71,9%), seguido por jornada flexible (21,3%), jornada parcial (2,7%) y jornada consistente en turnos (1,8%). Por último, en los participantes se encuentran 348 personas que están actualmente trabajando</w:t>
      </w:r>
      <w:r>
        <w:rPr>
          <w:rFonts w:ascii="Times New Roman" w:hAnsi="Times New Roman" w:cs="Times New Roman"/>
        </w:rPr>
        <w:t xml:space="preserve"> por razón de la pandemia</w:t>
      </w:r>
      <w:r w:rsidRPr="00275295">
        <w:rPr>
          <w:rFonts w:ascii="Times New Roman" w:hAnsi="Times New Roman" w:cs="Times New Roman"/>
        </w:rPr>
        <w:t xml:space="preserve"> de forma remota (39,4%) y 536 personas que trabajan de forma presencial en sus oficinas o puestos normales de trabajo (60,6%).</w:t>
      </w:r>
      <w:r>
        <w:rPr>
          <w:rFonts w:ascii="Times New Roman" w:hAnsi="Times New Roman" w:cs="Times New Roman"/>
        </w:rPr>
        <w:t xml:space="preserve"> </w:t>
      </w:r>
    </w:p>
    <w:p w:rsidR="00F37C94" w:rsidRPr="00275295" w:rsidRDefault="00F37C94" w:rsidP="00F37C94">
      <w:pPr>
        <w:ind w:firstLine="708"/>
        <w:rPr>
          <w:rFonts w:ascii="Times New Roman" w:hAnsi="Times New Roman" w:cs="Times New Roman"/>
        </w:rPr>
      </w:pPr>
      <w:r w:rsidRPr="00275295">
        <w:rPr>
          <w:rFonts w:ascii="Times New Roman" w:hAnsi="Times New Roman" w:cs="Times New Roman"/>
        </w:rPr>
        <w:t>Para describir brevemente los dos grupos del estudio, las personas que trabajan de forma remota fueron un 52% hombres y 48% mujeres y el grupo de trabajo presencial se distribuye con 64% hombres y 36% mujeres. La edad promedio en el grupo de trabajo remoto es 38 años y en el de trabajo presencial es 36 años.</w:t>
      </w:r>
    </w:p>
    <w:p w:rsidR="00F37C94" w:rsidRDefault="00F37C94" w:rsidP="00F37C94">
      <w:pPr>
        <w:rPr>
          <w:rFonts w:ascii="Times New Roman" w:hAnsi="Times New Roman" w:cs="Times New Roman"/>
        </w:rPr>
      </w:pPr>
    </w:p>
    <w:p w:rsidR="00F37C94" w:rsidRDefault="00F37C94" w:rsidP="00F37C94">
      <w:pPr>
        <w:rPr>
          <w:rFonts w:ascii="Times New Roman" w:hAnsi="Times New Roman" w:cs="Times New Roman"/>
        </w:rPr>
      </w:pPr>
    </w:p>
    <w:p w:rsidR="00F37C94" w:rsidRDefault="00F37C94" w:rsidP="00F37C94">
      <w:pPr>
        <w:rPr>
          <w:rFonts w:ascii="Times New Roman" w:hAnsi="Times New Roman" w:cs="Times New Roman"/>
        </w:rPr>
      </w:pPr>
    </w:p>
    <w:p w:rsidR="00F37C94" w:rsidRPr="00E92390" w:rsidRDefault="00F37C94" w:rsidP="00F37C94">
      <w:pPr>
        <w:rPr>
          <w:rFonts w:ascii="Times New Roman" w:hAnsi="Times New Roman" w:cs="Times New Roman"/>
          <w:b/>
        </w:rPr>
      </w:pPr>
      <w:r w:rsidRPr="00E92390">
        <w:rPr>
          <w:rFonts w:ascii="Times New Roman" w:hAnsi="Times New Roman" w:cs="Times New Roman"/>
          <w:b/>
        </w:rPr>
        <w:t>Instrumentos</w:t>
      </w:r>
    </w:p>
    <w:p w:rsidR="00F37C94" w:rsidRPr="00275295" w:rsidRDefault="00F37C94" w:rsidP="00F37C94">
      <w:pPr>
        <w:pStyle w:val="spslineablanca"/>
        <w:rPr>
          <w:rFonts w:ascii="Times New Roman" w:hAnsi="Times New Roman" w:cs="Times New Roman"/>
          <w:color w:val="000000"/>
          <w:lang w:val="es-ES"/>
        </w:rPr>
      </w:pPr>
      <w:r w:rsidRPr="00275295">
        <w:rPr>
          <w:rFonts w:ascii="Times New Roman" w:hAnsi="Times New Roman" w:cs="Times New Roman"/>
          <w:color w:val="000000"/>
          <w:lang w:val="es-ES"/>
        </w:rPr>
        <w:t xml:space="preserve">Para recoger los datos se ha dividido el instrumento en una parte para levantar la información sobre aspectos sociodemográficos descritos en el apartado anterior (sexo, edad, tipo de jornada de trabajo, acceso al trabajo remoto) y la segunda parte sobre las variables </w:t>
      </w:r>
      <w:r>
        <w:rPr>
          <w:rFonts w:ascii="Times New Roman" w:hAnsi="Times New Roman" w:cs="Times New Roman"/>
          <w:color w:val="000000"/>
          <w:lang w:val="es-ES"/>
        </w:rPr>
        <w:t>d</w:t>
      </w:r>
      <w:r w:rsidRPr="00275295">
        <w:rPr>
          <w:rFonts w:ascii="Times New Roman" w:hAnsi="Times New Roman" w:cs="Times New Roman"/>
          <w:color w:val="000000"/>
          <w:lang w:val="es-ES"/>
        </w:rPr>
        <w:t xml:space="preserve">el síndrome de quemarse por el trabajo y el cuestionario de factores psicosociales de la batería UNIPSICO. </w:t>
      </w:r>
    </w:p>
    <w:p w:rsidR="00F37C94" w:rsidRPr="00275295" w:rsidRDefault="00F37C94" w:rsidP="00F37C94">
      <w:pPr>
        <w:pStyle w:val="spslineablanca"/>
        <w:rPr>
          <w:rFonts w:ascii="Times New Roman" w:hAnsi="Times New Roman" w:cs="Times New Roman"/>
          <w:color w:val="000000"/>
          <w:lang w:val="es-ES"/>
        </w:rPr>
      </w:pPr>
      <w:r w:rsidRPr="00275295">
        <w:rPr>
          <w:rFonts w:ascii="Times New Roman" w:hAnsi="Times New Roman" w:cs="Times New Roman"/>
          <w:color w:val="000000"/>
          <w:lang w:val="es-ES"/>
        </w:rPr>
        <w:t>Para evaluar el síndrome de quemarse por el trabajo se utilizó el Cuestionario para la Evaluación del Síndrome de Quemarse por el trabajo (CESQT) elaborado por Gil-Monte</w:t>
      </w:r>
      <w:r w:rsidRPr="00275295">
        <w:rPr>
          <w:rFonts w:ascii="Times New Roman" w:hAnsi="Times New Roman" w:cs="Times New Roman"/>
          <w:color w:val="000000"/>
          <w:lang w:val="es-ES"/>
        </w:rPr>
        <w:fldChar w:fldCharType="begin" w:fldLock="1"/>
      </w:r>
      <w:r>
        <w:rPr>
          <w:rFonts w:ascii="Times New Roman" w:hAnsi="Times New Roman" w:cs="Times New Roman"/>
          <w:color w:val="000000"/>
          <w:lang w:val="es-ES"/>
        </w:rPr>
        <w:instrText>ADDIN CSL_CITATION {"citationItems":[{"id":"ITEM-1","itemData":{"abstract":"El CESQT es un instrumento breve de autoinforme que evalúa el síndrome de quemarse por el trabajo (SQT), o burnout, entendido como una respuesta al estrés laboral crónico que se origina en los profesionales dedicados a los servicios cuya actividad se desarrolla atendiendo a otras personas (sanidad, educación, ventas, etc.). Se ofrecen puntuaciones en cuatro escalas: Ilusión por el trabajo, Desgaste psíquico, Indolencia y Culpa. Las tres primeras dan lugar a una puntuación global de SQT y la escala Culpa permite diferenciar entre dos perrles (con culpa y sin culpa) que llevan aparejados consecuencias distintas para la persona. Además se ofrece una versión alternativa del instrumento, Desencanto profesional, dirigida a otros profesionales que no se dedican a los servicios o a la atención a personas. En esta versión se reemplaza la escala Indolencia por Desencanto, que evalúa las actitudes negativas del individuo hacia la actividad que realiza y hacia la organización. A la vanguardia de la evaluación psicológica","author":[{"dropping-particle":"","family":"Gil-Monte","given":"Pedro","non-dropping-particle":"","parse-names":false,"suffix":""}],"id":"ITEM-1","issued":{"date-parts":[["2011"]]},"number-of-pages":"1-17","title":"Cuestionario para la Evaluación del Síndrome de Quemarse por el Trabajo","type":"report"},"uris":["http://www.mendeley.com/documents/?uuid=a1cb0645-64e8-3227-afea-de40133aac9a"]}],"mendeley":{"formattedCitation":"(P. Gil-Monte, 2011)","plainTextFormattedCitation":"(P. Gil-Monte, 2011)","previouslyFormattedCitation":"(Gil-Monte 2011)"},"properties":{"noteIndex":0},"schema":"https://github.com/citation-style-language/schema/raw/master/csl-citation.json"}</w:instrText>
      </w:r>
      <w:r w:rsidRPr="00275295">
        <w:rPr>
          <w:rFonts w:ascii="Times New Roman" w:hAnsi="Times New Roman" w:cs="Times New Roman"/>
          <w:color w:val="000000"/>
          <w:lang w:val="es-ES"/>
        </w:rPr>
        <w:fldChar w:fldCharType="separate"/>
      </w:r>
      <w:r w:rsidRPr="006869BC">
        <w:rPr>
          <w:rFonts w:ascii="Times New Roman" w:hAnsi="Times New Roman" w:cs="Times New Roman"/>
          <w:noProof/>
          <w:color w:val="000000"/>
          <w:lang w:val="es-ES"/>
        </w:rPr>
        <w:t>(P. Gil-Monte, 2011)</w:t>
      </w:r>
      <w:r w:rsidRPr="00275295">
        <w:rPr>
          <w:rFonts w:ascii="Times New Roman" w:hAnsi="Times New Roman" w:cs="Times New Roman"/>
          <w:color w:val="000000"/>
          <w:lang w:val="es-ES"/>
        </w:rPr>
        <w:fldChar w:fldCharType="end"/>
      </w:r>
      <w:r w:rsidRPr="00275295">
        <w:rPr>
          <w:rFonts w:ascii="Times New Roman" w:hAnsi="Times New Roman" w:cs="Times New Roman"/>
          <w:color w:val="000000"/>
          <w:lang w:val="es-ES"/>
        </w:rPr>
        <w:t>. Este instrumento consta de 20 ítems que se distribuyen en cuatro dimensiones: Ilusión en el trabajo (5 ítems, α= 0,87), Desgaste psíquico (4 ítems, α= 0,88), Indolencia (6 ítems, α= 0,83) y Culpa (5 ítems, α= 0,75). Los ítems del instrumento van de 0 (Nunca) a 4 (Muy frecuentemente, todos los días). Se considera que existe presencia de dicho síndrome cuando el individuo tiene puntuaciones altas en desgaste psíquico e indolencia (mayor que 2) y bajas en ilusión por el trabajo (igual o inferior que 2). Se considera cuando todo esto se le suma puntajes altos (mayor que 2) en sentimientos de culpa.</w:t>
      </w:r>
    </w:p>
    <w:p w:rsidR="00F37C94" w:rsidRPr="00275295" w:rsidRDefault="00F37C94" w:rsidP="00F37C94">
      <w:pPr>
        <w:pStyle w:val="spslineablanca"/>
        <w:rPr>
          <w:rFonts w:ascii="Times New Roman" w:hAnsi="Times New Roman" w:cs="Times New Roman"/>
          <w:color w:val="000000"/>
          <w:lang w:val="es-ES"/>
        </w:rPr>
      </w:pPr>
      <w:r w:rsidRPr="00275295">
        <w:rPr>
          <w:rFonts w:ascii="Times New Roman" w:hAnsi="Times New Roman" w:cs="Times New Roman"/>
          <w:color w:val="000000"/>
          <w:lang w:val="es-ES"/>
        </w:rPr>
        <w:t xml:space="preserve">En la evaluación de los factores psicosociales se utilizó los factores correspondientes a demanda </w:t>
      </w:r>
      <w:r w:rsidRPr="00275295">
        <w:rPr>
          <w:rFonts w:ascii="Times New Roman" w:hAnsi="Times New Roman" w:cs="Times New Roman"/>
          <w:color w:val="000000"/>
          <w:lang w:val="es-ES"/>
        </w:rPr>
        <w:fldChar w:fldCharType="begin" w:fldLock="1"/>
      </w:r>
      <w:r>
        <w:rPr>
          <w:rFonts w:ascii="Times New Roman" w:hAnsi="Times New Roman" w:cs="Times New Roman"/>
          <w:color w:val="000000"/>
          <w:lang w:val="es-ES"/>
        </w:rPr>
        <w:instrText>ADDIN CSL_CITATION {"citationItems":[{"id":"ITEM-1","itemData":{"DOI":"10.12961/aprl.2016.19.02.2","ISSN":"1578-2549","author":[{"dropping-particle":"","family":"Gil-Monte","given":"Pedro","non-dropping-particle":"","parse-names":false,"suffix":""}],"container-title":"Archivos de Prevención de Riesgos Laborales","id":"ITEM-1","issue":"2","issued":{"date-parts":[["2016","4","1"]]},"page":"86-94","publisher":"Societat Catalana de Salut Laboral","title":"The UNIPSICO questionnaire: psychometric properties of the scales measuring psychosocial demands","type":"article-journal","volume":"19"},"uris":["http://www.mendeley.com/documents/?uuid=5a9b6338-d62a-3594-a10d-f97417fe3aa9"]}],"mendeley":{"formattedCitation":"(P. Gil-Monte, 2016a)","plainTextFormattedCitation":"(P. Gil-Monte, 2016a)","previouslyFormattedCitation":"(Gil-Monte 2016a)"},"properties":{"noteIndex":0},"schema":"https://github.com/citation-style-language/schema/raw/master/csl-citation.json"}</w:instrText>
      </w:r>
      <w:r w:rsidRPr="00275295">
        <w:rPr>
          <w:rFonts w:ascii="Times New Roman" w:hAnsi="Times New Roman" w:cs="Times New Roman"/>
          <w:color w:val="000000"/>
          <w:lang w:val="es-ES"/>
        </w:rPr>
        <w:fldChar w:fldCharType="separate"/>
      </w:r>
      <w:r w:rsidRPr="006869BC">
        <w:rPr>
          <w:rFonts w:ascii="Times New Roman" w:hAnsi="Times New Roman" w:cs="Times New Roman"/>
          <w:noProof/>
          <w:color w:val="000000"/>
          <w:lang w:val="es-ES"/>
        </w:rPr>
        <w:t>(P. Gil-Monte, 2016a)</w:t>
      </w:r>
      <w:r w:rsidRPr="00275295">
        <w:rPr>
          <w:rFonts w:ascii="Times New Roman" w:hAnsi="Times New Roman" w:cs="Times New Roman"/>
          <w:color w:val="000000"/>
          <w:lang w:val="es-ES"/>
        </w:rPr>
        <w:fldChar w:fldCharType="end"/>
      </w:r>
      <w:r w:rsidRPr="00275295">
        <w:rPr>
          <w:rFonts w:ascii="Times New Roman" w:hAnsi="Times New Roman" w:cs="Times New Roman"/>
          <w:color w:val="000000"/>
          <w:lang w:val="es-ES"/>
        </w:rPr>
        <w:t xml:space="preserve"> y recursos </w:t>
      </w:r>
      <w:r w:rsidRPr="00275295">
        <w:rPr>
          <w:rFonts w:ascii="Times New Roman" w:hAnsi="Times New Roman" w:cs="Times New Roman"/>
          <w:color w:val="000000"/>
          <w:lang w:val="es-ES"/>
        </w:rPr>
        <w:fldChar w:fldCharType="begin" w:fldLock="1"/>
      </w:r>
      <w:r>
        <w:rPr>
          <w:rFonts w:ascii="Times New Roman" w:hAnsi="Times New Roman" w:cs="Times New Roman"/>
          <w:color w:val="000000"/>
          <w:lang w:val="es-ES"/>
        </w:rPr>
        <w:instrText>ADDIN CSL_CITATION {"citationItems":[{"id":"ITEM-1","itemData":{"DOI":"10.12961/aprl.2016.19.2.03","ISSN":"1138-9672","abstract":"PURPOSE: To analyze the psychometric properties of the UNIPSICO questionnaire' scales designed to evaluate psychosocial resource factors at work. METHODS: The sample consisted of 2564 participants; 1391 were employees working with people with intellectual disability and 1173 were high school teachers from the Valencian Community. Data were collected through use of the UNIPSICO questionnaire, which includes scales designed to measure psychosocial resource factors in the workplace. This instrument consists of 26 items distributed in 4 scales: resources at work, work social support, feedback, and autonomy. Data were analysed to test item validity, construct validity by confirmatory factor analysis (CFA), reliability by Cronbach's alpha, and predictive validity by stepwise regression analysis. RESULTS: For all items skewness and reliability values were adequate. The four scales followed the normal distribution, with skewness values ranging between +1 and -1. The results of the CFA confirmed the hypothesised four-factor structure. The hypothesised model showed a good data fit (GFI = 0,922, NNFI = 0,898, CFI = 0,912, RMSEA = 0,059). Scale score reliability coefficients for the five scales showed values above 0.80. Stepwise regression analysis demonstrated all variables were significant predictors of psychosomatic disorders. CONCLUSIONS: The validity and reliability of the four scales were satisfactory. In addition, the scales offer predictive validity for the study of work-related psychosomatic disorders. The UNIPSICO scales analyzed are an adequate tool to evaluate psychosocial resource factors at work.","author":[{"dropping-particle":"","family":"Gil-Monte","given":"Pedro","non-dropping-particle":"","parse-names":false,"suffix":""}],"container-title":"Archivos de prevencion de riesgos laborales","id":"ITEM-1","issue":"2","issued":{"date-parts":[["2016"]]},"page":"95-102","publisher":"Arch Prev Riesgos Labor","title":"The UNIPSICO questionnaire: psychometric properties of the scales measuring psychosocial resource factors.","type":"article-journal","volume":"19"},"uris":["http://www.mendeley.com/documents/?uuid=54ddc4a3-86be-3d42-b31a-7eef1ca9fff1"]}],"mendeley":{"formattedCitation":"(P. Gil-Monte, 2016b)","plainTextFormattedCitation":"(P. Gil-Monte, 2016b)","previouslyFormattedCitation":"(Gil-Monte 2016b)"},"properties":{"noteIndex":0},"schema":"https://github.com/citation-style-language/schema/raw/master/csl-citation.json"}</w:instrText>
      </w:r>
      <w:r w:rsidRPr="00275295">
        <w:rPr>
          <w:rFonts w:ascii="Times New Roman" w:hAnsi="Times New Roman" w:cs="Times New Roman"/>
          <w:color w:val="000000"/>
          <w:lang w:val="es-ES"/>
        </w:rPr>
        <w:fldChar w:fldCharType="separate"/>
      </w:r>
      <w:r w:rsidRPr="006869BC">
        <w:rPr>
          <w:rFonts w:ascii="Times New Roman" w:hAnsi="Times New Roman" w:cs="Times New Roman"/>
          <w:noProof/>
          <w:color w:val="000000"/>
          <w:lang w:val="es-ES"/>
        </w:rPr>
        <w:t>(P. Gil-Monte, 2016b)</w:t>
      </w:r>
      <w:r w:rsidRPr="00275295">
        <w:rPr>
          <w:rFonts w:ascii="Times New Roman" w:hAnsi="Times New Roman" w:cs="Times New Roman"/>
          <w:color w:val="000000"/>
          <w:lang w:val="es-ES"/>
        </w:rPr>
        <w:fldChar w:fldCharType="end"/>
      </w:r>
      <w:r w:rsidRPr="00275295">
        <w:rPr>
          <w:rFonts w:ascii="Times New Roman" w:hAnsi="Times New Roman" w:cs="Times New Roman"/>
          <w:color w:val="000000"/>
          <w:lang w:val="es-ES"/>
        </w:rPr>
        <w:t xml:space="preserve"> de la batería UNIPSICO de Gil-Monte. En los factores de demanda se encuentran Conflicto de rol con 5 ítems (α = 0,69), Ambigüedad de rol con 5 ítems (α = 0.81), Carga de trabajo con 6 ítems (α =0.83), Conflictos interpersonales con 6 ítems (α =0.73), Justicia organizacional con 5 ítems (α =0.72) y Conflicto trabajo familia con 6 ítems (α=0,82). Por otro lado, está el factor de recursos con las dimensiones: Autonomía, con 5 ítems (α=0.79), Disponibilidad de recursos con 7 ítems (α=0.83), Feedback con 8 ítems (α=0.80) y, por último, Apoyo social en el trabajo con 6 ítems (α=0.79)</w:t>
      </w:r>
    </w:p>
    <w:p w:rsidR="00F37C94" w:rsidRDefault="00F37C94" w:rsidP="00F37C94">
      <w:pPr>
        <w:pStyle w:val="spslineablanca"/>
        <w:rPr>
          <w:rFonts w:ascii="Times New Roman" w:hAnsi="Times New Roman" w:cs="Times New Roman"/>
          <w:color w:val="000000"/>
          <w:lang w:val="es-ES"/>
        </w:rPr>
      </w:pPr>
    </w:p>
    <w:p w:rsidR="00F37C94" w:rsidRPr="00E92390" w:rsidRDefault="00F37C94" w:rsidP="00F37C94">
      <w:pPr>
        <w:pStyle w:val="spslineablanca"/>
        <w:rPr>
          <w:rFonts w:ascii="Times New Roman" w:hAnsi="Times New Roman" w:cs="Times New Roman"/>
          <w:b/>
          <w:color w:val="000000"/>
          <w:lang w:val="es-ES"/>
        </w:rPr>
      </w:pPr>
      <w:r w:rsidRPr="00E92390">
        <w:rPr>
          <w:rFonts w:ascii="Times New Roman" w:hAnsi="Times New Roman" w:cs="Times New Roman"/>
          <w:b/>
          <w:color w:val="000000"/>
          <w:lang w:val="es-ES"/>
        </w:rPr>
        <w:t>Procedimiento</w:t>
      </w:r>
    </w:p>
    <w:p w:rsidR="00F37C94" w:rsidRDefault="00F37C94" w:rsidP="00F37C94">
      <w:pPr>
        <w:pStyle w:val="spslineablanca"/>
        <w:rPr>
          <w:rFonts w:ascii="Times New Roman" w:hAnsi="Times New Roman" w:cs="Times New Roman"/>
          <w:color w:val="000000"/>
          <w:lang w:val="es-ES"/>
        </w:rPr>
      </w:pPr>
      <w:r>
        <w:rPr>
          <w:rFonts w:ascii="Times New Roman" w:hAnsi="Times New Roman" w:cs="Times New Roman"/>
          <w:color w:val="000000"/>
          <w:lang w:val="es-ES"/>
        </w:rPr>
        <w:t xml:space="preserve">Las empresas que participaron mostraron interés en realizar el estudio durante la pandemia COVID-19 para ver </w:t>
      </w:r>
      <w:proofErr w:type="spellStart"/>
      <w:r>
        <w:rPr>
          <w:rFonts w:ascii="Times New Roman" w:hAnsi="Times New Roman" w:cs="Times New Roman"/>
          <w:color w:val="000000"/>
          <w:lang w:val="es-ES"/>
        </w:rPr>
        <w:t>como</w:t>
      </w:r>
      <w:proofErr w:type="spellEnd"/>
      <w:r>
        <w:rPr>
          <w:rFonts w:ascii="Times New Roman" w:hAnsi="Times New Roman" w:cs="Times New Roman"/>
          <w:color w:val="000000"/>
          <w:lang w:val="es-ES"/>
        </w:rPr>
        <w:t xml:space="preserve"> estaban afectados sus equipos de trabajo. Los trabajadores fueron invitados directamente a través de la Gerencia de Recursos Humanos de sus empresas y se les pedía que contestaran previamente si estaban trabajando de forma presencial en sus oficinas y lugares normales de trabajo o trabajan de forma remota. La primera página de la evaluación en línea se incluía una declaración de consentimiento informado donde se describía que se realizaría con los resultados y que era un estudio absolutamente voluntario.</w:t>
      </w:r>
    </w:p>
    <w:p w:rsidR="00F37C94" w:rsidRDefault="00F37C94" w:rsidP="00F37C94">
      <w:pPr>
        <w:pStyle w:val="spslineablanca"/>
        <w:rPr>
          <w:rFonts w:ascii="Times New Roman" w:hAnsi="Times New Roman" w:cs="Times New Roman"/>
          <w:color w:val="000000"/>
          <w:lang w:val="es-ES"/>
        </w:rPr>
      </w:pPr>
    </w:p>
    <w:p w:rsidR="00F37C94" w:rsidRPr="00E92390" w:rsidRDefault="00F37C94" w:rsidP="00F37C94">
      <w:pPr>
        <w:pStyle w:val="spslineablanca"/>
        <w:rPr>
          <w:rFonts w:ascii="Times New Roman" w:hAnsi="Times New Roman" w:cs="Times New Roman"/>
          <w:b/>
          <w:color w:val="000000"/>
          <w:lang w:val="es-ES"/>
        </w:rPr>
      </w:pPr>
      <w:r w:rsidRPr="00E92390">
        <w:rPr>
          <w:rFonts w:ascii="Times New Roman" w:hAnsi="Times New Roman" w:cs="Times New Roman"/>
          <w:b/>
          <w:color w:val="000000"/>
          <w:lang w:val="es-ES"/>
        </w:rPr>
        <w:t>Análisis de datos</w:t>
      </w:r>
    </w:p>
    <w:p w:rsidR="00F37C94" w:rsidRDefault="00F37C94" w:rsidP="00F37C94">
      <w:pPr>
        <w:pStyle w:val="spslineablanca"/>
        <w:rPr>
          <w:rFonts w:ascii="Times New Roman" w:hAnsi="Times New Roman" w:cs="Times New Roman"/>
          <w:color w:val="000000"/>
          <w:lang w:val="es-ES"/>
        </w:rPr>
      </w:pPr>
      <w:r w:rsidRPr="00275295">
        <w:rPr>
          <w:rFonts w:ascii="Times New Roman" w:hAnsi="Times New Roman" w:cs="Times New Roman"/>
          <w:color w:val="000000"/>
          <w:lang w:val="es-ES"/>
        </w:rPr>
        <w:t xml:space="preserve">Se realizaron análisis de datos a través de medidas de tendencia central, pruebas de normalidad para las variables, pruebas de hipótesis para diferencias de medias, correlaciones de Pearson y regresiones lineales múltiples, todas se realizaron a través del paquete estadístico SPSS en su versión 25. </w:t>
      </w:r>
    </w:p>
    <w:p w:rsidR="00F37C94" w:rsidRPr="00275295" w:rsidRDefault="00F37C94" w:rsidP="00F37C94">
      <w:pPr>
        <w:pStyle w:val="spslineablanca"/>
        <w:rPr>
          <w:rFonts w:ascii="Times New Roman" w:hAnsi="Times New Roman" w:cs="Times New Roman"/>
          <w:color w:val="000000"/>
          <w:lang w:val="es-ES"/>
        </w:rPr>
      </w:pPr>
    </w:p>
    <w:p w:rsidR="00F37C94" w:rsidRDefault="00F37C94" w:rsidP="00F37C94">
      <w:pPr>
        <w:spacing w:after="0"/>
        <w:rPr>
          <w:rFonts w:ascii="Times New Roman" w:hAnsi="Times New Roman" w:cs="Times New Roman"/>
        </w:rPr>
      </w:pPr>
    </w:p>
    <w:p w:rsidR="00F37C94" w:rsidRPr="00275295" w:rsidRDefault="00F37C94" w:rsidP="00F37C94">
      <w:pPr>
        <w:spacing w:after="0"/>
        <w:rPr>
          <w:rFonts w:ascii="Times New Roman" w:hAnsi="Times New Roman" w:cs="Times New Roman"/>
          <w:b/>
        </w:rPr>
      </w:pPr>
    </w:p>
    <w:p w:rsidR="00F37C94" w:rsidRPr="00275295" w:rsidRDefault="00F37C94" w:rsidP="00F37C94">
      <w:pPr>
        <w:pStyle w:val="spstitsecc1"/>
        <w:rPr>
          <w:rFonts w:ascii="Times New Roman" w:hAnsi="Times New Roman" w:cs="Times New Roman"/>
          <w:sz w:val="24"/>
        </w:rPr>
      </w:pPr>
      <w:r w:rsidRPr="00275295">
        <w:rPr>
          <w:rFonts w:ascii="Times New Roman" w:hAnsi="Times New Roman" w:cs="Times New Roman"/>
          <w:sz w:val="24"/>
        </w:rPr>
        <w:t>Resultados</w:t>
      </w:r>
    </w:p>
    <w:p w:rsidR="00F37C94" w:rsidRDefault="00F37C94" w:rsidP="00F37C94">
      <w:pPr>
        <w:pStyle w:val="spstitsecc2"/>
        <w:rPr>
          <w:rFonts w:ascii="Times New Roman" w:hAnsi="Times New Roman" w:cs="Times New Roman"/>
          <w:sz w:val="24"/>
        </w:rPr>
      </w:pPr>
    </w:p>
    <w:p w:rsidR="00F37C94" w:rsidRPr="00275295" w:rsidRDefault="00F37C94" w:rsidP="00F37C94">
      <w:pPr>
        <w:ind w:firstLine="708"/>
        <w:rPr>
          <w:rFonts w:ascii="Times New Roman" w:hAnsi="Times New Roman" w:cs="Times New Roman"/>
        </w:rPr>
      </w:pPr>
      <w:r w:rsidRPr="00275295">
        <w:rPr>
          <w:rFonts w:ascii="Times New Roman" w:hAnsi="Times New Roman" w:cs="Times New Roman"/>
        </w:rPr>
        <w:t xml:space="preserve">Para el logro del objetivo 1 se utilizaron las medidas de tendencia central y la prueba T para muestras independientes, luego de calcular las pruebas de normalidad y la prueba de Levene para ver si debíamos asumir o no varianzas iguales. En la </w:t>
      </w:r>
      <w:r w:rsidRPr="00E92390">
        <w:rPr>
          <w:rFonts w:ascii="Times New Roman" w:hAnsi="Times New Roman" w:cs="Times New Roman"/>
        </w:rPr>
        <w:t>tabla 1 se</w:t>
      </w:r>
      <w:r w:rsidRPr="00275295">
        <w:rPr>
          <w:rFonts w:ascii="Times New Roman" w:hAnsi="Times New Roman" w:cs="Times New Roman"/>
        </w:rPr>
        <w:t xml:space="preserve"> pueden observar los distintas medias aritméticas y desviaciones típicas para las dimensiones que componen el síndrome de quemarse por el trabajo. Al analizar la prueba T, se encuentran diferencias estadísticamente significativas en todas las dimensiones siendo el grupo con trabajo presencial que obtiene mayores niveles del síndrome de quemarse por el trabajo (menor ilusión por el trabajo, mayor desgaste psíquico, mayor indolencia y mayor culpa), sin embargo, son resultados bajos.</w:t>
      </w:r>
    </w:p>
    <w:p w:rsidR="00F37C94" w:rsidRPr="00275295" w:rsidRDefault="00F37C94" w:rsidP="00F37C94">
      <w:pPr>
        <w:jc w:val="both"/>
        <w:rPr>
          <w:rFonts w:ascii="Times New Roman" w:hAnsi="Times New Roman" w:cs="Times New Roman"/>
          <w:b/>
        </w:rPr>
      </w:pPr>
    </w:p>
    <w:p w:rsidR="00F37C94" w:rsidRPr="00E92390" w:rsidRDefault="00F37C94" w:rsidP="00F37C94">
      <w:pPr>
        <w:jc w:val="both"/>
        <w:rPr>
          <w:rFonts w:ascii="Times New Roman" w:hAnsi="Times New Roman" w:cs="Times New Roman"/>
        </w:rPr>
      </w:pPr>
      <w:r w:rsidRPr="00E92390">
        <w:rPr>
          <w:rFonts w:ascii="Times New Roman" w:hAnsi="Times New Roman" w:cs="Times New Roman"/>
        </w:rPr>
        <w:t>Tabla 1</w:t>
      </w:r>
    </w:p>
    <w:p w:rsidR="00F37C94" w:rsidRPr="00E92390" w:rsidRDefault="00F37C94" w:rsidP="00F37C94">
      <w:pPr>
        <w:jc w:val="both"/>
        <w:rPr>
          <w:rFonts w:ascii="Times New Roman" w:hAnsi="Times New Roman" w:cs="Times New Roman"/>
          <w:i/>
        </w:rPr>
      </w:pPr>
      <w:r w:rsidRPr="00E92390">
        <w:rPr>
          <w:rFonts w:ascii="Times New Roman" w:hAnsi="Times New Roman" w:cs="Times New Roman"/>
          <w:i/>
        </w:rPr>
        <w:t xml:space="preserve">Descriptivas y prueba T para síndrome de quemarse por el trabajo en el grupo </w:t>
      </w:r>
      <w:r>
        <w:rPr>
          <w:rFonts w:ascii="Times New Roman" w:hAnsi="Times New Roman" w:cs="Times New Roman"/>
          <w:i/>
        </w:rPr>
        <w:t>remoto y presencial.</w:t>
      </w:r>
    </w:p>
    <w:tbl>
      <w:tblPr>
        <w:tblStyle w:val="Tablaconcuadrcula"/>
        <w:tblW w:w="79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30"/>
        <w:gridCol w:w="684"/>
        <w:gridCol w:w="10"/>
        <w:gridCol w:w="1007"/>
        <w:gridCol w:w="699"/>
        <w:gridCol w:w="1225"/>
        <w:gridCol w:w="15"/>
        <w:gridCol w:w="1225"/>
        <w:gridCol w:w="15"/>
      </w:tblGrid>
      <w:tr w:rsidR="00F37C94" w:rsidRPr="00275295" w:rsidTr="00BF4F9F">
        <w:trPr>
          <w:trHeight w:val="288"/>
          <w:jc w:val="center"/>
        </w:trPr>
        <w:tc>
          <w:tcPr>
            <w:tcW w:w="2263" w:type="dxa"/>
            <w:tcBorders>
              <w:top w:val="single" w:sz="4" w:space="0" w:color="auto"/>
            </w:tcBorders>
            <w:noWrap/>
            <w:hideMark/>
          </w:tcPr>
          <w:p w:rsidR="00F37C94" w:rsidRPr="00275295" w:rsidRDefault="00F37C94" w:rsidP="00BF4F9F">
            <w:pPr>
              <w:rPr>
                <w:rFonts w:ascii="Times New Roman" w:hAnsi="Times New Roman" w:cs="Times New Roman"/>
              </w:rPr>
            </w:pPr>
          </w:p>
        </w:tc>
        <w:tc>
          <w:tcPr>
            <w:tcW w:w="1505" w:type="dxa"/>
            <w:gridSpan w:val="3"/>
            <w:tcBorders>
              <w:top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Trabajo remoto</w:t>
            </w:r>
          </w:p>
        </w:tc>
        <w:tc>
          <w:tcPr>
            <w:tcW w:w="1706" w:type="dxa"/>
            <w:gridSpan w:val="2"/>
            <w:tcBorders>
              <w:top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Trabajo presencial</w:t>
            </w:r>
          </w:p>
        </w:tc>
        <w:tc>
          <w:tcPr>
            <w:tcW w:w="1240" w:type="dxa"/>
            <w:gridSpan w:val="2"/>
            <w:tcBorders>
              <w:top w:val="single" w:sz="4" w:space="0" w:color="auto"/>
            </w:tcBorders>
            <w:noWrap/>
            <w:hideMark/>
          </w:tcPr>
          <w:p w:rsidR="00F37C94" w:rsidRPr="00275295" w:rsidRDefault="00F37C94" w:rsidP="00BF4F9F">
            <w:pPr>
              <w:jc w:val="center"/>
              <w:rPr>
                <w:rFonts w:ascii="Times New Roman" w:hAnsi="Times New Roman" w:cs="Times New Roman"/>
              </w:rPr>
            </w:pPr>
          </w:p>
        </w:tc>
        <w:tc>
          <w:tcPr>
            <w:tcW w:w="1240" w:type="dxa"/>
            <w:gridSpan w:val="2"/>
            <w:tcBorders>
              <w:top w:val="single" w:sz="4" w:space="0" w:color="auto"/>
            </w:tcBorders>
            <w:noWrap/>
            <w:hideMark/>
          </w:tcPr>
          <w:p w:rsidR="00F37C94" w:rsidRPr="00275295" w:rsidRDefault="00F37C94" w:rsidP="00BF4F9F">
            <w:pPr>
              <w:jc w:val="center"/>
              <w:rPr>
                <w:rFonts w:ascii="Times New Roman" w:hAnsi="Times New Roman" w:cs="Times New Roman"/>
              </w:rPr>
            </w:pPr>
          </w:p>
        </w:tc>
      </w:tr>
      <w:tr w:rsidR="00F37C94" w:rsidRPr="00275295" w:rsidTr="00BF4F9F">
        <w:trPr>
          <w:gridAfter w:val="1"/>
          <w:wAfter w:w="15" w:type="dxa"/>
          <w:trHeight w:val="288"/>
          <w:jc w:val="center"/>
        </w:trPr>
        <w:tc>
          <w:tcPr>
            <w:tcW w:w="2263" w:type="dxa"/>
            <w:tcBorders>
              <w:bottom w:val="single" w:sz="4" w:space="0" w:color="auto"/>
            </w:tcBorders>
            <w:noWrap/>
            <w:hideMark/>
          </w:tcPr>
          <w:p w:rsidR="00F37C94" w:rsidRPr="00275295" w:rsidRDefault="00F37C94" w:rsidP="00BF4F9F">
            <w:pPr>
              <w:rPr>
                <w:rFonts w:ascii="Times New Roman" w:hAnsi="Times New Roman" w:cs="Times New Roman"/>
              </w:rPr>
            </w:pPr>
          </w:p>
        </w:tc>
        <w:tc>
          <w:tcPr>
            <w:tcW w:w="811" w:type="dxa"/>
            <w:tcBorders>
              <w:bottom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M</w:t>
            </w:r>
            <w:r>
              <w:rPr>
                <w:rFonts w:ascii="Times New Roman" w:hAnsi="Times New Roman" w:cs="Times New Roman"/>
              </w:rPr>
              <w:t>edia</w:t>
            </w:r>
          </w:p>
        </w:tc>
        <w:tc>
          <w:tcPr>
            <w:tcW w:w="684" w:type="dxa"/>
            <w:tcBorders>
              <w:bottom w:val="single" w:sz="4" w:space="0" w:color="auto"/>
            </w:tcBorders>
            <w:noWrap/>
            <w:hideMark/>
          </w:tcPr>
          <w:p w:rsidR="00F37C94" w:rsidRPr="00275295" w:rsidRDefault="00F37C94" w:rsidP="00BF4F9F">
            <w:pPr>
              <w:jc w:val="center"/>
              <w:rPr>
                <w:rFonts w:ascii="Times New Roman" w:hAnsi="Times New Roman" w:cs="Times New Roman"/>
              </w:rPr>
            </w:pPr>
            <w:r>
              <w:rPr>
                <w:rFonts w:ascii="Times New Roman" w:hAnsi="Times New Roman" w:cs="Times New Roman"/>
              </w:rPr>
              <w:t>DS</w:t>
            </w:r>
          </w:p>
        </w:tc>
        <w:tc>
          <w:tcPr>
            <w:tcW w:w="1017" w:type="dxa"/>
            <w:gridSpan w:val="2"/>
            <w:tcBorders>
              <w:bottom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M</w:t>
            </w:r>
            <w:r>
              <w:rPr>
                <w:rFonts w:ascii="Times New Roman" w:hAnsi="Times New Roman" w:cs="Times New Roman"/>
              </w:rPr>
              <w:t>edia</w:t>
            </w:r>
          </w:p>
        </w:tc>
        <w:tc>
          <w:tcPr>
            <w:tcW w:w="699" w:type="dxa"/>
            <w:tcBorders>
              <w:bottom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D</w:t>
            </w:r>
            <w:r>
              <w:rPr>
                <w:rFonts w:ascii="Times New Roman" w:hAnsi="Times New Roman" w:cs="Times New Roman"/>
              </w:rPr>
              <w:t>S</w:t>
            </w:r>
          </w:p>
        </w:tc>
        <w:tc>
          <w:tcPr>
            <w:tcW w:w="1225" w:type="dxa"/>
            <w:tcBorders>
              <w:bottom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T</w:t>
            </w:r>
          </w:p>
        </w:tc>
        <w:tc>
          <w:tcPr>
            <w:tcW w:w="1240" w:type="dxa"/>
            <w:gridSpan w:val="2"/>
            <w:tcBorders>
              <w:bottom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p</w:t>
            </w:r>
          </w:p>
        </w:tc>
      </w:tr>
      <w:tr w:rsidR="00F37C94" w:rsidRPr="00275295" w:rsidTr="00BF4F9F">
        <w:trPr>
          <w:gridAfter w:val="1"/>
          <w:wAfter w:w="15" w:type="dxa"/>
          <w:trHeight w:val="288"/>
          <w:jc w:val="center"/>
        </w:trPr>
        <w:tc>
          <w:tcPr>
            <w:tcW w:w="2263" w:type="dxa"/>
            <w:tcBorders>
              <w:top w:val="single" w:sz="4" w:space="0" w:color="auto"/>
            </w:tcBorders>
            <w:noWrap/>
            <w:hideMark/>
          </w:tcPr>
          <w:p w:rsidR="00F37C94" w:rsidRPr="00275295" w:rsidRDefault="00F37C94" w:rsidP="00BF4F9F">
            <w:pPr>
              <w:rPr>
                <w:rFonts w:ascii="Times New Roman" w:hAnsi="Times New Roman" w:cs="Times New Roman"/>
              </w:rPr>
            </w:pPr>
            <w:r w:rsidRPr="00275295">
              <w:rPr>
                <w:rFonts w:ascii="Times New Roman" w:hAnsi="Times New Roman" w:cs="Times New Roman"/>
              </w:rPr>
              <w:t>Ilusión en el trabajo</w:t>
            </w:r>
          </w:p>
        </w:tc>
        <w:tc>
          <w:tcPr>
            <w:tcW w:w="811" w:type="dxa"/>
            <w:tcBorders>
              <w:top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2,71</w:t>
            </w:r>
          </w:p>
        </w:tc>
        <w:tc>
          <w:tcPr>
            <w:tcW w:w="684" w:type="dxa"/>
            <w:tcBorders>
              <w:top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0,87</w:t>
            </w:r>
          </w:p>
        </w:tc>
        <w:tc>
          <w:tcPr>
            <w:tcW w:w="1017" w:type="dxa"/>
            <w:gridSpan w:val="2"/>
            <w:tcBorders>
              <w:top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2,43</w:t>
            </w:r>
          </w:p>
        </w:tc>
        <w:tc>
          <w:tcPr>
            <w:tcW w:w="699" w:type="dxa"/>
            <w:tcBorders>
              <w:top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0,88</w:t>
            </w:r>
          </w:p>
        </w:tc>
        <w:tc>
          <w:tcPr>
            <w:tcW w:w="1225" w:type="dxa"/>
            <w:tcBorders>
              <w:top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4,47</w:t>
            </w:r>
          </w:p>
        </w:tc>
        <w:tc>
          <w:tcPr>
            <w:tcW w:w="1240" w:type="dxa"/>
            <w:gridSpan w:val="2"/>
            <w:tcBorders>
              <w:top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0,00</w:t>
            </w:r>
          </w:p>
        </w:tc>
      </w:tr>
      <w:tr w:rsidR="00F37C94" w:rsidRPr="00275295" w:rsidTr="00BF4F9F">
        <w:trPr>
          <w:gridAfter w:val="1"/>
          <w:wAfter w:w="15" w:type="dxa"/>
          <w:trHeight w:val="288"/>
          <w:jc w:val="center"/>
        </w:trPr>
        <w:tc>
          <w:tcPr>
            <w:tcW w:w="2263" w:type="dxa"/>
            <w:noWrap/>
            <w:hideMark/>
          </w:tcPr>
          <w:p w:rsidR="00F37C94" w:rsidRPr="00275295" w:rsidRDefault="00F37C94" w:rsidP="00BF4F9F">
            <w:pPr>
              <w:rPr>
                <w:rFonts w:ascii="Times New Roman" w:hAnsi="Times New Roman" w:cs="Times New Roman"/>
              </w:rPr>
            </w:pPr>
            <w:r w:rsidRPr="00275295">
              <w:rPr>
                <w:rFonts w:ascii="Times New Roman" w:hAnsi="Times New Roman" w:cs="Times New Roman"/>
              </w:rPr>
              <w:t xml:space="preserve">Desgaste psíquico </w:t>
            </w:r>
          </w:p>
        </w:tc>
        <w:tc>
          <w:tcPr>
            <w:tcW w:w="811"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1,42</w:t>
            </w:r>
          </w:p>
        </w:tc>
        <w:tc>
          <w:tcPr>
            <w:tcW w:w="684"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0,93</w:t>
            </w:r>
          </w:p>
        </w:tc>
        <w:tc>
          <w:tcPr>
            <w:tcW w:w="1017" w:type="dxa"/>
            <w:gridSpan w:val="2"/>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1,86</w:t>
            </w:r>
          </w:p>
        </w:tc>
        <w:tc>
          <w:tcPr>
            <w:tcW w:w="699"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1,05</w:t>
            </w:r>
          </w:p>
        </w:tc>
        <w:tc>
          <w:tcPr>
            <w:tcW w:w="1225"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-6,4</w:t>
            </w:r>
          </w:p>
        </w:tc>
        <w:tc>
          <w:tcPr>
            <w:tcW w:w="1240" w:type="dxa"/>
            <w:gridSpan w:val="2"/>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0,00</w:t>
            </w:r>
          </w:p>
        </w:tc>
      </w:tr>
      <w:tr w:rsidR="00F37C94" w:rsidRPr="00275295" w:rsidTr="00BF4F9F">
        <w:trPr>
          <w:gridAfter w:val="1"/>
          <w:wAfter w:w="15" w:type="dxa"/>
          <w:trHeight w:val="288"/>
          <w:jc w:val="center"/>
        </w:trPr>
        <w:tc>
          <w:tcPr>
            <w:tcW w:w="2263" w:type="dxa"/>
            <w:noWrap/>
            <w:hideMark/>
          </w:tcPr>
          <w:p w:rsidR="00F37C94" w:rsidRPr="00275295" w:rsidRDefault="00F37C94" w:rsidP="00BF4F9F">
            <w:pPr>
              <w:rPr>
                <w:rFonts w:ascii="Times New Roman" w:hAnsi="Times New Roman" w:cs="Times New Roman"/>
              </w:rPr>
            </w:pPr>
            <w:r w:rsidRPr="00275295">
              <w:rPr>
                <w:rFonts w:ascii="Times New Roman" w:hAnsi="Times New Roman" w:cs="Times New Roman"/>
              </w:rPr>
              <w:t>Indolencia</w:t>
            </w:r>
          </w:p>
        </w:tc>
        <w:tc>
          <w:tcPr>
            <w:tcW w:w="811"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1,07</w:t>
            </w:r>
          </w:p>
        </w:tc>
        <w:tc>
          <w:tcPr>
            <w:tcW w:w="684"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0,76</w:t>
            </w:r>
          </w:p>
        </w:tc>
        <w:tc>
          <w:tcPr>
            <w:tcW w:w="1017" w:type="dxa"/>
            <w:gridSpan w:val="2"/>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1,43</w:t>
            </w:r>
          </w:p>
        </w:tc>
        <w:tc>
          <w:tcPr>
            <w:tcW w:w="699"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0,83</w:t>
            </w:r>
          </w:p>
        </w:tc>
        <w:tc>
          <w:tcPr>
            <w:tcW w:w="1225"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-6,38</w:t>
            </w:r>
          </w:p>
        </w:tc>
        <w:tc>
          <w:tcPr>
            <w:tcW w:w="1240" w:type="dxa"/>
            <w:gridSpan w:val="2"/>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0,00</w:t>
            </w:r>
          </w:p>
        </w:tc>
      </w:tr>
      <w:tr w:rsidR="00F37C94" w:rsidRPr="00275295" w:rsidTr="00BF4F9F">
        <w:trPr>
          <w:gridAfter w:val="1"/>
          <w:wAfter w:w="15" w:type="dxa"/>
          <w:trHeight w:val="288"/>
          <w:jc w:val="center"/>
        </w:trPr>
        <w:tc>
          <w:tcPr>
            <w:tcW w:w="2263" w:type="dxa"/>
            <w:tcBorders>
              <w:bottom w:val="single" w:sz="4" w:space="0" w:color="auto"/>
            </w:tcBorders>
            <w:noWrap/>
            <w:hideMark/>
          </w:tcPr>
          <w:p w:rsidR="00F37C94" w:rsidRPr="00275295" w:rsidRDefault="00F37C94" w:rsidP="00BF4F9F">
            <w:pPr>
              <w:rPr>
                <w:rFonts w:ascii="Times New Roman" w:hAnsi="Times New Roman" w:cs="Times New Roman"/>
              </w:rPr>
            </w:pPr>
            <w:r w:rsidRPr="00275295">
              <w:rPr>
                <w:rFonts w:ascii="Times New Roman" w:hAnsi="Times New Roman" w:cs="Times New Roman"/>
              </w:rPr>
              <w:t>Culpa</w:t>
            </w:r>
          </w:p>
        </w:tc>
        <w:tc>
          <w:tcPr>
            <w:tcW w:w="811" w:type="dxa"/>
            <w:tcBorders>
              <w:bottom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0,61</w:t>
            </w:r>
          </w:p>
        </w:tc>
        <w:tc>
          <w:tcPr>
            <w:tcW w:w="684" w:type="dxa"/>
            <w:tcBorders>
              <w:bottom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0,6</w:t>
            </w:r>
          </w:p>
        </w:tc>
        <w:tc>
          <w:tcPr>
            <w:tcW w:w="1017" w:type="dxa"/>
            <w:gridSpan w:val="2"/>
            <w:tcBorders>
              <w:bottom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0,71</w:t>
            </w:r>
          </w:p>
        </w:tc>
        <w:tc>
          <w:tcPr>
            <w:tcW w:w="699" w:type="dxa"/>
            <w:tcBorders>
              <w:bottom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0,62</w:t>
            </w:r>
          </w:p>
        </w:tc>
        <w:tc>
          <w:tcPr>
            <w:tcW w:w="1225" w:type="dxa"/>
            <w:tcBorders>
              <w:bottom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-2,46</w:t>
            </w:r>
          </w:p>
        </w:tc>
        <w:tc>
          <w:tcPr>
            <w:tcW w:w="1240" w:type="dxa"/>
            <w:gridSpan w:val="2"/>
            <w:tcBorders>
              <w:bottom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0,014</w:t>
            </w:r>
          </w:p>
        </w:tc>
      </w:tr>
    </w:tbl>
    <w:p w:rsidR="00F37C94" w:rsidRPr="00275295" w:rsidRDefault="00F37C94" w:rsidP="00F37C94">
      <w:pPr>
        <w:pStyle w:val="spslineablanca"/>
        <w:rPr>
          <w:rFonts w:ascii="Times New Roman" w:hAnsi="Times New Roman" w:cs="Times New Roman"/>
          <w:color w:val="auto"/>
        </w:rPr>
      </w:pPr>
      <w:r w:rsidRPr="00275295">
        <w:rPr>
          <w:rFonts w:ascii="Times New Roman" w:hAnsi="Times New Roman" w:cs="Times New Roman"/>
          <w:color w:val="auto"/>
        </w:rPr>
        <w:t>D</w:t>
      </w:r>
      <w:r>
        <w:rPr>
          <w:rFonts w:ascii="Times New Roman" w:hAnsi="Times New Roman" w:cs="Times New Roman"/>
          <w:color w:val="auto"/>
        </w:rPr>
        <w:t>S</w:t>
      </w:r>
      <w:r w:rsidRPr="00275295">
        <w:rPr>
          <w:rFonts w:ascii="Times New Roman" w:hAnsi="Times New Roman" w:cs="Times New Roman"/>
          <w:color w:val="auto"/>
        </w:rPr>
        <w:t>= Desviación estándar; T= Valor t; p= valor significancia.</w:t>
      </w:r>
    </w:p>
    <w:p w:rsidR="00F37C94" w:rsidRDefault="00F37C94" w:rsidP="00F37C94">
      <w:pPr>
        <w:pStyle w:val="spslineablanca"/>
        <w:rPr>
          <w:rFonts w:ascii="Times New Roman" w:hAnsi="Times New Roman" w:cs="Times New Roman"/>
          <w:color w:val="auto"/>
        </w:rPr>
      </w:pPr>
    </w:p>
    <w:p w:rsidR="00F37C94" w:rsidRPr="00275295" w:rsidRDefault="00F37C94" w:rsidP="00F37C94">
      <w:pPr>
        <w:pStyle w:val="spslineablanca"/>
        <w:ind w:firstLine="708"/>
        <w:rPr>
          <w:rFonts w:ascii="Times New Roman" w:hAnsi="Times New Roman" w:cs="Times New Roman"/>
          <w:color w:val="auto"/>
        </w:rPr>
      </w:pPr>
      <w:r w:rsidRPr="00275295">
        <w:rPr>
          <w:rFonts w:ascii="Times New Roman" w:hAnsi="Times New Roman" w:cs="Times New Roman"/>
          <w:color w:val="auto"/>
        </w:rPr>
        <w:t xml:space="preserve">En </w:t>
      </w:r>
      <w:r w:rsidRPr="00E92390">
        <w:rPr>
          <w:rFonts w:ascii="Times New Roman" w:hAnsi="Times New Roman" w:cs="Times New Roman"/>
          <w:color w:val="auto"/>
        </w:rPr>
        <w:t>la tabla 2, se puede</w:t>
      </w:r>
      <w:r w:rsidRPr="00275295">
        <w:rPr>
          <w:rFonts w:ascii="Times New Roman" w:hAnsi="Times New Roman" w:cs="Times New Roman"/>
          <w:color w:val="auto"/>
        </w:rPr>
        <w:t xml:space="preserve"> observar que en general existen diferencias significativas entre las dimensiones que componen el factor demanda de los factores psicosociales entre los grupos de trabajo presencial y los de trabajo remoto, sin embargo, en la ambigüedad de rol no se presenta una diferencia de forma significativa (p&gt;0,05). En general se presentan valores mayores en las dimensiones de demanda en trabajo presencial particularmente en conflicto de rol, carga de trabajo, conflictos interpersonales, justicia organizacional y conflicto trabajo familia, aunque todos en general se presentan de una forma bastante positiva sin indicadores fuera de lo normal.</w:t>
      </w:r>
    </w:p>
    <w:p w:rsidR="00F37C94" w:rsidRPr="00275295" w:rsidRDefault="00F37C94" w:rsidP="00F37C94">
      <w:pPr>
        <w:pStyle w:val="spslineablanca"/>
        <w:rPr>
          <w:rFonts w:ascii="Times New Roman" w:hAnsi="Times New Roman" w:cs="Times New Roman"/>
          <w:color w:val="auto"/>
        </w:rPr>
      </w:pPr>
    </w:p>
    <w:p w:rsidR="00F37C94" w:rsidRDefault="00F37C94" w:rsidP="00F37C94">
      <w:pPr>
        <w:spacing w:after="0"/>
        <w:rPr>
          <w:rFonts w:ascii="Times New Roman" w:hAnsi="Times New Roman" w:cs="Times New Roman"/>
        </w:rPr>
      </w:pPr>
      <w:r>
        <w:rPr>
          <w:rFonts w:ascii="Times New Roman" w:hAnsi="Times New Roman" w:cs="Times New Roman"/>
        </w:rPr>
        <w:br w:type="page"/>
      </w:r>
    </w:p>
    <w:p w:rsidR="00F37C94" w:rsidRDefault="00F37C94" w:rsidP="00F37C94">
      <w:pPr>
        <w:jc w:val="both"/>
        <w:rPr>
          <w:rFonts w:ascii="Times New Roman" w:hAnsi="Times New Roman" w:cs="Times New Roman"/>
        </w:rPr>
      </w:pPr>
      <w:r w:rsidRPr="00477841">
        <w:rPr>
          <w:rFonts w:ascii="Times New Roman" w:hAnsi="Times New Roman" w:cs="Times New Roman"/>
        </w:rPr>
        <w:lastRenderedPageBreak/>
        <w:t>Tabla 2</w:t>
      </w:r>
      <w:r w:rsidRPr="00275295">
        <w:rPr>
          <w:rFonts w:ascii="Times New Roman" w:hAnsi="Times New Roman" w:cs="Times New Roman"/>
        </w:rPr>
        <w:t xml:space="preserve"> </w:t>
      </w:r>
    </w:p>
    <w:p w:rsidR="00F37C94" w:rsidRPr="00477841" w:rsidRDefault="00F37C94" w:rsidP="00F37C94">
      <w:pPr>
        <w:jc w:val="both"/>
        <w:rPr>
          <w:rFonts w:ascii="Times New Roman" w:hAnsi="Times New Roman" w:cs="Times New Roman"/>
          <w:i/>
        </w:rPr>
      </w:pPr>
      <w:r w:rsidRPr="00477841">
        <w:rPr>
          <w:rFonts w:ascii="Times New Roman" w:hAnsi="Times New Roman" w:cs="Times New Roman"/>
          <w:i/>
        </w:rPr>
        <w:t>Descriptivas y prueba T para factores psicosociales de demanda para el grupo remoto y presencial.</w:t>
      </w:r>
    </w:p>
    <w:tbl>
      <w:tblPr>
        <w:tblW w:w="8503" w:type="dxa"/>
        <w:tblCellMar>
          <w:left w:w="70" w:type="dxa"/>
          <w:right w:w="70" w:type="dxa"/>
        </w:tblCellMar>
        <w:tblLook w:val="04A0" w:firstRow="1" w:lastRow="0" w:firstColumn="1" w:lastColumn="0" w:noHBand="0" w:noVBand="1"/>
      </w:tblPr>
      <w:tblGrid>
        <w:gridCol w:w="2499"/>
        <w:gridCol w:w="974"/>
        <w:gridCol w:w="958"/>
        <w:gridCol w:w="15"/>
        <w:gridCol w:w="973"/>
        <w:gridCol w:w="974"/>
        <w:gridCol w:w="973"/>
        <w:gridCol w:w="1137"/>
      </w:tblGrid>
      <w:tr w:rsidR="00F37C94" w:rsidRPr="00275295" w:rsidTr="00BF4F9F">
        <w:trPr>
          <w:trHeight w:val="285"/>
        </w:trPr>
        <w:tc>
          <w:tcPr>
            <w:tcW w:w="2499" w:type="dxa"/>
            <w:tcBorders>
              <w:top w:val="single" w:sz="4" w:space="0" w:color="auto"/>
            </w:tcBorders>
            <w:shd w:val="clear" w:color="auto" w:fill="auto"/>
            <w:noWrap/>
            <w:vAlign w:val="bottom"/>
            <w:hideMark/>
          </w:tcPr>
          <w:p w:rsidR="00F37C94" w:rsidRPr="00275295" w:rsidRDefault="00F37C94" w:rsidP="00BF4F9F">
            <w:pPr>
              <w:rPr>
                <w:rFonts w:ascii="Times New Roman" w:hAnsi="Times New Roman" w:cs="Times New Roman"/>
              </w:rPr>
            </w:pPr>
          </w:p>
        </w:tc>
        <w:tc>
          <w:tcPr>
            <w:tcW w:w="1932" w:type="dxa"/>
            <w:gridSpan w:val="2"/>
            <w:tcBorders>
              <w:top w:val="single" w:sz="4" w:space="0" w:color="auto"/>
            </w:tcBorders>
            <w:shd w:val="clear" w:color="auto" w:fill="auto"/>
            <w:vAlign w:val="bottom"/>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Trabajo remoto</w:t>
            </w:r>
          </w:p>
        </w:tc>
        <w:tc>
          <w:tcPr>
            <w:tcW w:w="1962" w:type="dxa"/>
            <w:gridSpan w:val="3"/>
            <w:tcBorders>
              <w:top w:val="single" w:sz="4" w:space="0" w:color="auto"/>
            </w:tcBorders>
            <w:shd w:val="clear" w:color="auto" w:fill="auto"/>
            <w:vAlign w:val="bottom"/>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Trabajo presencial</w:t>
            </w:r>
          </w:p>
        </w:tc>
        <w:tc>
          <w:tcPr>
            <w:tcW w:w="973" w:type="dxa"/>
            <w:tcBorders>
              <w:top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p>
        </w:tc>
        <w:tc>
          <w:tcPr>
            <w:tcW w:w="1137" w:type="dxa"/>
            <w:tcBorders>
              <w:top w:val="single" w:sz="4" w:space="0" w:color="auto"/>
            </w:tcBorders>
            <w:shd w:val="clear" w:color="auto" w:fill="auto"/>
            <w:noWrap/>
            <w:vAlign w:val="bottom"/>
            <w:hideMark/>
          </w:tcPr>
          <w:p w:rsidR="00F37C94" w:rsidRPr="00275295" w:rsidRDefault="00F37C94" w:rsidP="00BF4F9F">
            <w:pPr>
              <w:rPr>
                <w:rFonts w:ascii="Times New Roman" w:hAnsi="Times New Roman" w:cs="Times New Roman"/>
              </w:rPr>
            </w:pPr>
          </w:p>
        </w:tc>
      </w:tr>
      <w:tr w:rsidR="00F37C94" w:rsidRPr="00275295" w:rsidTr="00BF4F9F">
        <w:trPr>
          <w:trHeight w:val="285"/>
        </w:trPr>
        <w:tc>
          <w:tcPr>
            <w:tcW w:w="2499" w:type="dxa"/>
            <w:tcBorders>
              <w:bottom w:val="single" w:sz="4" w:space="0" w:color="auto"/>
            </w:tcBorders>
            <w:shd w:val="clear" w:color="auto" w:fill="auto"/>
            <w:noWrap/>
            <w:vAlign w:val="bottom"/>
            <w:hideMark/>
          </w:tcPr>
          <w:p w:rsidR="00F37C94" w:rsidRPr="00275295" w:rsidRDefault="00F37C94" w:rsidP="00BF4F9F">
            <w:pPr>
              <w:rPr>
                <w:rFonts w:ascii="Times New Roman" w:hAnsi="Times New Roman" w:cs="Times New Roman"/>
              </w:rPr>
            </w:pPr>
          </w:p>
        </w:tc>
        <w:tc>
          <w:tcPr>
            <w:tcW w:w="974" w:type="dxa"/>
            <w:tcBorders>
              <w:bottom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M</w:t>
            </w:r>
            <w:r>
              <w:rPr>
                <w:rFonts w:ascii="Times New Roman" w:hAnsi="Times New Roman" w:cs="Times New Roman"/>
                <w:color w:val="000000"/>
              </w:rPr>
              <w:t>edia</w:t>
            </w:r>
          </w:p>
        </w:tc>
        <w:tc>
          <w:tcPr>
            <w:tcW w:w="973" w:type="dxa"/>
            <w:gridSpan w:val="2"/>
            <w:tcBorders>
              <w:bottom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D</w:t>
            </w:r>
            <w:r>
              <w:rPr>
                <w:rFonts w:ascii="Times New Roman" w:hAnsi="Times New Roman" w:cs="Times New Roman"/>
                <w:color w:val="000000"/>
              </w:rPr>
              <w:t>S</w:t>
            </w:r>
          </w:p>
        </w:tc>
        <w:tc>
          <w:tcPr>
            <w:tcW w:w="973" w:type="dxa"/>
            <w:tcBorders>
              <w:bottom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M</w:t>
            </w:r>
            <w:r>
              <w:rPr>
                <w:rFonts w:ascii="Times New Roman" w:hAnsi="Times New Roman" w:cs="Times New Roman"/>
                <w:color w:val="000000"/>
              </w:rPr>
              <w:t>edia</w:t>
            </w:r>
          </w:p>
        </w:tc>
        <w:tc>
          <w:tcPr>
            <w:tcW w:w="974" w:type="dxa"/>
            <w:tcBorders>
              <w:bottom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D</w:t>
            </w:r>
            <w:r>
              <w:rPr>
                <w:rFonts w:ascii="Times New Roman" w:hAnsi="Times New Roman" w:cs="Times New Roman"/>
                <w:color w:val="000000"/>
              </w:rPr>
              <w:t>S</w:t>
            </w:r>
          </w:p>
        </w:tc>
        <w:tc>
          <w:tcPr>
            <w:tcW w:w="973" w:type="dxa"/>
            <w:tcBorders>
              <w:bottom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t</w:t>
            </w:r>
          </w:p>
        </w:tc>
        <w:tc>
          <w:tcPr>
            <w:tcW w:w="1137" w:type="dxa"/>
            <w:tcBorders>
              <w:bottom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p</w:t>
            </w:r>
          </w:p>
        </w:tc>
      </w:tr>
      <w:tr w:rsidR="00F37C94" w:rsidRPr="00275295" w:rsidTr="00BF4F9F">
        <w:trPr>
          <w:trHeight w:val="285"/>
        </w:trPr>
        <w:tc>
          <w:tcPr>
            <w:tcW w:w="2499" w:type="dxa"/>
            <w:tcBorders>
              <w:top w:val="single" w:sz="4" w:space="0" w:color="auto"/>
            </w:tcBorders>
            <w:shd w:val="clear" w:color="auto" w:fill="auto"/>
            <w:noWrap/>
            <w:vAlign w:val="bottom"/>
            <w:hideMark/>
          </w:tcPr>
          <w:p w:rsidR="00F37C94" w:rsidRPr="00275295" w:rsidRDefault="00F37C94" w:rsidP="00BF4F9F">
            <w:pPr>
              <w:rPr>
                <w:rFonts w:ascii="Times New Roman" w:hAnsi="Times New Roman" w:cs="Times New Roman"/>
                <w:color w:val="000000"/>
              </w:rPr>
            </w:pPr>
            <w:r w:rsidRPr="00275295">
              <w:rPr>
                <w:rFonts w:ascii="Times New Roman" w:hAnsi="Times New Roman" w:cs="Times New Roman"/>
                <w:color w:val="000000"/>
              </w:rPr>
              <w:t>Conflicto de rol</w:t>
            </w:r>
          </w:p>
        </w:tc>
        <w:tc>
          <w:tcPr>
            <w:tcW w:w="974" w:type="dxa"/>
            <w:tcBorders>
              <w:top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0,93</w:t>
            </w:r>
          </w:p>
        </w:tc>
        <w:tc>
          <w:tcPr>
            <w:tcW w:w="973" w:type="dxa"/>
            <w:gridSpan w:val="2"/>
            <w:tcBorders>
              <w:top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0,64</w:t>
            </w:r>
          </w:p>
        </w:tc>
        <w:tc>
          <w:tcPr>
            <w:tcW w:w="973" w:type="dxa"/>
            <w:tcBorders>
              <w:top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1,26</w:t>
            </w:r>
          </w:p>
        </w:tc>
        <w:tc>
          <w:tcPr>
            <w:tcW w:w="974" w:type="dxa"/>
            <w:tcBorders>
              <w:top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0,77</w:t>
            </w:r>
          </w:p>
        </w:tc>
        <w:tc>
          <w:tcPr>
            <w:tcW w:w="973" w:type="dxa"/>
            <w:tcBorders>
              <w:top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-6,926</w:t>
            </w:r>
          </w:p>
        </w:tc>
        <w:tc>
          <w:tcPr>
            <w:tcW w:w="1137" w:type="dxa"/>
            <w:tcBorders>
              <w:top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0,000</w:t>
            </w:r>
          </w:p>
        </w:tc>
      </w:tr>
      <w:tr w:rsidR="00F37C94" w:rsidRPr="00275295" w:rsidTr="00BF4F9F">
        <w:trPr>
          <w:trHeight w:val="285"/>
        </w:trPr>
        <w:tc>
          <w:tcPr>
            <w:tcW w:w="2499" w:type="dxa"/>
            <w:shd w:val="clear" w:color="auto" w:fill="auto"/>
            <w:noWrap/>
            <w:vAlign w:val="bottom"/>
            <w:hideMark/>
          </w:tcPr>
          <w:p w:rsidR="00F37C94" w:rsidRPr="00275295" w:rsidRDefault="00F37C94" w:rsidP="00BF4F9F">
            <w:pPr>
              <w:rPr>
                <w:rFonts w:ascii="Times New Roman" w:hAnsi="Times New Roman" w:cs="Times New Roman"/>
                <w:color w:val="000000"/>
              </w:rPr>
            </w:pPr>
            <w:r w:rsidRPr="00275295">
              <w:rPr>
                <w:rFonts w:ascii="Times New Roman" w:hAnsi="Times New Roman" w:cs="Times New Roman"/>
                <w:color w:val="000000"/>
              </w:rPr>
              <w:t>Ambigüedad de rol</w:t>
            </w:r>
          </w:p>
        </w:tc>
        <w:tc>
          <w:tcPr>
            <w:tcW w:w="974"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2,97</w:t>
            </w:r>
          </w:p>
        </w:tc>
        <w:tc>
          <w:tcPr>
            <w:tcW w:w="973" w:type="dxa"/>
            <w:gridSpan w:val="2"/>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0,78</w:t>
            </w:r>
          </w:p>
        </w:tc>
        <w:tc>
          <w:tcPr>
            <w:tcW w:w="973"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3,07</w:t>
            </w:r>
          </w:p>
        </w:tc>
        <w:tc>
          <w:tcPr>
            <w:tcW w:w="974"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0,85</w:t>
            </w:r>
          </w:p>
        </w:tc>
        <w:tc>
          <w:tcPr>
            <w:tcW w:w="973"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-1,699</w:t>
            </w:r>
          </w:p>
        </w:tc>
        <w:tc>
          <w:tcPr>
            <w:tcW w:w="1137"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0,09</w:t>
            </w:r>
          </w:p>
        </w:tc>
      </w:tr>
      <w:tr w:rsidR="00F37C94" w:rsidRPr="00275295" w:rsidTr="00BF4F9F">
        <w:trPr>
          <w:trHeight w:val="285"/>
        </w:trPr>
        <w:tc>
          <w:tcPr>
            <w:tcW w:w="2499" w:type="dxa"/>
            <w:shd w:val="clear" w:color="auto" w:fill="auto"/>
            <w:noWrap/>
            <w:vAlign w:val="bottom"/>
            <w:hideMark/>
          </w:tcPr>
          <w:p w:rsidR="00F37C94" w:rsidRPr="00275295" w:rsidRDefault="00F37C94" w:rsidP="00BF4F9F">
            <w:pPr>
              <w:rPr>
                <w:rFonts w:ascii="Times New Roman" w:hAnsi="Times New Roman" w:cs="Times New Roman"/>
                <w:color w:val="000000"/>
              </w:rPr>
            </w:pPr>
            <w:r w:rsidRPr="00275295">
              <w:rPr>
                <w:rFonts w:ascii="Times New Roman" w:hAnsi="Times New Roman" w:cs="Times New Roman"/>
                <w:color w:val="000000"/>
              </w:rPr>
              <w:t>Carga de trabajo</w:t>
            </w:r>
          </w:p>
        </w:tc>
        <w:tc>
          <w:tcPr>
            <w:tcW w:w="974"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1,66</w:t>
            </w:r>
          </w:p>
        </w:tc>
        <w:tc>
          <w:tcPr>
            <w:tcW w:w="973" w:type="dxa"/>
            <w:gridSpan w:val="2"/>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0,76</w:t>
            </w:r>
          </w:p>
        </w:tc>
        <w:tc>
          <w:tcPr>
            <w:tcW w:w="973"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2,08</w:t>
            </w:r>
          </w:p>
        </w:tc>
        <w:tc>
          <w:tcPr>
            <w:tcW w:w="974"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0,82</w:t>
            </w:r>
          </w:p>
        </w:tc>
        <w:tc>
          <w:tcPr>
            <w:tcW w:w="973"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-7,623</w:t>
            </w:r>
          </w:p>
        </w:tc>
        <w:tc>
          <w:tcPr>
            <w:tcW w:w="1137"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0,000</w:t>
            </w:r>
          </w:p>
        </w:tc>
      </w:tr>
      <w:tr w:rsidR="00F37C94" w:rsidRPr="00275295" w:rsidTr="00BF4F9F">
        <w:trPr>
          <w:trHeight w:val="285"/>
        </w:trPr>
        <w:tc>
          <w:tcPr>
            <w:tcW w:w="2499" w:type="dxa"/>
            <w:shd w:val="clear" w:color="auto" w:fill="auto"/>
            <w:noWrap/>
            <w:vAlign w:val="bottom"/>
            <w:hideMark/>
          </w:tcPr>
          <w:p w:rsidR="00F37C94" w:rsidRPr="00275295" w:rsidRDefault="00F37C94" w:rsidP="00BF4F9F">
            <w:pPr>
              <w:rPr>
                <w:rFonts w:ascii="Times New Roman" w:hAnsi="Times New Roman" w:cs="Times New Roman"/>
                <w:color w:val="000000"/>
              </w:rPr>
            </w:pPr>
            <w:r w:rsidRPr="00275295">
              <w:rPr>
                <w:rFonts w:ascii="Times New Roman" w:hAnsi="Times New Roman" w:cs="Times New Roman"/>
                <w:color w:val="000000"/>
              </w:rPr>
              <w:t>Conflictos interpersonales</w:t>
            </w:r>
          </w:p>
        </w:tc>
        <w:tc>
          <w:tcPr>
            <w:tcW w:w="974"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0,48</w:t>
            </w:r>
          </w:p>
        </w:tc>
        <w:tc>
          <w:tcPr>
            <w:tcW w:w="973" w:type="dxa"/>
            <w:gridSpan w:val="2"/>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0,45</w:t>
            </w:r>
          </w:p>
        </w:tc>
        <w:tc>
          <w:tcPr>
            <w:tcW w:w="973"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0,57</w:t>
            </w:r>
          </w:p>
        </w:tc>
        <w:tc>
          <w:tcPr>
            <w:tcW w:w="974"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0,54</w:t>
            </w:r>
          </w:p>
        </w:tc>
        <w:tc>
          <w:tcPr>
            <w:tcW w:w="973"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-6,666</w:t>
            </w:r>
          </w:p>
        </w:tc>
        <w:tc>
          <w:tcPr>
            <w:tcW w:w="1137"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0,000</w:t>
            </w:r>
          </w:p>
        </w:tc>
      </w:tr>
      <w:tr w:rsidR="00F37C94" w:rsidRPr="00275295" w:rsidTr="00BF4F9F">
        <w:trPr>
          <w:trHeight w:val="285"/>
        </w:trPr>
        <w:tc>
          <w:tcPr>
            <w:tcW w:w="2499" w:type="dxa"/>
            <w:shd w:val="clear" w:color="auto" w:fill="auto"/>
            <w:noWrap/>
            <w:vAlign w:val="bottom"/>
            <w:hideMark/>
          </w:tcPr>
          <w:p w:rsidR="00F37C94" w:rsidRPr="00275295" w:rsidRDefault="00F37C94" w:rsidP="00BF4F9F">
            <w:pPr>
              <w:rPr>
                <w:rFonts w:ascii="Times New Roman" w:hAnsi="Times New Roman" w:cs="Times New Roman"/>
                <w:color w:val="000000"/>
              </w:rPr>
            </w:pPr>
            <w:r w:rsidRPr="00275295">
              <w:rPr>
                <w:rFonts w:ascii="Times New Roman" w:hAnsi="Times New Roman" w:cs="Times New Roman"/>
                <w:color w:val="000000"/>
              </w:rPr>
              <w:t>Justicia organizacional</w:t>
            </w:r>
          </w:p>
        </w:tc>
        <w:tc>
          <w:tcPr>
            <w:tcW w:w="974"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2,00</w:t>
            </w:r>
          </w:p>
        </w:tc>
        <w:tc>
          <w:tcPr>
            <w:tcW w:w="973" w:type="dxa"/>
            <w:gridSpan w:val="2"/>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0,84</w:t>
            </w:r>
          </w:p>
        </w:tc>
        <w:tc>
          <w:tcPr>
            <w:tcW w:w="973"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2,37</w:t>
            </w:r>
          </w:p>
        </w:tc>
        <w:tc>
          <w:tcPr>
            <w:tcW w:w="974"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0,75</w:t>
            </w:r>
          </w:p>
        </w:tc>
        <w:tc>
          <w:tcPr>
            <w:tcW w:w="973"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-6,76</w:t>
            </w:r>
          </w:p>
        </w:tc>
        <w:tc>
          <w:tcPr>
            <w:tcW w:w="1137" w:type="dxa"/>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0,000</w:t>
            </w:r>
          </w:p>
        </w:tc>
      </w:tr>
      <w:tr w:rsidR="00F37C94" w:rsidRPr="00275295" w:rsidTr="00BF4F9F">
        <w:trPr>
          <w:trHeight w:val="285"/>
        </w:trPr>
        <w:tc>
          <w:tcPr>
            <w:tcW w:w="2499" w:type="dxa"/>
            <w:tcBorders>
              <w:bottom w:val="single" w:sz="4" w:space="0" w:color="auto"/>
            </w:tcBorders>
            <w:shd w:val="clear" w:color="auto" w:fill="auto"/>
            <w:noWrap/>
            <w:vAlign w:val="bottom"/>
            <w:hideMark/>
          </w:tcPr>
          <w:p w:rsidR="00F37C94" w:rsidRPr="00275295" w:rsidRDefault="00F37C94" w:rsidP="00BF4F9F">
            <w:pPr>
              <w:rPr>
                <w:rFonts w:ascii="Times New Roman" w:hAnsi="Times New Roman" w:cs="Times New Roman"/>
                <w:color w:val="000000"/>
              </w:rPr>
            </w:pPr>
            <w:r w:rsidRPr="00275295">
              <w:rPr>
                <w:rFonts w:ascii="Times New Roman" w:hAnsi="Times New Roman" w:cs="Times New Roman"/>
                <w:color w:val="000000"/>
              </w:rPr>
              <w:t>Conflicto trabajo familia</w:t>
            </w:r>
          </w:p>
        </w:tc>
        <w:tc>
          <w:tcPr>
            <w:tcW w:w="974" w:type="dxa"/>
            <w:tcBorders>
              <w:bottom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0,85</w:t>
            </w:r>
          </w:p>
        </w:tc>
        <w:tc>
          <w:tcPr>
            <w:tcW w:w="973" w:type="dxa"/>
            <w:gridSpan w:val="2"/>
            <w:tcBorders>
              <w:bottom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0,67</w:t>
            </w:r>
          </w:p>
        </w:tc>
        <w:tc>
          <w:tcPr>
            <w:tcW w:w="973" w:type="dxa"/>
            <w:tcBorders>
              <w:bottom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1,13</w:t>
            </w:r>
          </w:p>
        </w:tc>
        <w:tc>
          <w:tcPr>
            <w:tcW w:w="974" w:type="dxa"/>
            <w:tcBorders>
              <w:bottom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0,87</w:t>
            </w:r>
          </w:p>
        </w:tc>
        <w:tc>
          <w:tcPr>
            <w:tcW w:w="973" w:type="dxa"/>
            <w:tcBorders>
              <w:bottom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-5,086</w:t>
            </w:r>
          </w:p>
        </w:tc>
        <w:tc>
          <w:tcPr>
            <w:tcW w:w="1137" w:type="dxa"/>
            <w:tcBorders>
              <w:bottom w:val="single" w:sz="4" w:space="0" w:color="auto"/>
            </w:tcBorders>
            <w:shd w:val="clear" w:color="auto" w:fill="auto"/>
            <w:noWrap/>
            <w:vAlign w:val="bottom"/>
            <w:hideMark/>
          </w:tcPr>
          <w:p w:rsidR="00F37C94" w:rsidRPr="00275295" w:rsidRDefault="00F37C94" w:rsidP="00BF4F9F">
            <w:pPr>
              <w:jc w:val="center"/>
              <w:rPr>
                <w:rFonts w:ascii="Times New Roman" w:hAnsi="Times New Roman" w:cs="Times New Roman"/>
                <w:color w:val="000000"/>
              </w:rPr>
            </w:pPr>
            <w:r w:rsidRPr="00275295">
              <w:rPr>
                <w:rFonts w:ascii="Times New Roman" w:hAnsi="Times New Roman" w:cs="Times New Roman"/>
                <w:color w:val="000000"/>
              </w:rPr>
              <w:t>0,000</w:t>
            </w:r>
          </w:p>
        </w:tc>
      </w:tr>
    </w:tbl>
    <w:p w:rsidR="00F37C94" w:rsidRPr="00477841" w:rsidRDefault="00F37C94" w:rsidP="00F37C94">
      <w:pPr>
        <w:rPr>
          <w:rFonts w:ascii="Times New Roman" w:hAnsi="Times New Roman" w:cs="Times New Roman"/>
        </w:rPr>
      </w:pPr>
      <w:r w:rsidRPr="00477841">
        <w:rPr>
          <w:rFonts w:ascii="Times New Roman" w:hAnsi="Times New Roman" w:cs="Times New Roman"/>
        </w:rPr>
        <w:t>D</w:t>
      </w:r>
      <w:r>
        <w:rPr>
          <w:rFonts w:ascii="Times New Roman" w:hAnsi="Times New Roman" w:cs="Times New Roman"/>
        </w:rPr>
        <w:t>S</w:t>
      </w:r>
      <w:r w:rsidRPr="00477841">
        <w:rPr>
          <w:rFonts w:ascii="Times New Roman" w:hAnsi="Times New Roman" w:cs="Times New Roman"/>
        </w:rPr>
        <w:t xml:space="preserve">= Desviación estándar; T= Valor t de </w:t>
      </w:r>
      <w:proofErr w:type="spellStart"/>
      <w:r w:rsidRPr="00477841">
        <w:rPr>
          <w:rFonts w:ascii="Times New Roman" w:hAnsi="Times New Roman" w:cs="Times New Roman"/>
        </w:rPr>
        <w:t>student</w:t>
      </w:r>
      <w:proofErr w:type="spellEnd"/>
      <w:r w:rsidRPr="00477841">
        <w:rPr>
          <w:rFonts w:ascii="Times New Roman" w:hAnsi="Times New Roman" w:cs="Times New Roman"/>
        </w:rPr>
        <w:t>; p= valor significancia.</w:t>
      </w:r>
    </w:p>
    <w:p w:rsidR="00F37C94" w:rsidRPr="00275295" w:rsidRDefault="00F37C94" w:rsidP="00F37C94">
      <w:pPr>
        <w:jc w:val="both"/>
        <w:rPr>
          <w:rFonts w:ascii="Times New Roman" w:hAnsi="Times New Roman" w:cs="Times New Roman"/>
        </w:rPr>
      </w:pPr>
      <w:r w:rsidRPr="00477841">
        <w:rPr>
          <w:rFonts w:ascii="Times New Roman" w:hAnsi="Times New Roman" w:cs="Times New Roman"/>
        </w:rPr>
        <w:t>Revisando la tabla 3</w:t>
      </w:r>
      <w:r w:rsidRPr="00275295">
        <w:rPr>
          <w:rFonts w:ascii="Times New Roman" w:hAnsi="Times New Roman" w:cs="Times New Roman"/>
        </w:rPr>
        <w:t xml:space="preserve"> donde se comparan entre ambos grupos las personas con trabajo remoto y trabajo presencial se observan diferencias significativas en todas las dimensiones asociadas a recursos. Las personas que realizan trabajo remoto se muestran con mejores niveles que los de trabajo presencial, a diferencia de la dimensión de </w:t>
      </w:r>
      <w:proofErr w:type="spellStart"/>
      <w:r w:rsidRPr="00275295">
        <w:rPr>
          <w:rFonts w:ascii="Times New Roman" w:hAnsi="Times New Roman" w:cs="Times New Roman"/>
        </w:rPr>
        <w:t>feedback</w:t>
      </w:r>
      <w:proofErr w:type="spellEnd"/>
      <w:r w:rsidRPr="00275295">
        <w:rPr>
          <w:rFonts w:ascii="Times New Roman" w:hAnsi="Times New Roman" w:cs="Times New Roman"/>
        </w:rPr>
        <w:t xml:space="preserve"> donde se observa que las personas con trabajo presencial reciben una mayor retroalimentación de parte de sus supervisores en comparación a los que trabajan de forma remota.</w:t>
      </w:r>
    </w:p>
    <w:p w:rsidR="00F37C94" w:rsidRPr="00275295" w:rsidRDefault="00F37C94" w:rsidP="00F37C94">
      <w:pPr>
        <w:spacing w:after="0"/>
        <w:rPr>
          <w:rFonts w:ascii="Times New Roman" w:hAnsi="Times New Roman" w:cs="Times New Roman"/>
          <w:b/>
        </w:rPr>
      </w:pPr>
    </w:p>
    <w:p w:rsidR="00F37C94" w:rsidRPr="00477841" w:rsidRDefault="00F37C94" w:rsidP="00F37C94">
      <w:pPr>
        <w:jc w:val="both"/>
        <w:rPr>
          <w:rFonts w:ascii="Times New Roman" w:hAnsi="Times New Roman" w:cs="Times New Roman"/>
        </w:rPr>
      </w:pPr>
      <w:r w:rsidRPr="00477841">
        <w:rPr>
          <w:rFonts w:ascii="Times New Roman" w:hAnsi="Times New Roman" w:cs="Times New Roman"/>
        </w:rPr>
        <w:t xml:space="preserve">Tabla 3 </w:t>
      </w:r>
    </w:p>
    <w:p w:rsidR="00F37C94" w:rsidRPr="00477841" w:rsidRDefault="00F37C94" w:rsidP="00F37C94">
      <w:pPr>
        <w:jc w:val="both"/>
        <w:rPr>
          <w:rFonts w:ascii="Times New Roman" w:hAnsi="Times New Roman" w:cs="Times New Roman"/>
          <w:i/>
        </w:rPr>
      </w:pPr>
      <w:r w:rsidRPr="00477841">
        <w:rPr>
          <w:rFonts w:ascii="Times New Roman" w:hAnsi="Times New Roman" w:cs="Times New Roman"/>
          <w:i/>
        </w:rPr>
        <w:t>Descriptivas y prueba T para factores psicosociales de recursos para el grupo remoto y presencial.</w:t>
      </w:r>
    </w:p>
    <w:tbl>
      <w:tblPr>
        <w:tblStyle w:val="Estilo1"/>
        <w:tblW w:w="8725" w:type="dxa"/>
        <w:tblLook w:val="04A0" w:firstRow="1" w:lastRow="0" w:firstColumn="1" w:lastColumn="0" w:noHBand="0" w:noVBand="1"/>
      </w:tblPr>
      <w:tblGrid>
        <w:gridCol w:w="2096"/>
        <w:gridCol w:w="1051"/>
        <w:gridCol w:w="1051"/>
        <w:gridCol w:w="1050"/>
        <w:gridCol w:w="1052"/>
        <w:gridCol w:w="1050"/>
        <w:gridCol w:w="1375"/>
      </w:tblGrid>
      <w:tr w:rsidR="00F37C94" w:rsidRPr="00275295" w:rsidTr="00BF4F9F">
        <w:trPr>
          <w:trHeight w:val="284"/>
        </w:trPr>
        <w:tc>
          <w:tcPr>
            <w:tcW w:w="2096" w:type="dxa"/>
            <w:noWrap/>
            <w:hideMark/>
          </w:tcPr>
          <w:p w:rsidR="00F37C94" w:rsidRPr="00275295" w:rsidRDefault="00F37C94" w:rsidP="00BF4F9F">
            <w:pPr>
              <w:rPr>
                <w:rFonts w:ascii="Times New Roman" w:hAnsi="Times New Roman" w:cs="Times New Roman"/>
              </w:rPr>
            </w:pPr>
          </w:p>
        </w:tc>
        <w:tc>
          <w:tcPr>
            <w:tcW w:w="2102" w:type="dxa"/>
            <w:gridSpan w:val="2"/>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Trabajo remoto</w:t>
            </w:r>
          </w:p>
        </w:tc>
        <w:tc>
          <w:tcPr>
            <w:tcW w:w="2102" w:type="dxa"/>
            <w:gridSpan w:val="2"/>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Trabajo presencial</w:t>
            </w:r>
          </w:p>
        </w:tc>
        <w:tc>
          <w:tcPr>
            <w:tcW w:w="1050" w:type="dxa"/>
            <w:noWrap/>
            <w:hideMark/>
          </w:tcPr>
          <w:p w:rsidR="00F37C94" w:rsidRPr="00275295" w:rsidRDefault="00F37C94" w:rsidP="00BF4F9F">
            <w:pPr>
              <w:rPr>
                <w:rFonts w:ascii="Times New Roman" w:hAnsi="Times New Roman" w:cs="Times New Roman"/>
              </w:rPr>
            </w:pPr>
          </w:p>
        </w:tc>
        <w:tc>
          <w:tcPr>
            <w:tcW w:w="1375" w:type="dxa"/>
            <w:noWrap/>
            <w:hideMark/>
          </w:tcPr>
          <w:p w:rsidR="00F37C94" w:rsidRPr="00275295" w:rsidRDefault="00F37C94" w:rsidP="00BF4F9F">
            <w:pPr>
              <w:rPr>
                <w:rFonts w:ascii="Times New Roman" w:hAnsi="Times New Roman" w:cs="Times New Roman"/>
              </w:rPr>
            </w:pPr>
          </w:p>
        </w:tc>
      </w:tr>
      <w:tr w:rsidR="00F37C94" w:rsidRPr="00275295" w:rsidTr="00BF4F9F">
        <w:trPr>
          <w:trHeight w:val="284"/>
        </w:trPr>
        <w:tc>
          <w:tcPr>
            <w:tcW w:w="2096" w:type="dxa"/>
            <w:noWrap/>
            <w:hideMark/>
          </w:tcPr>
          <w:p w:rsidR="00F37C94" w:rsidRPr="00275295" w:rsidRDefault="00F37C94" w:rsidP="00BF4F9F">
            <w:pPr>
              <w:rPr>
                <w:rFonts w:ascii="Times New Roman" w:hAnsi="Times New Roman" w:cs="Times New Roman"/>
              </w:rPr>
            </w:pPr>
          </w:p>
        </w:tc>
        <w:tc>
          <w:tcPr>
            <w:tcW w:w="1051"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M</w:t>
            </w:r>
            <w:r>
              <w:rPr>
                <w:rFonts w:ascii="Times New Roman" w:hAnsi="Times New Roman" w:cs="Times New Roman"/>
              </w:rPr>
              <w:t>edia</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D</w:t>
            </w:r>
            <w:r>
              <w:rPr>
                <w:rFonts w:ascii="Times New Roman" w:hAnsi="Times New Roman" w:cs="Times New Roman"/>
              </w:rPr>
              <w:t>S</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M</w:t>
            </w:r>
            <w:r>
              <w:rPr>
                <w:rFonts w:ascii="Times New Roman" w:hAnsi="Times New Roman" w:cs="Times New Roman"/>
              </w:rPr>
              <w:t>edia</w:t>
            </w:r>
          </w:p>
        </w:tc>
        <w:tc>
          <w:tcPr>
            <w:tcW w:w="1051"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D</w:t>
            </w:r>
            <w:r>
              <w:rPr>
                <w:rFonts w:ascii="Times New Roman" w:hAnsi="Times New Roman" w:cs="Times New Roman"/>
              </w:rPr>
              <w:t>S</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t</w:t>
            </w:r>
          </w:p>
        </w:tc>
        <w:tc>
          <w:tcPr>
            <w:tcW w:w="1375"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p</w:t>
            </w:r>
          </w:p>
        </w:tc>
      </w:tr>
      <w:tr w:rsidR="00F37C94" w:rsidRPr="00275295" w:rsidTr="00BF4F9F">
        <w:trPr>
          <w:trHeight w:val="284"/>
        </w:trPr>
        <w:tc>
          <w:tcPr>
            <w:tcW w:w="2096" w:type="dxa"/>
            <w:noWrap/>
            <w:hideMark/>
          </w:tcPr>
          <w:p w:rsidR="00F37C94" w:rsidRPr="00275295" w:rsidRDefault="00F37C94" w:rsidP="00BF4F9F">
            <w:pPr>
              <w:rPr>
                <w:rFonts w:ascii="Times New Roman" w:hAnsi="Times New Roman" w:cs="Times New Roman"/>
              </w:rPr>
            </w:pPr>
            <w:r w:rsidRPr="00275295">
              <w:rPr>
                <w:rFonts w:ascii="Times New Roman" w:hAnsi="Times New Roman" w:cs="Times New Roman"/>
              </w:rPr>
              <w:t>Autonomía</w:t>
            </w:r>
          </w:p>
        </w:tc>
        <w:tc>
          <w:tcPr>
            <w:tcW w:w="1051"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2,68</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0,78</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2,29</w:t>
            </w:r>
          </w:p>
        </w:tc>
        <w:tc>
          <w:tcPr>
            <w:tcW w:w="1051"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0,82</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7,063</w:t>
            </w:r>
          </w:p>
        </w:tc>
        <w:tc>
          <w:tcPr>
            <w:tcW w:w="1375"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0,000</w:t>
            </w:r>
          </w:p>
        </w:tc>
      </w:tr>
      <w:tr w:rsidR="00F37C94" w:rsidRPr="00275295" w:rsidTr="00BF4F9F">
        <w:trPr>
          <w:trHeight w:val="284"/>
        </w:trPr>
        <w:tc>
          <w:tcPr>
            <w:tcW w:w="2096" w:type="dxa"/>
            <w:noWrap/>
            <w:hideMark/>
          </w:tcPr>
          <w:p w:rsidR="00F37C94" w:rsidRPr="00275295" w:rsidRDefault="00F37C94" w:rsidP="00BF4F9F">
            <w:pPr>
              <w:rPr>
                <w:rFonts w:ascii="Times New Roman" w:hAnsi="Times New Roman" w:cs="Times New Roman"/>
              </w:rPr>
            </w:pPr>
            <w:r w:rsidRPr="00275295">
              <w:rPr>
                <w:rFonts w:ascii="Times New Roman" w:hAnsi="Times New Roman" w:cs="Times New Roman"/>
              </w:rPr>
              <w:t>Apoyo social</w:t>
            </w:r>
          </w:p>
        </w:tc>
        <w:tc>
          <w:tcPr>
            <w:tcW w:w="1051"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2,65</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0,79</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2,45</w:t>
            </w:r>
          </w:p>
        </w:tc>
        <w:tc>
          <w:tcPr>
            <w:tcW w:w="1051"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0,76</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3,615</w:t>
            </w:r>
          </w:p>
        </w:tc>
        <w:tc>
          <w:tcPr>
            <w:tcW w:w="1375"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0,000</w:t>
            </w:r>
          </w:p>
        </w:tc>
      </w:tr>
      <w:tr w:rsidR="00F37C94" w:rsidRPr="00275295" w:rsidTr="00BF4F9F">
        <w:trPr>
          <w:trHeight w:val="284"/>
        </w:trPr>
        <w:tc>
          <w:tcPr>
            <w:tcW w:w="2096" w:type="dxa"/>
            <w:noWrap/>
            <w:hideMark/>
          </w:tcPr>
          <w:p w:rsidR="00F37C94" w:rsidRPr="00275295" w:rsidRDefault="00F37C94" w:rsidP="00BF4F9F">
            <w:pPr>
              <w:rPr>
                <w:rFonts w:ascii="Times New Roman" w:hAnsi="Times New Roman" w:cs="Times New Roman"/>
              </w:rPr>
            </w:pPr>
            <w:r w:rsidRPr="00275295">
              <w:rPr>
                <w:rFonts w:ascii="Times New Roman" w:hAnsi="Times New Roman" w:cs="Times New Roman"/>
              </w:rPr>
              <w:t>Disponibilidad de Recursos</w:t>
            </w:r>
          </w:p>
        </w:tc>
        <w:tc>
          <w:tcPr>
            <w:tcW w:w="1051"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2,65</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0,59</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2,22</w:t>
            </w:r>
          </w:p>
        </w:tc>
        <w:tc>
          <w:tcPr>
            <w:tcW w:w="1051"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0,74</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9,564</w:t>
            </w:r>
          </w:p>
        </w:tc>
        <w:tc>
          <w:tcPr>
            <w:tcW w:w="1375"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0,000</w:t>
            </w:r>
          </w:p>
        </w:tc>
      </w:tr>
      <w:tr w:rsidR="00F37C94" w:rsidRPr="00275295" w:rsidTr="00BF4F9F">
        <w:trPr>
          <w:trHeight w:val="284"/>
        </w:trPr>
        <w:tc>
          <w:tcPr>
            <w:tcW w:w="2096" w:type="dxa"/>
            <w:noWrap/>
            <w:hideMark/>
          </w:tcPr>
          <w:p w:rsidR="00F37C94" w:rsidRPr="00275295" w:rsidRDefault="00F37C94" w:rsidP="00BF4F9F">
            <w:pPr>
              <w:rPr>
                <w:rFonts w:ascii="Times New Roman" w:hAnsi="Times New Roman" w:cs="Times New Roman"/>
              </w:rPr>
            </w:pPr>
            <w:r w:rsidRPr="00275295">
              <w:rPr>
                <w:rFonts w:ascii="Times New Roman" w:hAnsi="Times New Roman" w:cs="Times New Roman"/>
              </w:rPr>
              <w:t>Feedback</w:t>
            </w:r>
          </w:p>
        </w:tc>
        <w:tc>
          <w:tcPr>
            <w:tcW w:w="1051"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1,64</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0,78</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1,80</w:t>
            </w:r>
          </w:p>
        </w:tc>
        <w:tc>
          <w:tcPr>
            <w:tcW w:w="1051"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0,83</w:t>
            </w:r>
          </w:p>
        </w:tc>
        <w:tc>
          <w:tcPr>
            <w:tcW w:w="1050"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-2,724</w:t>
            </w:r>
          </w:p>
        </w:tc>
        <w:tc>
          <w:tcPr>
            <w:tcW w:w="1375"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0,007</w:t>
            </w:r>
          </w:p>
        </w:tc>
      </w:tr>
    </w:tbl>
    <w:p w:rsidR="00F37C94" w:rsidRPr="00477841" w:rsidRDefault="00F37C94" w:rsidP="00F37C94">
      <w:pPr>
        <w:rPr>
          <w:rFonts w:ascii="Times New Roman" w:hAnsi="Times New Roman" w:cs="Times New Roman"/>
        </w:rPr>
      </w:pPr>
      <w:r w:rsidRPr="00477841">
        <w:rPr>
          <w:rFonts w:ascii="Times New Roman" w:hAnsi="Times New Roman" w:cs="Times New Roman"/>
        </w:rPr>
        <w:t xml:space="preserve">DS= Desviación estándar; T= Valor t de </w:t>
      </w:r>
      <w:proofErr w:type="spellStart"/>
      <w:r w:rsidRPr="00477841">
        <w:rPr>
          <w:rFonts w:ascii="Times New Roman" w:hAnsi="Times New Roman" w:cs="Times New Roman"/>
        </w:rPr>
        <w:t>student</w:t>
      </w:r>
      <w:proofErr w:type="spellEnd"/>
      <w:r w:rsidRPr="00477841">
        <w:rPr>
          <w:rFonts w:ascii="Times New Roman" w:hAnsi="Times New Roman" w:cs="Times New Roman"/>
        </w:rPr>
        <w:t>; p= valor significancia.</w:t>
      </w:r>
    </w:p>
    <w:p w:rsidR="00F37C94" w:rsidRPr="00275295" w:rsidRDefault="00F37C94" w:rsidP="00F37C94">
      <w:pPr>
        <w:ind w:firstLine="708"/>
        <w:jc w:val="both"/>
        <w:rPr>
          <w:rFonts w:ascii="Times New Roman" w:hAnsi="Times New Roman" w:cs="Times New Roman"/>
        </w:rPr>
      </w:pPr>
      <w:r w:rsidRPr="00275295">
        <w:rPr>
          <w:rFonts w:ascii="Times New Roman" w:hAnsi="Times New Roman" w:cs="Times New Roman"/>
        </w:rPr>
        <w:t xml:space="preserve">En </w:t>
      </w:r>
      <w:r w:rsidRPr="00477841">
        <w:rPr>
          <w:rFonts w:ascii="Times New Roman" w:hAnsi="Times New Roman" w:cs="Times New Roman"/>
        </w:rPr>
        <w:t>la tabla 4 se</w:t>
      </w:r>
      <w:r w:rsidRPr="00275295">
        <w:rPr>
          <w:rFonts w:ascii="Times New Roman" w:hAnsi="Times New Roman" w:cs="Times New Roman"/>
        </w:rPr>
        <w:t xml:space="preserve"> ven todas las correlaciones existentes entre las dimensiones del síndrome de quemarse por el trabajo y los factores psicosociales en personas con trabajos remotos y trabajos presenciales. En general se presentan correlaciones significativas y llaman la atención la alta relación entre desgaste psíquico y carga de trabajo en ambas muestras (p=0,000) y la ausencia de relaciones significativas que presenta autonomía con varias dimensiones de los factores psicosociales, pero en particular en el grupo de trabajo remoto.</w:t>
      </w:r>
    </w:p>
    <w:p w:rsidR="00F37C94" w:rsidRPr="00275295" w:rsidRDefault="00F37C94" w:rsidP="00F37C94">
      <w:pPr>
        <w:jc w:val="both"/>
        <w:rPr>
          <w:rFonts w:ascii="Times New Roman" w:hAnsi="Times New Roman" w:cs="Times New Roman"/>
        </w:rPr>
      </w:pPr>
    </w:p>
    <w:p w:rsidR="00F37C94" w:rsidRPr="00477841" w:rsidRDefault="00F37C94" w:rsidP="00F37C94">
      <w:pPr>
        <w:jc w:val="both"/>
        <w:rPr>
          <w:rFonts w:ascii="Times New Roman" w:hAnsi="Times New Roman" w:cs="Times New Roman"/>
        </w:rPr>
      </w:pPr>
      <w:r w:rsidRPr="00477841">
        <w:rPr>
          <w:rFonts w:ascii="Times New Roman" w:hAnsi="Times New Roman" w:cs="Times New Roman"/>
        </w:rPr>
        <w:lastRenderedPageBreak/>
        <w:t xml:space="preserve">Tabla 4: </w:t>
      </w:r>
    </w:p>
    <w:p w:rsidR="00F37C94" w:rsidRPr="00477841" w:rsidRDefault="00F37C94" w:rsidP="00F37C94">
      <w:pPr>
        <w:jc w:val="both"/>
        <w:rPr>
          <w:rFonts w:ascii="Times New Roman" w:hAnsi="Times New Roman" w:cs="Times New Roman"/>
          <w:i/>
        </w:rPr>
      </w:pPr>
      <w:r w:rsidRPr="00477841">
        <w:rPr>
          <w:rFonts w:ascii="Times New Roman" w:hAnsi="Times New Roman" w:cs="Times New Roman"/>
          <w:i/>
        </w:rPr>
        <w:t>Correlaciones entre el síndrome de quemarse por el trabajo y los factores psicosociales en grupo de trabajo remoto y trabajo presencial.</w:t>
      </w:r>
    </w:p>
    <w:tbl>
      <w:tblPr>
        <w:tblW w:w="9640" w:type="dxa"/>
        <w:tblInd w:w="-394" w:type="dxa"/>
        <w:tblCellMar>
          <w:left w:w="70" w:type="dxa"/>
          <w:right w:w="70" w:type="dxa"/>
        </w:tblCellMar>
        <w:tblLook w:val="04A0" w:firstRow="1" w:lastRow="0" w:firstColumn="1" w:lastColumn="0" w:noHBand="0" w:noVBand="1"/>
      </w:tblPr>
      <w:tblGrid>
        <w:gridCol w:w="426"/>
        <w:gridCol w:w="708"/>
        <w:gridCol w:w="709"/>
        <w:gridCol w:w="709"/>
        <w:gridCol w:w="709"/>
        <w:gridCol w:w="708"/>
        <w:gridCol w:w="709"/>
        <w:gridCol w:w="709"/>
        <w:gridCol w:w="709"/>
        <w:gridCol w:w="709"/>
        <w:gridCol w:w="709"/>
        <w:gridCol w:w="708"/>
        <w:gridCol w:w="709"/>
        <w:gridCol w:w="709"/>
      </w:tblGrid>
      <w:tr w:rsidR="00F37C94" w:rsidRPr="00275295" w:rsidTr="00BF4F9F">
        <w:trPr>
          <w:trHeight w:val="288"/>
        </w:trPr>
        <w:tc>
          <w:tcPr>
            <w:tcW w:w="426" w:type="dxa"/>
            <w:tcBorders>
              <w:top w:val="single" w:sz="4" w:space="0" w:color="auto"/>
              <w:bottom w:val="single" w:sz="4" w:space="0" w:color="auto"/>
            </w:tcBorders>
            <w:shd w:val="clear" w:color="auto" w:fill="auto"/>
            <w:noWrap/>
            <w:vAlign w:val="bottom"/>
            <w:hideMark/>
          </w:tcPr>
          <w:p w:rsidR="00F37C94" w:rsidRPr="00275295" w:rsidRDefault="00F37C94" w:rsidP="00BF4F9F">
            <w:pPr>
              <w:spacing w:line="480" w:lineRule="auto"/>
              <w:rPr>
                <w:rFonts w:ascii="Times New Roman" w:hAnsi="Times New Roman" w:cs="Times New Roman"/>
                <w:b/>
              </w:rPr>
            </w:pPr>
          </w:p>
        </w:tc>
        <w:tc>
          <w:tcPr>
            <w:tcW w:w="708" w:type="dxa"/>
            <w:tcBorders>
              <w:top w:val="single" w:sz="4" w:space="0" w:color="auto"/>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b/>
                <w:sz w:val="20"/>
              </w:rPr>
            </w:pPr>
            <w:r w:rsidRPr="00477841">
              <w:rPr>
                <w:rFonts w:ascii="Times New Roman" w:hAnsi="Times New Roman" w:cs="Times New Roman"/>
                <w:b/>
                <w:sz w:val="20"/>
              </w:rPr>
              <w:t>1</w:t>
            </w:r>
          </w:p>
        </w:tc>
        <w:tc>
          <w:tcPr>
            <w:tcW w:w="709" w:type="dxa"/>
            <w:tcBorders>
              <w:top w:val="single" w:sz="4" w:space="0" w:color="auto"/>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b/>
                <w:sz w:val="20"/>
              </w:rPr>
            </w:pPr>
            <w:r w:rsidRPr="00477841">
              <w:rPr>
                <w:rFonts w:ascii="Times New Roman" w:hAnsi="Times New Roman" w:cs="Times New Roman"/>
                <w:b/>
                <w:sz w:val="20"/>
              </w:rPr>
              <w:t>2</w:t>
            </w:r>
          </w:p>
        </w:tc>
        <w:tc>
          <w:tcPr>
            <w:tcW w:w="709" w:type="dxa"/>
            <w:tcBorders>
              <w:top w:val="single" w:sz="4" w:space="0" w:color="auto"/>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b/>
                <w:sz w:val="20"/>
              </w:rPr>
            </w:pPr>
            <w:r w:rsidRPr="00477841">
              <w:rPr>
                <w:rFonts w:ascii="Times New Roman" w:hAnsi="Times New Roman" w:cs="Times New Roman"/>
                <w:b/>
                <w:sz w:val="20"/>
              </w:rPr>
              <w:t>3</w:t>
            </w:r>
          </w:p>
        </w:tc>
        <w:tc>
          <w:tcPr>
            <w:tcW w:w="709" w:type="dxa"/>
            <w:tcBorders>
              <w:top w:val="single" w:sz="4" w:space="0" w:color="auto"/>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b/>
                <w:sz w:val="20"/>
              </w:rPr>
            </w:pPr>
            <w:r w:rsidRPr="00477841">
              <w:rPr>
                <w:rFonts w:ascii="Times New Roman" w:hAnsi="Times New Roman" w:cs="Times New Roman"/>
                <w:b/>
                <w:sz w:val="20"/>
              </w:rPr>
              <w:t>4</w:t>
            </w:r>
          </w:p>
        </w:tc>
        <w:tc>
          <w:tcPr>
            <w:tcW w:w="708" w:type="dxa"/>
            <w:tcBorders>
              <w:top w:val="single" w:sz="4" w:space="0" w:color="auto"/>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b/>
                <w:sz w:val="20"/>
              </w:rPr>
            </w:pPr>
            <w:r w:rsidRPr="00477841">
              <w:rPr>
                <w:rFonts w:ascii="Times New Roman" w:hAnsi="Times New Roman" w:cs="Times New Roman"/>
                <w:b/>
                <w:sz w:val="20"/>
              </w:rPr>
              <w:t>5</w:t>
            </w:r>
          </w:p>
        </w:tc>
        <w:tc>
          <w:tcPr>
            <w:tcW w:w="709" w:type="dxa"/>
            <w:tcBorders>
              <w:top w:val="single" w:sz="4" w:space="0" w:color="auto"/>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b/>
                <w:sz w:val="20"/>
              </w:rPr>
            </w:pPr>
            <w:r w:rsidRPr="00477841">
              <w:rPr>
                <w:rFonts w:ascii="Times New Roman" w:hAnsi="Times New Roman" w:cs="Times New Roman"/>
                <w:b/>
                <w:sz w:val="20"/>
              </w:rPr>
              <w:t>6</w:t>
            </w:r>
          </w:p>
        </w:tc>
        <w:tc>
          <w:tcPr>
            <w:tcW w:w="709" w:type="dxa"/>
            <w:tcBorders>
              <w:top w:val="single" w:sz="4" w:space="0" w:color="auto"/>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b/>
                <w:sz w:val="20"/>
              </w:rPr>
            </w:pPr>
            <w:r w:rsidRPr="00477841">
              <w:rPr>
                <w:rFonts w:ascii="Times New Roman" w:hAnsi="Times New Roman" w:cs="Times New Roman"/>
                <w:b/>
                <w:sz w:val="20"/>
              </w:rPr>
              <w:t>7</w:t>
            </w:r>
          </w:p>
        </w:tc>
        <w:tc>
          <w:tcPr>
            <w:tcW w:w="709" w:type="dxa"/>
            <w:tcBorders>
              <w:top w:val="single" w:sz="4" w:space="0" w:color="auto"/>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b/>
                <w:sz w:val="20"/>
              </w:rPr>
            </w:pPr>
            <w:r w:rsidRPr="00477841">
              <w:rPr>
                <w:rFonts w:ascii="Times New Roman" w:hAnsi="Times New Roman" w:cs="Times New Roman"/>
                <w:b/>
                <w:sz w:val="20"/>
              </w:rPr>
              <w:t>8</w:t>
            </w:r>
          </w:p>
        </w:tc>
        <w:tc>
          <w:tcPr>
            <w:tcW w:w="709" w:type="dxa"/>
            <w:tcBorders>
              <w:top w:val="single" w:sz="4" w:space="0" w:color="auto"/>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b/>
                <w:sz w:val="20"/>
              </w:rPr>
            </w:pPr>
            <w:r w:rsidRPr="00477841">
              <w:rPr>
                <w:rFonts w:ascii="Times New Roman" w:hAnsi="Times New Roman" w:cs="Times New Roman"/>
                <w:b/>
                <w:sz w:val="20"/>
              </w:rPr>
              <w:t>9</w:t>
            </w:r>
          </w:p>
        </w:tc>
        <w:tc>
          <w:tcPr>
            <w:tcW w:w="709" w:type="dxa"/>
            <w:tcBorders>
              <w:top w:val="single" w:sz="4" w:space="0" w:color="auto"/>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b/>
                <w:sz w:val="20"/>
              </w:rPr>
            </w:pPr>
            <w:r w:rsidRPr="00477841">
              <w:rPr>
                <w:rFonts w:ascii="Times New Roman" w:hAnsi="Times New Roman" w:cs="Times New Roman"/>
                <w:b/>
                <w:sz w:val="20"/>
              </w:rPr>
              <w:t>10</w:t>
            </w:r>
          </w:p>
        </w:tc>
        <w:tc>
          <w:tcPr>
            <w:tcW w:w="708" w:type="dxa"/>
            <w:tcBorders>
              <w:top w:val="single" w:sz="4" w:space="0" w:color="auto"/>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b/>
                <w:sz w:val="20"/>
              </w:rPr>
            </w:pPr>
            <w:r w:rsidRPr="00477841">
              <w:rPr>
                <w:rFonts w:ascii="Times New Roman" w:hAnsi="Times New Roman" w:cs="Times New Roman"/>
                <w:b/>
                <w:sz w:val="20"/>
              </w:rPr>
              <w:t>11</w:t>
            </w:r>
          </w:p>
        </w:tc>
        <w:tc>
          <w:tcPr>
            <w:tcW w:w="709" w:type="dxa"/>
            <w:tcBorders>
              <w:top w:val="single" w:sz="4" w:space="0" w:color="auto"/>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b/>
                <w:sz w:val="20"/>
              </w:rPr>
            </w:pPr>
            <w:r w:rsidRPr="00477841">
              <w:rPr>
                <w:rFonts w:ascii="Times New Roman" w:hAnsi="Times New Roman" w:cs="Times New Roman"/>
                <w:b/>
                <w:sz w:val="20"/>
              </w:rPr>
              <w:t>12</w:t>
            </w:r>
          </w:p>
        </w:tc>
        <w:tc>
          <w:tcPr>
            <w:tcW w:w="709" w:type="dxa"/>
            <w:tcBorders>
              <w:top w:val="single" w:sz="4" w:space="0" w:color="auto"/>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b/>
                <w:sz w:val="20"/>
              </w:rPr>
            </w:pPr>
            <w:r w:rsidRPr="00477841">
              <w:rPr>
                <w:rFonts w:ascii="Times New Roman" w:hAnsi="Times New Roman" w:cs="Times New Roman"/>
                <w:b/>
                <w:sz w:val="20"/>
              </w:rPr>
              <w:t>13</w:t>
            </w:r>
          </w:p>
        </w:tc>
      </w:tr>
      <w:tr w:rsidR="00F37C94" w:rsidRPr="00275295" w:rsidTr="00BF4F9F">
        <w:trPr>
          <w:trHeight w:val="288"/>
        </w:trPr>
        <w:tc>
          <w:tcPr>
            <w:tcW w:w="426" w:type="dxa"/>
            <w:tcBorders>
              <w:top w:val="single" w:sz="4" w:space="0" w:color="auto"/>
            </w:tcBorders>
            <w:shd w:val="clear" w:color="auto" w:fill="auto"/>
            <w:noWrap/>
            <w:vAlign w:val="bottom"/>
            <w:hideMark/>
          </w:tcPr>
          <w:p w:rsidR="00F37C94" w:rsidRPr="00275295" w:rsidRDefault="00F37C94" w:rsidP="00BF4F9F">
            <w:pPr>
              <w:spacing w:line="480" w:lineRule="auto"/>
              <w:rPr>
                <w:rFonts w:ascii="Times New Roman" w:hAnsi="Times New Roman" w:cs="Times New Roman"/>
              </w:rPr>
            </w:pPr>
            <w:r w:rsidRPr="00275295">
              <w:rPr>
                <w:rFonts w:ascii="Times New Roman" w:hAnsi="Times New Roman" w:cs="Times New Roman"/>
              </w:rPr>
              <w:t>1</w:t>
            </w:r>
          </w:p>
        </w:tc>
        <w:tc>
          <w:tcPr>
            <w:tcW w:w="708" w:type="dxa"/>
            <w:tcBorders>
              <w:top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p>
        </w:tc>
        <w:tc>
          <w:tcPr>
            <w:tcW w:w="709" w:type="dxa"/>
            <w:tcBorders>
              <w:top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-,215**</w:t>
            </w:r>
          </w:p>
        </w:tc>
        <w:tc>
          <w:tcPr>
            <w:tcW w:w="709" w:type="dxa"/>
            <w:tcBorders>
              <w:top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-,548**</w:t>
            </w:r>
          </w:p>
        </w:tc>
        <w:tc>
          <w:tcPr>
            <w:tcW w:w="709" w:type="dxa"/>
            <w:tcBorders>
              <w:top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-,128*</w:t>
            </w:r>
          </w:p>
        </w:tc>
        <w:tc>
          <w:tcPr>
            <w:tcW w:w="708" w:type="dxa"/>
            <w:tcBorders>
              <w:top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,412**</w:t>
            </w:r>
          </w:p>
        </w:tc>
        <w:tc>
          <w:tcPr>
            <w:tcW w:w="709" w:type="dxa"/>
            <w:tcBorders>
              <w:top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-0,017</w:t>
            </w:r>
          </w:p>
        </w:tc>
        <w:tc>
          <w:tcPr>
            <w:tcW w:w="709" w:type="dxa"/>
            <w:tcBorders>
              <w:top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-,224**</w:t>
            </w:r>
          </w:p>
        </w:tc>
        <w:tc>
          <w:tcPr>
            <w:tcW w:w="709" w:type="dxa"/>
            <w:tcBorders>
              <w:top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-,376**</w:t>
            </w:r>
          </w:p>
        </w:tc>
        <w:tc>
          <w:tcPr>
            <w:tcW w:w="709" w:type="dxa"/>
            <w:tcBorders>
              <w:top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-,109*</w:t>
            </w:r>
          </w:p>
        </w:tc>
        <w:tc>
          <w:tcPr>
            <w:tcW w:w="709" w:type="dxa"/>
            <w:tcBorders>
              <w:top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,240**</w:t>
            </w:r>
          </w:p>
        </w:tc>
        <w:tc>
          <w:tcPr>
            <w:tcW w:w="708" w:type="dxa"/>
            <w:tcBorders>
              <w:top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,437**</w:t>
            </w:r>
          </w:p>
        </w:tc>
        <w:tc>
          <w:tcPr>
            <w:tcW w:w="709" w:type="dxa"/>
            <w:tcBorders>
              <w:top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,393**</w:t>
            </w:r>
          </w:p>
        </w:tc>
        <w:tc>
          <w:tcPr>
            <w:tcW w:w="709" w:type="dxa"/>
            <w:tcBorders>
              <w:top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,353**</w:t>
            </w:r>
          </w:p>
        </w:tc>
      </w:tr>
      <w:tr w:rsidR="00F37C94" w:rsidRPr="00275295" w:rsidTr="00BF4F9F">
        <w:trPr>
          <w:trHeight w:val="288"/>
        </w:trPr>
        <w:tc>
          <w:tcPr>
            <w:tcW w:w="426" w:type="dxa"/>
            <w:shd w:val="clear" w:color="auto" w:fill="auto"/>
            <w:noWrap/>
            <w:vAlign w:val="bottom"/>
            <w:hideMark/>
          </w:tcPr>
          <w:p w:rsidR="00F37C94" w:rsidRPr="00275295" w:rsidRDefault="00F37C94" w:rsidP="00BF4F9F">
            <w:pPr>
              <w:spacing w:line="480" w:lineRule="auto"/>
              <w:rPr>
                <w:rFonts w:ascii="Times New Roman" w:hAnsi="Times New Roman" w:cs="Times New Roman"/>
              </w:rPr>
            </w:pPr>
            <w:r w:rsidRPr="00275295">
              <w:rPr>
                <w:rFonts w:ascii="Times New Roman" w:hAnsi="Times New Roman" w:cs="Times New Roman"/>
              </w:rPr>
              <w:t>2</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-,454**</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,594**</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,436**</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-,411**</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,679**</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,408**</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,311**</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,615**</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0,041</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-,133*</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-,240**</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-,236**</w:t>
            </w:r>
          </w:p>
        </w:tc>
      </w:tr>
      <w:tr w:rsidR="00F37C94" w:rsidRPr="00275295" w:rsidTr="00BF4F9F">
        <w:trPr>
          <w:trHeight w:val="288"/>
        </w:trPr>
        <w:tc>
          <w:tcPr>
            <w:tcW w:w="426" w:type="dxa"/>
            <w:shd w:val="clear" w:color="auto" w:fill="auto"/>
            <w:noWrap/>
            <w:vAlign w:val="bottom"/>
            <w:hideMark/>
          </w:tcPr>
          <w:p w:rsidR="00F37C94" w:rsidRPr="00275295" w:rsidRDefault="00F37C94" w:rsidP="00BF4F9F">
            <w:pPr>
              <w:spacing w:line="480" w:lineRule="auto"/>
              <w:rPr>
                <w:rFonts w:ascii="Times New Roman" w:hAnsi="Times New Roman" w:cs="Times New Roman"/>
              </w:rPr>
            </w:pPr>
            <w:r w:rsidRPr="00275295">
              <w:rPr>
                <w:rFonts w:ascii="Times New Roman" w:hAnsi="Times New Roman" w:cs="Times New Roman"/>
              </w:rPr>
              <w:t>3</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-,529**</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,715**</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,602**</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-,529**</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,399**</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,406**</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,512**</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,415**</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-,221**</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-,365**</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-,410**</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-,225**</w:t>
            </w:r>
          </w:p>
        </w:tc>
      </w:tr>
      <w:tr w:rsidR="00F37C94" w:rsidRPr="00275295" w:rsidTr="00BF4F9F">
        <w:trPr>
          <w:trHeight w:val="288"/>
        </w:trPr>
        <w:tc>
          <w:tcPr>
            <w:tcW w:w="426" w:type="dxa"/>
            <w:shd w:val="clear" w:color="auto" w:fill="auto"/>
            <w:noWrap/>
            <w:vAlign w:val="bottom"/>
            <w:hideMark/>
          </w:tcPr>
          <w:p w:rsidR="00F37C94" w:rsidRPr="00275295" w:rsidRDefault="00F37C94" w:rsidP="00BF4F9F">
            <w:pPr>
              <w:spacing w:line="480" w:lineRule="auto"/>
              <w:rPr>
                <w:rFonts w:ascii="Times New Roman" w:hAnsi="Times New Roman" w:cs="Times New Roman"/>
              </w:rPr>
            </w:pPr>
            <w:r w:rsidRPr="00275295">
              <w:rPr>
                <w:rFonts w:ascii="Times New Roman" w:hAnsi="Times New Roman" w:cs="Times New Roman"/>
              </w:rPr>
              <w:t>4</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-,259**</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,568**</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,530**</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-,322**</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,457**</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,292**</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,286**</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,322**</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-,223**</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-,197**</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-,261**</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-0,069</w:t>
            </w:r>
          </w:p>
        </w:tc>
      </w:tr>
      <w:tr w:rsidR="00F37C94" w:rsidRPr="00275295" w:rsidTr="00BF4F9F">
        <w:trPr>
          <w:trHeight w:val="288"/>
        </w:trPr>
        <w:tc>
          <w:tcPr>
            <w:tcW w:w="426" w:type="dxa"/>
            <w:shd w:val="clear" w:color="auto" w:fill="auto"/>
            <w:noWrap/>
            <w:vAlign w:val="bottom"/>
            <w:hideMark/>
          </w:tcPr>
          <w:p w:rsidR="00F37C94" w:rsidRPr="00275295" w:rsidRDefault="00F37C94" w:rsidP="00BF4F9F">
            <w:pPr>
              <w:spacing w:line="480" w:lineRule="auto"/>
              <w:rPr>
                <w:rFonts w:ascii="Times New Roman" w:hAnsi="Times New Roman" w:cs="Times New Roman"/>
              </w:rPr>
            </w:pPr>
            <w:r w:rsidRPr="00275295">
              <w:rPr>
                <w:rFonts w:ascii="Times New Roman" w:hAnsi="Times New Roman" w:cs="Times New Roman"/>
              </w:rPr>
              <w:t>5</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,471**</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-,330**</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-,433**</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-,345**</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-,186**</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-,302**</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-,324**</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-,328**</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,365**</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,209**</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,241**</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,206**</w:t>
            </w:r>
          </w:p>
        </w:tc>
      </w:tr>
      <w:tr w:rsidR="00F37C94" w:rsidRPr="00275295" w:rsidTr="00BF4F9F">
        <w:trPr>
          <w:trHeight w:val="288"/>
        </w:trPr>
        <w:tc>
          <w:tcPr>
            <w:tcW w:w="426" w:type="dxa"/>
            <w:shd w:val="clear" w:color="auto" w:fill="auto"/>
            <w:noWrap/>
            <w:vAlign w:val="bottom"/>
            <w:hideMark/>
          </w:tcPr>
          <w:p w:rsidR="00F37C94" w:rsidRPr="00275295" w:rsidRDefault="00F37C94" w:rsidP="00BF4F9F">
            <w:pPr>
              <w:spacing w:line="480" w:lineRule="auto"/>
              <w:rPr>
                <w:rFonts w:ascii="Times New Roman" w:hAnsi="Times New Roman" w:cs="Times New Roman"/>
              </w:rPr>
            </w:pPr>
            <w:r w:rsidRPr="00275295">
              <w:rPr>
                <w:rFonts w:ascii="Times New Roman" w:hAnsi="Times New Roman" w:cs="Times New Roman"/>
              </w:rPr>
              <w:t>6</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-,335**</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,770**</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,628**</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,532**</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-,215**</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,237**</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,367**</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,528**</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0,103</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-,267**</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-0,094</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-,206**</w:t>
            </w:r>
          </w:p>
        </w:tc>
      </w:tr>
      <w:tr w:rsidR="00F37C94" w:rsidRPr="00275295" w:rsidTr="00BF4F9F">
        <w:trPr>
          <w:trHeight w:val="288"/>
        </w:trPr>
        <w:tc>
          <w:tcPr>
            <w:tcW w:w="426" w:type="dxa"/>
            <w:shd w:val="clear" w:color="auto" w:fill="auto"/>
            <w:noWrap/>
            <w:vAlign w:val="bottom"/>
            <w:hideMark/>
          </w:tcPr>
          <w:p w:rsidR="00F37C94" w:rsidRPr="00275295" w:rsidRDefault="00F37C94" w:rsidP="00BF4F9F">
            <w:pPr>
              <w:spacing w:line="480" w:lineRule="auto"/>
              <w:rPr>
                <w:rFonts w:ascii="Times New Roman" w:hAnsi="Times New Roman" w:cs="Times New Roman"/>
              </w:rPr>
            </w:pPr>
            <w:r w:rsidRPr="00275295">
              <w:rPr>
                <w:rFonts w:ascii="Times New Roman" w:hAnsi="Times New Roman" w:cs="Times New Roman"/>
              </w:rPr>
              <w:t>7</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-0,084</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,383**</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,365**</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,418**</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-,133**</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,434**</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,214**</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,383**</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-0,073</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-,165**</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-,197**</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-,205**</w:t>
            </w:r>
          </w:p>
        </w:tc>
      </w:tr>
      <w:tr w:rsidR="00F37C94" w:rsidRPr="00275295" w:rsidTr="00BF4F9F">
        <w:trPr>
          <w:trHeight w:val="288"/>
        </w:trPr>
        <w:tc>
          <w:tcPr>
            <w:tcW w:w="426" w:type="dxa"/>
            <w:shd w:val="clear" w:color="auto" w:fill="auto"/>
            <w:noWrap/>
            <w:vAlign w:val="bottom"/>
            <w:hideMark/>
          </w:tcPr>
          <w:p w:rsidR="00F37C94" w:rsidRPr="00275295" w:rsidRDefault="00F37C94" w:rsidP="00BF4F9F">
            <w:pPr>
              <w:spacing w:line="480" w:lineRule="auto"/>
              <w:rPr>
                <w:rFonts w:ascii="Times New Roman" w:hAnsi="Times New Roman" w:cs="Times New Roman"/>
              </w:rPr>
            </w:pPr>
            <w:r w:rsidRPr="00275295">
              <w:rPr>
                <w:rFonts w:ascii="Times New Roman" w:hAnsi="Times New Roman" w:cs="Times New Roman"/>
              </w:rPr>
              <w:t>8</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-,419**</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,359**</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,461**</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,394**</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-,285**</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,352**</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0,049</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,280**</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-,128*</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-,371**</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-,383**</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-,377**</w:t>
            </w:r>
          </w:p>
        </w:tc>
      </w:tr>
      <w:tr w:rsidR="00F37C94" w:rsidRPr="00275295" w:rsidTr="00BF4F9F">
        <w:trPr>
          <w:trHeight w:val="288"/>
        </w:trPr>
        <w:tc>
          <w:tcPr>
            <w:tcW w:w="426" w:type="dxa"/>
            <w:shd w:val="clear" w:color="auto" w:fill="auto"/>
            <w:noWrap/>
            <w:vAlign w:val="bottom"/>
            <w:hideMark/>
          </w:tcPr>
          <w:p w:rsidR="00F37C94" w:rsidRPr="00275295" w:rsidRDefault="00F37C94" w:rsidP="00BF4F9F">
            <w:pPr>
              <w:spacing w:line="480" w:lineRule="auto"/>
              <w:rPr>
                <w:rFonts w:ascii="Times New Roman" w:hAnsi="Times New Roman" w:cs="Times New Roman"/>
              </w:rPr>
            </w:pPr>
            <w:r w:rsidRPr="00275295">
              <w:rPr>
                <w:rFonts w:ascii="Times New Roman" w:hAnsi="Times New Roman" w:cs="Times New Roman"/>
              </w:rPr>
              <w:t>9</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-,284**</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,630**</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,416**</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,397**</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-,228**</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,601**</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,430**</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,295**</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0,093</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-,177**</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-,116*</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-,145**</w:t>
            </w:r>
          </w:p>
        </w:tc>
      </w:tr>
      <w:tr w:rsidR="00F37C94" w:rsidRPr="00275295" w:rsidTr="00BF4F9F">
        <w:trPr>
          <w:trHeight w:val="288"/>
        </w:trPr>
        <w:tc>
          <w:tcPr>
            <w:tcW w:w="426" w:type="dxa"/>
            <w:shd w:val="clear" w:color="auto" w:fill="auto"/>
            <w:noWrap/>
            <w:vAlign w:val="bottom"/>
            <w:hideMark/>
          </w:tcPr>
          <w:p w:rsidR="00F37C94" w:rsidRPr="00275295" w:rsidRDefault="00F37C94" w:rsidP="00BF4F9F">
            <w:pPr>
              <w:spacing w:line="480" w:lineRule="auto"/>
              <w:rPr>
                <w:rFonts w:ascii="Times New Roman" w:hAnsi="Times New Roman" w:cs="Times New Roman"/>
              </w:rPr>
            </w:pPr>
            <w:r w:rsidRPr="00275295">
              <w:rPr>
                <w:rFonts w:ascii="Times New Roman" w:hAnsi="Times New Roman" w:cs="Times New Roman"/>
              </w:rPr>
              <w:t>10</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,542**</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-,397**</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-,443**</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-,371**</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,605**</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-,270**</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-0,041</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-,376**</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-,252**</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,206**</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,264**</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0,059</w:t>
            </w:r>
          </w:p>
        </w:tc>
      </w:tr>
      <w:tr w:rsidR="00F37C94" w:rsidRPr="00275295" w:rsidTr="00BF4F9F">
        <w:trPr>
          <w:trHeight w:val="288"/>
        </w:trPr>
        <w:tc>
          <w:tcPr>
            <w:tcW w:w="426" w:type="dxa"/>
            <w:shd w:val="clear" w:color="auto" w:fill="auto"/>
            <w:noWrap/>
            <w:vAlign w:val="bottom"/>
            <w:hideMark/>
          </w:tcPr>
          <w:p w:rsidR="00F37C94" w:rsidRPr="00275295" w:rsidRDefault="00F37C94" w:rsidP="00BF4F9F">
            <w:pPr>
              <w:spacing w:line="480" w:lineRule="auto"/>
              <w:rPr>
                <w:rFonts w:ascii="Times New Roman" w:hAnsi="Times New Roman" w:cs="Times New Roman"/>
              </w:rPr>
            </w:pPr>
            <w:r w:rsidRPr="00275295">
              <w:rPr>
                <w:rFonts w:ascii="Times New Roman" w:hAnsi="Times New Roman" w:cs="Times New Roman"/>
              </w:rPr>
              <w:t>11</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,528**</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-,227**</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-,390**</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-,203**</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,419**</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-,096*</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-,090*</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-,405**</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-,123**</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,498**</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,369**</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,486**</w:t>
            </w:r>
          </w:p>
        </w:tc>
      </w:tr>
      <w:tr w:rsidR="00F37C94" w:rsidRPr="00275295" w:rsidTr="00BF4F9F">
        <w:trPr>
          <w:trHeight w:val="288"/>
        </w:trPr>
        <w:tc>
          <w:tcPr>
            <w:tcW w:w="426" w:type="dxa"/>
            <w:shd w:val="clear" w:color="auto" w:fill="auto"/>
            <w:noWrap/>
            <w:vAlign w:val="bottom"/>
            <w:hideMark/>
          </w:tcPr>
          <w:p w:rsidR="00F37C94" w:rsidRPr="00275295" w:rsidRDefault="00F37C94" w:rsidP="00BF4F9F">
            <w:pPr>
              <w:spacing w:line="480" w:lineRule="auto"/>
              <w:rPr>
                <w:rFonts w:ascii="Times New Roman" w:hAnsi="Times New Roman" w:cs="Times New Roman"/>
              </w:rPr>
            </w:pPr>
            <w:r w:rsidRPr="00275295">
              <w:rPr>
                <w:rFonts w:ascii="Times New Roman" w:hAnsi="Times New Roman" w:cs="Times New Roman"/>
              </w:rPr>
              <w:lastRenderedPageBreak/>
              <w:t>12</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,463**</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-,448**</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-,410**</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-,425**</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,361**</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-,358**</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-,153**</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-,467**</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-,327**</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,445**</w:t>
            </w:r>
          </w:p>
        </w:tc>
        <w:tc>
          <w:tcPr>
            <w:tcW w:w="708"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,478**</w:t>
            </w: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p>
        </w:tc>
        <w:tc>
          <w:tcPr>
            <w:tcW w:w="709" w:type="dxa"/>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,331**</w:t>
            </w:r>
          </w:p>
        </w:tc>
      </w:tr>
      <w:tr w:rsidR="00F37C94" w:rsidRPr="00275295" w:rsidTr="00BF4F9F">
        <w:trPr>
          <w:trHeight w:val="288"/>
        </w:trPr>
        <w:tc>
          <w:tcPr>
            <w:tcW w:w="426" w:type="dxa"/>
            <w:tcBorders>
              <w:bottom w:val="single" w:sz="4" w:space="0" w:color="auto"/>
            </w:tcBorders>
            <w:shd w:val="clear" w:color="auto" w:fill="auto"/>
            <w:noWrap/>
            <w:vAlign w:val="bottom"/>
            <w:hideMark/>
          </w:tcPr>
          <w:p w:rsidR="00F37C94" w:rsidRPr="00275295" w:rsidRDefault="00F37C94" w:rsidP="00BF4F9F">
            <w:pPr>
              <w:spacing w:line="480" w:lineRule="auto"/>
              <w:rPr>
                <w:rFonts w:ascii="Times New Roman" w:hAnsi="Times New Roman" w:cs="Times New Roman"/>
              </w:rPr>
            </w:pPr>
            <w:r w:rsidRPr="00275295">
              <w:rPr>
                <w:rFonts w:ascii="Times New Roman" w:hAnsi="Times New Roman" w:cs="Times New Roman"/>
              </w:rPr>
              <w:t>13</w:t>
            </w:r>
          </w:p>
        </w:tc>
        <w:tc>
          <w:tcPr>
            <w:tcW w:w="708" w:type="dxa"/>
            <w:tcBorders>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,383**</w:t>
            </w:r>
          </w:p>
        </w:tc>
        <w:tc>
          <w:tcPr>
            <w:tcW w:w="709" w:type="dxa"/>
            <w:tcBorders>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-0,048</w:t>
            </w:r>
          </w:p>
        </w:tc>
        <w:tc>
          <w:tcPr>
            <w:tcW w:w="709" w:type="dxa"/>
            <w:tcBorders>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-,138**</w:t>
            </w:r>
          </w:p>
        </w:tc>
        <w:tc>
          <w:tcPr>
            <w:tcW w:w="709" w:type="dxa"/>
            <w:tcBorders>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-0,042</w:t>
            </w:r>
          </w:p>
        </w:tc>
        <w:tc>
          <w:tcPr>
            <w:tcW w:w="708" w:type="dxa"/>
            <w:tcBorders>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,374**</w:t>
            </w:r>
          </w:p>
        </w:tc>
        <w:tc>
          <w:tcPr>
            <w:tcW w:w="709" w:type="dxa"/>
            <w:tcBorders>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0,059</w:t>
            </w:r>
          </w:p>
        </w:tc>
        <w:tc>
          <w:tcPr>
            <w:tcW w:w="709" w:type="dxa"/>
            <w:tcBorders>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,130**</w:t>
            </w:r>
          </w:p>
        </w:tc>
        <w:tc>
          <w:tcPr>
            <w:tcW w:w="709" w:type="dxa"/>
            <w:tcBorders>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-,180**</w:t>
            </w:r>
          </w:p>
        </w:tc>
        <w:tc>
          <w:tcPr>
            <w:tcW w:w="709" w:type="dxa"/>
            <w:tcBorders>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0,075</w:t>
            </w:r>
          </w:p>
        </w:tc>
        <w:tc>
          <w:tcPr>
            <w:tcW w:w="709" w:type="dxa"/>
            <w:tcBorders>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,247**</w:t>
            </w:r>
          </w:p>
        </w:tc>
        <w:tc>
          <w:tcPr>
            <w:tcW w:w="708" w:type="dxa"/>
            <w:tcBorders>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,613**</w:t>
            </w:r>
          </w:p>
        </w:tc>
        <w:tc>
          <w:tcPr>
            <w:tcW w:w="709" w:type="dxa"/>
            <w:tcBorders>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r w:rsidRPr="00477841">
              <w:rPr>
                <w:rFonts w:ascii="Times New Roman" w:hAnsi="Times New Roman" w:cs="Times New Roman"/>
                <w:sz w:val="20"/>
              </w:rPr>
              <w:t>,265**</w:t>
            </w:r>
          </w:p>
        </w:tc>
        <w:tc>
          <w:tcPr>
            <w:tcW w:w="709" w:type="dxa"/>
            <w:tcBorders>
              <w:bottom w:val="single" w:sz="4" w:space="0" w:color="auto"/>
            </w:tcBorders>
            <w:shd w:val="clear" w:color="auto" w:fill="auto"/>
            <w:noWrap/>
            <w:vAlign w:val="bottom"/>
            <w:hideMark/>
          </w:tcPr>
          <w:p w:rsidR="00F37C94" w:rsidRPr="00477841" w:rsidRDefault="00F37C94" w:rsidP="00BF4F9F">
            <w:pPr>
              <w:spacing w:line="480" w:lineRule="auto"/>
              <w:rPr>
                <w:rFonts w:ascii="Times New Roman" w:hAnsi="Times New Roman" w:cs="Times New Roman"/>
                <w:sz w:val="20"/>
              </w:rPr>
            </w:pPr>
          </w:p>
        </w:tc>
      </w:tr>
    </w:tbl>
    <w:p w:rsidR="00F37C94" w:rsidRDefault="00F37C94" w:rsidP="00F37C94">
      <w:pPr>
        <w:rPr>
          <w:rFonts w:ascii="Times New Roman" w:hAnsi="Times New Roman" w:cs="Times New Roman"/>
        </w:rPr>
      </w:pPr>
      <w:r w:rsidRPr="00477841">
        <w:rPr>
          <w:rFonts w:ascii="Times New Roman" w:hAnsi="Times New Roman" w:cs="Times New Roman"/>
        </w:rPr>
        <w:t>Encima de la diagonal se han escrito las correlaciones en el grupo de trabajo remoto, debajo de la diagonal para el grupo de trabajo presencial. 1. Ilusión por el trabajo; 2. Desgaste Psíquico; 3. Indolencia; 4. Conflicto de Rol.5. Ambigüedad de Rol; 6. Carga de Trabajo; 7. Conflictos Interpersonales; 8. Justicia Organizacional: 9. Conflicto Trabajo Familia; 10. Autonomía; 11. Apoyo Social; 12. Recursos; 13. Feedbac</w:t>
      </w:r>
      <w:r>
        <w:rPr>
          <w:rFonts w:ascii="Times New Roman" w:hAnsi="Times New Roman" w:cs="Times New Roman"/>
        </w:rPr>
        <w:t>k.</w:t>
      </w:r>
    </w:p>
    <w:p w:rsidR="00F37C94" w:rsidRDefault="00F37C94" w:rsidP="00F37C94">
      <w:pPr>
        <w:rPr>
          <w:rFonts w:ascii="Times New Roman" w:hAnsi="Times New Roman" w:cs="Times New Roman"/>
        </w:rPr>
      </w:pPr>
    </w:p>
    <w:p w:rsidR="00F37C94" w:rsidRPr="00275295" w:rsidRDefault="00F37C94" w:rsidP="00F37C94">
      <w:pPr>
        <w:ind w:firstLine="567"/>
        <w:rPr>
          <w:rFonts w:ascii="Times New Roman" w:hAnsi="Times New Roman" w:cs="Times New Roman"/>
        </w:rPr>
      </w:pPr>
      <w:r w:rsidRPr="00275295">
        <w:rPr>
          <w:rFonts w:ascii="Times New Roman" w:hAnsi="Times New Roman" w:cs="Times New Roman"/>
        </w:rPr>
        <w:t xml:space="preserve">Para revisar las diferencias que pueda haber en la predicción de las dimensiones del síndrome de quemarse por el trabajo en ambos tipos de trabajadores se realizó un análisis de regresión lineal que se observa sus resultados principales en la </w:t>
      </w:r>
      <w:r w:rsidRPr="00477841">
        <w:rPr>
          <w:rFonts w:ascii="Times New Roman" w:hAnsi="Times New Roman" w:cs="Times New Roman"/>
        </w:rPr>
        <w:t>tabla 5</w:t>
      </w:r>
      <w:r w:rsidRPr="00275295">
        <w:rPr>
          <w:rFonts w:ascii="Times New Roman" w:hAnsi="Times New Roman" w:cs="Times New Roman"/>
        </w:rPr>
        <w:t>. Efectivamente los modelos explicativos son distintos donde por ejemplo la percepción de ilusión por el trabajo, dimensión del SQT se explica por la ausencia de ambigüedad en las funciones, apoyo social y recursos en el caso del trabajo remoto y en trabajo presencial con autonomía, carga de trabajo y también apoyo social. En desgaste psíquico hay más similitudes ya que carga de trabajo es la principal variable explicativa del modelo y se modifica en las dos siguientes, siendo conflicto trabajo familia uno de los factores de mayor explicación en el grupo de trabajo remoto. Por último, la indolencia se explica principalmente con el conflicto de rol en el caso del trabajo remoto y con carga de trabajo en el caso del trabajo presencial.</w:t>
      </w:r>
    </w:p>
    <w:p w:rsidR="00F37C94" w:rsidRPr="00275295" w:rsidRDefault="00F37C94" w:rsidP="00F37C94">
      <w:pPr>
        <w:jc w:val="both"/>
        <w:rPr>
          <w:rFonts w:ascii="Times New Roman" w:hAnsi="Times New Roman" w:cs="Times New Roman"/>
        </w:rPr>
      </w:pPr>
    </w:p>
    <w:p w:rsidR="00F37C94" w:rsidRDefault="00F37C94" w:rsidP="00F37C94">
      <w:pPr>
        <w:spacing w:after="0"/>
        <w:rPr>
          <w:rFonts w:ascii="Times New Roman" w:hAnsi="Times New Roman" w:cs="Times New Roman"/>
          <w:b/>
        </w:rPr>
      </w:pPr>
      <w:r>
        <w:rPr>
          <w:rFonts w:ascii="Times New Roman" w:hAnsi="Times New Roman" w:cs="Times New Roman"/>
          <w:b/>
        </w:rPr>
        <w:br w:type="page"/>
      </w:r>
    </w:p>
    <w:p w:rsidR="00F37C94" w:rsidRDefault="00F37C94" w:rsidP="00F37C94">
      <w:pPr>
        <w:jc w:val="both"/>
        <w:rPr>
          <w:rFonts w:ascii="Times New Roman" w:hAnsi="Times New Roman" w:cs="Times New Roman"/>
        </w:rPr>
      </w:pPr>
      <w:r w:rsidRPr="00B54DDA">
        <w:rPr>
          <w:rFonts w:ascii="Times New Roman" w:hAnsi="Times New Roman" w:cs="Times New Roman"/>
        </w:rPr>
        <w:lastRenderedPageBreak/>
        <w:t>Tabla 5</w:t>
      </w:r>
      <w:r w:rsidRPr="00275295">
        <w:rPr>
          <w:rFonts w:ascii="Times New Roman" w:hAnsi="Times New Roman" w:cs="Times New Roman"/>
        </w:rPr>
        <w:t xml:space="preserve"> </w:t>
      </w:r>
    </w:p>
    <w:p w:rsidR="00F37C94" w:rsidRPr="00B54DDA" w:rsidRDefault="00F37C94" w:rsidP="00F37C94">
      <w:pPr>
        <w:jc w:val="both"/>
        <w:rPr>
          <w:rFonts w:ascii="Times New Roman" w:hAnsi="Times New Roman" w:cs="Times New Roman"/>
          <w:i/>
        </w:rPr>
      </w:pPr>
      <w:r w:rsidRPr="00B54DDA">
        <w:rPr>
          <w:rFonts w:ascii="Times New Roman" w:hAnsi="Times New Roman" w:cs="Times New Roman"/>
          <w:i/>
        </w:rPr>
        <w:t xml:space="preserve">Modelos de regresión lineal múltiple para grupo de trabajo remoto y trabajo presencial. Mayores predictores de los factores psicosociales para las dimensiones del síndrome de quemarse por el trabajo. </w:t>
      </w:r>
    </w:p>
    <w:tbl>
      <w:tblPr>
        <w:tblStyle w:val="Estilo1"/>
        <w:tblW w:w="9148" w:type="dxa"/>
        <w:tblLook w:val="04A0" w:firstRow="1" w:lastRow="0" w:firstColumn="1" w:lastColumn="0" w:noHBand="0" w:noVBand="1"/>
      </w:tblPr>
      <w:tblGrid>
        <w:gridCol w:w="1444"/>
        <w:gridCol w:w="1049"/>
        <w:gridCol w:w="1978"/>
        <w:gridCol w:w="1066"/>
        <w:gridCol w:w="12"/>
        <w:gridCol w:w="997"/>
        <w:gridCol w:w="1523"/>
        <w:gridCol w:w="1066"/>
        <w:gridCol w:w="13"/>
      </w:tblGrid>
      <w:tr w:rsidR="00F37C94" w:rsidRPr="00275295" w:rsidTr="00BF4F9F">
        <w:trPr>
          <w:trHeight w:val="287"/>
        </w:trPr>
        <w:tc>
          <w:tcPr>
            <w:tcW w:w="1444" w:type="dxa"/>
            <w:noWrap/>
            <w:hideMark/>
          </w:tcPr>
          <w:p w:rsidR="00F37C94" w:rsidRPr="00275295" w:rsidRDefault="00F37C94" w:rsidP="00BF4F9F">
            <w:pPr>
              <w:jc w:val="center"/>
              <w:rPr>
                <w:rFonts w:ascii="Times New Roman" w:hAnsi="Times New Roman" w:cs="Times New Roman"/>
                <w:b/>
              </w:rPr>
            </w:pPr>
          </w:p>
        </w:tc>
        <w:tc>
          <w:tcPr>
            <w:tcW w:w="4105" w:type="dxa"/>
            <w:gridSpan w:val="4"/>
            <w:noWrap/>
            <w:hideMark/>
          </w:tcPr>
          <w:p w:rsidR="00F37C94" w:rsidRPr="00275295" w:rsidRDefault="00F37C94" w:rsidP="00BF4F9F">
            <w:pPr>
              <w:jc w:val="center"/>
              <w:rPr>
                <w:rFonts w:ascii="Times New Roman" w:hAnsi="Times New Roman" w:cs="Times New Roman"/>
                <w:b/>
              </w:rPr>
            </w:pPr>
            <w:r w:rsidRPr="00275295">
              <w:rPr>
                <w:rFonts w:ascii="Times New Roman" w:hAnsi="Times New Roman" w:cs="Times New Roman"/>
                <w:b/>
              </w:rPr>
              <w:t>Trabajo Remoto</w:t>
            </w:r>
          </w:p>
        </w:tc>
        <w:tc>
          <w:tcPr>
            <w:tcW w:w="3599" w:type="dxa"/>
            <w:gridSpan w:val="4"/>
            <w:noWrap/>
            <w:hideMark/>
          </w:tcPr>
          <w:p w:rsidR="00F37C94" w:rsidRPr="00275295" w:rsidRDefault="00F37C94" w:rsidP="00BF4F9F">
            <w:pPr>
              <w:jc w:val="center"/>
              <w:rPr>
                <w:rFonts w:ascii="Times New Roman" w:hAnsi="Times New Roman" w:cs="Times New Roman"/>
                <w:b/>
              </w:rPr>
            </w:pPr>
            <w:r w:rsidRPr="00275295">
              <w:rPr>
                <w:rFonts w:ascii="Times New Roman" w:hAnsi="Times New Roman" w:cs="Times New Roman"/>
                <w:b/>
              </w:rPr>
              <w:t>Trabajo Presencial</w:t>
            </w:r>
          </w:p>
        </w:tc>
      </w:tr>
      <w:tr w:rsidR="00F37C94" w:rsidRPr="00275295" w:rsidTr="00BF4F9F">
        <w:trPr>
          <w:gridAfter w:val="1"/>
          <w:wAfter w:w="13" w:type="dxa"/>
          <w:trHeight w:val="287"/>
        </w:trPr>
        <w:tc>
          <w:tcPr>
            <w:tcW w:w="1444" w:type="dxa"/>
            <w:tcBorders>
              <w:bottom w:val="single" w:sz="4" w:space="0" w:color="auto"/>
            </w:tcBorders>
            <w:noWrap/>
            <w:hideMark/>
          </w:tcPr>
          <w:p w:rsidR="00F37C94" w:rsidRPr="00275295" w:rsidRDefault="00F37C94" w:rsidP="00BF4F9F">
            <w:pPr>
              <w:jc w:val="center"/>
              <w:rPr>
                <w:rFonts w:ascii="Times New Roman" w:hAnsi="Times New Roman" w:cs="Times New Roman"/>
              </w:rPr>
            </w:pPr>
          </w:p>
        </w:tc>
        <w:tc>
          <w:tcPr>
            <w:tcW w:w="1049" w:type="dxa"/>
            <w:tcBorders>
              <w:bottom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R</w:t>
            </w:r>
            <w:r w:rsidRPr="00275295">
              <w:rPr>
                <w:rFonts w:ascii="Times New Roman" w:hAnsi="Times New Roman" w:cs="Times New Roman"/>
                <w:vertAlign w:val="superscript"/>
              </w:rPr>
              <w:t>2</w:t>
            </w:r>
          </w:p>
        </w:tc>
        <w:tc>
          <w:tcPr>
            <w:tcW w:w="3044" w:type="dxa"/>
            <w:gridSpan w:val="2"/>
            <w:tcBorders>
              <w:bottom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PP</w:t>
            </w:r>
          </w:p>
        </w:tc>
        <w:tc>
          <w:tcPr>
            <w:tcW w:w="1009" w:type="dxa"/>
            <w:gridSpan w:val="2"/>
            <w:tcBorders>
              <w:bottom w:val="single" w:sz="4" w:space="0" w:color="auto"/>
            </w:tcBorders>
            <w:noWrap/>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R</w:t>
            </w:r>
            <w:r w:rsidRPr="00275295">
              <w:rPr>
                <w:rFonts w:ascii="Times New Roman" w:hAnsi="Times New Roman" w:cs="Times New Roman"/>
                <w:vertAlign w:val="superscript"/>
              </w:rPr>
              <w:t>2</w:t>
            </w:r>
          </w:p>
        </w:tc>
        <w:tc>
          <w:tcPr>
            <w:tcW w:w="2589" w:type="dxa"/>
            <w:gridSpan w:val="2"/>
            <w:tcBorders>
              <w:bottom w:val="single" w:sz="4" w:space="0" w:color="auto"/>
            </w:tcBorders>
            <w:noWrap/>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PP</w:t>
            </w:r>
          </w:p>
        </w:tc>
      </w:tr>
      <w:tr w:rsidR="00F37C94" w:rsidRPr="00275295" w:rsidTr="00BF4F9F">
        <w:trPr>
          <w:gridAfter w:val="1"/>
          <w:wAfter w:w="13" w:type="dxa"/>
          <w:trHeight w:val="287"/>
        </w:trPr>
        <w:tc>
          <w:tcPr>
            <w:tcW w:w="1444" w:type="dxa"/>
            <w:vMerge w:val="restart"/>
            <w:tcBorders>
              <w:top w:val="single" w:sz="4" w:space="0" w:color="auto"/>
            </w:tcBorders>
            <w:noWrap/>
            <w:hideMark/>
          </w:tcPr>
          <w:p w:rsidR="00F37C94" w:rsidRPr="00275295" w:rsidRDefault="00F37C94" w:rsidP="00BF4F9F">
            <w:pPr>
              <w:jc w:val="both"/>
              <w:rPr>
                <w:rFonts w:ascii="Times New Roman" w:hAnsi="Times New Roman" w:cs="Times New Roman"/>
              </w:rPr>
            </w:pPr>
            <w:r w:rsidRPr="00275295">
              <w:rPr>
                <w:rFonts w:ascii="Times New Roman" w:hAnsi="Times New Roman" w:cs="Times New Roman"/>
              </w:rPr>
              <w:t>Ilusión por el trabajo</w:t>
            </w:r>
          </w:p>
        </w:tc>
        <w:tc>
          <w:tcPr>
            <w:tcW w:w="1049" w:type="dxa"/>
            <w:vMerge w:val="restart"/>
            <w:tcBorders>
              <w:top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0,39</w:t>
            </w:r>
          </w:p>
        </w:tc>
        <w:tc>
          <w:tcPr>
            <w:tcW w:w="1978" w:type="dxa"/>
            <w:tcBorders>
              <w:top w:val="single" w:sz="4" w:space="0" w:color="auto"/>
            </w:tcBorders>
            <w:noWrap/>
            <w:hideMark/>
          </w:tcPr>
          <w:p w:rsidR="00F37C94" w:rsidRPr="00275295" w:rsidRDefault="00F37C94" w:rsidP="00BF4F9F">
            <w:pPr>
              <w:jc w:val="both"/>
              <w:rPr>
                <w:rFonts w:ascii="Times New Roman" w:hAnsi="Times New Roman" w:cs="Times New Roman"/>
                <w:bCs/>
              </w:rPr>
            </w:pPr>
            <w:r w:rsidRPr="00275295">
              <w:rPr>
                <w:rFonts w:ascii="Times New Roman" w:hAnsi="Times New Roman" w:cs="Times New Roman"/>
                <w:bCs/>
              </w:rPr>
              <w:t>Ambigüedad de rol</w:t>
            </w:r>
          </w:p>
        </w:tc>
        <w:tc>
          <w:tcPr>
            <w:tcW w:w="1066" w:type="dxa"/>
            <w:tcBorders>
              <w:top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0,316</w:t>
            </w:r>
          </w:p>
        </w:tc>
        <w:tc>
          <w:tcPr>
            <w:tcW w:w="1009" w:type="dxa"/>
            <w:gridSpan w:val="2"/>
            <w:vMerge w:val="restart"/>
            <w:tcBorders>
              <w:top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0,477</w:t>
            </w:r>
          </w:p>
        </w:tc>
        <w:tc>
          <w:tcPr>
            <w:tcW w:w="1523" w:type="dxa"/>
            <w:tcBorders>
              <w:top w:val="single" w:sz="4" w:space="0" w:color="auto"/>
            </w:tcBorders>
            <w:noWrap/>
            <w:hideMark/>
          </w:tcPr>
          <w:p w:rsidR="00F37C94" w:rsidRPr="00275295" w:rsidRDefault="00F37C94" w:rsidP="00BF4F9F">
            <w:pPr>
              <w:jc w:val="both"/>
              <w:rPr>
                <w:rFonts w:ascii="Times New Roman" w:hAnsi="Times New Roman" w:cs="Times New Roman"/>
              </w:rPr>
            </w:pPr>
            <w:r w:rsidRPr="00275295">
              <w:rPr>
                <w:rFonts w:ascii="Times New Roman" w:hAnsi="Times New Roman" w:cs="Times New Roman"/>
              </w:rPr>
              <w:t>Autonomía</w:t>
            </w:r>
          </w:p>
        </w:tc>
        <w:tc>
          <w:tcPr>
            <w:tcW w:w="1066" w:type="dxa"/>
            <w:tcBorders>
              <w:top w:val="single" w:sz="4" w:space="0" w:color="auto"/>
            </w:tcBorders>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0,252</w:t>
            </w:r>
          </w:p>
        </w:tc>
      </w:tr>
      <w:tr w:rsidR="00F37C94" w:rsidRPr="00275295" w:rsidTr="00BF4F9F">
        <w:trPr>
          <w:gridAfter w:val="1"/>
          <w:wAfter w:w="13" w:type="dxa"/>
          <w:trHeight w:val="287"/>
        </w:trPr>
        <w:tc>
          <w:tcPr>
            <w:tcW w:w="1444" w:type="dxa"/>
            <w:vMerge/>
            <w:noWrap/>
            <w:hideMark/>
          </w:tcPr>
          <w:p w:rsidR="00F37C94" w:rsidRPr="00275295" w:rsidRDefault="00F37C94" w:rsidP="00BF4F9F">
            <w:pPr>
              <w:jc w:val="both"/>
              <w:rPr>
                <w:rFonts w:ascii="Times New Roman" w:hAnsi="Times New Roman" w:cs="Times New Roman"/>
              </w:rPr>
            </w:pPr>
          </w:p>
        </w:tc>
        <w:tc>
          <w:tcPr>
            <w:tcW w:w="1049" w:type="dxa"/>
            <w:vMerge/>
            <w:noWrap/>
            <w:hideMark/>
          </w:tcPr>
          <w:p w:rsidR="00F37C94" w:rsidRPr="00275295" w:rsidRDefault="00F37C94" w:rsidP="00BF4F9F">
            <w:pPr>
              <w:jc w:val="center"/>
              <w:rPr>
                <w:rFonts w:ascii="Times New Roman" w:hAnsi="Times New Roman" w:cs="Times New Roman"/>
              </w:rPr>
            </w:pPr>
          </w:p>
        </w:tc>
        <w:tc>
          <w:tcPr>
            <w:tcW w:w="1978" w:type="dxa"/>
            <w:noWrap/>
            <w:hideMark/>
          </w:tcPr>
          <w:p w:rsidR="00F37C94" w:rsidRPr="00275295" w:rsidRDefault="00F37C94" w:rsidP="00BF4F9F">
            <w:pPr>
              <w:jc w:val="both"/>
              <w:rPr>
                <w:rFonts w:ascii="Times New Roman" w:hAnsi="Times New Roman" w:cs="Times New Roman"/>
                <w:bCs/>
              </w:rPr>
            </w:pPr>
            <w:r w:rsidRPr="00275295">
              <w:rPr>
                <w:rFonts w:ascii="Times New Roman" w:hAnsi="Times New Roman" w:cs="Times New Roman"/>
                <w:bCs/>
              </w:rPr>
              <w:t>Apoyo Social</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0,288</w:t>
            </w:r>
          </w:p>
        </w:tc>
        <w:tc>
          <w:tcPr>
            <w:tcW w:w="1009" w:type="dxa"/>
            <w:gridSpan w:val="2"/>
            <w:vMerge/>
            <w:noWrap/>
            <w:hideMark/>
          </w:tcPr>
          <w:p w:rsidR="00F37C94" w:rsidRPr="00275295" w:rsidRDefault="00F37C94" w:rsidP="00BF4F9F">
            <w:pPr>
              <w:jc w:val="center"/>
              <w:rPr>
                <w:rFonts w:ascii="Times New Roman" w:hAnsi="Times New Roman" w:cs="Times New Roman"/>
              </w:rPr>
            </w:pPr>
          </w:p>
        </w:tc>
        <w:tc>
          <w:tcPr>
            <w:tcW w:w="1523" w:type="dxa"/>
            <w:noWrap/>
            <w:hideMark/>
          </w:tcPr>
          <w:p w:rsidR="00F37C94" w:rsidRPr="00275295" w:rsidRDefault="00F37C94" w:rsidP="00BF4F9F">
            <w:pPr>
              <w:jc w:val="both"/>
              <w:rPr>
                <w:rFonts w:ascii="Times New Roman" w:hAnsi="Times New Roman" w:cs="Times New Roman"/>
              </w:rPr>
            </w:pPr>
            <w:r w:rsidRPr="00275295">
              <w:rPr>
                <w:rFonts w:ascii="Times New Roman" w:hAnsi="Times New Roman" w:cs="Times New Roman"/>
              </w:rPr>
              <w:t>Carga de trabajo</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-0,215</w:t>
            </w:r>
          </w:p>
        </w:tc>
      </w:tr>
      <w:tr w:rsidR="00F37C94" w:rsidRPr="00275295" w:rsidTr="00BF4F9F">
        <w:trPr>
          <w:gridAfter w:val="1"/>
          <w:wAfter w:w="13" w:type="dxa"/>
          <w:trHeight w:val="287"/>
        </w:trPr>
        <w:tc>
          <w:tcPr>
            <w:tcW w:w="1444" w:type="dxa"/>
            <w:vMerge/>
            <w:noWrap/>
            <w:hideMark/>
          </w:tcPr>
          <w:p w:rsidR="00F37C94" w:rsidRPr="00275295" w:rsidRDefault="00F37C94" w:rsidP="00BF4F9F">
            <w:pPr>
              <w:jc w:val="both"/>
              <w:rPr>
                <w:rFonts w:ascii="Times New Roman" w:hAnsi="Times New Roman" w:cs="Times New Roman"/>
              </w:rPr>
            </w:pPr>
          </w:p>
        </w:tc>
        <w:tc>
          <w:tcPr>
            <w:tcW w:w="1049" w:type="dxa"/>
            <w:vMerge/>
            <w:noWrap/>
            <w:hideMark/>
          </w:tcPr>
          <w:p w:rsidR="00F37C94" w:rsidRPr="00275295" w:rsidRDefault="00F37C94" w:rsidP="00BF4F9F">
            <w:pPr>
              <w:jc w:val="center"/>
              <w:rPr>
                <w:rFonts w:ascii="Times New Roman" w:hAnsi="Times New Roman" w:cs="Times New Roman"/>
              </w:rPr>
            </w:pPr>
          </w:p>
        </w:tc>
        <w:tc>
          <w:tcPr>
            <w:tcW w:w="1978" w:type="dxa"/>
            <w:noWrap/>
            <w:hideMark/>
          </w:tcPr>
          <w:p w:rsidR="00F37C94" w:rsidRPr="00275295" w:rsidRDefault="00F37C94" w:rsidP="00BF4F9F">
            <w:pPr>
              <w:jc w:val="both"/>
              <w:rPr>
                <w:rFonts w:ascii="Times New Roman" w:hAnsi="Times New Roman" w:cs="Times New Roman"/>
                <w:bCs/>
              </w:rPr>
            </w:pPr>
            <w:r w:rsidRPr="00275295">
              <w:rPr>
                <w:rFonts w:ascii="Times New Roman" w:hAnsi="Times New Roman" w:cs="Times New Roman"/>
                <w:bCs/>
              </w:rPr>
              <w:t>Recursos</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0,221</w:t>
            </w:r>
          </w:p>
        </w:tc>
        <w:tc>
          <w:tcPr>
            <w:tcW w:w="1009" w:type="dxa"/>
            <w:gridSpan w:val="2"/>
            <w:vMerge/>
            <w:noWrap/>
            <w:hideMark/>
          </w:tcPr>
          <w:p w:rsidR="00F37C94" w:rsidRPr="00275295" w:rsidRDefault="00F37C94" w:rsidP="00BF4F9F">
            <w:pPr>
              <w:jc w:val="center"/>
              <w:rPr>
                <w:rFonts w:ascii="Times New Roman" w:hAnsi="Times New Roman" w:cs="Times New Roman"/>
              </w:rPr>
            </w:pPr>
          </w:p>
        </w:tc>
        <w:tc>
          <w:tcPr>
            <w:tcW w:w="1523" w:type="dxa"/>
            <w:noWrap/>
            <w:hideMark/>
          </w:tcPr>
          <w:p w:rsidR="00F37C94" w:rsidRPr="00275295" w:rsidRDefault="00F37C94" w:rsidP="00BF4F9F">
            <w:pPr>
              <w:jc w:val="both"/>
              <w:rPr>
                <w:rFonts w:ascii="Times New Roman" w:hAnsi="Times New Roman" w:cs="Times New Roman"/>
              </w:rPr>
            </w:pPr>
            <w:r w:rsidRPr="00275295">
              <w:rPr>
                <w:rFonts w:ascii="Times New Roman" w:hAnsi="Times New Roman" w:cs="Times New Roman"/>
              </w:rPr>
              <w:t>Apoyo Social</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0,211</w:t>
            </w:r>
          </w:p>
        </w:tc>
      </w:tr>
      <w:tr w:rsidR="00F37C94" w:rsidRPr="00275295" w:rsidTr="00BF4F9F">
        <w:trPr>
          <w:gridAfter w:val="1"/>
          <w:wAfter w:w="13" w:type="dxa"/>
          <w:trHeight w:val="287"/>
        </w:trPr>
        <w:tc>
          <w:tcPr>
            <w:tcW w:w="1444" w:type="dxa"/>
            <w:vMerge w:val="restart"/>
            <w:noWrap/>
            <w:hideMark/>
          </w:tcPr>
          <w:p w:rsidR="00F37C94" w:rsidRPr="00275295" w:rsidRDefault="00F37C94" w:rsidP="00BF4F9F">
            <w:pPr>
              <w:jc w:val="both"/>
              <w:rPr>
                <w:rFonts w:ascii="Times New Roman" w:hAnsi="Times New Roman" w:cs="Times New Roman"/>
              </w:rPr>
            </w:pPr>
            <w:r w:rsidRPr="00275295">
              <w:rPr>
                <w:rFonts w:ascii="Times New Roman" w:hAnsi="Times New Roman" w:cs="Times New Roman"/>
              </w:rPr>
              <w:t>Desgaste Psíquico</w:t>
            </w:r>
          </w:p>
        </w:tc>
        <w:tc>
          <w:tcPr>
            <w:tcW w:w="1049" w:type="dxa"/>
            <w:vMerge w:val="restart"/>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0,658</w:t>
            </w:r>
          </w:p>
        </w:tc>
        <w:tc>
          <w:tcPr>
            <w:tcW w:w="1978" w:type="dxa"/>
            <w:noWrap/>
            <w:hideMark/>
          </w:tcPr>
          <w:p w:rsidR="00F37C94" w:rsidRPr="00275295" w:rsidRDefault="00F37C94" w:rsidP="00BF4F9F">
            <w:pPr>
              <w:jc w:val="both"/>
              <w:rPr>
                <w:rFonts w:ascii="Times New Roman" w:hAnsi="Times New Roman" w:cs="Times New Roman"/>
                <w:bCs/>
              </w:rPr>
            </w:pPr>
            <w:r w:rsidRPr="00275295">
              <w:rPr>
                <w:rFonts w:ascii="Times New Roman" w:hAnsi="Times New Roman" w:cs="Times New Roman"/>
                <w:bCs/>
              </w:rPr>
              <w:t>Carga de trabajo</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0,614</w:t>
            </w:r>
          </w:p>
        </w:tc>
        <w:tc>
          <w:tcPr>
            <w:tcW w:w="1009" w:type="dxa"/>
            <w:gridSpan w:val="2"/>
            <w:vMerge w:val="restart"/>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0,69</w:t>
            </w:r>
          </w:p>
        </w:tc>
        <w:tc>
          <w:tcPr>
            <w:tcW w:w="1523" w:type="dxa"/>
            <w:noWrap/>
            <w:hideMark/>
          </w:tcPr>
          <w:p w:rsidR="00F37C94" w:rsidRPr="00275295" w:rsidRDefault="00F37C94" w:rsidP="00BF4F9F">
            <w:pPr>
              <w:jc w:val="both"/>
              <w:rPr>
                <w:rFonts w:ascii="Times New Roman" w:hAnsi="Times New Roman" w:cs="Times New Roman"/>
              </w:rPr>
            </w:pPr>
            <w:r w:rsidRPr="00275295">
              <w:rPr>
                <w:rFonts w:ascii="Times New Roman" w:hAnsi="Times New Roman" w:cs="Times New Roman"/>
              </w:rPr>
              <w:t>Carga de trabajo</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0,665</w:t>
            </w:r>
          </w:p>
        </w:tc>
      </w:tr>
      <w:tr w:rsidR="00F37C94" w:rsidRPr="00275295" w:rsidTr="00BF4F9F">
        <w:trPr>
          <w:gridAfter w:val="1"/>
          <w:wAfter w:w="13" w:type="dxa"/>
          <w:trHeight w:val="287"/>
        </w:trPr>
        <w:tc>
          <w:tcPr>
            <w:tcW w:w="1444" w:type="dxa"/>
            <w:vMerge/>
            <w:noWrap/>
            <w:hideMark/>
          </w:tcPr>
          <w:p w:rsidR="00F37C94" w:rsidRPr="00275295" w:rsidRDefault="00F37C94" w:rsidP="00BF4F9F">
            <w:pPr>
              <w:jc w:val="both"/>
              <w:rPr>
                <w:rFonts w:ascii="Times New Roman" w:hAnsi="Times New Roman" w:cs="Times New Roman"/>
              </w:rPr>
            </w:pPr>
          </w:p>
        </w:tc>
        <w:tc>
          <w:tcPr>
            <w:tcW w:w="1049" w:type="dxa"/>
            <w:vMerge/>
            <w:noWrap/>
            <w:hideMark/>
          </w:tcPr>
          <w:p w:rsidR="00F37C94" w:rsidRPr="00275295" w:rsidRDefault="00F37C94" w:rsidP="00BF4F9F">
            <w:pPr>
              <w:jc w:val="center"/>
              <w:rPr>
                <w:rFonts w:ascii="Times New Roman" w:hAnsi="Times New Roman" w:cs="Times New Roman"/>
              </w:rPr>
            </w:pPr>
          </w:p>
        </w:tc>
        <w:tc>
          <w:tcPr>
            <w:tcW w:w="1978" w:type="dxa"/>
            <w:noWrap/>
            <w:hideMark/>
          </w:tcPr>
          <w:p w:rsidR="00F37C94" w:rsidRPr="00275295" w:rsidRDefault="00F37C94" w:rsidP="00BF4F9F">
            <w:pPr>
              <w:jc w:val="both"/>
              <w:rPr>
                <w:rFonts w:ascii="Times New Roman" w:hAnsi="Times New Roman" w:cs="Times New Roman"/>
              </w:rPr>
            </w:pPr>
            <w:r w:rsidRPr="00275295">
              <w:rPr>
                <w:rFonts w:ascii="Times New Roman" w:hAnsi="Times New Roman" w:cs="Times New Roman"/>
              </w:rPr>
              <w:t>Conflicto trabajo familia</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0,323</w:t>
            </w:r>
          </w:p>
        </w:tc>
        <w:tc>
          <w:tcPr>
            <w:tcW w:w="1009" w:type="dxa"/>
            <w:gridSpan w:val="2"/>
            <w:vMerge/>
            <w:noWrap/>
            <w:hideMark/>
          </w:tcPr>
          <w:p w:rsidR="00F37C94" w:rsidRPr="00275295" w:rsidRDefault="00F37C94" w:rsidP="00BF4F9F">
            <w:pPr>
              <w:jc w:val="center"/>
              <w:rPr>
                <w:rFonts w:ascii="Times New Roman" w:hAnsi="Times New Roman" w:cs="Times New Roman"/>
              </w:rPr>
            </w:pPr>
          </w:p>
        </w:tc>
        <w:tc>
          <w:tcPr>
            <w:tcW w:w="1523" w:type="dxa"/>
            <w:noWrap/>
            <w:hideMark/>
          </w:tcPr>
          <w:p w:rsidR="00F37C94" w:rsidRPr="00275295" w:rsidRDefault="00F37C94" w:rsidP="00BF4F9F">
            <w:pPr>
              <w:jc w:val="both"/>
              <w:rPr>
                <w:rFonts w:ascii="Times New Roman" w:hAnsi="Times New Roman" w:cs="Times New Roman"/>
              </w:rPr>
            </w:pPr>
            <w:r w:rsidRPr="00275295">
              <w:rPr>
                <w:rFonts w:ascii="Times New Roman" w:hAnsi="Times New Roman" w:cs="Times New Roman"/>
              </w:rPr>
              <w:t>Conflicto</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0,189</w:t>
            </w:r>
          </w:p>
        </w:tc>
      </w:tr>
      <w:tr w:rsidR="00F37C94" w:rsidRPr="00275295" w:rsidTr="00BF4F9F">
        <w:trPr>
          <w:gridAfter w:val="1"/>
          <w:wAfter w:w="13" w:type="dxa"/>
          <w:trHeight w:val="287"/>
        </w:trPr>
        <w:tc>
          <w:tcPr>
            <w:tcW w:w="1444" w:type="dxa"/>
            <w:vMerge/>
            <w:noWrap/>
            <w:hideMark/>
          </w:tcPr>
          <w:p w:rsidR="00F37C94" w:rsidRPr="00275295" w:rsidRDefault="00F37C94" w:rsidP="00BF4F9F">
            <w:pPr>
              <w:jc w:val="both"/>
              <w:rPr>
                <w:rFonts w:ascii="Times New Roman" w:hAnsi="Times New Roman" w:cs="Times New Roman"/>
              </w:rPr>
            </w:pPr>
          </w:p>
        </w:tc>
        <w:tc>
          <w:tcPr>
            <w:tcW w:w="1049" w:type="dxa"/>
            <w:vMerge/>
            <w:noWrap/>
            <w:hideMark/>
          </w:tcPr>
          <w:p w:rsidR="00F37C94" w:rsidRPr="00275295" w:rsidRDefault="00F37C94" w:rsidP="00BF4F9F">
            <w:pPr>
              <w:jc w:val="center"/>
              <w:rPr>
                <w:rFonts w:ascii="Times New Roman" w:hAnsi="Times New Roman" w:cs="Times New Roman"/>
              </w:rPr>
            </w:pPr>
          </w:p>
        </w:tc>
        <w:tc>
          <w:tcPr>
            <w:tcW w:w="1978" w:type="dxa"/>
            <w:noWrap/>
            <w:hideMark/>
          </w:tcPr>
          <w:p w:rsidR="00F37C94" w:rsidRPr="00275295" w:rsidRDefault="00F37C94" w:rsidP="00BF4F9F">
            <w:pPr>
              <w:jc w:val="both"/>
              <w:rPr>
                <w:rFonts w:ascii="Times New Roman" w:hAnsi="Times New Roman" w:cs="Times New Roman"/>
                <w:bCs/>
              </w:rPr>
            </w:pPr>
            <w:r w:rsidRPr="00275295">
              <w:rPr>
                <w:rFonts w:ascii="Times New Roman" w:hAnsi="Times New Roman" w:cs="Times New Roman"/>
                <w:bCs/>
              </w:rPr>
              <w:t>Ambigüedad de rol</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-0,255</w:t>
            </w:r>
          </w:p>
        </w:tc>
        <w:tc>
          <w:tcPr>
            <w:tcW w:w="1009" w:type="dxa"/>
            <w:gridSpan w:val="2"/>
            <w:vMerge/>
            <w:noWrap/>
            <w:hideMark/>
          </w:tcPr>
          <w:p w:rsidR="00F37C94" w:rsidRPr="00275295" w:rsidRDefault="00F37C94" w:rsidP="00BF4F9F">
            <w:pPr>
              <w:jc w:val="center"/>
              <w:rPr>
                <w:rFonts w:ascii="Times New Roman" w:hAnsi="Times New Roman" w:cs="Times New Roman"/>
              </w:rPr>
            </w:pPr>
          </w:p>
        </w:tc>
        <w:tc>
          <w:tcPr>
            <w:tcW w:w="1523" w:type="dxa"/>
            <w:noWrap/>
            <w:hideMark/>
          </w:tcPr>
          <w:p w:rsidR="00F37C94" w:rsidRPr="00275295" w:rsidRDefault="00F37C94" w:rsidP="00BF4F9F">
            <w:pPr>
              <w:jc w:val="both"/>
              <w:rPr>
                <w:rFonts w:ascii="Times New Roman" w:hAnsi="Times New Roman" w:cs="Times New Roman"/>
              </w:rPr>
            </w:pPr>
            <w:r w:rsidRPr="00275295">
              <w:rPr>
                <w:rFonts w:ascii="Times New Roman" w:hAnsi="Times New Roman" w:cs="Times New Roman"/>
              </w:rPr>
              <w:t>Autonomía</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-0,116</w:t>
            </w:r>
          </w:p>
        </w:tc>
      </w:tr>
      <w:tr w:rsidR="00F37C94" w:rsidRPr="00275295" w:rsidTr="00BF4F9F">
        <w:trPr>
          <w:gridAfter w:val="1"/>
          <w:wAfter w:w="13" w:type="dxa"/>
          <w:trHeight w:val="287"/>
        </w:trPr>
        <w:tc>
          <w:tcPr>
            <w:tcW w:w="1444" w:type="dxa"/>
            <w:vMerge w:val="restart"/>
            <w:noWrap/>
            <w:hideMark/>
          </w:tcPr>
          <w:p w:rsidR="00F37C94" w:rsidRPr="00275295" w:rsidRDefault="00F37C94" w:rsidP="00BF4F9F">
            <w:pPr>
              <w:jc w:val="both"/>
              <w:rPr>
                <w:rFonts w:ascii="Times New Roman" w:hAnsi="Times New Roman" w:cs="Times New Roman"/>
              </w:rPr>
            </w:pPr>
            <w:r w:rsidRPr="00275295">
              <w:rPr>
                <w:rFonts w:ascii="Times New Roman" w:hAnsi="Times New Roman" w:cs="Times New Roman"/>
              </w:rPr>
              <w:t>Indolencia</w:t>
            </w:r>
          </w:p>
        </w:tc>
        <w:tc>
          <w:tcPr>
            <w:tcW w:w="1049" w:type="dxa"/>
            <w:vMerge w:val="restart"/>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0,616</w:t>
            </w:r>
          </w:p>
        </w:tc>
        <w:tc>
          <w:tcPr>
            <w:tcW w:w="1978" w:type="dxa"/>
            <w:noWrap/>
            <w:hideMark/>
          </w:tcPr>
          <w:p w:rsidR="00F37C94" w:rsidRPr="00275295" w:rsidRDefault="00F37C94" w:rsidP="00BF4F9F">
            <w:pPr>
              <w:jc w:val="both"/>
              <w:rPr>
                <w:rFonts w:ascii="Times New Roman" w:hAnsi="Times New Roman" w:cs="Times New Roman"/>
                <w:bCs/>
              </w:rPr>
            </w:pPr>
            <w:r w:rsidRPr="00275295">
              <w:rPr>
                <w:rFonts w:ascii="Times New Roman" w:hAnsi="Times New Roman" w:cs="Times New Roman"/>
                <w:bCs/>
              </w:rPr>
              <w:t>Conflicto de Rol</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0,403</w:t>
            </w:r>
          </w:p>
        </w:tc>
        <w:tc>
          <w:tcPr>
            <w:tcW w:w="1009" w:type="dxa"/>
            <w:gridSpan w:val="2"/>
            <w:vMerge w:val="restart"/>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0,577</w:t>
            </w:r>
          </w:p>
        </w:tc>
        <w:tc>
          <w:tcPr>
            <w:tcW w:w="1523" w:type="dxa"/>
            <w:noWrap/>
            <w:hideMark/>
          </w:tcPr>
          <w:p w:rsidR="00F37C94" w:rsidRPr="00275295" w:rsidRDefault="00F37C94" w:rsidP="00BF4F9F">
            <w:pPr>
              <w:jc w:val="both"/>
              <w:rPr>
                <w:rFonts w:ascii="Times New Roman" w:hAnsi="Times New Roman" w:cs="Times New Roman"/>
                <w:bCs/>
              </w:rPr>
            </w:pPr>
            <w:r w:rsidRPr="00275295">
              <w:rPr>
                <w:rFonts w:ascii="Times New Roman" w:hAnsi="Times New Roman" w:cs="Times New Roman"/>
                <w:bCs/>
              </w:rPr>
              <w:t>Carga</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0,45</w:t>
            </w:r>
          </w:p>
        </w:tc>
      </w:tr>
      <w:tr w:rsidR="00F37C94" w:rsidRPr="00275295" w:rsidTr="00BF4F9F">
        <w:trPr>
          <w:gridAfter w:val="1"/>
          <w:wAfter w:w="13" w:type="dxa"/>
          <w:trHeight w:val="287"/>
        </w:trPr>
        <w:tc>
          <w:tcPr>
            <w:tcW w:w="1444" w:type="dxa"/>
            <w:vMerge/>
            <w:noWrap/>
            <w:hideMark/>
          </w:tcPr>
          <w:p w:rsidR="00F37C94" w:rsidRPr="00275295" w:rsidRDefault="00F37C94" w:rsidP="00BF4F9F">
            <w:pPr>
              <w:jc w:val="both"/>
              <w:rPr>
                <w:rFonts w:ascii="Times New Roman" w:hAnsi="Times New Roman" w:cs="Times New Roman"/>
              </w:rPr>
            </w:pPr>
          </w:p>
        </w:tc>
        <w:tc>
          <w:tcPr>
            <w:tcW w:w="1049" w:type="dxa"/>
            <w:vMerge/>
            <w:noWrap/>
            <w:hideMark/>
          </w:tcPr>
          <w:p w:rsidR="00F37C94" w:rsidRPr="00275295" w:rsidRDefault="00F37C94" w:rsidP="00BF4F9F">
            <w:pPr>
              <w:jc w:val="both"/>
              <w:rPr>
                <w:rFonts w:ascii="Times New Roman" w:hAnsi="Times New Roman" w:cs="Times New Roman"/>
              </w:rPr>
            </w:pPr>
          </w:p>
        </w:tc>
        <w:tc>
          <w:tcPr>
            <w:tcW w:w="1978" w:type="dxa"/>
            <w:noWrap/>
            <w:hideMark/>
          </w:tcPr>
          <w:p w:rsidR="00F37C94" w:rsidRPr="00275295" w:rsidRDefault="00F37C94" w:rsidP="00BF4F9F">
            <w:pPr>
              <w:jc w:val="both"/>
              <w:rPr>
                <w:rFonts w:ascii="Times New Roman" w:hAnsi="Times New Roman" w:cs="Times New Roman"/>
                <w:bCs/>
              </w:rPr>
            </w:pPr>
            <w:r w:rsidRPr="00275295">
              <w:rPr>
                <w:rFonts w:ascii="Times New Roman" w:hAnsi="Times New Roman" w:cs="Times New Roman"/>
                <w:bCs/>
              </w:rPr>
              <w:t>C. Interpersonales</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0,256</w:t>
            </w:r>
          </w:p>
        </w:tc>
        <w:tc>
          <w:tcPr>
            <w:tcW w:w="1009" w:type="dxa"/>
            <w:gridSpan w:val="2"/>
            <w:vMerge/>
            <w:noWrap/>
            <w:hideMark/>
          </w:tcPr>
          <w:p w:rsidR="00F37C94" w:rsidRPr="00275295" w:rsidRDefault="00F37C94" w:rsidP="00BF4F9F">
            <w:pPr>
              <w:jc w:val="both"/>
              <w:rPr>
                <w:rFonts w:ascii="Times New Roman" w:hAnsi="Times New Roman" w:cs="Times New Roman"/>
              </w:rPr>
            </w:pPr>
          </w:p>
        </w:tc>
        <w:tc>
          <w:tcPr>
            <w:tcW w:w="1523" w:type="dxa"/>
            <w:noWrap/>
            <w:hideMark/>
          </w:tcPr>
          <w:p w:rsidR="00F37C94" w:rsidRPr="00275295" w:rsidRDefault="00F37C94" w:rsidP="00BF4F9F">
            <w:pPr>
              <w:jc w:val="both"/>
              <w:rPr>
                <w:rFonts w:ascii="Times New Roman" w:hAnsi="Times New Roman" w:cs="Times New Roman"/>
                <w:bCs/>
              </w:rPr>
            </w:pPr>
            <w:r w:rsidRPr="00275295">
              <w:rPr>
                <w:rFonts w:ascii="Times New Roman" w:hAnsi="Times New Roman" w:cs="Times New Roman"/>
                <w:bCs/>
              </w:rPr>
              <w:t>Apoyo Social</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-0,245</w:t>
            </w:r>
          </w:p>
        </w:tc>
      </w:tr>
      <w:tr w:rsidR="00F37C94" w:rsidRPr="00275295" w:rsidTr="00BF4F9F">
        <w:trPr>
          <w:gridAfter w:val="1"/>
          <w:wAfter w:w="13" w:type="dxa"/>
          <w:trHeight w:val="287"/>
        </w:trPr>
        <w:tc>
          <w:tcPr>
            <w:tcW w:w="1444" w:type="dxa"/>
            <w:vMerge/>
            <w:noWrap/>
            <w:hideMark/>
          </w:tcPr>
          <w:p w:rsidR="00F37C94" w:rsidRPr="00275295" w:rsidRDefault="00F37C94" w:rsidP="00BF4F9F">
            <w:pPr>
              <w:jc w:val="both"/>
              <w:rPr>
                <w:rFonts w:ascii="Times New Roman" w:hAnsi="Times New Roman" w:cs="Times New Roman"/>
              </w:rPr>
            </w:pPr>
          </w:p>
        </w:tc>
        <w:tc>
          <w:tcPr>
            <w:tcW w:w="1049" w:type="dxa"/>
            <w:vMerge/>
            <w:noWrap/>
            <w:hideMark/>
          </w:tcPr>
          <w:p w:rsidR="00F37C94" w:rsidRPr="00275295" w:rsidRDefault="00F37C94" w:rsidP="00BF4F9F">
            <w:pPr>
              <w:jc w:val="both"/>
              <w:rPr>
                <w:rFonts w:ascii="Times New Roman" w:hAnsi="Times New Roman" w:cs="Times New Roman"/>
              </w:rPr>
            </w:pPr>
          </w:p>
        </w:tc>
        <w:tc>
          <w:tcPr>
            <w:tcW w:w="1978" w:type="dxa"/>
            <w:noWrap/>
            <w:hideMark/>
          </w:tcPr>
          <w:p w:rsidR="00F37C94" w:rsidRPr="00275295" w:rsidRDefault="00F37C94" w:rsidP="00BF4F9F">
            <w:pPr>
              <w:jc w:val="both"/>
              <w:rPr>
                <w:rFonts w:ascii="Times New Roman" w:hAnsi="Times New Roman" w:cs="Times New Roman"/>
                <w:bCs/>
              </w:rPr>
            </w:pPr>
            <w:r w:rsidRPr="00275295">
              <w:rPr>
                <w:rFonts w:ascii="Times New Roman" w:hAnsi="Times New Roman" w:cs="Times New Roman"/>
                <w:bCs/>
              </w:rPr>
              <w:t>Ambigüedad</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-0,247</w:t>
            </w:r>
          </w:p>
        </w:tc>
        <w:tc>
          <w:tcPr>
            <w:tcW w:w="1009" w:type="dxa"/>
            <w:gridSpan w:val="2"/>
            <w:vMerge/>
            <w:noWrap/>
            <w:hideMark/>
          </w:tcPr>
          <w:p w:rsidR="00F37C94" w:rsidRPr="00275295" w:rsidRDefault="00F37C94" w:rsidP="00BF4F9F">
            <w:pPr>
              <w:jc w:val="both"/>
              <w:rPr>
                <w:rFonts w:ascii="Times New Roman" w:hAnsi="Times New Roman" w:cs="Times New Roman"/>
              </w:rPr>
            </w:pPr>
          </w:p>
        </w:tc>
        <w:tc>
          <w:tcPr>
            <w:tcW w:w="1523" w:type="dxa"/>
            <w:noWrap/>
            <w:hideMark/>
          </w:tcPr>
          <w:p w:rsidR="00F37C94" w:rsidRPr="00275295" w:rsidRDefault="00F37C94" w:rsidP="00BF4F9F">
            <w:pPr>
              <w:jc w:val="both"/>
              <w:rPr>
                <w:rFonts w:ascii="Times New Roman" w:hAnsi="Times New Roman" w:cs="Times New Roman"/>
              </w:rPr>
            </w:pPr>
            <w:r w:rsidRPr="00275295">
              <w:rPr>
                <w:rFonts w:ascii="Times New Roman" w:hAnsi="Times New Roman" w:cs="Times New Roman"/>
              </w:rPr>
              <w:t>Justicia</w:t>
            </w:r>
          </w:p>
        </w:tc>
        <w:tc>
          <w:tcPr>
            <w:tcW w:w="1066" w:type="dxa"/>
            <w:noWrap/>
            <w:hideMark/>
          </w:tcPr>
          <w:p w:rsidR="00F37C94" w:rsidRPr="00275295" w:rsidRDefault="00F37C94" w:rsidP="00BF4F9F">
            <w:pPr>
              <w:jc w:val="center"/>
              <w:rPr>
                <w:rFonts w:ascii="Times New Roman" w:hAnsi="Times New Roman" w:cs="Times New Roman"/>
              </w:rPr>
            </w:pPr>
            <w:r w:rsidRPr="00275295">
              <w:rPr>
                <w:rFonts w:ascii="Times New Roman" w:hAnsi="Times New Roman" w:cs="Times New Roman"/>
              </w:rPr>
              <w:t>0,154</w:t>
            </w:r>
          </w:p>
        </w:tc>
      </w:tr>
    </w:tbl>
    <w:p w:rsidR="00F37C94" w:rsidRPr="00275295" w:rsidRDefault="00F37C94" w:rsidP="00F37C94">
      <w:pPr>
        <w:pStyle w:val="Prrafodelista"/>
        <w:numPr>
          <w:ilvl w:val="0"/>
          <w:numId w:val="6"/>
        </w:numPr>
        <w:spacing w:line="480" w:lineRule="auto"/>
        <w:jc w:val="center"/>
        <w:rPr>
          <w:rFonts w:ascii="Times New Roman" w:hAnsi="Times New Roman" w:cs="Times New Roman"/>
        </w:rPr>
      </w:pPr>
      <w:r w:rsidRPr="00275295">
        <w:rPr>
          <w:rFonts w:ascii="Times New Roman" w:hAnsi="Times New Roman" w:cs="Times New Roman"/>
        </w:rPr>
        <w:t>R</w:t>
      </w:r>
      <w:r w:rsidRPr="00275295">
        <w:rPr>
          <w:rFonts w:ascii="Times New Roman" w:hAnsi="Times New Roman" w:cs="Times New Roman"/>
          <w:vertAlign w:val="superscript"/>
        </w:rPr>
        <w:t>2</w:t>
      </w:r>
      <w:r w:rsidRPr="00275295">
        <w:rPr>
          <w:rFonts w:ascii="Times New Roman" w:hAnsi="Times New Roman" w:cs="Times New Roman"/>
        </w:rPr>
        <w:t>: R cuadrado del modelo; PP: Peso predictivo de la variable, valor Beta.</w:t>
      </w:r>
    </w:p>
    <w:p w:rsidR="00F37C94" w:rsidRDefault="00F37C94" w:rsidP="00F37C94">
      <w:pPr>
        <w:pStyle w:val="spstitsecc1"/>
        <w:rPr>
          <w:rFonts w:ascii="Times New Roman" w:hAnsi="Times New Roman" w:cs="Times New Roman"/>
          <w:sz w:val="24"/>
        </w:rPr>
      </w:pPr>
    </w:p>
    <w:p w:rsidR="00F37C94" w:rsidRDefault="00F37C94" w:rsidP="00F37C94">
      <w:pPr>
        <w:pStyle w:val="spstitsecc1"/>
        <w:rPr>
          <w:rFonts w:ascii="Times New Roman" w:hAnsi="Times New Roman" w:cs="Times New Roman"/>
          <w:sz w:val="24"/>
        </w:rPr>
      </w:pPr>
    </w:p>
    <w:p w:rsidR="00F37C94" w:rsidRDefault="00F37C94" w:rsidP="00F37C94">
      <w:pPr>
        <w:spacing w:after="0"/>
        <w:rPr>
          <w:rFonts w:ascii="Times New Roman" w:hAnsi="Times New Roman" w:cs="Times New Roman"/>
          <w:b/>
        </w:rPr>
      </w:pPr>
      <w:r>
        <w:rPr>
          <w:rFonts w:ascii="Times New Roman" w:hAnsi="Times New Roman" w:cs="Times New Roman"/>
        </w:rPr>
        <w:br w:type="page"/>
      </w:r>
    </w:p>
    <w:p w:rsidR="00F37C94" w:rsidRPr="00275295" w:rsidRDefault="00F37C94" w:rsidP="00F37C94">
      <w:pPr>
        <w:pStyle w:val="spstitsecc1"/>
        <w:rPr>
          <w:rFonts w:ascii="Times New Roman" w:hAnsi="Times New Roman" w:cs="Times New Roman"/>
          <w:sz w:val="24"/>
        </w:rPr>
      </w:pPr>
      <w:r w:rsidRPr="00275295">
        <w:rPr>
          <w:rFonts w:ascii="Times New Roman" w:hAnsi="Times New Roman" w:cs="Times New Roman"/>
          <w:sz w:val="24"/>
        </w:rPr>
        <w:lastRenderedPageBreak/>
        <w:t>Discusión</w:t>
      </w:r>
    </w:p>
    <w:p w:rsidR="00F37C94" w:rsidRPr="00275295" w:rsidRDefault="00F37C94" w:rsidP="00F37C94">
      <w:pPr>
        <w:pStyle w:val="spslineablanca"/>
        <w:rPr>
          <w:rFonts w:ascii="Times New Roman" w:hAnsi="Times New Roman" w:cs="Times New Roman"/>
        </w:rPr>
      </w:pPr>
    </w:p>
    <w:p w:rsidR="00F37C94" w:rsidRPr="00275295" w:rsidRDefault="00F37C94" w:rsidP="00F37C94">
      <w:pPr>
        <w:pStyle w:val="spslineablanca"/>
        <w:rPr>
          <w:rFonts w:ascii="Times New Roman" w:hAnsi="Times New Roman" w:cs="Times New Roman"/>
          <w:color w:val="auto"/>
          <w:lang w:val="es-ES"/>
        </w:rPr>
      </w:pPr>
      <w:r w:rsidRPr="00275295">
        <w:rPr>
          <w:rFonts w:ascii="Times New Roman" w:hAnsi="Times New Roman" w:cs="Times New Roman"/>
          <w:color w:val="auto"/>
          <w:lang w:val="es-ES"/>
        </w:rPr>
        <w:t xml:space="preserve">Según la información recogida en el presente estudio se observan resultados positivos en la muestra evaluada sobre las variables de síndrome de quemarse por el trabajo y de factores psicosociales en sus dimensiones de demanda y recursos. Si se compara con estudios anteriores se puede observar que no hay mayores diferencias en evaluaciones realizadas sin la presencia de la pandemia </w:t>
      </w:r>
      <w:r w:rsidRPr="00275295">
        <w:rPr>
          <w:rFonts w:ascii="Times New Roman" w:hAnsi="Times New Roman" w:cs="Times New Roman"/>
          <w:color w:val="auto"/>
          <w:lang w:val="es-ES"/>
        </w:rPr>
        <w:fldChar w:fldCharType="begin" w:fldLock="1"/>
      </w:r>
      <w:r>
        <w:rPr>
          <w:rFonts w:ascii="Times New Roman" w:hAnsi="Times New Roman" w:cs="Times New Roman"/>
          <w:color w:val="auto"/>
          <w:lang w:val="es-ES"/>
        </w:rPr>
        <w:instrText>ADDIN CSL_CITATION {"citationItems":[{"id":"ITEM-1","itemData":{"ISSN":"0378-1844","abstract":"Hoy en día, y desde la aparición del Inventario Maslach de Burnout (MBI), existen diversos aportes científicos alter- nativos de medición del burnout; sin embargo, la gran ma- yoría de esos cuestionarios nacen en contextos culturales del mundo anglosajón, lo que resulta a menudo inapropia- do para evaluar y comprender el desarrollo del fenómeno en contextos culturales hispanoamericanos. Por ello se desarro- lló el Inventario Español de Burnout (SBI). El propósito de este trabajo fue evaluar las propiedades psicométricas del SBI. La muestra consistió en 260 trabajadores chilenos de servicios mineros. El instrumento se compone de 20 ítems distribuidos en cuatro dimensiones: Ilusión por el trabajo (5 ítems), Desgaste psíquico (4), Indolencia (6) y Culpa (5 ítems). Los datos se sometieron a análisis factorial confir- matorio para evaluar la validez factorial del SBI, donde se probaron tres modelos alternativos. Los resultados muestran que el modelo de cuatro factores tiene propiedades psicomé- tricas adecuadas para el estudio del burnout en personal de servicios y ajustó los datos mejor que los modelos alterna- tivos. El estudio proporciona evidencia de las propiedades psicométricas adecuadas del SBI para evaluar burnout. El SBI propone una explicación teórica para los diferentes per- files de burnout, facilitando el diagnóstico y el tratamiento en trabajadores de servicios.","author":[{"dropping-particle":"","family":"Olivares-Faúndez","given":"Víctor","non-dropping-particle":"","parse-names":false,"suffix":""},{"dropping-particle":"","family":"Gil-Monte","given":"Pedro","non-dropping-particle":"","parse-names":false,"suffix":""},{"dropping-particle":"","family":"Montaño Espinoza","given":"Rosa","non-dropping-particle":"","parse-names":false,"suffix":""},{"dropping-particle":"","family":"Barrera Capot","given":"Rosa","non-dropping-particle":"","parse-names":false,"suffix":""},{"dropping-particle":"","family":"Fredes Collarte","given":"Dailet","non-dropping-particle":"","parse-names":false,"suffix":""},{"dropping-particle":"","family":"Figueiredo-Ferraz","given":"Hugo","non-dropping-particle":"","parse-names":false,"suffix":""}],"container-title":"Interciencia","id":"ITEM-1","issue":"6","issued":{"date-parts":[["2018"]]},"page":"417-424","title":"Validez factorial del cuestionario para la evaluación del síndrome de quemarse por el trabajo (CESQT) en profesionales de servicios","type":"article-journal","volume":"43"},"uris":["http://www.mendeley.com/documents/?uuid=6c2db493-b3ca-30ba-a23c-97608f24ce02"]},{"id":"ITEM-2","itemData":{"DOI":"10.24265/liberabit.2016.v22n1.01","ISSN":"17294827","abstract":"The objective of the study was to evaluate the psychosocial factors in the work of the justice personnel of Valencia.","author":[{"dropping-particle":"","family":"Gil-Monte","given":"Pedro","non-dropping-particle":"","parse-names":false,"suffix":""},{"dropping-particle":"","family":"López-Vílchez","given":"Jorge","non-dropping-particle":"","parse-names":false,"suffix":""},{"dropping-particle":"","family":"Llorca-Rubio","given":"José Luis","non-dropping-particle":"","parse-names":false,"suffix":""},{"dropping-particle":"","family":"Sánchez Piernas","given":"Juana","non-dropping-particle":"","parse-names":false,"suffix":""}],"container-title":"Liberabit: Revista Peruana de Psicología","id":"ITEM-2","issue":"1","issued":{"date-parts":[["2016","6","30"]]},"page":"7-19","publisher":"Universidad de San Martin de Porres","title":"Prevalencia de riesgos psicosociales en personal de la administración de justicia de la comunidad valenciana (España)","type":"article-journal","volume":"22"},"uris":["http://www.mendeley.com/documents/?uuid=4b6b362e-728c-391d-bbfd-87b3e2cb079c"]}],"mendeley":{"formattedCitation":"(P. Gil-Monte, López-Vílchez, Llorca-Rubio, &amp; Sánchez Piernas, 2016; Olivares-Faúndez et al., 2018)","plainTextFormattedCitation":"(P. Gil-Monte, López-Vílchez, Llorca-Rubio, &amp; Sánchez Piernas, 2016; Olivares-Faúndez et al., 2018)","previouslyFormattedCitation":"(Gil-Monte et al. 2016; Olivares-Faúndez et al. 2018)"},"properties":{"noteIndex":0},"schema":"https://github.com/citation-style-language/schema/raw/master/csl-citation.json"}</w:instrText>
      </w:r>
      <w:r w:rsidRPr="00275295">
        <w:rPr>
          <w:rFonts w:ascii="Times New Roman" w:hAnsi="Times New Roman" w:cs="Times New Roman"/>
          <w:color w:val="auto"/>
          <w:lang w:val="es-ES"/>
        </w:rPr>
        <w:fldChar w:fldCharType="separate"/>
      </w:r>
      <w:r w:rsidRPr="006869BC">
        <w:rPr>
          <w:rFonts w:ascii="Times New Roman" w:hAnsi="Times New Roman" w:cs="Times New Roman"/>
          <w:noProof/>
          <w:color w:val="auto"/>
          <w:lang w:val="es-ES"/>
        </w:rPr>
        <w:t>(P. Gil-Monte, López-Vílchez, Llorca-Rubio, &amp; Sánchez Piernas, 2016; Olivares-Faúndez et al., 2018)</w:t>
      </w:r>
      <w:r w:rsidRPr="00275295">
        <w:rPr>
          <w:rFonts w:ascii="Times New Roman" w:hAnsi="Times New Roman" w:cs="Times New Roman"/>
          <w:color w:val="auto"/>
          <w:lang w:val="es-ES"/>
        </w:rPr>
        <w:fldChar w:fldCharType="end"/>
      </w:r>
      <w:r w:rsidRPr="00275295">
        <w:rPr>
          <w:rFonts w:ascii="Times New Roman" w:hAnsi="Times New Roman" w:cs="Times New Roman"/>
          <w:color w:val="auto"/>
          <w:lang w:val="es-ES"/>
        </w:rPr>
        <w:t xml:space="preserve">. Aunque es evidente el impacto en la salud mental de las personas, al grupo evaluado no muestra mayor deterioro aunque en otro tipo de poblaciones ya se encuentran estudios asociados a esto </w:t>
      </w:r>
      <w:r w:rsidRPr="00275295">
        <w:rPr>
          <w:rFonts w:ascii="Times New Roman" w:hAnsi="Times New Roman" w:cs="Times New Roman"/>
          <w:color w:val="auto"/>
          <w:lang w:val="es-ES"/>
        </w:rPr>
        <w:fldChar w:fldCharType="begin" w:fldLock="1"/>
      </w:r>
      <w:r>
        <w:rPr>
          <w:rFonts w:ascii="Times New Roman" w:hAnsi="Times New Roman" w:cs="Times New Roman"/>
          <w:color w:val="auto"/>
          <w:lang w:val="es-ES"/>
        </w:rPr>
        <w:instrText>ADDIN CSL_CITATION {"citationItems":[{"id":"ITEM-1","itemData":{"DOI":"10.20453/rnp.v83i1.3687","ISSN":"0034-8597","abstract":"En la lucha contra la epidemia del Coronavirus (COVID-19), el personal de salud puede experimentar problemas de salud mental tales como estrés, ansiedad, síntomas depresivos, insomnio, negación, ira y temor. En un estudio en China se observó que la tasa de ansiedad del personal de salud fue del 23,04%, mayor en mujeres que en hombres y mayor entre las enfermeras que entre los médicos. Asimismo, en la población general de China se observó un 53,8% de impacto psicológico moderado a severo; un 16,5% de síntomas depresivos, un 28,8% de síntomas ansiosos y un 8,1% de estrés, todos entre moderados y severos. Los factores asociados con un alto impacto psicológico y niveles elevados de estrés, síntomas de ansiedad y depresión fueron sexo femenino, ser estudiante, tener síntomas físicos específicos y una percepción pobre de la propia salud. Otro estudio en el mismo país detectó un 35% de distrés psicológico en la población general, con las mujeres presentando mayores niveles que los varones, al igual que los sub-grupos de 18-30 años y los mayores de 60 años. La pandemia plantea pues el desafío de cuidar la salud mental del personal de salud tanto como la de la población general. Así, el uso de instrumentos breves de detección de problemas de salud mental, validados en nuestra población, sería de mucha utilidad para los retos de salud pública que afronta el país.","author":[{"dropping-particle":"","family":"Lozano-Vargas","given":"Antonio","non-dropping-particle":"","parse-names":false,"suffix":""}],"container-title":"Revista de Neuro-Psiquiatria","id":"ITEM-1","issue":"1","issued":{"date-parts":[["2020","4","11"]]},"page":"51-56","publisher":"Universidad Peruana Cayetano Heredia","title":"Impacto de la epidemia del Coronavirus (COVID-19) en la salud mental del personal de salud y en la población general de China","type":"article-journal","volume":"83"},"uris":["http://www.mendeley.com/documents/?uuid=dd0f8171-c1c9-3ccf-bfc3-826cbdcaf87e"]}],"mendeley":{"formattedCitation":"(Lozano-Vargas, 2020)","plainTextFormattedCitation":"(Lozano-Vargas, 2020)","previouslyFormattedCitation":"(Lozano-Vargas 2020)"},"properties":{"noteIndex":0},"schema":"https://github.com/citation-style-language/schema/raw/master/csl-citation.json"}</w:instrText>
      </w:r>
      <w:r w:rsidRPr="00275295">
        <w:rPr>
          <w:rFonts w:ascii="Times New Roman" w:hAnsi="Times New Roman" w:cs="Times New Roman"/>
          <w:color w:val="auto"/>
          <w:lang w:val="es-ES"/>
        </w:rPr>
        <w:fldChar w:fldCharType="separate"/>
      </w:r>
      <w:r w:rsidRPr="006869BC">
        <w:rPr>
          <w:rFonts w:ascii="Times New Roman" w:hAnsi="Times New Roman" w:cs="Times New Roman"/>
          <w:noProof/>
          <w:color w:val="auto"/>
          <w:lang w:val="es-ES"/>
        </w:rPr>
        <w:t>(Lozano-Vargas, 2020)</w:t>
      </w:r>
      <w:r w:rsidRPr="00275295">
        <w:rPr>
          <w:rFonts w:ascii="Times New Roman" w:hAnsi="Times New Roman" w:cs="Times New Roman"/>
          <w:color w:val="auto"/>
          <w:lang w:val="es-ES"/>
        </w:rPr>
        <w:fldChar w:fldCharType="end"/>
      </w:r>
      <w:r w:rsidRPr="00275295">
        <w:rPr>
          <w:rFonts w:ascii="Times New Roman" w:hAnsi="Times New Roman" w:cs="Times New Roman"/>
          <w:color w:val="auto"/>
          <w:lang w:val="es-ES"/>
        </w:rPr>
        <w:t>.</w:t>
      </w:r>
    </w:p>
    <w:p w:rsidR="00F37C94" w:rsidRPr="00275295" w:rsidRDefault="00F37C94" w:rsidP="00F37C94">
      <w:pPr>
        <w:pStyle w:val="spslineablanca"/>
        <w:rPr>
          <w:rFonts w:ascii="Times New Roman" w:hAnsi="Times New Roman" w:cs="Times New Roman"/>
          <w:color w:val="auto"/>
          <w:lang w:val="es-ES"/>
        </w:rPr>
      </w:pPr>
      <w:r w:rsidRPr="00275295">
        <w:rPr>
          <w:rFonts w:ascii="Times New Roman" w:hAnsi="Times New Roman" w:cs="Times New Roman"/>
          <w:color w:val="auto"/>
          <w:lang w:val="es-ES"/>
        </w:rPr>
        <w:t xml:space="preserve">Se han encontrado diferencias entre el grupo de trabajo remoto y de trabajo presencial donde los trabajadores que están conectados desde sus hogares perciben de forma más positiva su entorno, teniendo mayor percepción de los factores psicosociales de recursos y menor presencia de factores de demanda y de síndrome de quemarse por el trabajo. La única excepción es la variable </w:t>
      </w:r>
      <w:proofErr w:type="spellStart"/>
      <w:r w:rsidRPr="00275295">
        <w:rPr>
          <w:rFonts w:ascii="Times New Roman" w:hAnsi="Times New Roman" w:cs="Times New Roman"/>
          <w:color w:val="auto"/>
          <w:lang w:val="es-ES"/>
        </w:rPr>
        <w:t>feedback</w:t>
      </w:r>
      <w:proofErr w:type="spellEnd"/>
      <w:r w:rsidRPr="00275295">
        <w:rPr>
          <w:rFonts w:ascii="Times New Roman" w:hAnsi="Times New Roman" w:cs="Times New Roman"/>
          <w:color w:val="auto"/>
          <w:lang w:val="es-ES"/>
        </w:rPr>
        <w:t xml:space="preserve"> que se presenta de mejor forma en los trabajadores presenciales. No se ha encontrado evidencia de estudios anteriores que apoyen este resultado, lo más cercano es un estudio realizado en Sudamérica sobre salud mental y riesgos psicosociales pero que es solo en trabajadores remotos</w:t>
      </w:r>
      <w:r w:rsidRPr="00275295">
        <w:rPr>
          <w:rFonts w:ascii="Times New Roman" w:hAnsi="Times New Roman" w:cs="Times New Roman"/>
          <w:color w:val="auto"/>
          <w:lang w:val="es-ES"/>
        </w:rPr>
        <w:fldChar w:fldCharType="begin" w:fldLock="1"/>
      </w:r>
      <w:r>
        <w:rPr>
          <w:rFonts w:ascii="Times New Roman" w:hAnsi="Times New Roman" w:cs="Times New Roman"/>
          <w:color w:val="auto"/>
          <w:lang w:val="es-ES"/>
        </w:rPr>
        <w:instrText>ADDIN CSL_CITATION {"citationItems":[{"id":"ITEM-1","itemData":{"author":[{"dropping-particle":"","family":"Suarez Erazo","given":"Rosa","non-dropping-particle":"","parse-names":false,"suffix":""},{"dropping-particle":"","family":"Gallardo Chiluisa","given":"Emilio","non-dropping-particle":"","parse-names":false,"suffix":""}],"id":"ITEM-1","issued":{"date-parts":[["2019"]]},"publisher":"Quito: UCE","publisher-place":"Quito, Ecuardor","title":"Teletrabajo: La percepción que tiene el teletrabajador sobre su salud laboral, en la ciudad de Quito","type":"thesis"},"uris":["http://www.mendeley.com/documents/?uuid=424c7d2d-d63b-37b7-8b6b-c0f534a3cb7c"]}],"mendeley":{"formattedCitation":"(Suarez Erazo &amp; Gallardo Chiluisa, 2019)","plainTextFormattedCitation":"(Suarez Erazo &amp; Gallardo Chiluisa, 2019)","previouslyFormattedCitation":"(Suarez Erazo y Gallardo Chiluisa 2019)"},"properties":{"noteIndex":0},"schema":"https://github.com/citation-style-language/schema/raw/master/csl-citation.json"}</w:instrText>
      </w:r>
      <w:r w:rsidRPr="00275295">
        <w:rPr>
          <w:rFonts w:ascii="Times New Roman" w:hAnsi="Times New Roman" w:cs="Times New Roman"/>
          <w:color w:val="auto"/>
          <w:lang w:val="es-ES"/>
        </w:rPr>
        <w:fldChar w:fldCharType="separate"/>
      </w:r>
      <w:r w:rsidRPr="006869BC">
        <w:rPr>
          <w:rFonts w:ascii="Times New Roman" w:hAnsi="Times New Roman" w:cs="Times New Roman"/>
          <w:noProof/>
          <w:color w:val="auto"/>
          <w:lang w:val="es-ES"/>
        </w:rPr>
        <w:t>(Suarez Erazo &amp; Gallardo Chiluisa, 2019)</w:t>
      </w:r>
      <w:r w:rsidRPr="00275295">
        <w:rPr>
          <w:rFonts w:ascii="Times New Roman" w:hAnsi="Times New Roman" w:cs="Times New Roman"/>
          <w:color w:val="auto"/>
          <w:lang w:val="es-ES"/>
        </w:rPr>
        <w:fldChar w:fldCharType="end"/>
      </w:r>
      <w:r w:rsidRPr="00275295">
        <w:rPr>
          <w:rFonts w:ascii="Times New Roman" w:hAnsi="Times New Roman" w:cs="Times New Roman"/>
          <w:color w:val="auto"/>
          <w:lang w:val="es-ES"/>
        </w:rPr>
        <w:t>.</w:t>
      </w:r>
    </w:p>
    <w:p w:rsidR="00F37C94" w:rsidRPr="00275295" w:rsidRDefault="00F37C94" w:rsidP="00F37C94">
      <w:pPr>
        <w:pStyle w:val="spslineablanca"/>
        <w:rPr>
          <w:rFonts w:ascii="Times New Roman" w:hAnsi="Times New Roman" w:cs="Times New Roman"/>
          <w:color w:val="auto"/>
          <w:lang w:val="es-ES"/>
        </w:rPr>
      </w:pPr>
      <w:r w:rsidRPr="00275295">
        <w:rPr>
          <w:rFonts w:ascii="Times New Roman" w:hAnsi="Times New Roman" w:cs="Times New Roman"/>
          <w:color w:val="auto"/>
          <w:lang w:val="es-ES"/>
        </w:rPr>
        <w:t xml:space="preserve">Un resultado que se repite en otros estudios realizados, inclusive en Chile, por ejemplo el de Olivares-Faundez </w:t>
      </w:r>
      <w:r w:rsidRPr="00275295">
        <w:rPr>
          <w:rFonts w:ascii="Times New Roman" w:hAnsi="Times New Roman" w:cs="Times New Roman"/>
          <w:color w:val="auto"/>
          <w:lang w:val="es-ES"/>
        </w:rPr>
        <w:fldChar w:fldCharType="begin" w:fldLock="1"/>
      </w:r>
      <w:r>
        <w:rPr>
          <w:rFonts w:ascii="Times New Roman" w:hAnsi="Times New Roman" w:cs="Times New Roman"/>
          <w:color w:val="auto"/>
          <w:lang w:val="es-ES"/>
        </w:rPr>
        <w:instrText>ADDIN CSL_CITATION {"citationItems":[{"id":"ITEM-1","itemData":{"DOI":"10.4067/s0718-24492013000300011","ISSN":"0718-2449","abstract":"Objective: Knowing Burnout levels and mental workload in a sample of drivers of public transportation in Chile (Transantiago), and the possible relationship between these variables. Material and Methods: The study sample comprised 112 public transportation drivers in the city of Santiago de Chile. The instruments used were the CESQT and NASA TLX (Task Load Index). Descriptive and correlational analyzes were performed using the SPSS 22 program. Results: The results confirmed the hypothesis, Burnout correlates with mental workload, as levels of the syndrome were associated positively and significantly. All subscales had internal consistency values higher than 0,70. Burnout prevalence was 23,22% for Profile 1 and 6,25% for the clinical level (Profile 2) (Gil-Monte, 2005). Conclusions: Burnout levels in the sample collected, according to the international literature, are high, and the importance of these phenomena on the mental health of drivers of public transport is confirmed in Santiago, Chile. Objetivo: Conocer los niveles de Burnout y Carga mental en una muestra de conductores del transporte público de Chile (Transantiago), y la posible relación entre estas variables. Material y Métodos: La muestra del estudio la componen 112 conductores de transporte público de la ciudad de Santiago de Chile. Los instrumentos utilizados fueron el CESQT y el NASA-TLX (Task Load Index). Los análisis descriptivos y correlacionales se realizaron mediante el programa SPSS 22. Resultados: Confirmaron la hipótesis, Burnout se correlaciona con Carga mental, pues los niveles del síndrome se asociaron positiva y significativamente. Todas las subescalas presentaron valores de consistencia interna superiores a 0,70. La prevalencia del Burnout fue del 23,22% para el Perfil 1 y un 6,25% para el nivel clínico (Perfil 2) (Gil-Monte, 2005). Conclusiones: Los niveles de Burnout en la muestra recabada, de acuerdo a la literatura internacional, es alto, y se confirma la importancia de estos fenómenos en la salud mental de los conductores del transporte público de Santiago de Chile.","author":[{"dropping-particle":"","family":"Olivares Faúndez","given":"Víctor E","non-dropping-particle":"","parse-names":false,"suffix":""},{"dropping-particle":"","family":"Jélvez Wilke","given":"Carolina","non-dropping-particle":"","parse-names":false,"suffix":""},{"dropping-particle":"","family":"Mena Miranda","given":"Luis","non-dropping-particle":"","parse-names":false,"suffix":""},{"dropping-particle":"","family":"Lavarello Salinas","given":"Julio","non-dropping-particle":"","parse-names":false,"suffix":""}],"container-title":"Ciencia &amp; trabajo","id":"ITEM-1","issue":"48","issued":{"date-parts":[["2013","12"]]},"page":"173-178","publisher":"SciELO Comision Nacional de Investigacion Cientifica Y Tecnologica (CONICYT)","title":"Estudios sobre Burnout y Carga Mental en Conductores del Transporte Público de Chile (Transantiago)","type":"article-journal","volume":"15"},"uris":["http://www.mendeley.com/documents/?uuid=f3304939-83c2-30da-baae-022479bf1fa7"]}],"mendeley":{"formattedCitation":"(Olivares Faúndez, Jélvez Wilke, Mena Miranda, &amp; Lavarello Salinas, 2013)","plainTextFormattedCitation":"(Olivares Faúndez, Jélvez Wilke, Mena Miranda, &amp; Lavarello Salinas, 2013)","previouslyFormattedCitation":"(Olivares Faúndez et al. 2013)"},"properties":{"noteIndex":0},"schema":"https://github.com/citation-style-language/schema/raw/master/csl-citation.json"}</w:instrText>
      </w:r>
      <w:r w:rsidRPr="00275295">
        <w:rPr>
          <w:rFonts w:ascii="Times New Roman" w:hAnsi="Times New Roman" w:cs="Times New Roman"/>
          <w:color w:val="auto"/>
          <w:lang w:val="es-ES"/>
        </w:rPr>
        <w:fldChar w:fldCharType="separate"/>
      </w:r>
      <w:r w:rsidRPr="006869BC">
        <w:rPr>
          <w:rFonts w:ascii="Times New Roman" w:hAnsi="Times New Roman" w:cs="Times New Roman"/>
          <w:noProof/>
          <w:color w:val="auto"/>
          <w:lang w:val="es-ES"/>
        </w:rPr>
        <w:t>(Olivares Faúndez, Jélvez Wilke, Mena Miranda, &amp; Lavarello Salinas, 2013)</w:t>
      </w:r>
      <w:r w:rsidRPr="00275295">
        <w:rPr>
          <w:rFonts w:ascii="Times New Roman" w:hAnsi="Times New Roman" w:cs="Times New Roman"/>
          <w:color w:val="auto"/>
          <w:lang w:val="es-ES"/>
        </w:rPr>
        <w:fldChar w:fldCharType="end"/>
      </w:r>
      <w:r w:rsidRPr="00275295">
        <w:rPr>
          <w:rFonts w:ascii="Times New Roman" w:hAnsi="Times New Roman" w:cs="Times New Roman"/>
          <w:color w:val="auto"/>
          <w:lang w:val="es-ES"/>
        </w:rPr>
        <w:t xml:space="preserve"> es la fuerte relación que existe entre la percepción de carga de trabajo y el desgaste psíquico dentro del síndrome de quemarse por el trabajo, en la investigación se presenta en ambos grupos de trabajo (remoto y presencial) y en la muestra total. Esto permite identificar claramente la importancia del manejo y la gestión de la carga de trabajo para evitar un posible desgaste psíquico en los trabajadores y un estrés crónico siendo importante tanto en trabajadores remotos como presenciales. Se encuentra también que dicha relación se ve reflejado en estudios actuales donde por ejemplo los equipos de salud que están combatiendo en la primera línea al COVID-19 se exponen a que esta alta carga de trabajo sea un factor que impacte su salud mental y provoque agotamiento y estrés </w:t>
      </w:r>
      <w:r w:rsidRPr="00275295">
        <w:rPr>
          <w:rFonts w:ascii="Times New Roman" w:hAnsi="Times New Roman" w:cs="Times New Roman"/>
          <w:color w:val="auto"/>
          <w:lang w:val="es-ES"/>
        </w:rPr>
        <w:fldChar w:fldCharType="begin" w:fldLock="1"/>
      </w:r>
      <w:r>
        <w:rPr>
          <w:rFonts w:ascii="Times New Roman" w:hAnsi="Times New Roman" w:cs="Times New Roman"/>
          <w:color w:val="auto"/>
          <w:lang w:val="es-ES"/>
        </w:rPr>
        <w:instrText>ADDIN CSL_CITATION {"citationItems":[{"id":"ITEM-1","itemData":{"author":[{"dropping-particle":"","family":"Sultana","given":"A","non-dropping-particle":"","parse-names":false,"suffix":""},{"dropping-particle":"","family":"Sharma","given":"R","non-dropping-particle":"","parse-names":false,"suffix":""},{"dropping-particle":"","family":"Hossain","given":"M","non-dropping-particle":"","parse-names":false,"suffix":""},{"dropping-particle":"","family":"Bhattacharya","given":"S","non-dropping-particle":"","parse-names":false,"suffix":""},{"dropping-particle":"","family":"Puroit","given":"N","non-dropping-particle":"","parse-names":false,"suffix":""}],"id":"ITEM-1","issued":{"date-parts":[["2020"]]},"title":"Burnout Among Healthcare Providers During COVID-19 Pandemic: Challenges and Evidence-based Interventions","type":"report"},"uris":["http://www.mendeley.com/documents/?uuid=1a49fe53-50c3-390b-b76e-282d04d22e69"]},{"id":"ITEM-2","itemData":{"DOI":"10.1080/03075079.2017.1399261","ISSN":"1470174X","abstract":"Based on the job demand-resources framework, the present study investigates the association between teacher–researcher role conflict and burnout (including emotional exhaustion, depersonalization and reduced personal accomplishment) among Chinese university teachers by testing the moderating effects of perceived organizational support (POS) and political skill. The results from two studies employing quantitative (survey) and qualitative (interview) methods indicate that (1) Chinese university teachers experience a low–to-moderate level of burnout; and (2) there is a partial association between teacher–researcher role conflict and burnout; specifically, role conflict is positively related to teachers’ emotional exhaustion and depersonalization. (3) Although no direct association was found between teacher–researcher role conflict and reduced personal accomplishment, political skill and POS moderate the relationship between role conflict and reduced personal accomplishment. As predicted, POS mitigates the feeling of reduced personal accomplishment led by role conflict. Moreover, the role-conflict-personal accomplishment relationship is strengthened when individuals show low political skill.","author":[{"dropping-particle":"","family":"Xu","given":"Linna","non-dropping-particle":"","parse-names":false,"suffix":""}],"container-title":"Studies in Higher Education","id":"ITEM-2","issue":"6","issued":{"date-parts":[["2019","6","3"]]},"page":"903-919","publisher":"Routledge","title":"Teacher–researcher role conflict and burnout among Chinese university teachers: a job demand-resources model perspective","type":"article-journal","volume":"44"},"uris":["http://www.mendeley.com/documents/?uuid=73829d39-ecc8-36d5-9df2-61d16bf05c42"]}],"mendeley":{"formattedCitation":"(Sultana, Sharma, Hossain, Bhattacharya, &amp; Puroit, 2020; Xu, 2019)","plainTextFormattedCitation":"(Sultana, Sharma, Hossain, Bhattacharya, &amp; Puroit, 2020; Xu, 2019)","previouslyFormattedCitation":"(Sultana et al. 2020; Xu 2019)"},"properties":{"noteIndex":0},"schema":"https://github.com/citation-style-language/schema/raw/master/csl-citation.json"}</w:instrText>
      </w:r>
      <w:r w:rsidRPr="00275295">
        <w:rPr>
          <w:rFonts w:ascii="Times New Roman" w:hAnsi="Times New Roman" w:cs="Times New Roman"/>
          <w:color w:val="auto"/>
          <w:lang w:val="es-ES"/>
        </w:rPr>
        <w:fldChar w:fldCharType="separate"/>
      </w:r>
      <w:r w:rsidRPr="006869BC">
        <w:rPr>
          <w:rFonts w:ascii="Times New Roman" w:hAnsi="Times New Roman" w:cs="Times New Roman"/>
          <w:noProof/>
          <w:color w:val="auto"/>
          <w:lang w:val="es-ES"/>
        </w:rPr>
        <w:t>(Sultana, Sharma, Hossain, Bhattacharya, &amp; Puroit, 2020; Xu, 2019)</w:t>
      </w:r>
      <w:r w:rsidRPr="00275295">
        <w:rPr>
          <w:rFonts w:ascii="Times New Roman" w:hAnsi="Times New Roman" w:cs="Times New Roman"/>
          <w:color w:val="auto"/>
          <w:lang w:val="es-ES"/>
        </w:rPr>
        <w:fldChar w:fldCharType="end"/>
      </w:r>
      <w:r w:rsidRPr="00275295">
        <w:rPr>
          <w:rFonts w:ascii="Times New Roman" w:hAnsi="Times New Roman" w:cs="Times New Roman"/>
          <w:color w:val="auto"/>
          <w:lang w:val="es-ES"/>
        </w:rPr>
        <w:t>.</w:t>
      </w:r>
    </w:p>
    <w:p w:rsidR="00F37C94" w:rsidRPr="00275295" w:rsidRDefault="00F37C94" w:rsidP="00F37C94">
      <w:pPr>
        <w:pStyle w:val="spslineablanca"/>
        <w:rPr>
          <w:rFonts w:ascii="Times New Roman" w:hAnsi="Times New Roman" w:cs="Times New Roman"/>
          <w:color w:val="auto"/>
          <w:lang w:val="es-ES"/>
        </w:rPr>
      </w:pPr>
      <w:r w:rsidRPr="00275295">
        <w:rPr>
          <w:rFonts w:ascii="Times New Roman" w:hAnsi="Times New Roman" w:cs="Times New Roman"/>
          <w:color w:val="auto"/>
          <w:lang w:val="es-ES"/>
        </w:rPr>
        <w:t xml:space="preserve">En particular en los equipos de trabajo remoto destaca el factor predictivo que tiene la ambigüedad de rol sobre todas las dimensiones del síndrome de quemarse por el trabajo, mientras más alta era la ambigüedad más afectaba de forma negativa a la persona. Esto se repite en un estudio realizado en India que asocian como un factor predictivo a la ambigüedad de rol sobre la calidad de vida laboral percibida en personas que están trabajando desde casa </w:t>
      </w:r>
      <w:r w:rsidRPr="00275295">
        <w:rPr>
          <w:rFonts w:ascii="Times New Roman" w:hAnsi="Times New Roman" w:cs="Times New Roman"/>
          <w:color w:val="auto"/>
          <w:lang w:val="es-ES"/>
        </w:rPr>
        <w:fldChar w:fldCharType="begin" w:fldLock="1"/>
      </w:r>
      <w:r>
        <w:rPr>
          <w:rFonts w:ascii="Times New Roman" w:hAnsi="Times New Roman" w:cs="Times New Roman"/>
          <w:color w:val="auto"/>
          <w:lang w:val="es-ES"/>
        </w:rPr>
        <w:instrText>ADDIN CSL_CITATION {"citationItems":[{"id":"ITEM-1","itemData":{"abstract":"Purpose of the study: Several organizations across the industry opted for remote working after the Government of India announced lockdown on 24 th March 2020 to mitigate the spread of infection. There is a visible occupational stress among the employees across all the sectors, a result Covid-19 and its associated parameters. This empirical study was carried out to report the effect of Covid-19 parameters and occupational stress factors on employee performance in agricultural research sector. The independent Covid-19 parameters with five subscales-workplace isolation, lack of peer advise, lack of communication, family distractions and role overload; occupational stress causing factors-workload, role ambiguity, role conflict, social support, career, job-control and dependent factor performance with six subscales-task competence, employee motivation, commitment, non-job assignments, integrity, and co-workers were measured to study the cause and effect. All the independent factors were measured using five-point Likert type scale whereas the dependent factor performance was measured applying a scale based on Taxonomy of Higher-Order Performance Dimensions Model developed by Campbell. A research instrument, survey questionnaire was used, where all the statements were systematically mixed to avoid bias. The authors applied descriptive statistics, correlations studies, reliable statistics and multiple regression analysis to draw inferences from the study. The Covid-19 parameters workplace isolation, lack of communication, family distractions, role overload and occupational stress factors role ambiguity, role conflict, career, Job-control are statistically significant and are good predictors of the performance. There are no significant gender differences were observed, however the post-hoc comparisons reveal significant age group difference with the group 20-30 years employees experiencing more stress. The authors suggested that the Sustainable Humanosphere ISSN: 1880-6503, | May 2020 Volume: 16 Issue: 2 236 organizations should develop strategies on remote working onlong-term basis to mitigate the employee stress and enhance performance.","author":[{"dropping-particle":"","family":"Prasad","given":"KDV","non-dropping-particle":"","parse-names":false,"suffix":""},{"dropping-particle":"","family":"Vaidya","given":"Rajesh W","non-dropping-particle":"","parse-names":false,"suffix":""}],"container-title":"Sustainable Humanosphere","id":"ITEM-1","issue":"2","issued":{"date-parts":[["2020","5","12"]]},"page":"235-253","title":"Association among Covid-19 parameters, occupational stress and employee performance: An empirical study with reference to Agricultural Research Sector in Hyderabad Metro","type":"article-journal","volume":"16"},"uris":["http://www.mendeley.com/documents/?uuid=9c27304b-58b9-371b-93a4-6154c9a12175"]}],"mendeley":{"formattedCitation":"(Prasad &amp; Vaidya, 2020)","plainTextFormattedCitation":"(Prasad &amp; Vaidya, 2020)","previouslyFormattedCitation":"(Prasad y Vaidya 2020)"},"properties":{"noteIndex":0},"schema":"https://github.com/citation-style-language/schema/raw/master/csl-citation.json"}</w:instrText>
      </w:r>
      <w:r w:rsidRPr="00275295">
        <w:rPr>
          <w:rFonts w:ascii="Times New Roman" w:hAnsi="Times New Roman" w:cs="Times New Roman"/>
          <w:color w:val="auto"/>
          <w:lang w:val="es-ES"/>
        </w:rPr>
        <w:fldChar w:fldCharType="separate"/>
      </w:r>
      <w:r w:rsidRPr="006869BC">
        <w:rPr>
          <w:rFonts w:ascii="Times New Roman" w:hAnsi="Times New Roman" w:cs="Times New Roman"/>
          <w:noProof/>
          <w:color w:val="auto"/>
          <w:lang w:val="es-ES"/>
        </w:rPr>
        <w:t>(Prasad &amp; Vaidya, 2020)</w:t>
      </w:r>
      <w:r w:rsidRPr="00275295">
        <w:rPr>
          <w:rFonts w:ascii="Times New Roman" w:hAnsi="Times New Roman" w:cs="Times New Roman"/>
          <w:color w:val="auto"/>
          <w:lang w:val="es-ES"/>
        </w:rPr>
        <w:fldChar w:fldCharType="end"/>
      </w:r>
      <w:r w:rsidRPr="00275295">
        <w:rPr>
          <w:rFonts w:ascii="Times New Roman" w:hAnsi="Times New Roman" w:cs="Times New Roman"/>
          <w:color w:val="auto"/>
          <w:lang w:val="es-ES"/>
        </w:rPr>
        <w:t xml:space="preserve">. </w:t>
      </w:r>
    </w:p>
    <w:p w:rsidR="00F37C94" w:rsidRPr="00275295" w:rsidRDefault="00F37C94" w:rsidP="00F37C94">
      <w:pPr>
        <w:pStyle w:val="spslineablanca"/>
        <w:rPr>
          <w:rFonts w:ascii="Times New Roman" w:hAnsi="Times New Roman" w:cs="Times New Roman"/>
          <w:color w:val="auto"/>
          <w:lang w:val="es-ES"/>
        </w:rPr>
      </w:pPr>
      <w:r w:rsidRPr="00275295">
        <w:rPr>
          <w:rFonts w:ascii="Times New Roman" w:hAnsi="Times New Roman" w:cs="Times New Roman"/>
          <w:color w:val="auto"/>
          <w:lang w:val="es-ES"/>
        </w:rPr>
        <w:t>Entre las limitaciones que tiene la presente investigación hacen referencia a la representatividad del estudio por haber realizado un muestreo no probabilístico y en un tipo de empresas que no representan en particular a algún tipo de industria ni de servicio. A su vez, la evaluación que se realiza en modo remoto tiene particularidades que puede sesgar ciertas respuestas de las personas ya que algunas se les produce mayor desconfianza ante una evaluación en papel.</w:t>
      </w:r>
    </w:p>
    <w:p w:rsidR="00F37C94" w:rsidRDefault="00F37C94" w:rsidP="00F37C94">
      <w:pPr>
        <w:pStyle w:val="spstitsecc1"/>
        <w:rPr>
          <w:rFonts w:ascii="Times New Roman" w:hAnsi="Times New Roman" w:cs="Times New Roman"/>
          <w:sz w:val="24"/>
        </w:rPr>
      </w:pPr>
    </w:p>
    <w:p w:rsidR="00F37C94" w:rsidRDefault="00F37C94" w:rsidP="00F37C94">
      <w:pPr>
        <w:pStyle w:val="spstitsecc1"/>
        <w:rPr>
          <w:rFonts w:ascii="Times New Roman" w:hAnsi="Times New Roman" w:cs="Times New Roman"/>
          <w:sz w:val="24"/>
        </w:rPr>
      </w:pPr>
    </w:p>
    <w:p w:rsidR="00F37C94" w:rsidRPr="00275295" w:rsidRDefault="00F37C94" w:rsidP="00F37C94">
      <w:pPr>
        <w:pStyle w:val="spstitsecc1"/>
        <w:rPr>
          <w:rFonts w:ascii="Times New Roman" w:hAnsi="Times New Roman" w:cs="Times New Roman"/>
          <w:sz w:val="24"/>
        </w:rPr>
      </w:pPr>
      <w:r w:rsidRPr="00275295">
        <w:rPr>
          <w:rFonts w:ascii="Times New Roman" w:hAnsi="Times New Roman" w:cs="Times New Roman"/>
          <w:sz w:val="24"/>
        </w:rPr>
        <w:t>Conclusiones</w:t>
      </w:r>
    </w:p>
    <w:p w:rsidR="00F37C94" w:rsidRPr="00275295" w:rsidRDefault="00F37C94" w:rsidP="00F37C94">
      <w:pPr>
        <w:pStyle w:val="spslineablanca"/>
        <w:rPr>
          <w:rFonts w:ascii="Times New Roman" w:hAnsi="Times New Roman" w:cs="Times New Roman"/>
          <w:color w:val="auto"/>
          <w:lang w:val="es-ES"/>
        </w:rPr>
      </w:pPr>
      <w:r>
        <w:rPr>
          <w:rFonts w:ascii="Times New Roman" w:hAnsi="Times New Roman" w:cs="Times New Roman"/>
          <w:color w:val="auto"/>
          <w:lang w:val="es-ES"/>
        </w:rPr>
        <w:t xml:space="preserve">La explicación que dan los factores psicosociales en el síndrome de quemarse por el trabajo es diferente en el grupo de trabajadores presenciales y el de trabajadores remotos. </w:t>
      </w:r>
      <w:r w:rsidRPr="00275295">
        <w:rPr>
          <w:rFonts w:ascii="Times New Roman" w:hAnsi="Times New Roman" w:cs="Times New Roman"/>
          <w:color w:val="auto"/>
          <w:lang w:val="es-ES"/>
        </w:rPr>
        <w:t>Esta información entrega evidencia para seguir investigando en este tema para poder apoyar en la mejora de la salud mental de los trabajadores.</w:t>
      </w:r>
    </w:p>
    <w:p w:rsidR="00F37C94" w:rsidRDefault="00F37C94" w:rsidP="00F37C94">
      <w:pPr>
        <w:pStyle w:val="spslineablanca"/>
        <w:rPr>
          <w:rFonts w:ascii="Times New Roman" w:hAnsi="Times New Roman" w:cs="Times New Roman"/>
        </w:rPr>
      </w:pPr>
    </w:p>
    <w:p w:rsidR="00F37C94" w:rsidRDefault="00F37C94" w:rsidP="00F37C94">
      <w:pPr>
        <w:pStyle w:val="spsreferentitulo"/>
        <w:rPr>
          <w:rFonts w:ascii="Times New Roman" w:hAnsi="Times New Roman" w:cs="Times New Roman"/>
        </w:rPr>
      </w:pPr>
    </w:p>
    <w:p w:rsidR="00F37C94" w:rsidRDefault="00F37C94" w:rsidP="00F37C94">
      <w:pPr>
        <w:spacing w:after="0"/>
        <w:rPr>
          <w:rFonts w:ascii="Times New Roman" w:hAnsi="Times New Roman" w:cs="Times New Roman"/>
          <w:b/>
        </w:rPr>
      </w:pPr>
      <w:r>
        <w:rPr>
          <w:rFonts w:ascii="Times New Roman" w:hAnsi="Times New Roman" w:cs="Times New Roman"/>
        </w:rPr>
        <w:br w:type="page"/>
      </w:r>
    </w:p>
    <w:p w:rsidR="00F37C94" w:rsidRPr="00275295" w:rsidRDefault="00F37C94" w:rsidP="00F37C94">
      <w:pPr>
        <w:pStyle w:val="spsreferentitulo"/>
        <w:jc w:val="center"/>
        <w:rPr>
          <w:rFonts w:ascii="Times New Roman" w:hAnsi="Times New Roman" w:cs="Times New Roman"/>
        </w:rPr>
      </w:pPr>
      <w:r>
        <w:rPr>
          <w:rFonts w:ascii="Times New Roman" w:hAnsi="Times New Roman" w:cs="Times New Roman"/>
        </w:rPr>
        <w:lastRenderedPageBreak/>
        <w:t>Referencias</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275295">
        <w:rPr>
          <w:rFonts w:ascii="Times New Roman" w:hAnsi="Times New Roman" w:cs="Times New Roman"/>
        </w:rPr>
        <w:fldChar w:fldCharType="begin" w:fldLock="1"/>
      </w:r>
      <w:r w:rsidRPr="00275295">
        <w:rPr>
          <w:rFonts w:ascii="Times New Roman" w:hAnsi="Times New Roman" w:cs="Times New Roman"/>
        </w:rPr>
        <w:instrText xml:space="preserve">ADDIN Mendeley Bibliography CSL_BIBLIOGRAPHY </w:instrText>
      </w:r>
      <w:bookmarkStart w:id="0" w:name="_GoBack"/>
      <w:bookmarkEnd w:id="0"/>
      <w:r w:rsidRPr="00275295">
        <w:rPr>
          <w:rFonts w:ascii="Times New Roman" w:hAnsi="Times New Roman" w:cs="Times New Roman"/>
        </w:rPr>
        <w:fldChar w:fldCharType="separate"/>
      </w:r>
      <w:r w:rsidRPr="006869BC">
        <w:rPr>
          <w:rFonts w:ascii="Times New Roman" w:hAnsi="Times New Roman" w:cs="Times New Roman"/>
          <w:noProof/>
        </w:rPr>
        <w:t xml:space="preserve">Bricio, S., &amp; Pacheco, G. (2019). </w:t>
      </w:r>
      <w:r w:rsidRPr="006869BC">
        <w:rPr>
          <w:rFonts w:ascii="Times New Roman" w:hAnsi="Times New Roman" w:cs="Times New Roman"/>
          <w:i/>
          <w:iCs/>
          <w:noProof/>
        </w:rPr>
        <w:t>Sindrome de burnout y su relación con el desempeño de las funciones de enfermeria en el Hospital General Martín Icaza de la ciudad de Babahoyo en los meses de octubre 2019 a febrero 2020</w:t>
      </w:r>
      <w:r w:rsidRPr="006869BC">
        <w:rPr>
          <w:rFonts w:ascii="Times New Roman" w:hAnsi="Times New Roman" w:cs="Times New Roman"/>
          <w:noProof/>
        </w:rPr>
        <w:t>. Universidad Técnica de Babahoyo.</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Chile, R. De. (2017). Ministerio De Salud Aprueba Actualización De Protocolo De Vigilancia De Riesgo Psicosocial En El Trabajo. </w:t>
      </w:r>
      <w:r w:rsidRPr="006869BC">
        <w:rPr>
          <w:rFonts w:ascii="Times New Roman" w:hAnsi="Times New Roman" w:cs="Times New Roman"/>
          <w:i/>
          <w:iCs/>
          <w:noProof/>
        </w:rPr>
        <w:t>Diario Oficial de la República de Chile</w:t>
      </w:r>
      <w:r w:rsidRPr="006869BC">
        <w:rPr>
          <w:rFonts w:ascii="Times New Roman" w:hAnsi="Times New Roman" w:cs="Times New Roman"/>
          <w:noProof/>
        </w:rPr>
        <w:t>, 1-17. Recuperado 20 de junio de 2020 a partir de https://www.leychile.cl/Navegar?idNorma=1111248</w:t>
      </w:r>
    </w:p>
    <w:p w:rsidR="00F37C94" w:rsidRPr="00D23596" w:rsidRDefault="00F37C94" w:rsidP="00F37C94">
      <w:pPr>
        <w:widowControl w:val="0"/>
        <w:autoSpaceDE w:val="0"/>
        <w:autoSpaceDN w:val="0"/>
        <w:adjustRightInd w:val="0"/>
        <w:ind w:left="480" w:hanging="480"/>
        <w:rPr>
          <w:rFonts w:ascii="Times New Roman" w:hAnsi="Times New Roman" w:cs="Times New Roman"/>
          <w:noProof/>
          <w:lang w:val="en-US"/>
        </w:rPr>
      </w:pPr>
      <w:r w:rsidRPr="00D23596">
        <w:rPr>
          <w:rFonts w:ascii="Times New Roman" w:hAnsi="Times New Roman" w:cs="Times New Roman"/>
          <w:noProof/>
          <w:lang w:val="en-US"/>
        </w:rPr>
        <w:t xml:space="preserve">Dechen, T., Wangyal, S., Tanimoto, S., Sato, H., &amp; Kanai, A. (2020). A Preliminary Study of Risk Assessment of Mobile Workers for Improvement of Work-Life Balance. </w:t>
      </w:r>
      <w:r w:rsidRPr="00D23596">
        <w:rPr>
          <w:rFonts w:ascii="Times New Roman" w:hAnsi="Times New Roman" w:cs="Times New Roman"/>
          <w:i/>
          <w:iCs/>
          <w:noProof/>
          <w:lang w:val="en-US"/>
        </w:rPr>
        <w:t>Bulletin of Networking, Computing, Systems, and Software</w:t>
      </w:r>
      <w:r w:rsidRPr="00D23596">
        <w:rPr>
          <w:rFonts w:ascii="Times New Roman" w:hAnsi="Times New Roman" w:cs="Times New Roman"/>
          <w:noProof/>
          <w:lang w:val="en-US"/>
        </w:rPr>
        <w:t>, 9(1). Recuperado 30 de junio de 2020 a partir de http://www.bncss.org/index.php/bncss/article/view/133</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D23596">
        <w:rPr>
          <w:rFonts w:ascii="Times New Roman" w:hAnsi="Times New Roman" w:cs="Times New Roman"/>
          <w:noProof/>
          <w:lang w:val="en-US"/>
        </w:rPr>
        <w:t xml:space="preserve">Engelbrecht, G. J., Beer, L. T., &amp; Schaufeli, W. B. (2020). The relationships between work intensity, workaholism, burnout, and self‐reported musculoskeletal complaints. </w:t>
      </w:r>
      <w:r w:rsidRPr="006869BC">
        <w:rPr>
          <w:rFonts w:ascii="Times New Roman" w:hAnsi="Times New Roman" w:cs="Times New Roman"/>
          <w:i/>
          <w:iCs/>
          <w:noProof/>
        </w:rPr>
        <w:t>Human Factors and Ergonomics in Manufacturing &amp; Service Industries</w:t>
      </w:r>
      <w:r w:rsidRPr="006869BC">
        <w:rPr>
          <w:rFonts w:ascii="Times New Roman" w:hAnsi="Times New Roman" w:cs="Times New Roman"/>
          <w:noProof/>
        </w:rPr>
        <w:t>, 30(1), 59-70. Recuperado 30 de junio de 2020 a partir de https://doi.org/10.1002/hfm.20821</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Figueiredo-Ferraz, H., Grau-Alberola, E., Gil-Monte, P., &amp; Garcia-Juesas, J. (2012). Burnout and job satisfaction among nursing professionals. </w:t>
      </w:r>
      <w:r w:rsidRPr="006869BC">
        <w:rPr>
          <w:rFonts w:ascii="Times New Roman" w:hAnsi="Times New Roman" w:cs="Times New Roman"/>
          <w:i/>
          <w:iCs/>
          <w:noProof/>
        </w:rPr>
        <w:t>Psicothema</w:t>
      </w:r>
      <w:r w:rsidRPr="006869BC">
        <w:rPr>
          <w:rFonts w:ascii="Times New Roman" w:hAnsi="Times New Roman" w:cs="Times New Roman"/>
          <w:noProof/>
        </w:rPr>
        <w:t>, 24(2), 271-276. Recuperado 30 de junio de 2020 a partir de https://www.researchgate.net/publication/221897302_Burnout_and_job_satisfaction_among_nursing_professionals</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Gil-Monte, P. (2011). </w:t>
      </w:r>
      <w:r w:rsidRPr="006869BC">
        <w:rPr>
          <w:rFonts w:ascii="Times New Roman" w:hAnsi="Times New Roman" w:cs="Times New Roman"/>
          <w:i/>
          <w:iCs/>
          <w:noProof/>
        </w:rPr>
        <w:t>Cuestionario para la Evaluación del Síndrome de Quemarse por el Trabajo</w:t>
      </w:r>
      <w:r w:rsidRPr="006869BC">
        <w:rPr>
          <w:rFonts w:ascii="Times New Roman" w:hAnsi="Times New Roman" w:cs="Times New Roman"/>
          <w:noProof/>
        </w:rPr>
        <w:t>.</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Gil-Monte, P. (2014). </w:t>
      </w:r>
      <w:r w:rsidRPr="006869BC">
        <w:rPr>
          <w:rFonts w:ascii="Times New Roman" w:hAnsi="Times New Roman" w:cs="Times New Roman"/>
          <w:i/>
          <w:iCs/>
          <w:noProof/>
        </w:rPr>
        <w:t>Manual de psicosociología aplicada al trabajo y a la prevención de los riesgos laborales</w:t>
      </w:r>
      <w:r w:rsidRPr="006869BC">
        <w:rPr>
          <w:rFonts w:ascii="Times New Roman" w:hAnsi="Times New Roman" w:cs="Times New Roman"/>
          <w:noProof/>
        </w:rPr>
        <w:t xml:space="preserve"> (Piramide, Vol. 1). Madrid. Recuperado a partir de https://doi.org/10.13140/2.1.2183.9040</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Gil-Monte, P. (2016a). </w:t>
      </w:r>
      <w:r w:rsidRPr="00D23596">
        <w:rPr>
          <w:rFonts w:ascii="Times New Roman" w:hAnsi="Times New Roman" w:cs="Times New Roman"/>
          <w:noProof/>
          <w:lang w:val="en-US"/>
        </w:rPr>
        <w:t xml:space="preserve">The UNIPSICO questionnaire: psychometric properties of the scales measuring psychosocial demands. </w:t>
      </w:r>
      <w:r w:rsidRPr="006869BC">
        <w:rPr>
          <w:rFonts w:ascii="Times New Roman" w:hAnsi="Times New Roman" w:cs="Times New Roman"/>
          <w:i/>
          <w:iCs/>
          <w:noProof/>
        </w:rPr>
        <w:t>Archivos de Prevención de Riesgos Laborales</w:t>
      </w:r>
      <w:r w:rsidRPr="006869BC">
        <w:rPr>
          <w:rFonts w:ascii="Times New Roman" w:hAnsi="Times New Roman" w:cs="Times New Roman"/>
          <w:noProof/>
        </w:rPr>
        <w:t>, 19(2), 86-94. Recuperado 28 de junio de 2020 a partir de https://doi.org/10.12961/aprl.2016.19.02.2</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D23596">
        <w:rPr>
          <w:rFonts w:ascii="Times New Roman" w:hAnsi="Times New Roman" w:cs="Times New Roman"/>
          <w:noProof/>
          <w:lang w:val="en-US"/>
        </w:rPr>
        <w:t xml:space="preserve">Gil-Monte, P. (2016b). The UNIPSICO questionnaire: psychometric properties of the scales measuring psychosocial resource factors. </w:t>
      </w:r>
      <w:r w:rsidRPr="006869BC">
        <w:rPr>
          <w:rFonts w:ascii="Times New Roman" w:hAnsi="Times New Roman" w:cs="Times New Roman"/>
          <w:i/>
          <w:iCs/>
          <w:noProof/>
        </w:rPr>
        <w:t>Archivos de prevencion de riesgos laborales</w:t>
      </w:r>
      <w:r w:rsidRPr="006869BC">
        <w:rPr>
          <w:rFonts w:ascii="Times New Roman" w:hAnsi="Times New Roman" w:cs="Times New Roman"/>
          <w:noProof/>
        </w:rPr>
        <w:t>, 19(2), 95-102. Recuperado 28 de junio de 2020 a partir de https://doi.org/10.12961/aprl.2016.19.2.03</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Gil-Monte, P., López-Vílchez, J., Llorca-Rubio, J. L., &amp; Sánchez Piernas, J. (2016). Prevalencia de riesgos psicosociales en personal de la administración de justicia de la comunidad valenciana (España). </w:t>
      </w:r>
      <w:r w:rsidRPr="006869BC">
        <w:rPr>
          <w:rFonts w:ascii="Times New Roman" w:hAnsi="Times New Roman" w:cs="Times New Roman"/>
          <w:i/>
          <w:iCs/>
          <w:noProof/>
        </w:rPr>
        <w:t>Liberabit: Revista Peruana de Psicología</w:t>
      </w:r>
      <w:r w:rsidRPr="006869BC">
        <w:rPr>
          <w:rFonts w:ascii="Times New Roman" w:hAnsi="Times New Roman" w:cs="Times New Roman"/>
          <w:noProof/>
        </w:rPr>
        <w:t>, 22(1), 7-19. Recuperado a partir de https://doi.org/10.24265/liberabit.2016.v22n1.01</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Gil-Monte, P. R., &amp; Carretero, N. (2005). Prevalencia del síndrome de quemarse por el trabajo, 21, 107-123. Recuperado 30 de junio de 2020 a partir de </w:t>
      </w:r>
      <w:r w:rsidRPr="006869BC">
        <w:rPr>
          <w:rFonts w:ascii="Times New Roman" w:hAnsi="Times New Roman" w:cs="Times New Roman"/>
          <w:noProof/>
        </w:rPr>
        <w:lastRenderedPageBreak/>
        <w:t>https://www.edicionespiramide.es/libro.php?id=952440</w:t>
      </w:r>
    </w:p>
    <w:p w:rsidR="00F37C94" w:rsidRPr="00D23596" w:rsidRDefault="00F37C94" w:rsidP="00F37C94">
      <w:pPr>
        <w:widowControl w:val="0"/>
        <w:autoSpaceDE w:val="0"/>
        <w:autoSpaceDN w:val="0"/>
        <w:adjustRightInd w:val="0"/>
        <w:ind w:left="480" w:hanging="480"/>
        <w:rPr>
          <w:rFonts w:ascii="Times New Roman" w:hAnsi="Times New Roman" w:cs="Times New Roman"/>
          <w:noProof/>
          <w:lang w:val="en-US"/>
        </w:rPr>
      </w:pPr>
      <w:r w:rsidRPr="00D23596">
        <w:rPr>
          <w:rFonts w:ascii="Times New Roman" w:hAnsi="Times New Roman" w:cs="Times New Roman"/>
          <w:noProof/>
          <w:lang w:val="en-US"/>
        </w:rPr>
        <w:t xml:space="preserve">Huang, J., Wang, Y., Wu, G., &amp; You, X. (2016). Crossover of burnout from leaders to followers: a longitudinal study. </w:t>
      </w:r>
      <w:r w:rsidRPr="00D23596">
        <w:rPr>
          <w:rFonts w:ascii="Times New Roman" w:hAnsi="Times New Roman" w:cs="Times New Roman"/>
          <w:i/>
          <w:iCs/>
          <w:noProof/>
          <w:lang w:val="en-US"/>
        </w:rPr>
        <w:t>European Journal of Work and Organizational Psychology</w:t>
      </w:r>
      <w:r w:rsidRPr="00D23596">
        <w:rPr>
          <w:rFonts w:ascii="Times New Roman" w:hAnsi="Times New Roman" w:cs="Times New Roman"/>
          <w:noProof/>
          <w:lang w:val="en-US"/>
        </w:rPr>
        <w:t>, 25(6), 849-861. Recuperado 4 de julio de 2020 a partir de https://doi.org/10.1080/1359432X.2016.1167682</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D23596">
        <w:rPr>
          <w:rFonts w:ascii="Times New Roman" w:hAnsi="Times New Roman" w:cs="Times New Roman"/>
          <w:noProof/>
          <w:lang w:val="en-US"/>
        </w:rPr>
        <w:t xml:space="preserve">Junior, F. A. C., Faiad, C., Rego, M. C. B., &amp; Ramos, W. M. (2020). What Brazilian workers think about flexible work and telework? </w:t>
      </w:r>
      <w:r w:rsidRPr="00D23596">
        <w:rPr>
          <w:rFonts w:ascii="Times New Roman" w:hAnsi="Times New Roman" w:cs="Times New Roman"/>
          <w:i/>
          <w:iCs/>
          <w:noProof/>
          <w:lang w:val="en-US"/>
        </w:rPr>
        <w:t>International Journal of Business Excellence</w:t>
      </w:r>
      <w:r w:rsidRPr="00D23596">
        <w:rPr>
          <w:rFonts w:ascii="Times New Roman" w:hAnsi="Times New Roman" w:cs="Times New Roman"/>
          <w:noProof/>
          <w:lang w:val="en-US"/>
        </w:rPr>
        <w:t xml:space="preserve">, 20(1), 16-31. </w:t>
      </w:r>
      <w:r w:rsidRPr="006869BC">
        <w:rPr>
          <w:rFonts w:ascii="Times New Roman" w:hAnsi="Times New Roman" w:cs="Times New Roman"/>
          <w:noProof/>
        </w:rPr>
        <w:t>Recuperado 30 de junio de 2020 a partir de https://ideas.repec.org/a/ids/ijbexc/v20y2020i1p16-31.html</w:t>
      </w:r>
    </w:p>
    <w:p w:rsidR="00F37C94" w:rsidRPr="00D23596" w:rsidRDefault="00F37C94" w:rsidP="00F37C94">
      <w:pPr>
        <w:widowControl w:val="0"/>
        <w:autoSpaceDE w:val="0"/>
        <w:autoSpaceDN w:val="0"/>
        <w:adjustRightInd w:val="0"/>
        <w:ind w:left="480" w:hanging="480"/>
        <w:rPr>
          <w:rFonts w:ascii="Times New Roman" w:hAnsi="Times New Roman" w:cs="Times New Roman"/>
          <w:noProof/>
          <w:lang w:val="en-US"/>
        </w:rPr>
      </w:pPr>
      <w:r w:rsidRPr="00D23596">
        <w:rPr>
          <w:rFonts w:ascii="Times New Roman" w:hAnsi="Times New Roman" w:cs="Times New Roman"/>
          <w:noProof/>
          <w:lang w:val="en-US"/>
        </w:rPr>
        <w:t xml:space="preserve">Kossek, E. E., Hammer, L. B., Thompson, R. J., &amp; Burke, L. B. (2014). </w:t>
      </w:r>
      <w:r w:rsidRPr="00D23596">
        <w:rPr>
          <w:rFonts w:ascii="Times New Roman" w:hAnsi="Times New Roman" w:cs="Times New Roman"/>
          <w:i/>
          <w:iCs/>
          <w:noProof/>
          <w:lang w:val="en-US"/>
        </w:rPr>
        <w:t>Leveraging Workplace Flexibility for Engagement and Productivity</w:t>
      </w:r>
      <w:r w:rsidRPr="00D23596">
        <w:rPr>
          <w:rFonts w:ascii="Times New Roman" w:hAnsi="Times New Roman" w:cs="Times New Roman"/>
          <w:noProof/>
          <w:lang w:val="en-US"/>
        </w:rPr>
        <w:t xml:space="preserve">. </w:t>
      </w:r>
      <w:r w:rsidRPr="00D23596">
        <w:rPr>
          <w:rFonts w:ascii="Times New Roman" w:hAnsi="Times New Roman" w:cs="Times New Roman"/>
          <w:i/>
          <w:iCs/>
          <w:noProof/>
          <w:lang w:val="en-US"/>
        </w:rPr>
        <w:t>SHRM foundation</w:t>
      </w:r>
      <w:r w:rsidRPr="00D23596">
        <w:rPr>
          <w:rFonts w:ascii="Times New Roman" w:hAnsi="Times New Roman" w:cs="Times New Roman"/>
          <w:noProof/>
          <w:lang w:val="en-US"/>
        </w:rPr>
        <w:t>. Recuperado 30 de junio de 2020 a partir de www.shrmfoundation.org</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D23596">
        <w:rPr>
          <w:rFonts w:ascii="Times New Roman" w:hAnsi="Times New Roman" w:cs="Times New Roman"/>
          <w:noProof/>
          <w:lang w:val="en-US"/>
        </w:rPr>
        <w:t xml:space="preserve">Kwon, M., &amp; Jeon, S. H. (2020). Do Leadership Commitment and Performance-Oriented Culture Matter for Federal Teleworker Satisfaction With Telework Programs? </w:t>
      </w:r>
      <w:r w:rsidRPr="006869BC">
        <w:rPr>
          <w:rFonts w:ascii="Times New Roman" w:hAnsi="Times New Roman" w:cs="Times New Roman"/>
          <w:i/>
          <w:iCs/>
          <w:noProof/>
        </w:rPr>
        <w:t>Review of Public Personnel Administration</w:t>
      </w:r>
      <w:r w:rsidRPr="006869BC">
        <w:rPr>
          <w:rFonts w:ascii="Times New Roman" w:hAnsi="Times New Roman" w:cs="Times New Roman"/>
          <w:noProof/>
        </w:rPr>
        <w:t>, 40(1), 36-55. Recuperado 4 de julio de 2020 a partir de https://doi.org/10.1177/0734371X18776049</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Lima, C. K. T., Carvalho, P. M. de M., Lima, I. de A. A. S., Nunes, J. V. A. de O., Saraiva, J. S., de Souza, R. I., … </w:t>
      </w:r>
      <w:r w:rsidRPr="00D23596">
        <w:rPr>
          <w:rFonts w:ascii="Times New Roman" w:hAnsi="Times New Roman" w:cs="Times New Roman"/>
          <w:noProof/>
          <w:lang w:val="en-US"/>
        </w:rPr>
        <w:t xml:space="preserve">Neto, M. L. R. (2020). The emotional impact of Coronavirus 2019-nCoV (new Coronavirus disease). </w:t>
      </w:r>
      <w:r w:rsidRPr="006869BC">
        <w:rPr>
          <w:rFonts w:ascii="Times New Roman" w:hAnsi="Times New Roman" w:cs="Times New Roman"/>
          <w:i/>
          <w:iCs/>
          <w:noProof/>
        </w:rPr>
        <w:t>Psychiatry Research</w:t>
      </w:r>
      <w:r w:rsidRPr="006869BC">
        <w:rPr>
          <w:rFonts w:ascii="Times New Roman" w:hAnsi="Times New Roman" w:cs="Times New Roman"/>
          <w:noProof/>
        </w:rPr>
        <w:t>, 287. Recuperado 30 de junio de 2020 a partir de https://doi.org/10.1016/j.psychres.2020.112915</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Lozano-Vargas, A. (2020). Impacto de la epidemia del Coronavirus (COVID-19) en la salud mental del personal de salud y en la población general de China. </w:t>
      </w:r>
      <w:r w:rsidRPr="006869BC">
        <w:rPr>
          <w:rFonts w:ascii="Times New Roman" w:hAnsi="Times New Roman" w:cs="Times New Roman"/>
          <w:i/>
          <w:iCs/>
          <w:noProof/>
        </w:rPr>
        <w:t>Revista de Neuro-Psiquiatria</w:t>
      </w:r>
      <w:r w:rsidRPr="006869BC">
        <w:rPr>
          <w:rFonts w:ascii="Times New Roman" w:hAnsi="Times New Roman" w:cs="Times New Roman"/>
          <w:noProof/>
        </w:rPr>
        <w:t>, 83(1), 51-56. Recuperado 11 de julio de 2020 a partir de https://doi.org/10.20453/rnp.v83i1.3687</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D23596">
        <w:rPr>
          <w:rFonts w:ascii="Times New Roman" w:hAnsi="Times New Roman" w:cs="Times New Roman"/>
          <w:noProof/>
          <w:lang w:val="en-US"/>
        </w:rPr>
        <w:t xml:space="preserve">Luk, G. (2015). </w:t>
      </w:r>
      <w:r w:rsidRPr="00D23596">
        <w:rPr>
          <w:rFonts w:ascii="Times New Roman" w:hAnsi="Times New Roman" w:cs="Times New Roman"/>
          <w:i/>
          <w:iCs/>
          <w:noProof/>
          <w:lang w:val="en-US"/>
        </w:rPr>
        <w:t>Global Mobile Workforce Forecast Update 2016-2022.</w:t>
      </w:r>
      <w:r w:rsidRPr="00D23596">
        <w:rPr>
          <w:rFonts w:ascii="Times New Roman" w:hAnsi="Times New Roman" w:cs="Times New Roman"/>
          <w:noProof/>
          <w:lang w:val="en-US"/>
        </w:rPr>
        <w:t xml:space="preserve"> </w:t>
      </w:r>
      <w:r w:rsidRPr="006869BC">
        <w:rPr>
          <w:rFonts w:ascii="Times New Roman" w:hAnsi="Times New Roman" w:cs="Times New Roman"/>
          <w:noProof/>
        </w:rPr>
        <w:t>(Strategy A). Boston, MA.</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Marsollier, R. G. (2019). Análisis del modelo burnout-engagement en empleados públicos. </w:t>
      </w:r>
      <w:r w:rsidRPr="006869BC">
        <w:rPr>
          <w:rFonts w:ascii="Times New Roman" w:hAnsi="Times New Roman" w:cs="Times New Roman"/>
          <w:i/>
          <w:iCs/>
          <w:noProof/>
        </w:rPr>
        <w:t>PSICOGENTE</w:t>
      </w:r>
      <w:r w:rsidRPr="006869BC">
        <w:rPr>
          <w:rFonts w:ascii="Times New Roman" w:hAnsi="Times New Roman" w:cs="Times New Roman"/>
          <w:noProof/>
        </w:rPr>
        <w:t>, 22(41), 1-18. Recuperado a partir de https://doi.org/10.17081/psico.22.41.3311</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Maslach, C., &amp; Jackson, S. E. (1981). </w:t>
      </w:r>
      <w:r w:rsidRPr="00D23596">
        <w:rPr>
          <w:rFonts w:ascii="Times New Roman" w:hAnsi="Times New Roman" w:cs="Times New Roman"/>
          <w:noProof/>
          <w:lang w:val="en-US"/>
        </w:rPr>
        <w:t xml:space="preserve">The measurement of experienced burnout. </w:t>
      </w:r>
      <w:r w:rsidRPr="006869BC">
        <w:rPr>
          <w:rFonts w:ascii="Times New Roman" w:hAnsi="Times New Roman" w:cs="Times New Roman"/>
          <w:i/>
          <w:iCs/>
          <w:noProof/>
        </w:rPr>
        <w:t>Journal of Organizational Behavior</w:t>
      </w:r>
      <w:r w:rsidRPr="006869BC">
        <w:rPr>
          <w:rFonts w:ascii="Times New Roman" w:hAnsi="Times New Roman" w:cs="Times New Roman"/>
          <w:noProof/>
        </w:rPr>
        <w:t>, 2(2), 99-113. Recuperado 28 de junio de 2020 a partir de https://doi.org/10.1002/job.4030020205</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D23596">
        <w:rPr>
          <w:rFonts w:ascii="Times New Roman" w:hAnsi="Times New Roman" w:cs="Times New Roman"/>
          <w:noProof/>
          <w:lang w:val="en-US"/>
        </w:rPr>
        <w:t xml:space="preserve">Maslach, C., Schaufeli, W. B., &amp; Leiter, M. P. (2001). Job Burnout. </w:t>
      </w:r>
      <w:r w:rsidRPr="00D23596">
        <w:rPr>
          <w:rFonts w:ascii="Times New Roman" w:hAnsi="Times New Roman" w:cs="Times New Roman"/>
          <w:i/>
          <w:iCs/>
          <w:noProof/>
          <w:lang w:val="en-US"/>
        </w:rPr>
        <w:t>Annual Review of Psychology</w:t>
      </w:r>
      <w:r w:rsidRPr="00D23596">
        <w:rPr>
          <w:rFonts w:ascii="Times New Roman" w:hAnsi="Times New Roman" w:cs="Times New Roman"/>
          <w:noProof/>
          <w:lang w:val="en-US"/>
        </w:rPr>
        <w:t xml:space="preserve">, 52(1), 397-422. </w:t>
      </w:r>
      <w:r w:rsidRPr="006869BC">
        <w:rPr>
          <w:rFonts w:ascii="Times New Roman" w:hAnsi="Times New Roman" w:cs="Times New Roman"/>
          <w:noProof/>
        </w:rPr>
        <w:t>Recuperado 28 de junio de 2020 a partir de https://doi.org/10.1146/annurev.psych.52.1.397</w:t>
      </w:r>
    </w:p>
    <w:p w:rsidR="00F37C94" w:rsidRPr="00D23596" w:rsidRDefault="00F37C94" w:rsidP="00F37C94">
      <w:pPr>
        <w:widowControl w:val="0"/>
        <w:autoSpaceDE w:val="0"/>
        <w:autoSpaceDN w:val="0"/>
        <w:adjustRightInd w:val="0"/>
        <w:ind w:left="480" w:hanging="480"/>
        <w:rPr>
          <w:rFonts w:ascii="Times New Roman" w:hAnsi="Times New Roman" w:cs="Times New Roman"/>
          <w:noProof/>
          <w:lang w:val="en-US"/>
        </w:rPr>
      </w:pPr>
      <w:r w:rsidRPr="00D23596">
        <w:rPr>
          <w:rFonts w:ascii="Times New Roman" w:hAnsi="Times New Roman" w:cs="Times New Roman"/>
          <w:noProof/>
          <w:lang w:val="en-US"/>
        </w:rPr>
        <w:t xml:space="preserve">Montemurro, N. (2020). The emotional impact of COVID-19: From medical staff to common people. </w:t>
      </w:r>
      <w:r w:rsidRPr="00D23596">
        <w:rPr>
          <w:rFonts w:ascii="Times New Roman" w:hAnsi="Times New Roman" w:cs="Times New Roman"/>
          <w:i/>
          <w:iCs/>
          <w:noProof/>
          <w:lang w:val="en-US"/>
        </w:rPr>
        <w:t>Brain, Behavior, and Immunity</w:t>
      </w:r>
      <w:r w:rsidRPr="00D23596">
        <w:rPr>
          <w:rFonts w:ascii="Times New Roman" w:hAnsi="Times New Roman" w:cs="Times New Roman"/>
          <w:noProof/>
          <w:lang w:val="en-US"/>
        </w:rPr>
        <w:t>. Academic Press Inc. Recuperado 30 de junio de 2020 a partir de https://doi.org/10.1016/j.bbi.2020.03.032</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D23596">
        <w:rPr>
          <w:rFonts w:ascii="Times New Roman" w:hAnsi="Times New Roman" w:cs="Times New Roman"/>
          <w:noProof/>
          <w:lang w:val="en-US"/>
        </w:rPr>
        <w:t xml:space="preserve">Nesher Shoshan, H., &amp; Sonnentag, S. (2020). The effects of employee burnout on customers: An experimental approach. </w:t>
      </w:r>
      <w:r w:rsidRPr="006869BC">
        <w:rPr>
          <w:rFonts w:ascii="Times New Roman" w:hAnsi="Times New Roman" w:cs="Times New Roman"/>
          <w:i/>
          <w:iCs/>
          <w:noProof/>
        </w:rPr>
        <w:t>Work and Stress</w:t>
      </w:r>
      <w:r w:rsidRPr="006869BC">
        <w:rPr>
          <w:rFonts w:ascii="Times New Roman" w:hAnsi="Times New Roman" w:cs="Times New Roman"/>
          <w:noProof/>
        </w:rPr>
        <w:t>, 34(2), 127-147. Recuperado a partir de https://doi.org/10.1080/02678373.2019.1577312</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OIT. (2011). </w:t>
      </w:r>
      <w:r w:rsidRPr="006869BC">
        <w:rPr>
          <w:rFonts w:ascii="Times New Roman" w:hAnsi="Times New Roman" w:cs="Times New Roman"/>
          <w:i/>
          <w:iCs/>
          <w:noProof/>
        </w:rPr>
        <w:t>Manual de Buenas Prácticas en Teletrabajo</w:t>
      </w:r>
      <w:r w:rsidRPr="006869BC">
        <w:rPr>
          <w:rFonts w:ascii="Times New Roman" w:hAnsi="Times New Roman" w:cs="Times New Roman"/>
          <w:noProof/>
        </w:rPr>
        <w:t xml:space="preserve">. Recuperado 30 de junio de </w:t>
      </w:r>
      <w:r w:rsidRPr="006869BC">
        <w:rPr>
          <w:rFonts w:ascii="Times New Roman" w:hAnsi="Times New Roman" w:cs="Times New Roman"/>
          <w:noProof/>
        </w:rPr>
        <w:lastRenderedPageBreak/>
        <w:t>2020 a partir de https://www.ilo.org/wcmsp5/groups/public/---americas/---ro-lima/---ilo-buenos_aires/documents/publication/wcms_bai_pub_143.pdf</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Olivares-Faúndez, V., Gil-Monte, P., Montaño Espinoza, R., Barrera Capot, R., Fredes Collarte, D., &amp; Figueiredo-Ferraz, H. (2018). Validez factorial del cuestionario para la evaluación del síndrome de quemarse por el trabajo (CESQT) en profesionales de servicios. </w:t>
      </w:r>
      <w:r w:rsidRPr="006869BC">
        <w:rPr>
          <w:rFonts w:ascii="Times New Roman" w:hAnsi="Times New Roman" w:cs="Times New Roman"/>
          <w:i/>
          <w:iCs/>
          <w:noProof/>
        </w:rPr>
        <w:t>Interciencia</w:t>
      </w:r>
      <w:r w:rsidRPr="006869BC">
        <w:rPr>
          <w:rFonts w:ascii="Times New Roman" w:hAnsi="Times New Roman" w:cs="Times New Roman"/>
          <w:noProof/>
        </w:rPr>
        <w:t>, 43(6), 417-424.</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Olivares Faúndez, V. E., Jélvez Wilke, C., Mena Miranda, L., &amp; Lavarello Salinas, J. (2013). Estudios sobre Burnout y Carga Mental en Conductores del Transporte Público de Chile (Transantiago). </w:t>
      </w:r>
      <w:r w:rsidRPr="006869BC">
        <w:rPr>
          <w:rFonts w:ascii="Times New Roman" w:hAnsi="Times New Roman" w:cs="Times New Roman"/>
          <w:i/>
          <w:iCs/>
          <w:noProof/>
        </w:rPr>
        <w:t>Ciencia &amp; trabajo</w:t>
      </w:r>
      <w:r w:rsidRPr="006869BC">
        <w:rPr>
          <w:rFonts w:ascii="Times New Roman" w:hAnsi="Times New Roman" w:cs="Times New Roman"/>
          <w:noProof/>
        </w:rPr>
        <w:t>, 15(48), 173-178. Recuperado 29 de junio de 2020 a partir de https://doi.org/10.4067/s0718-24492013000300011</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Organización Mundial de la Salud. (2020). Informes de Situación para COVID-19 | OPS/OMS | Organización Panamericana de la Salud. Recuperado 4 de julio de 2020, a partir de https://www.paho.org/es/tag/informes-situacion-covid-19</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D23596">
        <w:rPr>
          <w:rFonts w:ascii="Times New Roman" w:hAnsi="Times New Roman" w:cs="Times New Roman"/>
          <w:noProof/>
          <w:lang w:val="en-US"/>
        </w:rPr>
        <w:t xml:space="preserve">Prasad, K., &amp; Vaidya, R. W. (2020). Association among Covid-19 parameters, occupational stress and employee performance: An empirical study with reference to Agricultural Research Sector in Hyderabad Metro. </w:t>
      </w:r>
      <w:r w:rsidRPr="006869BC">
        <w:rPr>
          <w:rFonts w:ascii="Times New Roman" w:hAnsi="Times New Roman" w:cs="Times New Roman"/>
          <w:i/>
          <w:iCs/>
          <w:noProof/>
        </w:rPr>
        <w:t>Sustainable Humanosphere</w:t>
      </w:r>
      <w:r w:rsidRPr="006869BC">
        <w:rPr>
          <w:rFonts w:ascii="Times New Roman" w:hAnsi="Times New Roman" w:cs="Times New Roman"/>
          <w:noProof/>
        </w:rPr>
        <w:t>, 16(2), 235-253. Recuperado 11 de julio de 2020 a partir de http://www.sustainablehumanosphere.com/index.php/JSH/article/view/422</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Refugio López Paloma, M., Adriana Rodríguez Paloma, S., Rodriguez López, A., Pando Moreno, M., Javier Maldonado Virgen, F., Author, C., &amp; Refugio López Paloma, M. (s. f.). </w:t>
      </w:r>
      <w:r w:rsidRPr="00D23596">
        <w:rPr>
          <w:rFonts w:ascii="Times New Roman" w:hAnsi="Times New Roman" w:cs="Times New Roman"/>
          <w:noProof/>
          <w:lang w:val="en-US"/>
        </w:rPr>
        <w:t xml:space="preserve">Psychosocial risk factors of labor origin and its relationship with the General health condition (self-perceived). </w:t>
      </w:r>
      <w:r w:rsidRPr="006869BC">
        <w:rPr>
          <w:rFonts w:ascii="Times New Roman" w:hAnsi="Times New Roman" w:cs="Times New Roman"/>
          <w:i/>
          <w:iCs/>
          <w:noProof/>
        </w:rPr>
        <w:t>Issue 1 Ser. I</w:t>
      </w:r>
      <w:r w:rsidRPr="006869BC">
        <w:rPr>
          <w:rFonts w:ascii="Times New Roman" w:hAnsi="Times New Roman" w:cs="Times New Roman"/>
          <w:noProof/>
        </w:rPr>
        <w:t>, 9, 58-64. Recuperado 4 de julio de 2020 a partir de https://doi.org/10.9790/1959-0901015864</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6869BC">
        <w:rPr>
          <w:rFonts w:ascii="Times New Roman" w:hAnsi="Times New Roman" w:cs="Times New Roman"/>
          <w:noProof/>
        </w:rPr>
        <w:t xml:space="preserve">Suarez Erazo, R., &amp; Gallardo Chiluisa, E. (2019). </w:t>
      </w:r>
      <w:r w:rsidRPr="006869BC">
        <w:rPr>
          <w:rFonts w:ascii="Times New Roman" w:hAnsi="Times New Roman" w:cs="Times New Roman"/>
          <w:i/>
          <w:iCs/>
          <w:noProof/>
        </w:rPr>
        <w:t>Teletrabajo: La percepción que tiene el teletrabajador sobre su salud laboral, en la ciudad de Quito</w:t>
      </w:r>
      <w:r w:rsidRPr="006869BC">
        <w:rPr>
          <w:rFonts w:ascii="Times New Roman" w:hAnsi="Times New Roman" w:cs="Times New Roman"/>
          <w:noProof/>
        </w:rPr>
        <w:t>. Quito: UCE, Quito, Ecuardor. Recuperado 4 de julio de 2020 a partir de http://www.dspace.uce.edu.ec/handle/25000/19073</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D23596">
        <w:rPr>
          <w:rFonts w:ascii="Times New Roman" w:hAnsi="Times New Roman" w:cs="Times New Roman"/>
          <w:noProof/>
          <w:lang w:val="en-US"/>
        </w:rPr>
        <w:t xml:space="preserve">Sultana, A., Sharma, R., Hossain, M., Bhattacharya, S., &amp; Puroit, N. (2020). </w:t>
      </w:r>
      <w:r w:rsidRPr="00D23596">
        <w:rPr>
          <w:rFonts w:ascii="Times New Roman" w:hAnsi="Times New Roman" w:cs="Times New Roman"/>
          <w:i/>
          <w:iCs/>
          <w:noProof/>
          <w:lang w:val="en-US"/>
        </w:rPr>
        <w:t>Burnout Among Healthcare Providers During COVID-19 Pandemic: Challenges and Evidence-based Interventions</w:t>
      </w:r>
      <w:r w:rsidRPr="00D23596">
        <w:rPr>
          <w:rFonts w:ascii="Times New Roman" w:hAnsi="Times New Roman" w:cs="Times New Roman"/>
          <w:noProof/>
          <w:lang w:val="en-US"/>
        </w:rPr>
        <w:t xml:space="preserve">. </w:t>
      </w:r>
      <w:r w:rsidRPr="006869BC">
        <w:rPr>
          <w:rFonts w:ascii="Times New Roman" w:hAnsi="Times New Roman" w:cs="Times New Roman"/>
          <w:noProof/>
        </w:rPr>
        <w:t>Recuperado 4 de julio de 2020 a partir de https://www.researchgate.net/publication/340634505_Burnout_Among_Healthcare_Providers_During_COVID-19_Pandemic_Challenges_and_Evidence-based_Interventions</w:t>
      </w:r>
    </w:p>
    <w:p w:rsidR="00F37C94" w:rsidRPr="00D23596" w:rsidRDefault="00F37C94" w:rsidP="00F37C94">
      <w:pPr>
        <w:widowControl w:val="0"/>
        <w:autoSpaceDE w:val="0"/>
        <w:autoSpaceDN w:val="0"/>
        <w:adjustRightInd w:val="0"/>
        <w:ind w:left="480" w:hanging="480"/>
        <w:rPr>
          <w:rFonts w:ascii="Times New Roman" w:hAnsi="Times New Roman" w:cs="Times New Roman"/>
          <w:noProof/>
          <w:lang w:val="en-US"/>
        </w:rPr>
      </w:pPr>
      <w:r w:rsidRPr="00D23596">
        <w:rPr>
          <w:rFonts w:ascii="Times New Roman" w:hAnsi="Times New Roman" w:cs="Times New Roman"/>
          <w:noProof/>
          <w:lang w:val="en-US"/>
        </w:rPr>
        <w:t xml:space="preserve">Teoh, K. R. H., Hassard, J., &amp; Cox, T. (2020). Individual and organizational psychosocial predictors of hospital doctors’ work-related well-being: A multilevel and moderation perspective. </w:t>
      </w:r>
      <w:r w:rsidRPr="00D23596">
        <w:rPr>
          <w:rFonts w:ascii="Times New Roman" w:hAnsi="Times New Roman" w:cs="Times New Roman"/>
          <w:i/>
          <w:iCs/>
          <w:noProof/>
          <w:lang w:val="en-US"/>
        </w:rPr>
        <w:t>Health care management review</w:t>
      </w:r>
      <w:r w:rsidRPr="00D23596">
        <w:rPr>
          <w:rFonts w:ascii="Times New Roman" w:hAnsi="Times New Roman" w:cs="Times New Roman"/>
          <w:noProof/>
          <w:lang w:val="en-US"/>
        </w:rPr>
        <w:t>, 45(2), 162-172. Recuperado 4 de julio de 2020 a partir de https://doi.org/10.1097/HMR.0000000000000207</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D23596">
        <w:rPr>
          <w:rFonts w:ascii="Times New Roman" w:hAnsi="Times New Roman" w:cs="Times New Roman"/>
          <w:noProof/>
          <w:lang w:val="en-US"/>
        </w:rPr>
        <w:t xml:space="preserve">Xu, L. (2019). Teacher–researcher role conflict and burnout among Chinese university teachers: a job demand-resources model perspective. </w:t>
      </w:r>
      <w:r w:rsidRPr="006869BC">
        <w:rPr>
          <w:rFonts w:ascii="Times New Roman" w:hAnsi="Times New Roman" w:cs="Times New Roman"/>
          <w:i/>
          <w:iCs/>
          <w:noProof/>
        </w:rPr>
        <w:t>Studies in Higher Education</w:t>
      </w:r>
      <w:r w:rsidRPr="006869BC">
        <w:rPr>
          <w:rFonts w:ascii="Times New Roman" w:hAnsi="Times New Roman" w:cs="Times New Roman"/>
          <w:noProof/>
        </w:rPr>
        <w:t>, 44(6), 903-919. Recuperado 4 de julio de 2020 a partir de https://doi.org/10.1080/03075079.2017.1399261</w:t>
      </w:r>
    </w:p>
    <w:p w:rsidR="00F37C94" w:rsidRPr="006869BC" w:rsidRDefault="00F37C94" w:rsidP="00F37C94">
      <w:pPr>
        <w:widowControl w:val="0"/>
        <w:autoSpaceDE w:val="0"/>
        <w:autoSpaceDN w:val="0"/>
        <w:adjustRightInd w:val="0"/>
        <w:ind w:left="480" w:hanging="480"/>
        <w:rPr>
          <w:rFonts w:ascii="Times New Roman" w:hAnsi="Times New Roman" w:cs="Times New Roman"/>
          <w:noProof/>
        </w:rPr>
      </w:pPr>
      <w:r w:rsidRPr="00D23596">
        <w:rPr>
          <w:rFonts w:ascii="Times New Roman" w:hAnsi="Times New Roman" w:cs="Times New Roman"/>
          <w:noProof/>
          <w:lang w:val="en-US"/>
        </w:rPr>
        <w:t xml:space="preserve">Zhang, S. X., Wang, Y., Rauch, A., &amp; Wei, F. (2020). Unprecedented disruption of lives and work: Health, distress and life satisfaction of working adults in China one </w:t>
      </w:r>
      <w:r w:rsidRPr="00D23596">
        <w:rPr>
          <w:rFonts w:ascii="Times New Roman" w:hAnsi="Times New Roman" w:cs="Times New Roman"/>
          <w:noProof/>
          <w:lang w:val="en-US"/>
        </w:rPr>
        <w:lastRenderedPageBreak/>
        <w:t xml:space="preserve">month into the COVID-19 outbreak. </w:t>
      </w:r>
      <w:r w:rsidRPr="006869BC">
        <w:rPr>
          <w:rFonts w:ascii="Times New Roman" w:hAnsi="Times New Roman" w:cs="Times New Roman"/>
          <w:i/>
          <w:iCs/>
          <w:noProof/>
        </w:rPr>
        <w:t>Psychiatry Research</w:t>
      </w:r>
      <w:r w:rsidRPr="006869BC">
        <w:rPr>
          <w:rFonts w:ascii="Times New Roman" w:hAnsi="Times New Roman" w:cs="Times New Roman"/>
          <w:noProof/>
        </w:rPr>
        <w:t>, 288, 112958. Recuperado a partir de https://doi.org/10.1016/j.psychres.2020.112958</w:t>
      </w:r>
    </w:p>
    <w:p w:rsidR="00F37C94" w:rsidRPr="00275295" w:rsidRDefault="00F37C94" w:rsidP="00F37C94">
      <w:pPr>
        <w:pStyle w:val="spstitsecc1"/>
        <w:jc w:val="left"/>
        <w:rPr>
          <w:rFonts w:ascii="Times New Roman" w:hAnsi="Times New Roman" w:cs="Times New Roman"/>
          <w:sz w:val="24"/>
          <w:lang w:val="es-CL"/>
        </w:rPr>
      </w:pPr>
      <w:r w:rsidRPr="00275295">
        <w:rPr>
          <w:rFonts w:ascii="Times New Roman" w:hAnsi="Times New Roman" w:cs="Times New Roman"/>
          <w:sz w:val="24"/>
        </w:rPr>
        <w:fldChar w:fldCharType="end"/>
      </w:r>
    </w:p>
    <w:p w:rsidR="00F37C94" w:rsidRPr="00275295" w:rsidRDefault="00F37C94" w:rsidP="00F37C94">
      <w:pPr>
        <w:pStyle w:val="spstitsecc1"/>
        <w:jc w:val="left"/>
        <w:rPr>
          <w:rFonts w:ascii="Times New Roman" w:hAnsi="Times New Roman" w:cs="Times New Roman"/>
          <w:sz w:val="24"/>
          <w:lang w:val="es-CL"/>
        </w:rPr>
      </w:pPr>
    </w:p>
    <w:p w:rsidR="0031773F" w:rsidRPr="00F37C94" w:rsidRDefault="0031773F">
      <w:pPr>
        <w:rPr>
          <w:lang w:val="es-CL"/>
        </w:rPr>
      </w:pPr>
    </w:p>
    <w:sectPr w:rsidR="0031773F" w:rsidRPr="00F37C9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A9B" w:rsidRDefault="00215A9B" w:rsidP="008E1259">
      <w:pPr>
        <w:spacing w:after="0"/>
      </w:pPr>
      <w:r>
        <w:separator/>
      </w:r>
    </w:p>
  </w:endnote>
  <w:endnote w:type="continuationSeparator" w:id="0">
    <w:p w:rsidR="00215A9B" w:rsidRDefault="00215A9B" w:rsidP="008E12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Antiqua">
    <w:altName w:val="Book Antiqua"/>
    <w:panose1 w:val="00000000000000000000"/>
    <w:charset w:val="4D"/>
    <w:family w:val="auto"/>
    <w:notTrueType/>
    <w:pitch w:val="default"/>
    <w:sig w:usb0="00000003" w:usb1="00000000" w:usb2="00000000" w:usb3="00000000" w:csb0="00000001" w:csb1="00000000"/>
  </w:font>
  <w:font w:name="BookAntiqua-Bold">
    <w:altName w:val="Book Antiqu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A9B" w:rsidRDefault="00215A9B" w:rsidP="008E1259">
      <w:pPr>
        <w:spacing w:after="0"/>
      </w:pPr>
      <w:r>
        <w:separator/>
      </w:r>
    </w:p>
  </w:footnote>
  <w:footnote w:type="continuationSeparator" w:id="0">
    <w:p w:rsidR="00215A9B" w:rsidRDefault="00215A9B" w:rsidP="008E12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90B97"/>
    <w:multiLevelType w:val="hybridMultilevel"/>
    <w:tmpl w:val="77EC0C0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2054E2D"/>
    <w:multiLevelType w:val="hybridMultilevel"/>
    <w:tmpl w:val="9F945E2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3C02CED"/>
    <w:multiLevelType w:val="hybridMultilevel"/>
    <w:tmpl w:val="5B345D2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02D47E0"/>
    <w:multiLevelType w:val="hybridMultilevel"/>
    <w:tmpl w:val="7C44DA2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D1F0AFA"/>
    <w:multiLevelType w:val="hybridMultilevel"/>
    <w:tmpl w:val="C25E092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5C848FD"/>
    <w:multiLevelType w:val="hybridMultilevel"/>
    <w:tmpl w:val="5FF4A40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94"/>
    <w:rsid w:val="00215A9B"/>
    <w:rsid w:val="0031773F"/>
    <w:rsid w:val="008E1259"/>
    <w:rsid w:val="00AC6ABB"/>
    <w:rsid w:val="00F37C94"/>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ps_txtcaja"/>
    <w:qFormat/>
    <w:rsid w:val="00F37C94"/>
    <w:pPr>
      <w:spacing w:line="240" w:lineRule="auto"/>
    </w:pPr>
    <w:rPr>
      <w:rFonts w:ascii="Arial" w:hAnsi="Arial"/>
      <w:sz w:val="24"/>
      <w:szCs w:val="24"/>
      <w:lang w:val="es-ES"/>
    </w:rPr>
  </w:style>
  <w:style w:type="paragraph" w:styleId="Ttulo1">
    <w:name w:val="heading 1"/>
    <w:basedOn w:val="Normal"/>
    <w:next w:val="Normal"/>
    <w:link w:val="Ttulo1Car"/>
    <w:uiPriority w:val="9"/>
    <w:qFormat/>
    <w:rsid w:val="00F37C94"/>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s-CL" w:eastAsia="es-CL"/>
    </w:rPr>
  </w:style>
  <w:style w:type="paragraph" w:styleId="Ttulo4">
    <w:name w:val="heading 4"/>
    <w:basedOn w:val="Normal"/>
    <w:next w:val="Normal"/>
    <w:link w:val="Ttulo4Car"/>
    <w:uiPriority w:val="9"/>
    <w:semiHidden/>
    <w:unhideWhenUsed/>
    <w:qFormat/>
    <w:rsid w:val="00F37C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7C94"/>
    <w:rPr>
      <w:rFonts w:asciiTheme="majorHAnsi" w:eastAsiaTheme="majorEastAsia" w:hAnsiTheme="majorHAnsi" w:cstheme="majorBidi"/>
      <w:color w:val="2F5496" w:themeColor="accent1" w:themeShade="BF"/>
      <w:sz w:val="32"/>
      <w:szCs w:val="32"/>
      <w:lang w:eastAsia="es-CL"/>
    </w:rPr>
  </w:style>
  <w:style w:type="character" w:customStyle="1" w:styleId="Ttulo4Car">
    <w:name w:val="Título 4 Car"/>
    <w:basedOn w:val="Fuentedeprrafopredeter"/>
    <w:link w:val="Ttulo4"/>
    <w:uiPriority w:val="9"/>
    <w:semiHidden/>
    <w:rsid w:val="00F37C94"/>
    <w:rPr>
      <w:rFonts w:asciiTheme="majorHAnsi" w:eastAsiaTheme="majorEastAsia" w:hAnsiTheme="majorHAnsi" w:cstheme="majorBidi"/>
      <w:i/>
      <w:iCs/>
      <w:color w:val="2F5496" w:themeColor="accent1" w:themeShade="BF"/>
      <w:sz w:val="24"/>
      <w:szCs w:val="24"/>
      <w:lang w:val="es-ES"/>
    </w:rPr>
  </w:style>
  <w:style w:type="character" w:customStyle="1" w:styleId="spsmoscarefsnum">
    <w:name w:val="sps_moscarefsnum"/>
    <w:uiPriority w:val="1"/>
    <w:qFormat/>
    <w:rsid w:val="00F37C94"/>
    <w:rPr>
      <w:color w:val="auto"/>
      <w:vertAlign w:val="superscript"/>
    </w:rPr>
  </w:style>
  <w:style w:type="paragraph" w:customStyle="1" w:styleId="spsfiguras">
    <w:name w:val="sps_figuras"/>
    <w:basedOn w:val="Normal"/>
    <w:uiPriority w:val="99"/>
    <w:rsid w:val="00F37C94"/>
    <w:pPr>
      <w:autoSpaceDE w:val="0"/>
      <w:autoSpaceDN w:val="0"/>
      <w:adjustRightInd w:val="0"/>
      <w:spacing w:before="170" w:line="270" w:lineRule="atLeast"/>
      <w:jc w:val="center"/>
      <w:textAlignment w:val="center"/>
    </w:pPr>
    <w:rPr>
      <w:rFonts w:cs="BookAntiqua"/>
      <w:color w:val="000000"/>
      <w:szCs w:val="18"/>
    </w:rPr>
  </w:style>
  <w:style w:type="paragraph" w:customStyle="1" w:styleId="spstablastexto">
    <w:name w:val="sps_tablas_texto"/>
    <w:basedOn w:val="Normal"/>
    <w:uiPriority w:val="99"/>
    <w:rsid w:val="00F37C94"/>
    <w:pPr>
      <w:autoSpaceDE w:val="0"/>
      <w:autoSpaceDN w:val="0"/>
      <w:adjustRightInd w:val="0"/>
      <w:spacing w:line="200" w:lineRule="atLeast"/>
      <w:textAlignment w:val="center"/>
    </w:pPr>
    <w:rPr>
      <w:rFonts w:cs="BookAntiqua"/>
      <w:color w:val="000000"/>
    </w:rPr>
  </w:style>
  <w:style w:type="paragraph" w:customStyle="1" w:styleId="spstablasepig">
    <w:name w:val="sps_tablas_epig"/>
    <w:basedOn w:val="spstablastexto"/>
    <w:uiPriority w:val="99"/>
    <w:rsid w:val="00F37C94"/>
    <w:rPr>
      <w:rFonts w:cs="BookAntiqua-Bold"/>
      <w:b/>
      <w:bCs/>
      <w:color w:val="auto"/>
    </w:rPr>
  </w:style>
  <w:style w:type="character" w:customStyle="1" w:styleId="spsnegritas">
    <w:name w:val="sps_negritas"/>
    <w:uiPriority w:val="99"/>
    <w:rsid w:val="00F37C94"/>
    <w:rPr>
      <w:b/>
      <w:bCs/>
    </w:rPr>
  </w:style>
  <w:style w:type="character" w:customStyle="1" w:styleId="spssubindices">
    <w:name w:val="sps_subindices"/>
    <w:uiPriority w:val="99"/>
    <w:rsid w:val="00F37C94"/>
    <w:rPr>
      <w:vertAlign w:val="subscript"/>
    </w:rPr>
  </w:style>
  <w:style w:type="character" w:customStyle="1" w:styleId="spscursivas">
    <w:name w:val="sps_cursivas"/>
    <w:uiPriority w:val="99"/>
    <w:rsid w:val="00F37C94"/>
    <w:rPr>
      <w:i/>
      <w:iCs/>
    </w:rPr>
  </w:style>
  <w:style w:type="character" w:customStyle="1" w:styleId="spssuperindices">
    <w:name w:val="sps_superindices"/>
    <w:uiPriority w:val="99"/>
    <w:rsid w:val="00F37C94"/>
    <w:rPr>
      <w:vertAlign w:val="superscript"/>
    </w:rPr>
  </w:style>
  <w:style w:type="paragraph" w:customStyle="1" w:styleId="spsdoi">
    <w:name w:val="sps_doi"/>
    <w:basedOn w:val="Normal"/>
    <w:next w:val="spsseccion"/>
    <w:qFormat/>
    <w:rsid w:val="00F37C94"/>
    <w:pPr>
      <w:jc w:val="right"/>
    </w:pPr>
  </w:style>
  <w:style w:type="paragraph" w:customStyle="1" w:styleId="spsseccion">
    <w:name w:val="sps_seccion"/>
    <w:basedOn w:val="Normal"/>
    <w:next w:val="spstitulooriginal"/>
    <w:qFormat/>
    <w:rsid w:val="00F37C94"/>
    <w:pPr>
      <w:jc w:val="right"/>
    </w:pPr>
  </w:style>
  <w:style w:type="paragraph" w:customStyle="1" w:styleId="spstitulooriginal">
    <w:name w:val="sps_titulo_original"/>
    <w:basedOn w:val="Normal"/>
    <w:qFormat/>
    <w:rsid w:val="00F37C94"/>
    <w:pPr>
      <w:jc w:val="center"/>
    </w:pPr>
    <w:rPr>
      <w:b/>
      <w:sz w:val="28"/>
    </w:rPr>
  </w:style>
  <w:style w:type="paragraph" w:customStyle="1" w:styleId="spstitulotraduc">
    <w:name w:val="sps_titulo_traduc"/>
    <w:basedOn w:val="spstitulooriginal"/>
    <w:qFormat/>
    <w:rsid w:val="00F37C94"/>
  </w:style>
  <w:style w:type="paragraph" w:customStyle="1" w:styleId="spsautores">
    <w:name w:val="sps_autores"/>
    <w:basedOn w:val="Normal"/>
    <w:qFormat/>
    <w:rsid w:val="00F37C94"/>
  </w:style>
  <w:style w:type="paragraph" w:customStyle="1" w:styleId="spsafiliaciones">
    <w:name w:val="sps_afiliaciones"/>
    <w:basedOn w:val="Normal"/>
    <w:qFormat/>
    <w:rsid w:val="00F37C94"/>
  </w:style>
  <w:style w:type="paragraph" w:customStyle="1" w:styleId="spscorrespondencia">
    <w:name w:val="sps_correspondencia"/>
    <w:basedOn w:val="Normal"/>
    <w:qFormat/>
    <w:rsid w:val="00F37C94"/>
  </w:style>
  <w:style w:type="paragraph" w:customStyle="1" w:styleId="spsresumentit">
    <w:name w:val="sps_resumen_tit"/>
    <w:basedOn w:val="Normal"/>
    <w:qFormat/>
    <w:rsid w:val="00F37C94"/>
    <w:rPr>
      <w:b/>
    </w:rPr>
  </w:style>
  <w:style w:type="paragraph" w:customStyle="1" w:styleId="spsresumtxt">
    <w:name w:val="sps_resum_txt"/>
    <w:basedOn w:val="Normal"/>
    <w:qFormat/>
    <w:rsid w:val="00F37C94"/>
  </w:style>
  <w:style w:type="paragraph" w:customStyle="1" w:styleId="spspalabrasclave">
    <w:name w:val="sps_palabrasclave"/>
    <w:basedOn w:val="spsresumtxt"/>
    <w:qFormat/>
    <w:rsid w:val="00F37C94"/>
  </w:style>
  <w:style w:type="paragraph" w:customStyle="1" w:styleId="spsabstracttitulo">
    <w:name w:val="sps_abstract_titulo"/>
    <w:basedOn w:val="spsresumentit"/>
    <w:qFormat/>
    <w:rsid w:val="00F37C94"/>
  </w:style>
  <w:style w:type="paragraph" w:customStyle="1" w:styleId="spsabstracttxt">
    <w:name w:val="sps_abstract_txt"/>
    <w:basedOn w:val="spsresumtxt"/>
    <w:qFormat/>
    <w:rsid w:val="00F37C94"/>
  </w:style>
  <w:style w:type="paragraph" w:customStyle="1" w:styleId="spskeywords">
    <w:name w:val="sps_keywords"/>
    <w:basedOn w:val="spspalabrasclave"/>
    <w:qFormat/>
    <w:rsid w:val="00F37C94"/>
  </w:style>
  <w:style w:type="paragraph" w:customStyle="1" w:styleId="spsfinanciacion">
    <w:name w:val="sps_financiacion"/>
    <w:basedOn w:val="Normal"/>
    <w:qFormat/>
    <w:rsid w:val="00F37C94"/>
  </w:style>
  <w:style w:type="paragraph" w:customStyle="1" w:styleId="spsconflictinteres">
    <w:name w:val="sps_conflictinteres"/>
    <w:basedOn w:val="spsfinanciacion"/>
    <w:qFormat/>
    <w:rsid w:val="00F37C94"/>
  </w:style>
  <w:style w:type="paragraph" w:customStyle="1" w:styleId="spsfechas">
    <w:name w:val="sps_fechas"/>
    <w:basedOn w:val="spsfinanciacion"/>
    <w:qFormat/>
    <w:rsid w:val="00F37C94"/>
  </w:style>
  <w:style w:type="paragraph" w:customStyle="1" w:styleId="spstitsecc1">
    <w:name w:val="sps_tit_secc_1"/>
    <w:basedOn w:val="Normal"/>
    <w:qFormat/>
    <w:rsid w:val="00F37C94"/>
    <w:pPr>
      <w:jc w:val="center"/>
    </w:pPr>
    <w:rPr>
      <w:b/>
      <w:sz w:val="32"/>
    </w:rPr>
  </w:style>
  <w:style w:type="paragraph" w:customStyle="1" w:styleId="spstitsecc2">
    <w:name w:val="sps_tit_secc_2"/>
    <w:basedOn w:val="spstitsecc1"/>
    <w:qFormat/>
    <w:rsid w:val="00F37C94"/>
    <w:rPr>
      <w:sz w:val="28"/>
    </w:rPr>
  </w:style>
  <w:style w:type="paragraph" w:customStyle="1" w:styleId="spsreferenciasnum">
    <w:name w:val="sps_referencias_num"/>
    <w:basedOn w:val="Normal"/>
    <w:uiPriority w:val="99"/>
    <w:qFormat/>
    <w:rsid w:val="00F37C94"/>
  </w:style>
  <w:style w:type="paragraph" w:customStyle="1" w:styleId="spsreferentitulo">
    <w:name w:val="sps_referen_titulo"/>
    <w:basedOn w:val="spsreferenciasnum"/>
    <w:qFormat/>
    <w:rsid w:val="00F37C94"/>
    <w:rPr>
      <w:b/>
    </w:rPr>
  </w:style>
  <w:style w:type="paragraph" w:customStyle="1" w:styleId="spsfigurtitulo">
    <w:name w:val="sps_figur_titulo"/>
    <w:basedOn w:val="Normal"/>
    <w:qFormat/>
    <w:rsid w:val="00F37C94"/>
    <w:pPr>
      <w:jc w:val="center"/>
    </w:pPr>
  </w:style>
  <w:style w:type="character" w:customStyle="1" w:styleId="spsmoscaaff">
    <w:name w:val="sps_mosca_aff"/>
    <w:uiPriority w:val="1"/>
    <w:qFormat/>
    <w:rsid w:val="00F37C94"/>
    <w:rPr>
      <w:vertAlign w:val="superscript"/>
    </w:rPr>
  </w:style>
  <w:style w:type="character" w:customStyle="1" w:styleId="Mencinsinresolver1">
    <w:name w:val="Mención sin resolver1"/>
    <w:basedOn w:val="Fuentedeprrafopredeter"/>
    <w:uiPriority w:val="99"/>
    <w:semiHidden/>
    <w:unhideWhenUsed/>
    <w:rsid w:val="00F37C94"/>
    <w:rPr>
      <w:color w:val="605E5C"/>
      <w:shd w:val="clear" w:color="auto" w:fill="E1DFDD"/>
    </w:rPr>
  </w:style>
  <w:style w:type="paragraph" w:customStyle="1" w:styleId="spslineablanca">
    <w:name w:val="sps_lineablanca"/>
    <w:basedOn w:val="Normal"/>
    <w:qFormat/>
    <w:rsid w:val="00F37C94"/>
    <w:rPr>
      <w:color w:val="FFD966" w:themeColor="accent4" w:themeTint="99"/>
      <w:lang w:val="es-ES_tradnl"/>
    </w:rPr>
  </w:style>
  <w:style w:type="paragraph" w:customStyle="1" w:styleId="spsinstrucciones">
    <w:name w:val="sps_instrucciones"/>
    <w:basedOn w:val="spslineablanca"/>
    <w:qFormat/>
    <w:rsid w:val="00F37C94"/>
    <w:rPr>
      <w:b/>
      <w:color w:val="FF0000"/>
    </w:rPr>
  </w:style>
  <w:style w:type="paragraph" w:styleId="Textonotapie">
    <w:name w:val="footnote text"/>
    <w:aliases w:val="sps_notaspie"/>
    <w:basedOn w:val="Normal"/>
    <w:link w:val="TextonotapieCar"/>
    <w:uiPriority w:val="99"/>
    <w:unhideWhenUsed/>
    <w:rsid w:val="00F37C94"/>
    <w:rPr>
      <w:sz w:val="18"/>
    </w:rPr>
  </w:style>
  <w:style w:type="character" w:customStyle="1" w:styleId="TextonotapieCar">
    <w:name w:val="Texto nota pie Car"/>
    <w:aliases w:val="sps_notaspie Car"/>
    <w:basedOn w:val="Fuentedeprrafopredeter"/>
    <w:link w:val="Textonotapie"/>
    <w:uiPriority w:val="99"/>
    <w:rsid w:val="00F37C94"/>
    <w:rPr>
      <w:rFonts w:ascii="Arial" w:hAnsi="Arial"/>
      <w:sz w:val="18"/>
      <w:szCs w:val="24"/>
      <w:lang w:val="es-ES"/>
    </w:rPr>
  </w:style>
  <w:style w:type="character" w:styleId="Refdenotaalpie">
    <w:name w:val="footnote reference"/>
    <w:aliases w:val="sps_moscanotas"/>
    <w:uiPriority w:val="99"/>
    <w:unhideWhenUsed/>
    <w:rsid w:val="00F37C94"/>
    <w:rPr>
      <w:vertAlign w:val="superscript"/>
    </w:rPr>
  </w:style>
  <w:style w:type="character" w:styleId="Hipervnculo">
    <w:name w:val="Hyperlink"/>
    <w:basedOn w:val="Fuentedeprrafopredeter"/>
    <w:uiPriority w:val="99"/>
    <w:unhideWhenUsed/>
    <w:rsid w:val="00F37C94"/>
    <w:rPr>
      <w:color w:val="0000FF"/>
      <w:u w:val="single"/>
    </w:rPr>
  </w:style>
  <w:style w:type="character" w:styleId="Hipervnculovisitado">
    <w:name w:val="FollowedHyperlink"/>
    <w:basedOn w:val="Fuentedeprrafopredeter"/>
    <w:uiPriority w:val="99"/>
    <w:semiHidden/>
    <w:unhideWhenUsed/>
    <w:rsid w:val="00F37C94"/>
    <w:rPr>
      <w:color w:val="800080"/>
      <w:u w:val="single"/>
    </w:rPr>
  </w:style>
  <w:style w:type="paragraph" w:styleId="Textodeglobo">
    <w:name w:val="Balloon Text"/>
    <w:basedOn w:val="Normal"/>
    <w:link w:val="TextodegloboCar"/>
    <w:uiPriority w:val="99"/>
    <w:semiHidden/>
    <w:unhideWhenUsed/>
    <w:rsid w:val="00F37C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7C94"/>
    <w:rPr>
      <w:rFonts w:ascii="Segoe UI" w:hAnsi="Segoe UI" w:cs="Segoe UI"/>
      <w:sz w:val="18"/>
      <w:szCs w:val="18"/>
      <w:lang w:val="es-ES"/>
    </w:rPr>
  </w:style>
  <w:style w:type="paragraph" w:customStyle="1" w:styleId="spstitsecc3">
    <w:name w:val="sps_tit_secc_3"/>
    <w:basedOn w:val="spstitsecc2"/>
    <w:qFormat/>
    <w:rsid w:val="00F37C94"/>
    <w:rPr>
      <w:sz w:val="26"/>
      <w:lang w:val="es-ES_tradnl"/>
    </w:rPr>
  </w:style>
  <w:style w:type="paragraph" w:customStyle="1" w:styleId="spstablasnotas">
    <w:name w:val="sps_tablas_notas"/>
    <w:basedOn w:val="spstablastexto"/>
    <w:qFormat/>
    <w:rsid w:val="00F37C94"/>
    <w:pPr>
      <w:jc w:val="center"/>
    </w:pPr>
    <w:rPr>
      <w:lang w:val="es-ES_tradnl" w:eastAsia="es-ES_tradnl"/>
    </w:rPr>
  </w:style>
  <w:style w:type="table" w:styleId="Tablaconcuadrcula">
    <w:name w:val="Table Grid"/>
    <w:basedOn w:val="Tablanormal"/>
    <w:uiPriority w:val="39"/>
    <w:rsid w:val="00F37C94"/>
    <w:pPr>
      <w:spacing w:after="0" w:line="240" w:lineRule="auto"/>
    </w:pPr>
    <w:rPr>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7C94"/>
    <w:pPr>
      <w:ind w:left="720"/>
      <w:contextualSpacing/>
    </w:pPr>
  </w:style>
  <w:style w:type="character" w:styleId="Textodelmarcadordeposicin">
    <w:name w:val="Placeholder Text"/>
    <w:basedOn w:val="Fuentedeprrafopredeter"/>
    <w:uiPriority w:val="99"/>
    <w:semiHidden/>
    <w:rsid w:val="00F37C94"/>
    <w:rPr>
      <w:color w:val="808080"/>
    </w:rPr>
  </w:style>
  <w:style w:type="character" w:customStyle="1" w:styleId="Mencinsinresolver2">
    <w:name w:val="Mención sin resolver2"/>
    <w:basedOn w:val="Fuentedeprrafopredeter"/>
    <w:uiPriority w:val="99"/>
    <w:semiHidden/>
    <w:unhideWhenUsed/>
    <w:rsid w:val="00F37C94"/>
    <w:rPr>
      <w:color w:val="605E5C"/>
      <w:shd w:val="clear" w:color="auto" w:fill="E1DFDD"/>
    </w:rPr>
  </w:style>
  <w:style w:type="paragraph" w:customStyle="1" w:styleId="spscitasdos">
    <w:name w:val="sps_citas_dos"/>
    <w:basedOn w:val="Normal"/>
    <w:qFormat/>
    <w:rsid w:val="00F37C94"/>
    <w:pPr>
      <w:ind w:left="2268"/>
    </w:pPr>
  </w:style>
  <w:style w:type="character" w:styleId="Refdecomentario">
    <w:name w:val="annotation reference"/>
    <w:basedOn w:val="Fuentedeprrafopredeter"/>
    <w:uiPriority w:val="99"/>
    <w:semiHidden/>
    <w:unhideWhenUsed/>
    <w:rsid w:val="00F37C94"/>
    <w:rPr>
      <w:sz w:val="16"/>
      <w:szCs w:val="16"/>
    </w:rPr>
  </w:style>
  <w:style w:type="paragraph" w:styleId="Textocomentario">
    <w:name w:val="annotation text"/>
    <w:basedOn w:val="Normal"/>
    <w:link w:val="TextocomentarioCar"/>
    <w:uiPriority w:val="99"/>
    <w:semiHidden/>
    <w:unhideWhenUsed/>
    <w:rsid w:val="00F37C94"/>
    <w:rPr>
      <w:sz w:val="20"/>
      <w:szCs w:val="20"/>
    </w:rPr>
  </w:style>
  <w:style w:type="character" w:customStyle="1" w:styleId="TextocomentarioCar">
    <w:name w:val="Texto comentario Car"/>
    <w:basedOn w:val="Fuentedeprrafopredeter"/>
    <w:link w:val="Textocomentario"/>
    <w:uiPriority w:val="99"/>
    <w:semiHidden/>
    <w:rsid w:val="00F37C94"/>
    <w:rPr>
      <w:rFonts w:ascii="Arial" w:hAnsi="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F37C94"/>
    <w:rPr>
      <w:b/>
      <w:bCs/>
    </w:rPr>
  </w:style>
  <w:style w:type="character" w:customStyle="1" w:styleId="AsuntodelcomentarioCar">
    <w:name w:val="Asunto del comentario Car"/>
    <w:basedOn w:val="TextocomentarioCar"/>
    <w:link w:val="Asuntodelcomentario"/>
    <w:uiPriority w:val="99"/>
    <w:semiHidden/>
    <w:rsid w:val="00F37C94"/>
    <w:rPr>
      <w:rFonts w:ascii="Arial" w:hAnsi="Arial"/>
      <w:b/>
      <w:bCs/>
      <w:sz w:val="20"/>
      <w:szCs w:val="20"/>
      <w:lang w:val="es-ES"/>
    </w:rPr>
  </w:style>
  <w:style w:type="paragraph" w:styleId="Bibliografa">
    <w:name w:val="Bibliography"/>
    <w:basedOn w:val="Normal"/>
    <w:next w:val="Normal"/>
    <w:uiPriority w:val="37"/>
    <w:unhideWhenUsed/>
    <w:rsid w:val="00F37C94"/>
  </w:style>
  <w:style w:type="paragraph" w:styleId="Encabezado">
    <w:name w:val="header"/>
    <w:basedOn w:val="Normal"/>
    <w:link w:val="EncabezadoCar"/>
    <w:uiPriority w:val="99"/>
    <w:unhideWhenUsed/>
    <w:rsid w:val="00F37C94"/>
    <w:pPr>
      <w:tabs>
        <w:tab w:val="center" w:pos="4419"/>
        <w:tab w:val="right" w:pos="8838"/>
      </w:tabs>
      <w:spacing w:after="0"/>
    </w:pPr>
  </w:style>
  <w:style w:type="character" w:customStyle="1" w:styleId="EncabezadoCar">
    <w:name w:val="Encabezado Car"/>
    <w:basedOn w:val="Fuentedeprrafopredeter"/>
    <w:link w:val="Encabezado"/>
    <w:uiPriority w:val="99"/>
    <w:rsid w:val="00F37C94"/>
    <w:rPr>
      <w:rFonts w:ascii="Arial" w:hAnsi="Arial"/>
      <w:sz w:val="24"/>
      <w:szCs w:val="24"/>
      <w:lang w:val="es-ES"/>
    </w:rPr>
  </w:style>
  <w:style w:type="paragraph" w:styleId="Piedepgina">
    <w:name w:val="footer"/>
    <w:basedOn w:val="Normal"/>
    <w:link w:val="PiedepginaCar"/>
    <w:uiPriority w:val="99"/>
    <w:unhideWhenUsed/>
    <w:rsid w:val="00F37C94"/>
    <w:pPr>
      <w:tabs>
        <w:tab w:val="center" w:pos="4419"/>
        <w:tab w:val="right" w:pos="8838"/>
      </w:tabs>
      <w:spacing w:after="0"/>
    </w:pPr>
  </w:style>
  <w:style w:type="character" w:customStyle="1" w:styleId="PiedepginaCar">
    <w:name w:val="Pie de página Car"/>
    <w:basedOn w:val="Fuentedeprrafopredeter"/>
    <w:link w:val="Piedepgina"/>
    <w:uiPriority w:val="99"/>
    <w:rsid w:val="00F37C94"/>
    <w:rPr>
      <w:rFonts w:ascii="Arial" w:hAnsi="Arial"/>
      <w:sz w:val="24"/>
      <w:szCs w:val="24"/>
      <w:lang w:val="es-ES"/>
    </w:rPr>
  </w:style>
  <w:style w:type="table" w:customStyle="1" w:styleId="Estilo1">
    <w:name w:val="Estilo1"/>
    <w:basedOn w:val="Tablanormal"/>
    <w:uiPriority w:val="99"/>
    <w:rsid w:val="00F37C94"/>
    <w:pPr>
      <w:spacing w:after="0" w:line="240" w:lineRule="auto"/>
    </w:pPr>
    <w:rPr>
      <w:sz w:val="24"/>
      <w:szCs w:val="24"/>
      <w:lang w:val="es-ES"/>
    </w:rPr>
    <w:tblPr>
      <w:tblBorders>
        <w:top w:val="single" w:sz="4" w:space="0" w:color="auto"/>
        <w:bottom w:val="single" w:sz="4" w:space="0" w:color="auto"/>
      </w:tblBorders>
    </w:tblPr>
  </w:style>
  <w:style w:type="character" w:styleId="Mencinsinresolver">
    <w:name w:val="Unresolved Mention"/>
    <w:basedOn w:val="Fuentedeprrafopredeter"/>
    <w:uiPriority w:val="99"/>
    <w:semiHidden/>
    <w:unhideWhenUsed/>
    <w:rsid w:val="00F37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14596</Words>
  <Characters>80281</Characters>
  <Application>Microsoft Office Word</Application>
  <DocSecurity>0</DocSecurity>
  <Lines>669</Lines>
  <Paragraphs>189</Paragraphs>
  <ScaleCrop>false</ScaleCrop>
  <Company/>
  <LinksUpToDate>false</LinksUpToDate>
  <CharactersWithSpaces>94688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2020-07-19T20:26:00Z</dcterms:created>
  <dcterms:modified xsi:type="dcterms:W3CDTF">2020-07-19T20:26:00Z</dcterms:modified>
</cp:coreProperties>
</file>