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GÊNERO E SEXUALIDADES NA REVISTA INTERAMERICANA DE PSICOLOGIA: REVISÃO SISTEMÁTICA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Esta revisão sistemática sobre sexualidades e gênero na Revista Interamericana de </w:t>
      </w:r>
      <w:r w:rsidDel="00000000" w:rsidR="00000000" w:rsidRPr="00000000">
        <w:rPr>
          <w:rFonts w:ascii="Times New Roman" w:cs="Times New Roman" w:eastAsia="Times New Roman" w:hAnsi="Times New Roman"/>
          <w:sz w:val="24"/>
          <w:szCs w:val="24"/>
          <w:rtl w:val="0"/>
        </w:rPr>
        <w:t xml:space="preserve">Psicologia</w:t>
      </w:r>
      <w:r w:rsidDel="00000000" w:rsidR="00000000" w:rsidRPr="00000000">
        <w:rPr>
          <w:rFonts w:ascii="Times New Roman" w:cs="Times New Roman" w:eastAsia="Times New Roman" w:hAnsi="Times New Roman"/>
          <w:sz w:val="24"/>
          <w:szCs w:val="24"/>
          <w:rtl w:val="0"/>
        </w:rPr>
        <w:t xml:space="preserve"> cobre 80 artigos das últimas cinco décadas. Pelo método da análise temática, eles foram agrupados em três temas: </w:t>
      </w:r>
      <w:r w:rsidDel="00000000" w:rsidR="00000000" w:rsidRPr="00000000">
        <w:rPr>
          <w:rFonts w:ascii="Times New Roman" w:cs="Times New Roman" w:eastAsia="Times New Roman" w:hAnsi="Times New Roman"/>
          <w:sz w:val="24"/>
          <w:szCs w:val="24"/>
          <w:highlight w:val="white"/>
          <w:rtl w:val="0"/>
        </w:rPr>
        <w:t xml:space="preserve">O conceito de gênero como eixo estruturante das relações psicossociais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Gênero e sexualidades: olhares sob a perspectiva da saúde; Família, espaço de possibilidades e de (re)produção de relações </w:t>
      </w:r>
      <w:r w:rsidDel="00000000" w:rsidR="00000000" w:rsidRPr="00000000">
        <w:rPr>
          <w:rFonts w:ascii="Times New Roman" w:cs="Times New Roman" w:eastAsia="Times New Roman" w:hAnsi="Times New Roman"/>
          <w:sz w:val="24"/>
          <w:szCs w:val="24"/>
          <w:rtl w:val="0"/>
        </w:rPr>
        <w:t xml:space="preserve">de gênero</w:t>
      </w:r>
      <w:r w:rsidDel="00000000" w:rsidR="00000000" w:rsidRPr="00000000">
        <w:rPr>
          <w:rFonts w:ascii="Times New Roman" w:cs="Times New Roman" w:eastAsia="Times New Roman" w:hAnsi="Times New Roman"/>
          <w:sz w:val="24"/>
          <w:szCs w:val="24"/>
          <w:highlight w:val="white"/>
          <w:rtl w:val="0"/>
        </w:rPr>
        <w:t xml:space="preserve">. Notamos mais artigos sobre esses Temas após os anos 1990, entre outros resultados analisados </w:t>
      </w:r>
      <w:r w:rsidDel="00000000" w:rsidR="00000000" w:rsidRPr="00000000">
        <w:rPr>
          <w:rFonts w:ascii="Times New Roman" w:cs="Times New Roman" w:eastAsia="Times New Roman" w:hAnsi="Times New Roman"/>
          <w:sz w:val="24"/>
          <w:szCs w:val="24"/>
          <w:rtl w:val="0"/>
        </w:rPr>
        <w:t xml:space="preserve">a partir dos descritores de busca (</w:t>
      </w:r>
      <w:r w:rsidDel="00000000" w:rsidR="00000000" w:rsidRPr="00000000">
        <w:rPr>
          <w:rFonts w:ascii="Times New Roman" w:cs="Times New Roman" w:eastAsia="Times New Roman" w:hAnsi="Times New Roman"/>
          <w:sz w:val="24"/>
          <w:szCs w:val="24"/>
          <w:rtl w:val="0"/>
        </w:rPr>
        <w:t xml:space="preserve">mãe</w:t>
      </w:r>
      <w:r w:rsidDel="00000000" w:rsidR="00000000" w:rsidRPr="00000000">
        <w:rPr>
          <w:rFonts w:ascii="Times New Roman" w:cs="Times New Roman" w:eastAsia="Times New Roman" w:hAnsi="Times New Roman"/>
          <w:sz w:val="24"/>
          <w:szCs w:val="24"/>
          <w:rtl w:val="0"/>
        </w:rPr>
        <w:t xml:space="preserve">, gênero, masculinidade, sexo e sexua)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Espera-se dessa forma contribuir com reflexões em torno d</w:t>
      </w: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rtl w:val="0"/>
        </w:rPr>
        <w:t xml:space="preserve"> constituição dos conceitos gênero e sexualidades nos campos da Psicologia na América Latina, bem como sobre seus desafios nos dias atuais.</w:t>
      </w:r>
      <w:r w:rsidDel="00000000" w:rsidR="00000000" w:rsidRPr="00000000">
        <w:rPr>
          <w:rtl w:val="0"/>
        </w:rPr>
      </w:r>
    </w:p>
    <w:p w:rsidR="00000000" w:rsidDel="00000000" w:rsidP="00000000" w:rsidRDefault="00000000" w:rsidRPr="00000000" w14:paraId="0000000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América Latina, Gênero, Psicologia, Revisão, Sexualidades.</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Esta revisión sistemática de las sexualidades y del género en la Revista Interamericana de Psicología cubre 80 artículos de las cinco últimas décadas. Por el método de análisis temática, fueron agrupados en tres temas: El concepto de género como eje estructurante de las relaciones psicosociales; Género y sexualidades: puntos de vista desde la perspectiva de la salud; Familia, espacio de posibilidades y (</w:t>
      </w:r>
      <w:r w:rsidDel="00000000" w:rsidR="00000000" w:rsidRPr="00000000">
        <w:rPr>
          <w:rFonts w:ascii="Times New Roman" w:cs="Times New Roman" w:eastAsia="Times New Roman" w:hAnsi="Times New Roman"/>
          <w:sz w:val="24"/>
          <w:szCs w:val="24"/>
          <w:rtl w:val="0"/>
        </w:rPr>
        <w:t xml:space="preserve">re)producción</w:t>
      </w:r>
      <w:r w:rsidDel="00000000" w:rsidR="00000000" w:rsidRPr="00000000">
        <w:rPr>
          <w:rFonts w:ascii="Times New Roman" w:cs="Times New Roman" w:eastAsia="Times New Roman" w:hAnsi="Times New Roman"/>
          <w:sz w:val="24"/>
          <w:szCs w:val="24"/>
          <w:rtl w:val="0"/>
        </w:rPr>
        <w:t xml:space="preserve"> de relaciones de género. Notamos más artículos sobre estos Temas tras la década de 1990, entre otros resultados analizados por los descriptores de búsqueda (madre, género, masculinidad, sexo y sexua). Se espera que contribuya con reflexiones sobre la constitución de los conceptos de género y sexualidad en los campos de la Psicología en América Latina, así como sus desafíos actuales.</w:t>
      </w:r>
      <w:r w:rsidDel="00000000" w:rsidR="00000000" w:rsidRPr="00000000">
        <w:rPr>
          <w:rtl w:val="0"/>
        </w:rPr>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Palabras-clave: </w:t>
      </w:r>
      <w:r w:rsidDel="00000000" w:rsidR="00000000" w:rsidRPr="00000000">
        <w:rPr>
          <w:rFonts w:ascii="Times New Roman" w:cs="Times New Roman" w:eastAsia="Times New Roman" w:hAnsi="Times New Roman"/>
          <w:sz w:val="24"/>
          <w:szCs w:val="24"/>
          <w:rtl w:val="0"/>
        </w:rPr>
        <w:t xml:space="preserve">América Latina, Género, Psicología, Revisión, Sexualidades.</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11">
      <w:pPr>
        <w:spacing w:line="240" w:lineRule="auto"/>
        <w:ind w:firstLine="700"/>
        <w:jc w:val="both"/>
        <w:rPr>
          <w:rFonts w:ascii="Times New Roman" w:cs="Times New Roman" w:eastAsia="Times New Roman" w:hAnsi="Times New Roman"/>
          <w:sz w:val="24"/>
          <w:szCs w:val="24"/>
          <w:shd w:fill="fff2cc" w:val="clear"/>
        </w:rPr>
      </w:pPr>
      <w:r w:rsidDel="00000000" w:rsidR="00000000" w:rsidRPr="00000000">
        <w:rPr>
          <w:rtl w:val="0"/>
        </w:rPr>
      </w:r>
    </w:p>
    <w:p w:rsidR="00000000" w:rsidDel="00000000" w:rsidP="00000000" w:rsidRDefault="00000000" w:rsidRPr="00000000" w14:paraId="0000001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século XX, sobretudo após os anos 1960, inspirados pelos movimentos juvenis, feministas, gays e lésbicos,</w:t>
      </w:r>
      <w:r w:rsidDel="00000000" w:rsidR="00000000" w:rsidRPr="00000000">
        <w:rPr>
          <w:rFonts w:ascii="Times New Roman" w:cs="Times New Roman" w:eastAsia="Times New Roman" w:hAnsi="Times New Roman"/>
          <w:sz w:val="24"/>
          <w:szCs w:val="24"/>
          <w:highlight w:val="white"/>
          <w:rtl w:val="0"/>
        </w:rPr>
        <w:t xml:space="preserve"> estudos acadêmicos e científicos sobre gênero e sexualidades começam a se emancipar das discussões sobre a essencialidade ou a reprodução. As Ciências Humanas e Sociais trouxeram, então, novas críticas e debates em torno das multip</w:t>
      </w:r>
      <w:r w:rsidDel="00000000" w:rsidR="00000000" w:rsidRPr="00000000">
        <w:rPr>
          <w:rFonts w:ascii="Times New Roman" w:cs="Times New Roman" w:eastAsia="Times New Roman" w:hAnsi="Times New Roman"/>
          <w:sz w:val="24"/>
          <w:szCs w:val="24"/>
          <w:rtl w:val="0"/>
        </w:rPr>
        <w:t xml:space="preserve">licidades possíveis da expressão/exercício das sexualidades no novo contexto social </w:t>
      </w:r>
      <w:r w:rsidDel="00000000" w:rsidR="00000000" w:rsidRPr="00000000">
        <w:rPr>
          <w:rFonts w:ascii="Times New Roman" w:cs="Times New Roman" w:eastAsia="Times New Roman" w:hAnsi="Times New Roman"/>
          <w:sz w:val="24"/>
          <w:szCs w:val="24"/>
          <w:highlight w:val="white"/>
          <w:rtl w:val="0"/>
        </w:rPr>
        <w:t xml:space="preserve">(Paiva, 2008)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últimos anos, diversos embates e discussões a respeito dos conceitos de gênero e sexualidades nos campos político, jurídico, acadêmico e social podem ser observados, por exemplo, nos estudos </w:t>
      </w:r>
      <w:r w:rsidDel="00000000" w:rsidR="00000000" w:rsidRPr="00000000">
        <w:rPr>
          <w:rFonts w:ascii="Times New Roman" w:cs="Times New Roman" w:eastAsia="Times New Roman" w:hAnsi="Times New Roman"/>
          <w:i w:val="1"/>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Nesse sentido, Butler (2013) problematiza categorias um tanto cristalizadas nos meios acadêmico e social, envolvendo esses conceitos. Em sua obra, a autora critica os pares conceituais homem/mulher e masculino/feminino, que a seu ver reproduziriam a binaridade da norma (cis)heterosexual hegemônica. Para a autora, tais postulações engessam os olhares envolvendo o corpo, o sexo e o desejo em vários níveis de expressão e articulação social. Ademais, pressupostos como o binarismo de gênero e a heteronormatividade atestam sua fragilidade e são postos em xeque em um mundo plural. Além disso, essa categorização expressaria relações de poder em linguagem que, por vezes, adquirem caráter político na identificação compulsória de indivíduos por Estados em termos do sexo biológico.</w:t>
      </w:r>
    </w:p>
    <w:p w:rsidR="00000000" w:rsidDel="00000000" w:rsidP="00000000" w:rsidRDefault="00000000" w:rsidRPr="00000000" w14:paraId="0000001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par sexo/gênero (no qual o gênero é culturalmente construído e distinto do sexo, dado como biológico ou naturalmente adquirido), Butler (2013) diz ainda que serviu às teorias feministas até meados de 1980, quando começou a ser questionado se o sexo seria não natural, mas discursivo e cultural como o gênero, para o qual propõe a ideia de efeito, expressão, performance e não mais essência, substância, atributo da pessoa. Essa seria uma forma de subverter a (cis)heteronormatividade, ressignificando esses conceitos para além do binarismo hegemônico vigente sobre os corpos, as sexualidades e os desejos.</w:t>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estudos recentes sobre epistemologias feministas na Psicologia, então, as análises críticas são no geral realizadas sobre as maneiras pelas quais a área aborda e entende gêneros e sexualidades. Dessa maneira, entram em tensão com paradigmas teóricos de ênfase mais positivista, sendo aos poucos incorporadas suas questões epistemológicas e metodológicas nas pesquisas e cada vez mais questionadas suas pretensões de neutralidade, objetividade e desinteresse sob a ótica da “ciência moderna”, que procura “proteger os resultados da pesquisa dos valores sociais dos pesquisadores e das suas culturas” (Nogueira, 2011, p. 11). Nesse contexto, </w:t>
      </w:r>
    </w:p>
    <w:p w:rsidR="00000000" w:rsidDel="00000000" w:rsidP="00000000" w:rsidRDefault="00000000" w:rsidRPr="00000000" w14:paraId="00000016">
      <w:pPr>
        <w:spacing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perspectiva feminista na psicologia pode contribuir para a compreensão de todos estes processos, tentando elucidar os mecanismos psicológicos pelos quais o gênero exerce o seu controlo. Devem desafiar a tendência da psicologia para aceitar a diferença, demonstrando como as categorias, quer profissionais quer culturais são construídas (Nogueira, 2001, p. 23).</w:t>
      </w:r>
    </w:p>
    <w:p w:rsidR="00000000" w:rsidDel="00000000" w:rsidP="00000000" w:rsidRDefault="00000000" w:rsidRPr="00000000" w14:paraId="00000017">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história da Psicologia, termos e práticas foram sendo implicadas em conceitos mais amplos de saúde que incluíam direitos e deveres jurídicos, de modo que a área desenvolveu técnicas e métodos de atendimentos próprios para lidar com as questões relacionadas à saúde e ao adoecimento da mente expresso no corpo (psicossomático), como medidas de “profilaxia ou prevenção das doenças mentais” (Medeiros, Bernardes &amp; Guareschi, 2005, p. 267).</w:t>
      </w:r>
    </w:p>
    <w:p w:rsidR="00000000" w:rsidDel="00000000" w:rsidP="00000000" w:rsidRDefault="00000000" w:rsidRPr="00000000" w14:paraId="0000001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produção científica, a partir do final do século XVIII apontou discursos sobre sexualidade pela Medicina e Psiquiatria como uma criação discursivo-institucional, um dispositivo cuja função seria o controle dos corpos e das populações pela normatização das práticas sexuais, sendo delimitada para definir normalidade e anormalidade, legitimando as práticas heterossexuais, reprodutivas e monogâmicas (Foucault, 1986). Em meados do século XX, então inspirados por movimentos juvenis, feministas, gays e lésbicos, os estudos sobre a sexualidade começam a se emancipar das discussões sobre a essencialidade ou a reprodução nas ciências humanas e sociais com análises, estudos e debates sobre as multiplicidades da expressão/exercício das sexualidades nos novos contextos sociais e culturais (Paiva, 2008). </w:t>
      </w:r>
    </w:p>
    <w:p w:rsidR="00000000" w:rsidDel="00000000" w:rsidP="00000000" w:rsidRDefault="00000000" w:rsidRPr="00000000" w14:paraId="0000001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Psicologia, porém, se há, por um lado, um maior reconhecimento das pluralidades e diversidades de práticas sexuais e usos dos corpos; por outro, são persistentes as tentativas de “essencializar e naturalizar as diferenças entre homens e mulheres e reforçar estigmas e estereótipos gendrados” (Andrade &amp; Santos, 2013, p. 19). Em defesa de utilizar o conceito de gênero por profissionais da área como “categoria de estudo e análise profissional”, Andrade e Santos (2013) propõem a estes que questionem os seus “fazeres”, as suas “teorias” e o seu papel, inquirindo: “De que modo temos contribuído para a redução ou o fortalecimento das negligências e discriminações no que se refere à categoria de gênero? Como a Psicologia contribui para reforçar ou quebrar estigmas e estereótipos de gênero?” (</w:t>
      </w:r>
      <w:r w:rsidDel="00000000" w:rsidR="00000000" w:rsidRPr="00000000">
        <w:rPr>
          <w:rFonts w:ascii="Times New Roman" w:cs="Times New Roman" w:eastAsia="Times New Roman" w:hAnsi="Times New Roman"/>
          <w:i w:val="1"/>
          <w:sz w:val="24"/>
          <w:szCs w:val="24"/>
          <w:rtl w:val="0"/>
        </w:rPr>
        <w:t xml:space="preserve">Op. cit.</w:t>
      </w:r>
      <w:r w:rsidDel="00000000" w:rsidR="00000000" w:rsidRPr="00000000">
        <w:rPr>
          <w:rFonts w:ascii="Times New Roman" w:cs="Times New Roman" w:eastAsia="Times New Roman" w:hAnsi="Times New Roman"/>
          <w:sz w:val="24"/>
          <w:szCs w:val="24"/>
          <w:rtl w:val="0"/>
        </w:rPr>
        <w:t xml:space="preserve">, p. 28).</w:t>
      </w:r>
    </w:p>
    <w:p w:rsidR="00000000" w:rsidDel="00000000" w:rsidP="00000000" w:rsidRDefault="00000000" w:rsidRPr="00000000" w14:paraId="0000001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consonância com a compreensão de que estudos sobre esses temas situam-se em um campo interdisciplinar, há um chamado para a Psicologia refletir acerca de sua produção e seus modos de incorporar essas noções no cotidiano de ensino e de pesquisa (Borges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Diante desse chamado, indagamos em que medida a produção na área tem refletido essas demandas e se a produção de conhecimento está atenta aos aportes teóricos e políticos mais recentes, com foco na América Latina, onde há há atravessamentos históricos, políticos, sociais e econômicos em comum, diante dos quais a Psicologia sempre teve diante de si tanto possibilidades de atuar à disposição do sistema estatal quanto em defesa dos direitos humanos na região (Scarparo, Torres &amp; Ecker, 2014).</w:t>
      </w:r>
    </w:p>
    <w:p w:rsidR="00000000" w:rsidDel="00000000" w:rsidP="00000000" w:rsidRDefault="00000000" w:rsidRPr="00000000" w14:paraId="0000001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atravessamentos decerto tiveram (e têm) impactos nos modos de a Psicologia compreender a realidade e produzir conhecimentos para sua atuação, seja no Brasil (Antunes, 2012), seja nos demais países da região. Assim, acreditamos ser possível traçar hipóteses acerca das abordagens dos temas pesquisados com olhares para as semelhanças históricas entre seus países, como “a proximidade temporal dos movimentos de independência no século XIX, a industrialização tardia, os regimes populistas no século XX e os golpes que instauraram ditaduras” (Hur &amp; Lacerda Júnior, 2017, p. 29), além das redes de cooperação e de resistência diversos estabelecidas entre as sociedades latino-americanas.</w:t>
      </w:r>
    </w:p>
    <w:p w:rsidR="00000000" w:rsidDel="00000000" w:rsidP="00000000" w:rsidRDefault="00000000" w:rsidRPr="00000000" w14:paraId="0000001D">
      <w:pPr>
        <w:spacing w:line="24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Nesse sentido, o presente artigo discute parte da produção científica latino-americana sobre esses temas a partir de artigos da Revista Interamericana de </w:t>
      </w:r>
      <w:r w:rsidDel="00000000" w:rsidR="00000000" w:rsidRPr="00000000">
        <w:rPr>
          <w:rFonts w:ascii="Times New Roman" w:cs="Times New Roman" w:eastAsia="Times New Roman" w:hAnsi="Times New Roman"/>
          <w:sz w:val="24"/>
          <w:szCs w:val="24"/>
          <w:rtl w:val="0"/>
        </w:rPr>
        <w:t xml:space="preserve">Psicologia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Interamerican Journal of Psychology - IJP</w:t>
      </w:r>
      <w:r w:rsidDel="00000000" w:rsidR="00000000" w:rsidRPr="00000000">
        <w:rPr>
          <w:rFonts w:ascii="Times New Roman" w:cs="Times New Roman" w:eastAsia="Times New Roman" w:hAnsi="Times New Roman"/>
          <w:sz w:val="24"/>
          <w:szCs w:val="24"/>
          <w:rtl w:val="0"/>
        </w:rPr>
        <w:t xml:space="preserve">) - doravante, “a Revista” - publicada desde 1967 pela Sociedade Interamericana de  Psicologia (SIP)</w:t>
      </w:r>
      <w:r w:rsidDel="00000000" w:rsidR="00000000" w:rsidRPr="00000000">
        <w:rPr>
          <w:rFonts w:ascii="Times New Roman" w:cs="Times New Roman" w:eastAsia="Times New Roman" w:hAnsi="Times New Roman"/>
          <w:sz w:val="24"/>
          <w:szCs w:val="24"/>
          <w:highlight w:val="white"/>
          <w:rtl w:val="0"/>
        </w:rPr>
        <w:t xml:space="preserve"> e considerada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uma das revistas científicas mais influentes e </w:t>
      </w:r>
      <w:r w:rsidDel="00000000" w:rsidR="00000000" w:rsidRPr="00000000">
        <w:rPr>
          <w:rFonts w:ascii="Times New Roman" w:cs="Times New Roman" w:eastAsia="Times New Roman" w:hAnsi="Times New Roman"/>
          <w:sz w:val="24"/>
          <w:szCs w:val="24"/>
          <w:highlight w:val="white"/>
          <w:rtl w:val="0"/>
        </w:rPr>
        <w:t xml:space="preserve">reconhecidas</w:t>
      </w:r>
      <w:r w:rsidDel="00000000" w:rsidR="00000000" w:rsidRPr="00000000">
        <w:rPr>
          <w:rFonts w:ascii="Times New Roman" w:cs="Times New Roman" w:eastAsia="Times New Roman" w:hAnsi="Times New Roman"/>
          <w:sz w:val="24"/>
          <w:szCs w:val="24"/>
          <w:highlight w:val="white"/>
          <w:rtl w:val="0"/>
        </w:rPr>
        <w:t xml:space="preserve"> das </w:t>
      </w:r>
      <w:r w:rsidDel="00000000" w:rsidR="00000000" w:rsidRPr="00000000">
        <w:rPr>
          <w:rFonts w:ascii="Times New Roman" w:cs="Times New Roman" w:eastAsia="Times New Roman" w:hAnsi="Times New Roman"/>
          <w:sz w:val="24"/>
          <w:szCs w:val="24"/>
          <w:rtl w:val="0"/>
        </w:rPr>
        <w:t xml:space="preserve">Américas</w:t>
      </w:r>
      <w:r w:rsidDel="00000000" w:rsidR="00000000" w:rsidRPr="00000000">
        <w:rPr>
          <w:rFonts w:ascii="Times New Roman" w:cs="Times New Roman" w:eastAsia="Times New Roman" w:hAnsi="Times New Roman"/>
          <w:sz w:val="24"/>
          <w:szCs w:val="24"/>
          <w:highlight w:val="white"/>
          <w:rtl w:val="0"/>
        </w:rPr>
        <w:t xml:space="preserve"> (Polanco, 2016). </w:t>
      </w:r>
      <w:r w:rsidDel="00000000" w:rsidR="00000000" w:rsidRPr="00000000">
        <w:rPr>
          <w:rFonts w:ascii="Times New Roman" w:cs="Times New Roman" w:eastAsia="Times New Roman" w:hAnsi="Times New Roman"/>
          <w:sz w:val="24"/>
          <w:szCs w:val="24"/>
          <w:rtl w:val="0"/>
        </w:rPr>
        <w:t xml:space="preserve">A SIP foi fundada em 1951 no </w:t>
      </w:r>
      <w:r w:rsidDel="00000000" w:rsidR="00000000" w:rsidRPr="00000000">
        <w:rPr>
          <w:rFonts w:ascii="Times New Roman" w:cs="Times New Roman" w:eastAsia="Times New Roman" w:hAnsi="Times New Roman"/>
          <w:i w:val="1"/>
          <w:sz w:val="24"/>
          <w:szCs w:val="24"/>
          <w:rtl w:val="0"/>
        </w:rPr>
        <w:t xml:space="preserve">IV Congresso Internacional de Saúde Mental</w:t>
      </w:r>
      <w:r w:rsidDel="00000000" w:rsidR="00000000" w:rsidRPr="00000000">
        <w:rPr>
          <w:rFonts w:ascii="Times New Roman" w:cs="Times New Roman" w:eastAsia="Times New Roman" w:hAnsi="Times New Roman"/>
          <w:sz w:val="24"/>
          <w:szCs w:val="24"/>
          <w:rtl w:val="0"/>
        </w:rPr>
        <w:t xml:space="preserve"> (Cidade do México) em prol da integração entre profissionais da área em todo o continente (Angelini, 2012). Seu objetivo inicial era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criar: “. . . uma estrutura institucional para a comunicação entre os países das Américas no campo da Psicologia” (Maluf, 2004, p. 324). </w:t>
      </w:r>
      <w:r w:rsidDel="00000000" w:rsidR="00000000" w:rsidRPr="00000000">
        <w:rPr>
          <w:rFonts w:ascii="Times New Roman" w:cs="Times New Roman" w:eastAsia="Times New Roman" w:hAnsi="Times New Roman"/>
          <w:sz w:val="24"/>
          <w:szCs w:val="24"/>
          <w:highlight w:val="white"/>
          <w:rtl w:val="0"/>
        </w:rPr>
        <w:t xml:space="preserve">Ao longo de todo esse período:</w:t>
      </w:r>
    </w:p>
    <w:p w:rsidR="00000000" w:rsidDel="00000000" w:rsidP="00000000" w:rsidRDefault="00000000" w:rsidRPr="00000000" w14:paraId="0000001E">
      <w:pPr>
        <w:spacing w:line="24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ind w:left="708.6614173228347"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 . a revista tem cumprido sua missão de promover a Psicologia nas Américas, manifestada pela diversidade de sua estrutura editorial; pelos diferentes países representados; pelo alcance e a amplitude dos assuntos publicados; as diferentes línguas em que a pesquisa é publicada; e seu compromisso de disseminar o conhecimento em maneiras que melhoram a promoção da psicologia de diversas perspectivas” (</w:t>
      </w:r>
      <w:r w:rsidDel="00000000" w:rsidR="00000000" w:rsidRPr="00000000">
        <w:rPr>
          <w:rFonts w:ascii="Times New Roman" w:cs="Times New Roman" w:eastAsia="Times New Roman" w:hAnsi="Times New Roman"/>
          <w:i w:val="1"/>
          <w:sz w:val="24"/>
          <w:szCs w:val="24"/>
          <w:highlight w:val="white"/>
          <w:rtl w:val="0"/>
        </w:rPr>
        <w:t xml:space="preserve">Torres-</w:t>
      </w:r>
      <w:r w:rsidDel="00000000" w:rsidR="00000000" w:rsidRPr="00000000">
        <w:rPr>
          <w:rFonts w:ascii="Times New Roman" w:cs="Times New Roman" w:eastAsia="Times New Roman" w:hAnsi="Times New Roman"/>
          <w:i w:val="1"/>
          <w:sz w:val="24"/>
          <w:szCs w:val="24"/>
          <w:highlight w:val="white"/>
          <w:rtl w:val="0"/>
        </w:rPr>
        <w:t xml:space="preserve">Fernandez</w:t>
      </w:r>
      <w:r w:rsidDel="00000000" w:rsidR="00000000" w:rsidRPr="00000000">
        <w:rPr>
          <w:rFonts w:ascii="Times New Roman" w:cs="Times New Roman" w:eastAsia="Times New Roman" w:hAnsi="Times New Roman"/>
          <w:i w:val="1"/>
          <w:sz w:val="24"/>
          <w:szCs w:val="24"/>
          <w:highlight w:val="white"/>
          <w:rtl w:val="0"/>
        </w:rPr>
        <w:t xml:space="preserve">, Polanco, Pereira, Sueli Beria &amp; Zapico, 2017</w:t>
      </w:r>
      <w:r w:rsidDel="00000000" w:rsidR="00000000" w:rsidRPr="00000000">
        <w:rPr>
          <w:rFonts w:ascii="Times New Roman" w:cs="Times New Roman" w:eastAsia="Times New Roman" w:hAnsi="Times New Roman"/>
          <w:sz w:val="24"/>
          <w:szCs w:val="24"/>
          <w:highlight w:val="white"/>
          <w:rtl w:val="0"/>
        </w:rPr>
        <w:t xml:space="preserve">, 321). (Tradução livre)</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acreditamos que a análise facilitará a compreensão das mudanças na produção da área sobre os conceitos em foco, bem como sobre a diversidade dessa produção na América Latina, ao longo da existência da Revista. </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Métodos</w:t>
      </w:r>
    </w:p>
    <w:p w:rsidR="00000000" w:rsidDel="00000000" w:rsidP="00000000" w:rsidRDefault="00000000" w:rsidRPr="00000000" w14:paraId="00000024">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trata-se de Revisão Sistemática de Literatura (Costa &amp; Zoltowski, 2014), um estudo de natureza quanti-qualitativa, que objetiva analisar os artigos da Revista em foco, disponíveis no seu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utilizando como recorte temporal o período entre o Volume 1 (1967) e o Volume 53, n.º 02 (2019), contabilizando 118 edições.</w:t>
      </w:r>
    </w:p>
    <w:p w:rsidR="00000000" w:rsidDel="00000000" w:rsidP="00000000" w:rsidRDefault="00000000" w:rsidRPr="00000000" w14:paraId="0000002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Três edições - Vol. 14, n.º 2 (1980),</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Vol. 22, n.º 1&amp;2 (1988)</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 Vol. 32, n.º 1 (1998) -, porém, estavam indisponíveis nesse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As duas primeiras foram encontradas na Biblioteca do Instituto de Psicologia da Universidade de São Paulo (USP), enquanto</w:t>
      </w:r>
      <w:r w:rsidDel="00000000" w:rsidR="00000000" w:rsidRPr="00000000">
        <w:rPr>
          <w:rFonts w:ascii="Times New Roman" w:cs="Times New Roman" w:eastAsia="Times New Roman" w:hAnsi="Times New Roman"/>
          <w:sz w:val="24"/>
          <w:szCs w:val="24"/>
          <w:highlight w:val="white"/>
          <w:rtl w:val="0"/>
        </w:rPr>
        <w:t xml:space="preserve"> a última possuía para consulta apenas o sumário em outra base de dados,</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sendo excluída desta revisão. </w:t>
      </w: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Coleta de dados</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w:t>
      </w:r>
      <w:r w:rsidDel="00000000" w:rsidR="00000000" w:rsidRPr="00000000">
        <w:rPr>
          <w:rFonts w:ascii="Times New Roman" w:cs="Times New Roman" w:eastAsia="Times New Roman" w:hAnsi="Times New Roman"/>
          <w:sz w:val="24"/>
          <w:szCs w:val="24"/>
          <w:highlight w:val="white"/>
          <w:rtl w:val="0"/>
        </w:rPr>
        <w:t xml:space="preserve">e coletar </w:t>
      </w:r>
      <w:r w:rsidDel="00000000" w:rsidR="00000000" w:rsidRPr="00000000">
        <w:rPr>
          <w:rFonts w:ascii="Times New Roman" w:cs="Times New Roman" w:eastAsia="Times New Roman" w:hAnsi="Times New Roman"/>
          <w:sz w:val="24"/>
          <w:szCs w:val="24"/>
          <w:rtl w:val="0"/>
        </w:rPr>
        <w:t xml:space="preserve">os dados, foi realizada uma leitura preliminar do </w:t>
      </w:r>
      <w:r w:rsidDel="00000000" w:rsidR="00000000" w:rsidRPr="00000000">
        <w:rPr>
          <w:rFonts w:ascii="Times New Roman" w:cs="Times New Roman" w:eastAsia="Times New Roman" w:hAnsi="Times New Roman"/>
          <w:i w:val="1"/>
          <w:sz w:val="24"/>
          <w:szCs w:val="24"/>
          <w:rtl w:val="0"/>
        </w:rPr>
        <w:t xml:space="preserve">corpus </w:t>
      </w:r>
      <w:r w:rsidDel="00000000" w:rsidR="00000000" w:rsidRPr="00000000">
        <w:rPr>
          <w:rFonts w:ascii="Times New Roman" w:cs="Times New Roman" w:eastAsia="Times New Roman" w:hAnsi="Times New Roman"/>
          <w:sz w:val="24"/>
          <w:szCs w:val="24"/>
          <w:rtl w:val="0"/>
        </w:rPr>
        <w:t xml:space="preserve">(título, resumos e palavras-chaves, se existentes) sob o método indutivo de identificação dos padrões dos dados (</w:t>
      </w:r>
      <w:r w:rsidDel="00000000" w:rsidR="00000000" w:rsidRPr="00000000">
        <w:rPr>
          <w:rFonts w:ascii="Times New Roman" w:cs="Times New Roman" w:eastAsia="Times New Roman" w:hAnsi="Times New Roman"/>
          <w:i w:val="1"/>
          <w:sz w:val="24"/>
          <w:szCs w:val="24"/>
          <w:rtl w:val="0"/>
        </w:rPr>
        <w:t xml:space="preserve">patterns within data</w:t>
      </w:r>
      <w:r w:rsidDel="00000000" w:rsidR="00000000" w:rsidRPr="00000000">
        <w:rPr>
          <w:rFonts w:ascii="Times New Roman" w:cs="Times New Roman" w:eastAsia="Times New Roman" w:hAnsi="Times New Roman"/>
          <w:sz w:val="24"/>
          <w:szCs w:val="24"/>
          <w:rtl w:val="0"/>
        </w:rPr>
        <w:t xml:space="preserve">) da análise temática (Braun &amp; Clarke, 2006). Nessa leitura, o padrão buscado era a afinidade intuitiva com o grande tema “sexualidade e gênero”. </w:t>
      </w:r>
    </w:p>
    <w:p w:rsidR="00000000" w:rsidDel="00000000" w:rsidP="00000000" w:rsidRDefault="00000000" w:rsidRPr="00000000" w14:paraId="0000002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essa leitura, foram definidos os seguintes termos como descritores: mãe, gênero, masculinidade, sexo e sexua (este último, radical de palavras como homossexual, sexualidade, etc). O</w:t>
      </w:r>
      <w:r w:rsidDel="00000000" w:rsidR="00000000" w:rsidRPr="00000000">
        <w:rPr>
          <w:rFonts w:ascii="Times New Roman" w:cs="Times New Roman" w:eastAsia="Times New Roman" w:hAnsi="Times New Roman"/>
          <w:sz w:val="24"/>
          <w:szCs w:val="24"/>
          <w:highlight w:val="white"/>
          <w:rtl w:val="0"/>
        </w:rPr>
        <w:t xml:space="preserve">ptamos pela exclusão de artigos que não os co</w:t>
      </w:r>
      <w:r w:rsidDel="00000000" w:rsidR="00000000" w:rsidRPr="00000000">
        <w:rPr>
          <w:rFonts w:ascii="Times New Roman" w:cs="Times New Roman" w:eastAsia="Times New Roman" w:hAnsi="Times New Roman"/>
          <w:sz w:val="24"/>
          <w:szCs w:val="24"/>
          <w:rtl w:val="0"/>
        </w:rPr>
        <w:t xml:space="preserve">ntinham no título, palavras-chave (após os anos 2000) e/ou resumo, mesmo que dialogassem com o grande tema. Do mesmo modo, foram selecionados apenas artigos, deixando de lado produções como resenhas e comentários.</w:t>
      </w:r>
    </w:p>
    <w:p w:rsidR="00000000" w:rsidDel="00000000" w:rsidP="00000000" w:rsidRDefault="00000000" w:rsidRPr="00000000" w14:paraId="0000002C">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Critérios de inclusão e de exclusão</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Definidos os descritores, foi iniciada a revisão sistemática propriamente dita dos 1145 artigos da Revista, desde a primeira edição (1967) até 2019. Nesta etapa, foram estabelecidos os seguintes critérios de inclusão: a) os descritores deveriam aparecer no título, resumo e/ou palavras-chave do artigo; b) os descritores deveriam estar em ao menos um dos idiomas da Revista (Português, Inglês e/ou Espanhol), sendo realizadas buscas nesses três idiomas.</w:t>
      </w:r>
    </w:p>
    <w:p w:rsidR="00000000" w:rsidDel="00000000" w:rsidP="00000000" w:rsidRDefault="00000000" w:rsidRPr="00000000" w14:paraId="0000003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primeira busca sob esses critérios (Etapa 1) resultou 224 artigos, submetidos a uma segunda busca, nos mesmos descritores, para checar os seguintes critérios de exclusão: a) contexto não se refere à realidade latino-americana; b) descritor caracteriza a amostra, mas não guarda qualquer relação com o tema estudado; c) análise não se refere ao grande tema.</w:t>
      </w:r>
    </w:p>
    <w:p w:rsidR="00000000" w:rsidDel="00000000" w:rsidP="00000000" w:rsidRDefault="00000000" w:rsidRPr="00000000" w14:paraId="00000031">
      <w:pPr>
        <w:spacing w:line="240" w:lineRule="auto"/>
        <w:ind w:firstLine="720"/>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Após essa seleção (Etapa 2), os 80 artigos foram submetidos à codificação (Etapa 3), primeira fase da análise temática (Braun &amp; Clarke, 2006), detalhada na próxima seção.</w:t>
      </w: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2.3 Codificação temática </w:t>
      </w: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5">
      <w:pP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Para a aplicação da codificação temática, cada artigo teve revisto seu título, resumo, palavras-chave e resultado, sendo estabelecidos códigos (ou subtemas) para cada qual. Após a análise dos subtemas, os artigos foram codificados, por afinidade, nos seguintes temas:</w:t>
      </w: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 conceito de gênero como estruturante das relações psicossociais </w:t>
      </w:r>
      <w:r w:rsidDel="00000000" w:rsidR="00000000" w:rsidRPr="00000000">
        <w:rPr>
          <w:rFonts w:ascii="Times New Roman" w:cs="Times New Roman" w:eastAsia="Times New Roman" w:hAnsi="Times New Roman"/>
          <w:sz w:val="24"/>
          <w:szCs w:val="24"/>
          <w:rtl w:val="0"/>
        </w:rPr>
        <w:t xml:space="preserve">(35 artigos);</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w:t>
      </w:r>
      <w:r w:rsidDel="00000000" w:rsidR="00000000" w:rsidRPr="00000000">
        <w:rPr>
          <w:rFonts w:ascii="Times New Roman" w:cs="Times New Roman" w:eastAsia="Times New Roman" w:hAnsi="Times New Roman"/>
          <w:sz w:val="24"/>
          <w:szCs w:val="24"/>
          <w:highlight w:val="white"/>
          <w:rtl w:val="0"/>
        </w:rPr>
        <w:t xml:space="preserve">) Gênero e sexualidades: olhares sob a perspectiva da saúde</w:t>
      </w:r>
      <w:r w:rsidDel="00000000" w:rsidR="00000000" w:rsidRPr="00000000">
        <w:rPr>
          <w:rFonts w:ascii="Times New Roman" w:cs="Times New Roman" w:eastAsia="Times New Roman" w:hAnsi="Times New Roman"/>
          <w:sz w:val="24"/>
          <w:szCs w:val="24"/>
          <w:rtl w:val="0"/>
        </w:rPr>
        <w:t xml:space="preserve"> (25 artigos)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w:t>
      </w:r>
      <w:r w:rsidDel="00000000" w:rsidR="00000000" w:rsidRPr="00000000">
        <w:rPr>
          <w:rFonts w:ascii="Times New Roman" w:cs="Times New Roman" w:eastAsia="Times New Roman" w:hAnsi="Times New Roman"/>
          <w:sz w:val="24"/>
          <w:szCs w:val="24"/>
          <w:highlight w:val="white"/>
          <w:rtl w:val="0"/>
        </w:rPr>
        <w:t xml:space="preserve">) Família, espaço de possibilidades e de (re)produção de relações de gênero </w:t>
      </w:r>
      <w:r w:rsidDel="00000000" w:rsidR="00000000" w:rsidRPr="00000000">
        <w:rPr>
          <w:rFonts w:ascii="Times New Roman" w:cs="Times New Roman" w:eastAsia="Times New Roman" w:hAnsi="Times New Roman"/>
          <w:sz w:val="24"/>
          <w:szCs w:val="24"/>
          <w:rtl w:val="0"/>
        </w:rPr>
        <w:t xml:space="preserve">(20 artigos).</w:t>
      </w: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primeiro tema, encontramos tópicos tais como </w:t>
      </w:r>
      <w:r w:rsidDel="00000000" w:rsidR="00000000" w:rsidRPr="00000000">
        <w:rPr>
          <w:rFonts w:ascii="Times New Roman" w:cs="Times New Roman" w:eastAsia="Times New Roman" w:hAnsi="Times New Roman"/>
          <w:sz w:val="24"/>
          <w:szCs w:val="24"/>
          <w:highlight w:val="white"/>
          <w:rtl w:val="0"/>
        </w:rPr>
        <w:t xml:space="preserve">diferenças culturais e papéis sociais de gênero (relações psicossociais de gênero, diferenças culturais e sexuais, papéis sexuais), bem como movimentos sociais, identidade sexual, feminilidades, masculinidades, violências e estereótipos de gênero. </w:t>
      </w:r>
      <w:r w:rsidDel="00000000" w:rsidR="00000000" w:rsidRPr="00000000">
        <w:rPr>
          <w:rFonts w:ascii="Times New Roman" w:cs="Times New Roman" w:eastAsia="Times New Roman" w:hAnsi="Times New Roman"/>
          <w:sz w:val="24"/>
          <w:szCs w:val="24"/>
          <w:rtl w:val="0"/>
        </w:rPr>
        <w:t xml:space="preserve">No segundo, foram agrupados </w:t>
      </w:r>
      <w:r w:rsidDel="00000000" w:rsidR="00000000" w:rsidRPr="00000000">
        <w:rPr>
          <w:rFonts w:ascii="Times New Roman" w:cs="Times New Roman" w:eastAsia="Times New Roman" w:hAnsi="Times New Roman"/>
          <w:sz w:val="24"/>
          <w:szCs w:val="24"/>
          <w:highlight w:val="white"/>
          <w:rtl w:val="0"/>
        </w:rPr>
        <w:t xml:space="preserve">estudos sobre o comportamento sexual, prevenção de enfermidades e HIV/AIDS. No terceiro, com foco na família, os artigos trataram de assuntos como maternidade e paternidade, desenvolvimento infantil, violência doméstica e processo terapêutico familiar.</w:t>
      </w:r>
    </w:p>
    <w:p w:rsidR="00000000" w:rsidDel="00000000" w:rsidP="00000000" w:rsidRDefault="00000000" w:rsidRPr="00000000" w14:paraId="0000003B">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38100</wp:posOffset>
            </wp:positionV>
            <wp:extent cx="4105275" cy="2061075"/>
            <wp:effectExtent b="0" l="0" r="0" t="0"/>
            <wp:wrapSquare wrapText="bothSides" distB="0" distT="0" distL="0" distR="0"/>
            <wp:docPr descr="Points scored" id="1" name="image1.png"/>
            <a:graphic>
              <a:graphicData uri="http://schemas.openxmlformats.org/drawingml/2006/picture">
                <pic:pic>
                  <pic:nvPicPr>
                    <pic:cNvPr descr="Points scored" id="0" name="image1.png"/>
                    <pic:cNvPicPr preferRelativeResize="0"/>
                  </pic:nvPicPr>
                  <pic:blipFill>
                    <a:blip r:embed="rId7"/>
                    <a:srcRect b="0" l="0" r="2104" t="12394"/>
                    <a:stretch>
                      <a:fillRect/>
                    </a:stretch>
                  </pic:blipFill>
                  <pic:spPr>
                    <a:xfrm>
                      <a:off x="0" y="0"/>
                      <a:ext cx="4105275" cy="2061075"/>
                    </a:xfrm>
                    <a:prstGeom prst="rect"/>
                    <a:ln/>
                  </pic:spPr>
                </pic:pic>
              </a:graphicData>
            </a:graphic>
          </wp:anchor>
        </w:drawing>
      </w:r>
    </w:p>
    <w:p w:rsidR="00000000" w:rsidDel="00000000" w:rsidP="00000000" w:rsidRDefault="00000000" w:rsidRPr="00000000" w14:paraId="000000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Resultados</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Como primeiro achado, a</w:t>
      </w:r>
      <w:r w:rsidDel="00000000" w:rsidR="00000000" w:rsidRPr="00000000">
        <w:rPr>
          <w:rFonts w:ascii="Times New Roman" w:cs="Times New Roman" w:eastAsia="Times New Roman" w:hAnsi="Times New Roman"/>
          <w:sz w:val="24"/>
          <w:szCs w:val="24"/>
          <w:rtl w:val="0"/>
        </w:rPr>
        <w:t xml:space="preserve"> ocorrência dos descritores nos artigos consta do Gráfico 1, no qual </w:t>
      </w:r>
      <w:r w:rsidDel="00000000" w:rsidR="00000000" w:rsidRPr="00000000">
        <w:rPr>
          <w:rFonts w:ascii="Times New Roman" w:cs="Times New Roman" w:eastAsia="Times New Roman" w:hAnsi="Times New Roman"/>
          <w:sz w:val="24"/>
          <w:szCs w:val="24"/>
          <w:highlight w:val="white"/>
          <w:rtl w:val="0"/>
        </w:rPr>
        <w:t xml:space="preserve">observa-se o aumento no número de artigos a partir dos anos 1990 e sua concentração nas duas últimas décadas, sobretudo a de 2000. </w:t>
      </w: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1. Distribuição dos descritores por década.</w:t>
      </w:r>
    </w:p>
    <w:p w:rsidR="00000000" w:rsidDel="00000000" w:rsidP="00000000" w:rsidRDefault="00000000" w:rsidRPr="00000000" w14:paraId="00000041">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Ao discutir sexualidades, notamos que os descritores sexo e sexua foram observados em quase todas as décadas. Utilizado para contemplar diferentes léxicos, sexua teve maior incidência (45 vezes) entre todos os descritores, sobretudo nas duas últimas décadas (43,3% do período). A produção em torno do descritor gênero também foi alta nesse período, em especial na última década (30,4% da produção), com aumento significativo a partir de sua emergência nos anos 1990.</w:t>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106892</wp:posOffset>
            </wp:positionV>
            <wp:extent cx="3990975" cy="2376458"/>
            <wp:effectExtent b="0" l="0" r="0" t="0"/>
            <wp:wrapSquare wrapText="bothSides" distB="57150" distT="57150" distL="57150" distR="57150"/>
            <wp:docPr id="2" name="image2.png"/>
            <a:graphic>
              <a:graphicData uri="http://schemas.openxmlformats.org/drawingml/2006/picture">
                <pic:pic>
                  <pic:nvPicPr>
                    <pic:cNvPr id="0" name="image2.png"/>
                    <pic:cNvPicPr preferRelativeResize="0"/>
                  </pic:nvPicPr>
                  <pic:blipFill>
                    <a:blip r:embed="rId8"/>
                    <a:srcRect b="4634" l="0" r="0" t="11782"/>
                    <a:stretch>
                      <a:fillRect/>
                    </a:stretch>
                  </pic:blipFill>
                  <pic:spPr>
                    <a:xfrm>
                      <a:off x="0" y="0"/>
                      <a:ext cx="3990975" cy="2376458"/>
                    </a:xfrm>
                    <a:prstGeom prst="rect"/>
                    <a:ln/>
                  </pic:spPr>
                </pic:pic>
              </a:graphicData>
            </a:graphic>
          </wp:anchor>
        </w:drawing>
      </w:r>
    </w:p>
    <w:p w:rsidR="00000000" w:rsidDel="00000000" w:rsidP="00000000" w:rsidRDefault="00000000" w:rsidRPr="00000000" w14:paraId="00000042">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menor incidência, artigos com o descritor masculinidade só emergem na Revista a partir de 1990, estando concentrado nos anos 2000 (57,1%). Como os demais, o descritor mãe verifica um aumento ao fim do século XX, com pico (42,8%) em 2010. Foi o descritor com a segunda menor ocorrência entre todos (12,2%), perdendo apenas para masculinidade. </w:t>
      </w:r>
    </w:p>
    <w:p w:rsidR="00000000" w:rsidDel="00000000" w:rsidP="00000000" w:rsidRDefault="00000000" w:rsidRPr="00000000" w14:paraId="00000043">
      <w:pPr>
        <w:spacing w:line="24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Note-se que os anos 2000 são responsáveis por 38,2% e a década de 2010 por 40% dos descritores elencados, o que instiga a compreender quais fenômenos presentes nas sociedades latino-americanas provocaram o interesse crescente por tais temas nas duas últimas décadas. No caso da Revista, sua distribuição após a codificação temática segue descrita no Gráfico 2.</w:t>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GRÁFICO 2. Codificação temática por década.</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-114299</wp:posOffset>
            </wp:positionH>
            <wp:positionV relativeFrom="paragraph">
              <wp:posOffset>135467</wp:posOffset>
            </wp:positionV>
            <wp:extent cx="4105275" cy="2021917"/>
            <wp:effectExtent b="0" l="0" r="0" t="0"/>
            <wp:wrapSquare wrapText="bothSides" distB="0" distT="0" distL="0" distR="0"/>
            <wp:docPr descr="Points scored" id="3" name="image3.png"/>
            <a:graphic>
              <a:graphicData uri="http://schemas.openxmlformats.org/drawingml/2006/picture">
                <pic:pic>
                  <pic:nvPicPr>
                    <pic:cNvPr descr="Points scored" id="0" name="image3.png"/>
                    <pic:cNvPicPr preferRelativeResize="0"/>
                  </pic:nvPicPr>
                  <pic:blipFill>
                    <a:blip r:embed="rId9"/>
                    <a:srcRect b="0" l="0" r="2104" t="13905"/>
                    <a:stretch>
                      <a:fillRect/>
                    </a:stretch>
                  </pic:blipFill>
                  <pic:spPr>
                    <a:xfrm>
                      <a:off x="0" y="0"/>
                      <a:ext cx="4105275" cy="2021917"/>
                    </a:xfrm>
                    <a:prstGeom prst="rect"/>
                    <a:ln/>
                  </pic:spPr>
                </pic:pic>
              </a:graphicData>
            </a:graphic>
          </wp:anchor>
        </w:drawing>
      </w:r>
    </w:p>
    <w:p w:rsidR="00000000" w:rsidDel="00000000" w:rsidP="00000000" w:rsidRDefault="00000000" w:rsidRPr="00000000" w14:paraId="00000047">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 produtividade por década, não foram localizados artigos nos anos 1960. Foram encontrados apenas cinco artigos nos Temas 1 e 3 entre 1970 e 1980. O Tema 2, mais afim às questões de saúde e sexualidade, emerge a partir dos anos 1990, quando também entram em ascensão questões abordadas nos outros dois temas - notadamente no Tema 3, que explora relações de gênero e família. </w:t>
      </w:r>
    </w:p>
    <w:p w:rsidR="00000000" w:rsidDel="00000000" w:rsidP="00000000" w:rsidRDefault="00000000" w:rsidRPr="00000000" w14:paraId="00000048">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Nas décadas de 2000 e 2010, quantidade similar de artigos por períodos foi encontrada nos temas I e II, sendo que o Tema I responde por 43,8% dos artigos analisados. No geral, os temas têm observado uma produção crescente, notadamente nos temas II e III, sugerindo tendências que, talvez, possam ser melhor observadas na próxima década.</w:t>
      </w:r>
    </w:p>
    <w:p w:rsidR="00000000" w:rsidDel="00000000" w:rsidP="00000000" w:rsidRDefault="00000000" w:rsidRPr="00000000" w14:paraId="00000049">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 relação ao gênero dos </w:t>
      </w:r>
      <w:r w:rsidDel="00000000" w:rsidR="00000000" w:rsidRPr="00000000">
        <w:rPr>
          <w:rFonts w:ascii="Times New Roman" w:cs="Times New Roman" w:eastAsia="Times New Roman" w:hAnsi="Times New Roman"/>
          <w:sz w:val="24"/>
          <w:szCs w:val="24"/>
          <w:highlight w:val="white"/>
          <w:rtl w:val="0"/>
        </w:rPr>
        <w:t xml:space="preserve">autores</w:t>
      </w:r>
      <w:r w:rsidDel="00000000" w:rsidR="00000000" w:rsidRPr="00000000">
        <w:rPr>
          <w:rFonts w:ascii="Times New Roman" w:cs="Times New Roman" w:eastAsia="Times New Roman" w:hAnsi="Times New Roman"/>
          <w:sz w:val="24"/>
          <w:szCs w:val="24"/>
          <w:highlight w:val="white"/>
          <w:rtl w:val="0"/>
        </w:rPr>
        <w:t xml:space="preserve">, atribuído a partir do nome social e da consulta eventual às bases curriculares, notamos o interesse nos temas abordados e uma produção acadêmica entre as pesquisadoras, sobretudo a partir dos anos 1990, quando o grande tema recebe aportes importantes dos movimentos feministas, entre outros, como se verá adiante. </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Discussão</w:t>
      </w:r>
    </w:p>
    <w:p w:rsidR="00000000" w:rsidDel="00000000" w:rsidP="00000000" w:rsidRDefault="00000000" w:rsidRPr="00000000" w14:paraId="0000004C">
      <w:pPr>
        <w:spacing w:line="240" w:lineRule="auto"/>
        <w:ind w:firstLine="720"/>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4D">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Como visto, há uma maior ocorrência de certos descritores a partir de determinadas décadas. A literatura sobre o tema apresenta algumas hipóteses para a maior ocorrência de gênero </w:t>
      </w:r>
      <w:r w:rsidDel="00000000" w:rsidR="00000000" w:rsidRPr="00000000">
        <w:rPr>
          <w:rFonts w:ascii="Times New Roman" w:cs="Times New Roman" w:eastAsia="Times New Roman" w:hAnsi="Times New Roman"/>
          <w:sz w:val="24"/>
          <w:szCs w:val="24"/>
          <w:highlight w:val="white"/>
          <w:rtl w:val="0"/>
        </w:rPr>
        <w:t xml:space="preserve">e sexualidades a partir dos anos 1990, por exemplo, nos artigos revistos, relacionadas sobretudo a movimentos feministas no mundo ocidental (Scott, 1995) e à criação de grupos de estudos sobre o tema, no caso do Brasil (Rago, 1998). C</w:t>
      </w:r>
      <w:r w:rsidDel="00000000" w:rsidR="00000000" w:rsidRPr="00000000">
        <w:rPr>
          <w:rFonts w:ascii="Times New Roman" w:cs="Times New Roman" w:eastAsia="Times New Roman" w:hAnsi="Times New Roman"/>
          <w:sz w:val="24"/>
          <w:szCs w:val="24"/>
          <w:rtl w:val="0"/>
        </w:rPr>
        <w:t xml:space="preserve">onsiderando os saberes “psi” inclusos na Revista, comentaremos adiante os artigos sistematizados nos temas </w:t>
      </w:r>
      <w:r w:rsidDel="00000000" w:rsidR="00000000" w:rsidRPr="00000000">
        <w:rPr>
          <w:rFonts w:ascii="Times New Roman" w:cs="Times New Roman" w:eastAsia="Times New Roman" w:hAnsi="Times New Roman"/>
          <w:sz w:val="24"/>
          <w:szCs w:val="24"/>
          <w:highlight w:val="white"/>
          <w:rtl w:val="0"/>
        </w:rPr>
        <w:t xml:space="preserve">à luz da literatura atual.</w:t>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spacing w:line="24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4.1 Tema 1: </w:t>
      </w:r>
      <w:r w:rsidDel="00000000" w:rsidR="00000000" w:rsidRPr="00000000">
        <w:rPr>
          <w:rFonts w:ascii="Times New Roman" w:cs="Times New Roman" w:eastAsia="Times New Roman" w:hAnsi="Times New Roman"/>
          <w:b w:val="1"/>
          <w:sz w:val="24"/>
          <w:szCs w:val="24"/>
          <w:highlight w:val="white"/>
          <w:rtl w:val="0"/>
        </w:rPr>
        <w:t xml:space="preserve">O conceito de gênero como estruturante das relações psicossociais</w:t>
      </w: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Este Tema possui o maior número (35) de artigos e perpassa todas as décadas desta revisão, exceto, os anos 1960. Para os propósitos desta revisão, os artigos foram divididos em quatro</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subtemas: a) papéis sexuais e de gênero; b) relações e identidades sexuais e de gênero; c) masculinidades, práticas sexuais e de gênero e d) violências e resistências.</w:t>
      </w: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4.1.1 Papéis sexuais e de gênero</w:t>
      </w:r>
      <w:r w:rsidDel="00000000" w:rsidR="00000000" w:rsidRPr="00000000">
        <w:rPr>
          <w:rFonts w:ascii="Times New Roman" w:cs="Times New Roman" w:eastAsia="Times New Roman" w:hAnsi="Times New Roman"/>
          <w:sz w:val="24"/>
          <w:szCs w:val="24"/>
          <w:highlight w:val="white"/>
          <w:rtl w:val="0"/>
        </w:rPr>
        <w:t xml:space="preserve">. Remontando aos anos 1970, consiste no único subtema do Tema 1 que antecede aos anos 1990. Apesar da variedade de assuntos e métodos, o enfoque sobre “diferenças sexuais” e “papéis sexuais” nos três artigos dos anos 1970 e 1980 levou à primeira parte do seu nome. A emergência posterior dos estudos de gênero como categoria de análise nos anos 1990, então, completa esse subtema com outros onze artigos (Tabela 1).</w:t>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1. Quadro de artigos - Subtema 1 (Tema 1)</w:t>
      </w:r>
      <w:r w:rsidDel="00000000" w:rsidR="00000000" w:rsidRPr="00000000">
        <w:rPr>
          <w:rtl w:val="0"/>
        </w:rPr>
      </w:r>
    </w:p>
    <w:tbl>
      <w:tblPr>
        <w:tblStyle w:val="Table1"/>
        <w:tblW w:w="90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765"/>
        <w:gridCol w:w="3315"/>
        <w:gridCol w:w="2250"/>
        <w:gridCol w:w="2085"/>
        <w:tblGridChange w:id="0">
          <w:tblGrid>
            <w:gridCol w:w="600"/>
            <w:gridCol w:w="765"/>
            <w:gridCol w:w="3315"/>
            <w:gridCol w:w="2250"/>
            <w:gridCol w:w="2085"/>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056">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8" w:val="single"/>
            </w:tcBorders>
            <w:vAlign w:val="center"/>
          </w:tcPr>
          <w:p w:rsidR="00000000" w:rsidDel="00000000" w:rsidP="00000000" w:rsidRDefault="00000000" w:rsidRPr="00000000" w14:paraId="00000058">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 </w:t>
            </w:r>
          </w:p>
          <w:p w:rsidR="00000000" w:rsidDel="00000000" w:rsidP="00000000" w:rsidRDefault="00000000" w:rsidRPr="00000000" w14:paraId="00000059">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Assunto(s)</w:t>
            </w:r>
          </w:p>
          <w:p w:rsidR="00000000" w:rsidDel="00000000" w:rsidP="00000000" w:rsidRDefault="00000000" w:rsidRPr="00000000" w14:paraId="0000005B">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05D">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98.42519685039372" w:hRule="atLeast"/>
        </w:trPr>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1970</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Mebane &amp; Johnson</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Diferenças sexuais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7">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EUA, México</w:t>
            </w:r>
          </w:p>
        </w:tc>
      </w:tr>
      <w:tr>
        <w:trPr>
          <w:trHeight w:val="198.42519685039372" w:hRule="atLeast"/>
        </w:trPr>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1977</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Alencar, Alvim &amp; Matias</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(BRA)</w:t>
            </w:r>
          </w:p>
        </w:tc>
      </w:tr>
      <w:tr>
        <w:trPr>
          <w:trHeight w:val="198.42519685039372" w:hRule="atLeast"/>
        </w:trPr>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1988</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22(1&amp;2)</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Kashak &amp; Sharatt</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Rica</w:t>
            </w:r>
          </w:p>
        </w:tc>
      </w:tr>
      <w:tr>
        <w:trPr>
          <w:trHeight w:val="198.42519685039372" w:hRule="atLeast"/>
        </w:trPr>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1994</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28(2)</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Acuña, Bruner &amp; Avila</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98.42519685039372" w:hRule="atLeast"/>
        </w:trPr>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Souza &amp; Hutz</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(BRA)</w:t>
            </w:r>
          </w:p>
        </w:tc>
      </w:tr>
      <w:tr>
        <w:trPr>
          <w:trHeight w:val="198.42519685039372" w:hRule="atLeast"/>
        </w:trPr>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1998</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32(2)</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Krippner, Winkler, Rochlen &amp; Yashar</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7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Diferenças de gênero</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Argentina</w:t>
            </w:r>
          </w:p>
        </w:tc>
      </w:tr>
      <w:tr>
        <w:trPr>
          <w:trHeight w:val="198.42519685039372" w:hRule="atLeast"/>
        </w:trPr>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1999</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33(1)</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Carlo, Roesch &amp; Koller</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de gênero</w:t>
            </w:r>
          </w:p>
        </w:tc>
        <w:tc>
          <w:tcPr>
            <w:tcBorders>
              <w:top w:color="000000" w:space="0" w:sz="0" w:val="nil"/>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BRA, EUA</w:t>
            </w:r>
          </w:p>
        </w:tc>
      </w:tr>
      <w:tr>
        <w:trPr>
          <w:trHeight w:val="198.42519685039372" w:hRule="atLeast"/>
        </w:trPr>
        <w:tc>
          <w:tcPr>
            <w:vMerge w:val="restart"/>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2001</w:t>
            </w:r>
          </w:p>
        </w:tc>
        <w:tc>
          <w:tcPr>
            <w:vMerge w:val="restart"/>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35(1)</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Baldwin &amp; De Souza</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de gênero</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98.42519685039372" w:hRule="atLeast"/>
        </w:trPr>
        <w:tc>
          <w:tcPr>
            <w:vMerge w:val="continue"/>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B">
            <w:pPr>
              <w:spacing w:line="240" w:lineRule="auto"/>
              <w:jc w:val="both"/>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C">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Acuña &amp; Bruner</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8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98.42519685039372" w:hRule="atLeast"/>
        </w:trPr>
        <w:tc>
          <w:tcPr>
            <w:tcBorders>
              <w:top w:color="000000" w:space="0" w:sz="0" w:val="nil"/>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9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9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43(3)</w:t>
            </w:r>
          </w:p>
        </w:tc>
        <w:tc>
          <w:tcPr>
            <w:tcBorders>
              <w:top w:color="000000" w:space="0" w:sz="0" w:val="nil"/>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9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Cárdenas, González, Calderón &amp; Lay</w:t>
            </w:r>
          </w:p>
        </w:tc>
        <w:tc>
          <w:tcPr>
            <w:tcBorders>
              <w:top w:color="000000" w:space="0" w:sz="0" w:val="nil"/>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9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9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bl>
    <w:p w:rsidR="00000000" w:rsidDel="00000000" w:rsidP="00000000" w:rsidRDefault="00000000" w:rsidRPr="00000000" w14:paraId="00000095">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sz w:val="24"/>
          <w:szCs w:val="24"/>
          <w:rtl w:val="0"/>
        </w:rPr>
        <w:t xml:space="preserve">Na década de 1970, apenas crianças participaram nos dois artigos aqui elencados. No primeiro meninos e meninas dos Estados Unidos da América (EUA) e México fizeram parte de um estudo psicométrico comparado das suas habilidades cognitivas (IJP, 1970). No segundo, crianças do Brasil auxiliaram estudo sobre a relação entre sexo, classe, desempenho e atração por brinquedos (IJP, 1977). Na década seguinte, o público-alvo do artigo encontrado muda: desta vez, estudantes da Costa Rica participam de um estudo sobre papéis sexuais nos EUA (IJP, 1988). O termo gênero ainda não aparece nesse artigo.</w:t>
      </w:r>
    </w:p>
    <w:p w:rsidR="00000000" w:rsidDel="00000000" w:rsidP="00000000" w:rsidRDefault="00000000" w:rsidRPr="00000000" w14:paraId="0000009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de 1990, então, encontramos mais quatro artigos nesse subtema: um sobre papéis sexuais e sua relação com a classe social no México (IJP, 1994); um inventário de respostas a estímulos sexuais e sua relação com o grau de identificação do participante com certos papéis sexuais e o seu sexo (IJP, 1995); um sobre diferenças de gênero e origem nos sonhos de participantes da Argentina, do Brasil e Estados Unidos (IJP, 1998) e um sobre diferenças e semelhanças no raciocínio moral pró-social de crianças e adolescentes nos EUA e no Brasil quanto à nacionalidade e ao gênero (IJP, 1999). Esses primeiros usos de gênero, por vezes, ocorrem como um sinônimo de sexo, tal como utilizado nas décadas anteriores.</w:t>
      </w:r>
    </w:p>
    <w:p w:rsidR="00000000" w:rsidDel="00000000" w:rsidP="00000000" w:rsidRDefault="00000000" w:rsidRPr="00000000" w14:paraId="0000009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deste século, ainda há artigos sobre papéis sexuais, como no estudo comparado entre estereótipos desses papéis no México e nos Estados (IJP, 2001) ou no estudo psicométrico que aplicou inventário acerca desses papéis no Chile (IJP, 2009). Ainda assim, emergem outros fatores, como história, trabalho/economia, religião e outros, como em um ensaio teórico sobre papéis de gênero e sua relação com o “marianismo” no Brasil (IJP, 2001). </w:t>
      </w:r>
    </w:p>
    <w:p w:rsidR="00000000" w:rsidDel="00000000" w:rsidP="00000000" w:rsidRDefault="00000000" w:rsidRPr="00000000" w14:paraId="0000009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do fim parcialmente abrupto desse subtema em meados da década passada, parece cabível a crítica de Connell (1995), para quem os conceitos de papéis sexuais nas Ciências Sociais dificultariam a compreensão das relações de gênero como relações de poder, o que seria, a seu ver: “. . . minimizar a violência, suprimir a questão da coerção, fazendo uma suposição ampla de consentimento” (</w:t>
      </w:r>
      <w:r w:rsidDel="00000000" w:rsidR="00000000" w:rsidRPr="00000000">
        <w:rPr>
          <w:rFonts w:ascii="Times New Roman" w:cs="Times New Roman" w:eastAsia="Times New Roman" w:hAnsi="Times New Roman"/>
          <w:i w:val="1"/>
          <w:sz w:val="24"/>
          <w:szCs w:val="24"/>
          <w:rtl w:val="0"/>
        </w:rPr>
        <w:t xml:space="preserve">Op. cit</w:t>
      </w:r>
      <w:r w:rsidDel="00000000" w:rsidR="00000000" w:rsidRPr="00000000">
        <w:rPr>
          <w:rFonts w:ascii="Times New Roman" w:cs="Times New Roman" w:eastAsia="Times New Roman" w:hAnsi="Times New Roman"/>
          <w:sz w:val="24"/>
          <w:szCs w:val="24"/>
          <w:rtl w:val="0"/>
        </w:rPr>
        <w:t xml:space="preserve">., p. 27). </w:t>
      </w:r>
    </w:p>
    <w:p w:rsidR="00000000" w:rsidDel="00000000" w:rsidP="00000000" w:rsidRDefault="00000000" w:rsidRPr="00000000" w14:paraId="0000009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4.1.2 </w:t>
      </w:r>
      <w:r w:rsidDel="00000000" w:rsidR="00000000" w:rsidRPr="00000000">
        <w:rPr>
          <w:rFonts w:ascii="Times New Roman" w:cs="Times New Roman" w:eastAsia="Times New Roman" w:hAnsi="Times New Roman"/>
          <w:b w:val="1"/>
          <w:i w:val="1"/>
          <w:sz w:val="24"/>
          <w:szCs w:val="24"/>
          <w:rtl w:val="0"/>
        </w:rPr>
        <w:t xml:space="preserve">Relações e identidades sexuais e de gênero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Nesse subtema, que emerge a partir de 1990, há artigos sobre relações de gênero, identidades de gênero e sexo, bem como sexismos, aí incluindo atitudes, preconceitos e estereótipos de gênero e sexualidades (Tabela 2).</w:t>
      </w:r>
    </w:p>
    <w:p w:rsidR="00000000" w:rsidDel="00000000" w:rsidP="00000000" w:rsidRDefault="00000000" w:rsidRPr="00000000" w14:paraId="0000009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2. Quadro de artigos - Subtema 2 (Tema 1)</w:t>
      </w:r>
      <w:r w:rsidDel="00000000" w:rsidR="00000000" w:rsidRPr="00000000">
        <w:rPr>
          <w:rtl w:val="0"/>
        </w:rPr>
      </w:r>
    </w:p>
    <w:tbl>
      <w:tblPr>
        <w:tblStyle w:val="Table2"/>
        <w:tblW w:w="90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660"/>
        <w:gridCol w:w="4005"/>
        <w:gridCol w:w="2325"/>
        <w:gridCol w:w="1500"/>
        <w:tblGridChange w:id="0">
          <w:tblGrid>
            <w:gridCol w:w="555"/>
            <w:gridCol w:w="660"/>
            <w:gridCol w:w="4005"/>
            <w:gridCol w:w="2325"/>
            <w:gridCol w:w="1500"/>
          </w:tblGrid>
        </w:tblGridChange>
      </w:tblGrid>
      <w:tr>
        <w:trPr>
          <w:trHeight w:val="226.7716535433071" w:hRule="atLeast"/>
        </w:trPr>
        <w:tc>
          <w:tcPr>
            <w:gridSpan w:val="2"/>
            <w:tcBorders>
              <w:top w:color="000000" w:space="0" w:sz="12" w:val="single"/>
              <w:bottom w:color="000000" w:space="0" w:sz="6" w:val="single"/>
            </w:tcBorders>
          </w:tcPr>
          <w:p w:rsidR="00000000" w:rsidDel="00000000" w:rsidP="00000000" w:rsidRDefault="00000000" w:rsidRPr="00000000" w14:paraId="0000009E">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8" w:val="single"/>
            </w:tcBorders>
            <w:vAlign w:val="center"/>
          </w:tcPr>
          <w:p w:rsidR="00000000" w:rsidDel="00000000" w:rsidP="00000000" w:rsidRDefault="00000000" w:rsidRPr="00000000" w14:paraId="000000A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0A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Assunto(s)</w:t>
            </w:r>
          </w:p>
          <w:p w:rsidR="00000000" w:rsidDel="00000000" w:rsidP="00000000" w:rsidRDefault="00000000" w:rsidRPr="00000000" w14:paraId="000000A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4">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0A5">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226.7716535433071"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9">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A">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98.42519685039372" w:hRule="atLeast"/>
        </w:trPr>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A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1998</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A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32(2)</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A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Keating &amp; Kurtz-Costes</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A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Relações de gênero (poder)</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A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Equador</w:t>
            </w:r>
          </w:p>
        </w:tc>
      </w:tr>
      <w:tr>
        <w:trPr>
          <w:trHeight w:val="239.68503937007875" w:hRule="atLeast"/>
        </w:trPr>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40(1)</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Toro-Alfonso, Díaz, Andújar-Bello &amp; N.-Rosa</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Identidade sexual</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43(2)</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Sánchez</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Identidade de gênero</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45(2)</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Smith-Castro &amp; Molina-Delgado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(Homofobia)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Rica</w:t>
            </w:r>
          </w:p>
        </w:tc>
      </w:tr>
      <w:tr>
        <w:trPr>
          <w:trHeight w:val="239.68503937007875" w:hRule="atLeast"/>
        </w:trPr>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B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2014</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48(3)</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Chaigneau &amp; Rosenbluth</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(Misoginia)</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r>
        <w:trPr>
          <w:trHeight w:val="239.68503937007875" w:hRule="atLeast"/>
        </w:trPr>
        <w:tc>
          <w:tcPr>
            <w:vMerge w:val="restart"/>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52(1)</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Nava-Reyes, Rojas-Solís, Amador &amp; Quintero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(Misoginia)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vMerge w:val="continue"/>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52(2)</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Codas</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(LGBTfobia)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Paraguai</w:t>
            </w:r>
          </w:p>
        </w:tc>
      </w:tr>
      <w:tr>
        <w:trPr>
          <w:trHeight w:val="239.68503937007875" w:hRule="atLeast"/>
        </w:trPr>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53(1)</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D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Smith-Castro, Montero-Rojas, Moreira-Mora &amp; Zamora-Araya</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D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(Misoginia)</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D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Rica</w:t>
            </w:r>
          </w:p>
        </w:tc>
      </w:tr>
    </w:tbl>
    <w:p w:rsidR="00000000" w:rsidDel="00000000" w:rsidP="00000000" w:rsidRDefault="00000000" w:rsidRPr="00000000" w14:paraId="000000D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podemos perceber como, aos poucos, gênero ganha uma conotação mais ampla que no subtema anterior. Assim, destacamos um artigo sobre crenças de mulheres acerca de oportunidades na família, na escola e no trabalho, sendo apontado que o tradicional papel masculino ainda predominaria no Equador (IJP, 1998).</w:t>
      </w:r>
    </w:p>
    <w:p w:rsidR="00000000" w:rsidDel="00000000" w:rsidP="00000000" w:rsidRDefault="00000000" w:rsidRPr="00000000" w14:paraId="000000D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Nesse subtema, há ainda artigos sobre identidades sexuais e de gênero. </w:t>
      </w:r>
      <w:r w:rsidDel="00000000" w:rsidR="00000000" w:rsidRPr="00000000">
        <w:rPr>
          <w:rFonts w:ascii="Times New Roman" w:cs="Times New Roman" w:eastAsia="Times New Roman" w:hAnsi="Times New Roman"/>
          <w:sz w:val="24"/>
          <w:szCs w:val="24"/>
          <w:highlight w:val="white"/>
          <w:rtl w:val="0"/>
        </w:rPr>
        <w:t xml:space="preserve">Importante destacar que há diferentes siglas para designar esses grupos nos artigos, tais como GLS (gays, lésbicas e simpatizantes), GLBT (gays, lésbicas, bissexuais e travestis), entre outras. Embora respeitada na citação indireta, a presente revisão utilizará, por vezes, a sigla LGBTT+ (lésbicas, gays, bissexuais, travestis, transexuais e outros) como termo guarda-chuva de marcadores sociais da diferença adotados em alguns setores da sociedade, embora reconheça o limite à representação de vivências e experiências pessoais representado pelo símbolo +.</w:t>
      </w:r>
    </w:p>
    <w:p w:rsidR="00000000" w:rsidDel="00000000" w:rsidP="00000000" w:rsidRDefault="00000000" w:rsidRPr="00000000" w14:paraId="000000D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Na amostra, esse debate </w:t>
      </w:r>
      <w:r w:rsidDel="00000000" w:rsidR="00000000" w:rsidRPr="00000000">
        <w:rPr>
          <w:rFonts w:ascii="Times New Roman" w:cs="Times New Roman" w:eastAsia="Times New Roman" w:hAnsi="Times New Roman"/>
          <w:sz w:val="24"/>
          <w:szCs w:val="24"/>
          <w:rtl w:val="0"/>
        </w:rPr>
        <w:t xml:space="preserve">emerge com um artigo sobre adolescentes gays e bissexuais em Porto Rico (IJP, 2006) e, adiante, em outro</w:t>
      </w:r>
      <w:r w:rsidDel="00000000" w:rsidR="00000000" w:rsidRPr="00000000">
        <w:rPr>
          <w:rFonts w:ascii="Times New Roman" w:cs="Times New Roman" w:eastAsia="Times New Roman" w:hAnsi="Times New Roman"/>
          <w:sz w:val="24"/>
          <w:szCs w:val="24"/>
          <w:highlight w:val="white"/>
          <w:rtl w:val="0"/>
        </w:rPr>
        <w:t xml:space="preserve"> sobre a construção da identidade de gênero e as descobertas teóricas no contexto cultural mexicano (IJP, 2009). Quanto aos sexismos, foram encontrados trabalhos sobre a homofobia face à união civil, na Costa Rica (IJP, 2011) e face à população LGBTI+ no Paraguai (IJP, 2018). Quanto a</w:t>
      </w:r>
      <w:r w:rsidDel="00000000" w:rsidR="00000000" w:rsidRPr="00000000">
        <w:rPr>
          <w:rFonts w:ascii="Times New Roman" w:cs="Times New Roman" w:eastAsia="Times New Roman" w:hAnsi="Times New Roman"/>
          <w:sz w:val="24"/>
          <w:szCs w:val="24"/>
          <w:rtl w:val="0"/>
        </w:rPr>
        <w:t xml:space="preserve"> estereótipos de gênero e as ideologias sexistas em relação às mulheres, foram objeto de um estudos sobre o mercado de trabalho no Chile (IJP, 2014) e de outro sobre o desempenho das mulheres na Matemática (IJP, 2019).</w:t>
      </w:r>
    </w:p>
    <w:p w:rsidR="00000000" w:rsidDel="00000000" w:rsidP="00000000" w:rsidRDefault="00000000" w:rsidRPr="00000000" w14:paraId="000000D7">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4.1.3 Masculinidades, práticas sexuais e de gênero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Nesse subtema, há dez artigos elencados a partir dos anos 1990 sobre os assuntos em pauta (Tabela 3).</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3. Quadro de artigos - Subtema 3 (Tema 1)</w:t>
      </w:r>
      <w:r w:rsidDel="00000000" w:rsidR="00000000" w:rsidRPr="00000000">
        <w:rPr>
          <w:rtl w:val="0"/>
        </w:rPr>
      </w:r>
    </w:p>
    <w:tbl>
      <w:tblPr>
        <w:tblStyle w:val="Table3"/>
        <w:tblW w:w="90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660"/>
        <w:gridCol w:w="3255"/>
        <w:gridCol w:w="2985"/>
        <w:gridCol w:w="1560"/>
        <w:tblGridChange w:id="0">
          <w:tblGrid>
            <w:gridCol w:w="555"/>
            <w:gridCol w:w="660"/>
            <w:gridCol w:w="3255"/>
            <w:gridCol w:w="2985"/>
            <w:gridCol w:w="1560"/>
          </w:tblGrid>
        </w:tblGridChange>
      </w:tblGrid>
      <w:tr>
        <w:trPr>
          <w:trHeight w:val="226.7716535433071" w:hRule="atLeast"/>
        </w:trPr>
        <w:tc>
          <w:tcPr>
            <w:gridSpan w:val="2"/>
            <w:tcBorders>
              <w:top w:color="000000" w:space="0" w:sz="12" w:val="single"/>
              <w:bottom w:color="000000" w:space="0" w:sz="6" w:val="single"/>
            </w:tcBorders>
          </w:tcPr>
          <w:p w:rsidR="00000000" w:rsidDel="00000000" w:rsidP="00000000" w:rsidRDefault="00000000" w:rsidRPr="00000000" w14:paraId="000000DB">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8" w:val="single"/>
            </w:tcBorders>
            <w:vAlign w:val="center"/>
          </w:tcPr>
          <w:p w:rsidR="00000000" w:rsidDel="00000000" w:rsidP="00000000" w:rsidRDefault="00000000" w:rsidRPr="00000000" w14:paraId="000000DD">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0DE">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Assunto(s)</w:t>
            </w:r>
          </w:p>
          <w:p w:rsidR="00000000" w:rsidDel="00000000" w:rsidP="00000000" w:rsidRDefault="00000000" w:rsidRPr="00000000" w14:paraId="000000E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0E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226.7716535433071"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7">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198.42519685039372" w:hRule="atLeast"/>
        </w:trPr>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26(1)</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Medina</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Masculinidades, Poder</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38(2)</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Diaz</w:t>
            </w:r>
            <w:r w:rsidDel="00000000" w:rsidR="00000000" w:rsidRPr="00000000">
              <w:rPr>
                <w:rFonts w:ascii="Times New Roman" w:cs="Times New Roman" w:eastAsia="Times New Roman" w:hAnsi="Times New Roman"/>
                <w:sz w:val="20"/>
                <w:szCs w:val="20"/>
                <w:rtl w:val="0"/>
              </w:rPr>
              <w:t xml:space="preserve">-Loving, Sánchez &amp; Aragón</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Masculinidade, Feminilidade</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vMerge w:val="restart"/>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vMerge w:val="restart"/>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García-Campos</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Masculinidades, Papéis sexuais</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vMerge w:val="continue"/>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Cardoso</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sexual, Motricidade</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vMerge w:val="continue"/>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La Rubia</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(satisfação sexual)</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vMerge w:val="restart"/>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r>
          </w:p>
        </w:tc>
        <w:tc>
          <w:tcPr>
            <w:vMerge w:val="restart"/>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45(1)</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Rodríguez &amp; Alfonso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Sexualidade, Papéis de gênero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vMerge w:val="continue"/>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Rubia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(masturbação)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vMerge w:val="continue"/>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45(2)</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Alvarado, Borjas e Ortega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(satisfação sexual)</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vMerge w:val="continue"/>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45(3)</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Rodríguez e Loving</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(motivação sexual)</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50(2)</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Gutiérrez</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Sexualidades, Homens transexuais</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bl>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esses dados, portanto, o primeiro assunto deste subtema (masculinidades) surge a partir dos anos 1990 na amostra, com um estudo teórico</w:t>
      </w:r>
      <w:r w:rsidDel="00000000" w:rsidR="00000000" w:rsidRPr="00000000">
        <w:rPr>
          <w:rFonts w:ascii="Times New Roman" w:cs="Times New Roman" w:eastAsia="Times New Roman" w:hAnsi="Times New Roman"/>
          <w:sz w:val="24"/>
          <w:szCs w:val="24"/>
          <w:highlight w:val="white"/>
          <w:rtl w:val="0"/>
        </w:rPr>
        <w:t xml:space="preserve"> preocupado também com o modo com que as relações de gênero envolvem relações de poder nos grupos com homens (IJP, 1992).</w:t>
      </w:r>
      <w:r w:rsidDel="00000000" w:rsidR="00000000" w:rsidRPr="00000000">
        <w:rPr>
          <w:rFonts w:ascii="Times New Roman" w:cs="Times New Roman" w:eastAsia="Times New Roman" w:hAnsi="Times New Roman"/>
          <w:sz w:val="24"/>
          <w:szCs w:val="24"/>
          <w:rtl w:val="0"/>
        </w:rPr>
        <w:t xml:space="preserve"> Esse achado está consoante à literatura, notadamente Medrado e Lyra (2008) e Souza (2009), no que tange ao aumento da produção no período, bem como Medrado e Lyra (2012) quanto à influência dos movimentos feministas e LGBTT+ nessa produção.</w:t>
      </w:r>
    </w:p>
    <w:p w:rsidR="00000000" w:rsidDel="00000000" w:rsidP="00000000" w:rsidRDefault="00000000" w:rsidRPr="00000000" w14:paraId="0000011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esses estudos sobre masculinidades ainda não se dissociam de todo daqueles sobre papéis sexuais vistos no subtema 1. Assim, no início dos anos 2000, comparece um artigo em busca de instrumento etnopsicologicamente válido dos atributos de masculinidade e feminilidade do povo mexicano (IJP, 2004), além de um estudo da influência de variáveis sociodemográficas na expressão dos papéis sexuais no México (IJP, 2008).</w:t>
      </w:r>
    </w:p>
    <w:p w:rsidR="00000000" w:rsidDel="00000000" w:rsidP="00000000" w:rsidRDefault="00000000" w:rsidRPr="00000000" w14:paraId="0000011D">
      <w:pPr>
        <w:spacing w:line="240" w:lineRule="auto"/>
        <w:ind w:firstLine="708.661417322834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Quanto às práticas sexuais, </w:t>
      </w:r>
      <w:r w:rsidDel="00000000" w:rsidR="00000000" w:rsidRPr="00000000">
        <w:rPr>
          <w:rFonts w:ascii="Times New Roman" w:cs="Times New Roman" w:eastAsia="Times New Roman" w:hAnsi="Times New Roman"/>
          <w:sz w:val="24"/>
          <w:szCs w:val="24"/>
          <w:highlight w:val="white"/>
          <w:rtl w:val="0"/>
        </w:rPr>
        <w:t xml:space="preserve">lembramos que a revisão contou os descritores sexo e sexua em praticamente todas as décadas, sobretudo a partir dos anos 2000, como indicam os outros artigos da tabela. O último (IJP, 2016) investigou os sentidos da sexualidade de homens trans para além dos processos patologizantes, sendo pioneiro nessa área no Chile.</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4.1.4 </w:t>
      </w:r>
      <w:r w:rsidDel="00000000" w:rsidR="00000000" w:rsidRPr="00000000">
        <w:rPr>
          <w:rFonts w:ascii="Times New Roman" w:cs="Times New Roman" w:eastAsia="Times New Roman" w:hAnsi="Times New Roman"/>
          <w:b w:val="1"/>
          <w:i w:val="1"/>
          <w:sz w:val="24"/>
          <w:szCs w:val="24"/>
          <w:highlight w:val="white"/>
          <w:rtl w:val="0"/>
        </w:rPr>
        <w:t xml:space="preserve">Violências e Resistências</w:t>
      </w:r>
      <w:r w:rsidDel="00000000" w:rsidR="00000000" w:rsidRPr="00000000">
        <w:rPr>
          <w:rFonts w:ascii="Times New Roman" w:cs="Times New Roman" w:eastAsia="Times New Roman" w:hAnsi="Times New Roman"/>
          <w:sz w:val="24"/>
          <w:szCs w:val="24"/>
          <w:highlight w:val="white"/>
          <w:rtl w:val="0"/>
        </w:rPr>
        <w:t xml:space="preserve">. Existe uma ligação nefasta entre violência e questões de gênero e sexualidades, uma vez que aquela desqualifica as identidades de gênero e de orientação sexual, enquanto lutas por direitos denunciam e questionam padrões heteronormativos (Paula, Porto, &amp; Carvalho, 2019). Relacionados a esses assuntos, os sete artigos desse subtema abordam diferentes grupos sociais em relação a conceitos de violências, relações de gênero e de poder (Saffioti, 2001; Strey, 2004), como listado na Tabela 4.</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4. Quadro de artigos - Subtema 4 (Tema 1)</w:t>
      </w:r>
      <w:r w:rsidDel="00000000" w:rsidR="00000000" w:rsidRPr="00000000">
        <w:rPr>
          <w:rtl w:val="0"/>
        </w:rPr>
      </w:r>
    </w:p>
    <w:tbl>
      <w:tblPr>
        <w:tblStyle w:val="Table4"/>
        <w:tblW w:w="90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660"/>
        <w:gridCol w:w="3825"/>
        <w:gridCol w:w="2445"/>
        <w:gridCol w:w="1560"/>
        <w:tblGridChange w:id="0">
          <w:tblGrid>
            <w:gridCol w:w="555"/>
            <w:gridCol w:w="660"/>
            <w:gridCol w:w="3825"/>
            <w:gridCol w:w="2445"/>
            <w:gridCol w:w="1560"/>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12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8" w:val="single"/>
            </w:tcBorders>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125">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Assunto(s)</w:t>
            </w:r>
          </w:p>
          <w:p w:rsidR="00000000" w:rsidDel="00000000" w:rsidP="00000000" w:rsidRDefault="00000000" w:rsidRPr="00000000" w14:paraId="00000127">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28">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129">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2C">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2003</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37(1)</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Larrañaga &amp; Gutiérrez</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(Abuso infantil)</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38(1)</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Souza, Pryor, Ribeiro, Mello e Camino</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(Assédio sexual)</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Gianordoli-Nascimento, Trindade &amp; Santos</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Resistências (Mulheres)</w:t>
            </w:r>
          </w:p>
        </w:tc>
        <w:tc>
          <w:tcPr>
            <w:tcBorders>
              <w:top w:color="000000" w:space="0" w:sz="0" w:val="nil"/>
              <w:left w:color="000000" w:space="0" w:sz="0" w:val="nil"/>
              <w:bottom w:color="000000" w:space="0" w:sz="0" w:val="nil"/>
              <w:right w:color="000000" w:space="0" w:sz="0" w:val="nil"/>
            </w:tcBorders>
            <w:shd w:fill="auto"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Machado e Prado</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Resistências (</w:t>
            </w:r>
            <w:r w:rsidDel="00000000" w:rsidR="00000000" w:rsidRPr="00000000">
              <w:rPr>
                <w:rFonts w:ascii="Times New Roman" w:cs="Times New Roman" w:eastAsia="Times New Roman" w:hAnsi="Times New Roman"/>
                <w:sz w:val="20"/>
                <w:szCs w:val="20"/>
                <w:rtl w:val="0"/>
              </w:rPr>
              <w:t xml:space="preserve">LGBT+</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vMerge w:val="restart"/>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Sanfelice &amp; De Antoni</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(Abuso infantil)</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vMerge w:val="continue"/>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8">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Romero, Pick, Corria &amp; Givaudan</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(Prevenção)</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left w:color="000000" w:space="0" w:sz="0" w:val="nil"/>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w:t>
            </w:r>
          </w:p>
        </w:tc>
        <w:tc>
          <w:tcPr>
            <w:tcBorders>
              <w:left w:color="000000" w:space="0" w:sz="0" w:val="nil"/>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53(2)</w:t>
            </w:r>
          </w:p>
        </w:tc>
        <w:tc>
          <w:tcPr>
            <w:tcBorders>
              <w:left w:color="000000" w:space="0" w:sz="0" w:val="nil"/>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4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Lenta, Longo &amp; Zaldúa</w:t>
            </w:r>
          </w:p>
        </w:tc>
        <w:tc>
          <w:tcPr>
            <w:tcBorders>
              <w:left w:color="000000" w:space="0" w:sz="0" w:val="nil"/>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5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Resistências (Mulheres)</w:t>
            </w:r>
          </w:p>
        </w:tc>
        <w:tc>
          <w:tcPr>
            <w:tcBorders>
              <w:left w:color="000000" w:space="0" w:sz="0" w:val="nil"/>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5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bl>
    <w:p w:rsidR="00000000" w:rsidDel="00000000" w:rsidP="00000000" w:rsidRDefault="00000000" w:rsidRPr="00000000" w14:paraId="0000015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Notamos que poder </w:t>
      </w:r>
      <w:r w:rsidDel="00000000" w:rsidR="00000000" w:rsidRPr="00000000">
        <w:rPr>
          <w:rFonts w:ascii="Times New Roman" w:cs="Times New Roman" w:eastAsia="Times New Roman" w:hAnsi="Times New Roman"/>
          <w:sz w:val="24"/>
          <w:szCs w:val="24"/>
          <w:rtl w:val="0"/>
        </w:rPr>
        <w:t xml:space="preserve">não é posse, e sim um exercício cujas relações “funcionam como rede de dispositivos ou mecanismos a que nada ou ninguém escapa, a que não existe exterior possível, limites ou fronteiros” (Foucault, 2001, p. xiv). Dessa forma, na imanência dessas relações também seriam produzidos processos de resistência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(Foucault, 2001).</w:t>
      </w:r>
      <w:r w:rsidDel="00000000" w:rsidR="00000000" w:rsidRPr="00000000">
        <w:rPr>
          <w:rtl w:val="0"/>
        </w:rPr>
      </w:r>
    </w:p>
    <w:p w:rsidR="00000000" w:rsidDel="00000000" w:rsidP="00000000" w:rsidRDefault="00000000" w:rsidRPr="00000000" w14:paraId="00000154">
      <w:pPr>
        <w:spacing w:line="240" w:lineRule="auto"/>
        <w:ind w:firstLine="708.661417322834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Acerca das violências, portanto, temos, por exemplo: um artigo sobre o abuso sexual na infância entre universitários chilenos (IJP, 2003); um artigo com estudo de casos múltiplos sobre percepções de abusadores sexuais de criança (privados de liberdade) acerca da própria sexualidade (IJP, 2010); uma pesquisa-ação sobre violências de gênero contra mulheres no trabalho (IJP, 2019). Este último fala também de resistências, uma vez que foi estudada ainda a participação social e as estratégias de enfrentamento a essas violências no trabalho. </w:t>
      </w:r>
    </w:p>
    <w:p w:rsidR="00000000" w:rsidDel="00000000" w:rsidP="00000000" w:rsidRDefault="00000000" w:rsidRPr="00000000" w14:paraId="00000155">
      <w:pPr>
        <w:spacing w:line="240" w:lineRule="auto"/>
        <w:ind w:firstLine="708.661417322834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às resistências, ainda dois artigos enfocaram Movimentos sociais e relações de gênero. Do primeiro participaram mulheres da oposição política ao regime militar no Brasil (1964 a 1985) com entrevistas sobre aspectos psicossociais nos processos identitários das suas relações de gênero e militância contra esse regime (IJP, 2007). No segundo, esses aspectos foram investigados enquanto impedimentos e possibilidades para a participação política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highlight w:val="white"/>
          <w:rtl w:val="0"/>
        </w:rPr>
        <w:t xml:space="preserve">no movimento </w:t>
      </w:r>
      <w:r w:rsidDel="00000000" w:rsidR="00000000" w:rsidRPr="00000000">
        <w:rPr>
          <w:rFonts w:ascii="Times New Roman" w:cs="Times New Roman" w:eastAsia="Times New Roman" w:hAnsi="Times New Roman"/>
          <w:sz w:val="24"/>
          <w:szCs w:val="24"/>
          <w:highlight w:val="white"/>
          <w:rtl w:val="0"/>
        </w:rPr>
        <w:t xml:space="preserve">GLBT</w:t>
      </w:r>
      <w:r w:rsidDel="00000000" w:rsidR="00000000" w:rsidRPr="00000000">
        <w:rPr>
          <w:rFonts w:ascii="Times New Roman" w:cs="Times New Roman" w:eastAsia="Times New Roman" w:hAnsi="Times New Roman"/>
          <w:sz w:val="24"/>
          <w:szCs w:val="24"/>
          <w:highlight w:val="white"/>
          <w:rtl w:val="0"/>
        </w:rPr>
        <w:t xml:space="preserve"> de Belo Horizonte, capital do Estado brasileiro Minas Gerais (IJP, 2008). </w:t>
      </w:r>
    </w:p>
    <w:p w:rsidR="00000000" w:rsidDel="00000000" w:rsidP="00000000" w:rsidRDefault="00000000" w:rsidRPr="00000000" w14:paraId="00000156">
      <w:pPr>
        <w:spacing w:line="240" w:lineRule="auto"/>
        <w:ind w:firstLine="708.661417322834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subtema, enfim, houve uma grande presença de trabalhos sobre a violência de gênero contra crianças, adolescentes e mulheres, mas poucos artigos que escapassem a uma perspectiva heteronormativa e binária da análise, considerando outras formas de violência de gênero. As discussões sobre esses assuntos apareceram ainda em outros Temas.</w:t>
      </w:r>
    </w:p>
    <w:p w:rsidR="00000000" w:rsidDel="00000000" w:rsidP="00000000" w:rsidRDefault="00000000" w:rsidRPr="00000000" w14:paraId="00000157">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4.2 Tema 2</w:t>
      </w:r>
      <w:r w:rsidDel="00000000" w:rsidR="00000000" w:rsidRPr="00000000">
        <w:rPr>
          <w:rFonts w:ascii="Times New Roman" w:cs="Times New Roman" w:eastAsia="Times New Roman" w:hAnsi="Times New Roman"/>
          <w:b w:val="1"/>
          <w:sz w:val="24"/>
          <w:szCs w:val="24"/>
          <w:highlight w:val="white"/>
          <w:rtl w:val="0"/>
        </w:rPr>
        <w:t xml:space="preserve">. Gênero e sexualidades: olhares sob a perspectiva da saúde</w:t>
      </w:r>
      <w:r w:rsidDel="00000000" w:rsidR="00000000" w:rsidRPr="00000000">
        <w:rPr>
          <w:rtl w:val="0"/>
        </w:rPr>
      </w:r>
    </w:p>
    <w:p w:rsidR="00000000" w:rsidDel="00000000" w:rsidP="00000000" w:rsidRDefault="00000000" w:rsidRPr="00000000" w14:paraId="00000159">
      <w:pPr>
        <w:spacing w:line="24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Gênero e sexualidades são aspectos da vida humana interligados ao conceito de saúde, sujeitos a normas e olhares de diferentes instituições e de diferentes áreas que compõem esse campo de saber, como a psicologia. </w:t>
      </w:r>
      <w:r w:rsidDel="00000000" w:rsidR="00000000" w:rsidRPr="00000000">
        <w:rPr>
          <w:rFonts w:ascii="Times New Roman" w:cs="Times New Roman" w:eastAsia="Times New Roman" w:hAnsi="Times New Roman"/>
          <w:sz w:val="24"/>
          <w:szCs w:val="24"/>
          <w:highlight w:val="white"/>
          <w:rtl w:val="0"/>
        </w:rPr>
        <w:t xml:space="preserve">Para analisar esse tema, utilizamos o conceito de “saúde” da OMS para “saúde sexual” que não apenas o associa a princípios biológicos e fisiológicos, à classificação de doenças e ao tratamento de sintomas, físicos ou mentais. Para a organização, trata-se de </w:t>
      </w:r>
      <w:r w:rsidDel="00000000" w:rsidR="00000000" w:rsidRPr="00000000">
        <w:rPr>
          <w:rFonts w:ascii="Times New Roman" w:cs="Times New Roman" w:eastAsia="Times New Roman" w:hAnsi="Times New Roman"/>
          <w:sz w:val="24"/>
          <w:szCs w:val="24"/>
          <w:rtl w:val="0"/>
        </w:rPr>
        <w:t xml:space="preserve">“. . . um estado de bem-estar físico, emocional, mental e social em relação à sexualidade; não é apenas a ausência de doença, disfunção ou enfermidade” (OMS, 2006, p. 5).</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15B">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sentido, foram reunidos 25 artigos da Revista para a presente análise, agrupados em dois subtemas: a) Saúde mental, patologização e diagnósticos de gênero; b) Saúde sexual e (não) reprodutiva: produção de saberes e subjetividades.</w:t>
      </w:r>
    </w:p>
    <w:p w:rsidR="00000000" w:rsidDel="00000000" w:rsidP="00000000" w:rsidRDefault="00000000" w:rsidRPr="00000000" w14:paraId="0000015C">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D">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4.2.1 S</w:t>
      </w:r>
      <w:r w:rsidDel="00000000" w:rsidR="00000000" w:rsidRPr="00000000">
        <w:rPr>
          <w:rFonts w:ascii="Times New Roman" w:cs="Times New Roman" w:eastAsia="Times New Roman" w:hAnsi="Times New Roman"/>
          <w:b w:val="1"/>
          <w:i w:val="1"/>
          <w:sz w:val="24"/>
          <w:szCs w:val="24"/>
          <w:highlight w:val="white"/>
          <w:rtl w:val="0"/>
        </w:rPr>
        <w:t xml:space="preserve">aúde mental, patologização e diagnósticos de gênero. </w:t>
      </w:r>
      <w:r w:rsidDel="00000000" w:rsidR="00000000" w:rsidRPr="00000000">
        <w:rPr>
          <w:rFonts w:ascii="Times New Roman" w:cs="Times New Roman" w:eastAsia="Times New Roman" w:hAnsi="Times New Roman"/>
          <w:sz w:val="24"/>
          <w:szCs w:val="24"/>
          <w:highlight w:val="white"/>
          <w:rtl w:val="0"/>
        </w:rPr>
        <w:t xml:space="preserve">Esse subtema contemplou sete artigos, nos quais, no geral,  transtornos mentais são avaliados à luz de questões de gênero, e que fatores culturais e sociais são contemplados em algumas análises. Entretanto, é necessária uma crítica com vistas a subverter a lógica dos diagnósticos, ainda persistente nesses saberes.</w:t>
      </w:r>
    </w:p>
    <w:p w:rsidR="00000000" w:rsidDel="00000000" w:rsidP="00000000" w:rsidRDefault="00000000" w:rsidRPr="00000000" w14:paraId="0000015E">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F">
      <w:pPr>
        <w:spacing w:line="276"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5. Quadro de artigos - Subtema 1 (Tema 2)</w:t>
      </w:r>
      <w:r w:rsidDel="00000000" w:rsidR="00000000" w:rsidRPr="00000000">
        <w:rPr>
          <w:rtl w:val="0"/>
        </w:rPr>
      </w:r>
    </w:p>
    <w:tbl>
      <w:tblPr>
        <w:tblStyle w:val="Table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660"/>
        <w:gridCol w:w="3810"/>
        <w:gridCol w:w="2400"/>
        <w:gridCol w:w="1485"/>
        <w:tblGridChange w:id="0">
          <w:tblGrid>
            <w:gridCol w:w="555"/>
            <w:gridCol w:w="660"/>
            <w:gridCol w:w="3810"/>
            <w:gridCol w:w="2400"/>
            <w:gridCol w:w="1485"/>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16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12" w:val="single"/>
            </w:tcBorders>
            <w:vAlign w:val="center"/>
          </w:tcPr>
          <w:p w:rsidR="00000000" w:rsidDel="00000000" w:rsidP="00000000" w:rsidRDefault="00000000" w:rsidRPr="00000000" w14:paraId="0000016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16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4">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Assunto(s)</w:t>
            </w:r>
          </w:p>
          <w:p w:rsidR="00000000" w:rsidDel="00000000" w:rsidP="00000000" w:rsidRDefault="00000000" w:rsidRPr="00000000" w14:paraId="00000165">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6">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167">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6" w:val="single"/>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16A">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B">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C">
            <w:pPr>
              <w:widowControl w:val="0"/>
              <w:rPr>
                <w:rFonts w:ascii="Times New Roman" w:cs="Times New Roman" w:eastAsia="Times New Roman" w:hAnsi="Times New Roman"/>
                <w:sz w:val="20"/>
                <w:szCs w:val="20"/>
              </w:rPr>
            </w:pPr>
            <w:r w:rsidDel="00000000" w:rsidR="00000000" w:rsidRPr="00000000">
              <w:rPr>
                <w:rtl w:val="0"/>
              </w:rPr>
            </w:r>
          </w:p>
        </w:tc>
      </w:tr>
      <w:tr>
        <w:trPr>
          <w:trHeight w:val="239.68503937007875" w:hRule="atLeast"/>
        </w:trPr>
        <w:tc>
          <w:tcPr>
            <w:tcBorders>
              <w:top w:color="000000" w:space="0" w:sz="12"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12"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6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42(3)</w:t>
            </w:r>
          </w:p>
        </w:tc>
        <w:tc>
          <w:tcPr>
            <w:tcBorders>
              <w:top w:color="000000" w:space="0" w:sz="12"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6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Borges e Dell’Aglio</w:t>
            </w:r>
          </w:p>
        </w:tc>
        <w:tc>
          <w:tcPr>
            <w:tcBorders>
              <w:top w:color="000000" w:space="0" w:sz="12" w:val="single"/>
              <w:left w:color="ffffff" w:space="0" w:sz="7" w:val="single"/>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infantil (indicadores de risco)</w:t>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ffffff" w:space="0" w:sz="7" w:val="single"/>
              <w:left w:color="ffffff" w:space="0" w:sz="7" w:val="single"/>
              <w:bottom w:color="ffffff" w:space="0" w:sz="7" w:val="single"/>
              <w:right w:color="ffffff" w:space="0" w:sz="7" w:val="single"/>
            </w:tcBorders>
            <w:shd w:fill="cccccc" w:val="clear"/>
            <w:tcMar>
              <w:top w:w="40.0" w:type="dxa"/>
              <w:left w:w="40.0" w:type="dxa"/>
              <w:bottom w:w="40.0" w:type="dxa"/>
              <w:right w:w="40.0" w:type="dxa"/>
            </w:tcMar>
            <w:vAlign w:val="center"/>
          </w:tcPr>
          <w:p w:rsidR="00000000" w:rsidDel="00000000" w:rsidP="00000000" w:rsidRDefault="00000000" w:rsidRPr="00000000" w14:paraId="0000017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ffffff" w:space="0" w:sz="7" w:val="single"/>
              <w:left w:color="ffffff" w:space="0" w:sz="7" w:val="single"/>
              <w:bottom w:color="ffffff" w:space="0" w:sz="7" w:val="single"/>
              <w:right w:color="ffffff" w:space="0" w:sz="7" w:val="single"/>
            </w:tcBorders>
            <w:shd w:fill="cccccc" w:val="clear"/>
            <w:tcMar>
              <w:top w:w="40.0" w:type="dxa"/>
              <w:left w:w="40.0" w:type="dxa"/>
              <w:bottom w:w="40.0" w:type="dxa"/>
              <w:right w:w="40.0" w:type="dxa"/>
            </w:tcMar>
            <w:vAlign w:val="center"/>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w:t>
            </w:r>
          </w:p>
        </w:tc>
        <w:tc>
          <w:tcPr>
            <w:tcBorders>
              <w:top w:color="ffffff" w:space="0" w:sz="7" w:val="single"/>
              <w:left w:color="ffffff" w:space="0" w:sz="7" w:val="single"/>
              <w:bottom w:color="ffffff" w:space="0" w:sz="7" w:val="single"/>
              <w:right w:color="ffffff" w:space="0" w:sz="7" w:val="single"/>
            </w:tcBorders>
            <w:shd w:fill="cccccc" w:val="clear"/>
            <w:tcMar>
              <w:top w:w="40.0" w:type="dxa"/>
              <w:left w:w="40.0" w:type="dxa"/>
              <w:bottom w:w="40.0" w:type="dxa"/>
              <w:right w:w="40.0" w:type="dxa"/>
            </w:tcMar>
            <w:vAlign w:val="center"/>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Narvaz e Oliveira</w:t>
            </w:r>
          </w:p>
        </w:tc>
        <w:tc>
          <w:tcPr>
            <w:tcBorders>
              <w:top w:color="000000" w:space="0" w:sz="0" w:val="nil"/>
              <w:left w:color="ffffff" w:space="0" w:sz="7" w:val="single"/>
              <w:bottom w:color="000000" w:space="0" w:sz="0" w:val="nil"/>
              <w:right w:color="000000" w:space="0" w:sz="0" w:val="nil"/>
            </w:tcBorders>
            <w:shd w:fill="cccccc"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(transtornos alimentares)</w:t>
            </w:r>
          </w:p>
        </w:tc>
        <w:tc>
          <w:tcPr>
            <w:tcBorders>
              <w:top w:color="000000" w:space="0" w:sz="0" w:val="nil"/>
              <w:left w:color="000000" w:space="0" w:sz="0" w:val="nil"/>
              <w:right w:color="000000" w:space="0" w:sz="0" w:val="nil"/>
            </w:tcBorders>
            <w:shd w:fill="cccccc"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80" w:hRule="atLeast"/>
        </w:trPr>
        <w:tc>
          <w:tcPr>
            <w:vMerge w:val="restart"/>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vMerge w:val="restart"/>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w:t>
            </w:r>
          </w:p>
        </w:tc>
        <w:tc>
          <w:tcPr>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Toro-Alfonso, Nieves e Borreo</w:t>
            </w:r>
          </w:p>
        </w:tc>
        <w:tc>
          <w:tcPr>
            <w:tcBorders>
              <w:top w:color="000000" w:space="0" w:sz="0" w:val="nil"/>
              <w:left w:color="ffffff" w:space="0" w:sz="7" w:val="single"/>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Transtornos alimentares (masculinidades)</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B">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Porto Rico</w:t>
            </w:r>
          </w:p>
        </w:tc>
      </w:tr>
      <w:tr>
        <w:trPr>
          <w:trHeight w:val="280" w:hRule="atLeast"/>
        </w:trPr>
        <w:tc>
          <w:tcPr>
            <w:vMerge w:val="continue"/>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7C">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la Rubia</w:t>
            </w:r>
          </w:p>
        </w:tc>
        <w:tc>
          <w:tcPr>
            <w:tcBorders>
              <w:top w:color="000000" w:space="0" w:sz="0" w:val="nil"/>
              <w:left w:color="ffffff" w:space="0" w:sz="7" w:val="single"/>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7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(fantasias)</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0">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México</w:t>
            </w:r>
          </w:p>
        </w:tc>
      </w:tr>
      <w:tr>
        <w:trPr>
          <w:trHeight w:val="239.68503937007875" w:hRule="atLeast"/>
        </w:trPr>
        <w:tc>
          <w:tcPr>
            <w:tcBorders>
              <w:top w:color="ffffff" w:space="0" w:sz="7" w:val="single"/>
              <w:left w:color="ffffff" w:space="0" w:sz="7" w:val="single"/>
              <w:bottom w:color="ffffff" w:space="0" w:sz="7" w:val="single"/>
              <w:right w:color="ffffff" w:space="0" w:sz="7" w:val="single"/>
            </w:tcBorders>
            <w:shd w:fill="bfbfbf" w:val="clear"/>
            <w:tcMar>
              <w:top w:w="40.0" w:type="dxa"/>
              <w:left w:w="40.0" w:type="dxa"/>
              <w:bottom w:w="40.0" w:type="dxa"/>
              <w:right w:w="40.0" w:type="dxa"/>
            </w:tcMar>
            <w:vAlign w:val="center"/>
          </w:tcPr>
          <w:p w:rsidR="00000000" w:rsidDel="00000000" w:rsidP="00000000" w:rsidRDefault="00000000" w:rsidRPr="00000000" w14:paraId="0000018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w:t>
            </w:r>
          </w:p>
        </w:tc>
        <w:tc>
          <w:tcPr>
            <w:tcBorders>
              <w:top w:color="ffffff" w:space="0" w:sz="7" w:val="single"/>
              <w:left w:color="ffffff" w:space="0" w:sz="7" w:val="single"/>
              <w:bottom w:color="ffffff" w:space="0" w:sz="7" w:val="single"/>
              <w:right w:color="ffffff" w:space="0" w:sz="7" w:val="single"/>
            </w:tcBorders>
            <w:shd w:fill="bfbfbf" w:val="clear"/>
            <w:tcMar>
              <w:top w:w="40.0" w:type="dxa"/>
              <w:left w:w="40.0" w:type="dxa"/>
              <w:bottom w:w="40.0" w:type="dxa"/>
              <w:right w:w="40.0" w:type="dxa"/>
            </w:tcMar>
            <w:vAlign w:val="center"/>
          </w:tcPr>
          <w:p w:rsidR="00000000" w:rsidDel="00000000" w:rsidP="00000000" w:rsidRDefault="00000000" w:rsidRPr="00000000" w14:paraId="0000018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47(1)</w:t>
            </w:r>
          </w:p>
        </w:tc>
        <w:tc>
          <w:tcPr>
            <w:tcBorders>
              <w:top w:color="ffffff" w:space="0" w:sz="7" w:val="single"/>
              <w:left w:color="ffffff" w:space="0" w:sz="7" w:val="single"/>
              <w:bottom w:color="ffffff" w:space="0" w:sz="7" w:val="single"/>
              <w:right w:color="ffffff" w:space="0" w:sz="7" w:val="single"/>
            </w:tcBorders>
            <w:shd w:fill="bfbfbf" w:val="clear"/>
            <w:tcMar>
              <w:top w:w="40.0" w:type="dxa"/>
              <w:left w:w="40.0" w:type="dxa"/>
              <w:bottom w:w="40.0" w:type="dxa"/>
              <w:right w:w="40.0" w:type="dxa"/>
            </w:tcMar>
            <w:vAlign w:val="center"/>
          </w:tcPr>
          <w:p w:rsidR="00000000" w:rsidDel="00000000" w:rsidP="00000000" w:rsidRDefault="00000000" w:rsidRPr="00000000" w14:paraId="0000018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Raffaelli, Andrade,  Poppe, Sanchez-Armass, Vidal e Garcia</w:t>
            </w:r>
          </w:p>
        </w:tc>
        <w:tc>
          <w:tcPr>
            <w:tcBorders>
              <w:top w:color="000000" w:space="0" w:sz="0" w:val="nil"/>
              <w:left w:color="ffffff" w:space="0" w:sz="7" w:val="single"/>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Depressão e gênero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8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w:t>
            </w:r>
          </w:p>
        </w:tc>
        <w:tc>
          <w:tcPr>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8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49(2)</w:t>
            </w:r>
          </w:p>
        </w:tc>
        <w:tc>
          <w:tcPr>
            <w:tcBorders>
              <w:top w:color="ffffff" w:space="0" w:sz="7" w:val="single"/>
              <w:left w:color="ffffff" w:space="0" w:sz="7" w:val="single"/>
              <w:bottom w:color="ffffff" w:space="0" w:sz="7" w:val="single"/>
              <w:right w:color="ffffff" w:space="0" w:sz="7" w:val="single"/>
            </w:tcBorders>
            <w:tcMar>
              <w:top w:w="40.0" w:type="dxa"/>
              <w:left w:w="40.0" w:type="dxa"/>
              <w:bottom w:w="40.0" w:type="dxa"/>
              <w:right w:w="40.0" w:type="dxa"/>
            </w:tcMar>
            <w:vAlign w:val="center"/>
          </w:tcPr>
          <w:p w:rsidR="00000000" w:rsidDel="00000000" w:rsidP="00000000" w:rsidRDefault="00000000" w:rsidRPr="00000000" w14:paraId="0000018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Vuyk</w:t>
            </w:r>
          </w:p>
        </w:tc>
        <w:tc>
          <w:tcPr>
            <w:tcBorders>
              <w:top w:color="000000" w:space="0" w:sz="0" w:val="nil"/>
              <w:left w:color="ffffff" w:space="0" w:sz="7" w:val="single"/>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Depressão e gênero</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Paraguai</w:t>
            </w:r>
          </w:p>
        </w:tc>
      </w:tr>
      <w:tr>
        <w:trPr>
          <w:trHeight w:val="239.68503937007875" w:hRule="atLeast"/>
        </w:trPr>
        <w:tc>
          <w:tcPr>
            <w:tcBorders>
              <w:top w:color="ffffff" w:space="0" w:sz="7" w:val="single"/>
              <w:left w:color="ffffff" w:space="0" w:sz="7" w:val="single"/>
              <w:bottom w:color="000000" w:space="0" w:sz="12" w:val="single"/>
              <w:right w:color="ffffff" w:space="0" w:sz="7" w:val="single"/>
            </w:tcBorders>
            <w:shd w:fill="bfbfbf" w:val="clear"/>
            <w:tcMar>
              <w:top w:w="40.0" w:type="dxa"/>
              <w:left w:w="40.0" w:type="dxa"/>
              <w:bottom w:w="40.0" w:type="dxa"/>
              <w:right w:w="40.0" w:type="dxa"/>
            </w:tcMar>
            <w:vAlign w:val="center"/>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tcBorders>
              <w:top w:color="ffffff" w:space="0" w:sz="7" w:val="single"/>
              <w:left w:color="ffffff" w:space="0" w:sz="7" w:val="single"/>
              <w:bottom w:color="000000" w:space="0" w:sz="12" w:val="single"/>
              <w:right w:color="ffffff" w:space="0" w:sz="7" w:val="single"/>
            </w:tcBorders>
            <w:shd w:fill="bfbfbf" w:val="clear"/>
            <w:tcMar>
              <w:top w:w="40.0" w:type="dxa"/>
              <w:left w:w="40.0" w:type="dxa"/>
              <w:bottom w:w="40.0" w:type="dxa"/>
              <w:right w:w="40.0" w:type="dxa"/>
            </w:tcMar>
            <w:vAlign w:val="center"/>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51(3)</w:t>
            </w:r>
          </w:p>
        </w:tc>
        <w:tc>
          <w:tcPr>
            <w:tcBorders>
              <w:top w:color="ffffff" w:space="0" w:sz="7" w:val="single"/>
              <w:left w:color="ffffff" w:space="0" w:sz="7" w:val="single"/>
              <w:bottom w:color="000000" w:space="0" w:sz="12" w:val="single"/>
              <w:right w:color="ffffff" w:space="0" w:sz="7" w:val="single"/>
            </w:tcBorders>
            <w:shd w:fill="bfbfbf" w:val="clear"/>
            <w:tcMar>
              <w:top w:w="40.0" w:type="dxa"/>
              <w:left w:w="40.0" w:type="dxa"/>
              <w:bottom w:w="40.0" w:type="dxa"/>
              <w:right w:w="40.0" w:type="dxa"/>
            </w:tcMar>
            <w:vAlign w:val="center"/>
          </w:tcPr>
          <w:p w:rsidR="00000000" w:rsidDel="00000000" w:rsidP="00000000" w:rsidRDefault="00000000" w:rsidRPr="00000000" w14:paraId="0000018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Cruz, Ortiz, Hernández-Martínez  e Sánchez</w:t>
            </w:r>
          </w:p>
        </w:tc>
        <w:tc>
          <w:tcPr>
            <w:tcBorders>
              <w:top w:color="000000" w:space="0" w:sz="0" w:val="nil"/>
              <w:left w:color="ffffff" w:space="0" w:sz="7" w:val="single"/>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Depressão e gênero</w:t>
            </w:r>
          </w:p>
        </w:tc>
        <w:tc>
          <w:tcPr>
            <w:tcBorders>
              <w:left w:color="000000" w:space="0" w:sz="0" w:val="nil"/>
              <w:bottom w:color="000000" w:space="0" w:sz="12" w:val="single"/>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8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bl>
    <w:p w:rsidR="00000000" w:rsidDel="00000000" w:rsidP="00000000" w:rsidRDefault="00000000" w:rsidRPr="00000000" w14:paraId="00000190">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1">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literatura, temos a hipótese de que a expressão do adoecer em determinados corpos pode resultar de produções sociais, culturais e morais diversas, inclusive dos “fenômenos psicológicos” (</w:t>
      </w:r>
      <w:r w:rsidDel="00000000" w:rsidR="00000000" w:rsidRPr="00000000">
        <w:rPr>
          <w:rFonts w:ascii="Times New Roman" w:cs="Times New Roman" w:eastAsia="Times New Roman" w:hAnsi="Times New Roman"/>
          <w:sz w:val="24"/>
          <w:szCs w:val="24"/>
          <w:rtl w:val="0"/>
        </w:rPr>
        <w:t xml:space="preserve">Medeiros, Bernardes &amp; Guareschi</w:t>
      </w:r>
      <w:r w:rsidDel="00000000" w:rsidR="00000000" w:rsidRPr="00000000">
        <w:rPr>
          <w:rFonts w:ascii="Times New Roman" w:cs="Times New Roman" w:eastAsia="Times New Roman" w:hAnsi="Times New Roman"/>
          <w:sz w:val="24"/>
          <w:szCs w:val="24"/>
          <w:highlight w:val="white"/>
          <w:rtl w:val="0"/>
        </w:rPr>
        <w:t xml:space="preserve">, 2005, p. 268), que tanto concernem a psicologia e o espaço da saúde em geral. Nesse subtema, os artigos selecionados abordam diversas “doenças mentais”, tema sobre o qual deve-se cuidar para não reincidir, através da medicalização, em novas formas de controle social dos fenômenos humanos existenciais, ou seja; não apenas neurofisiológicos (Campos &amp; Zanello, 2016; Zanello &amp; Bukowitz, 2011). </w:t>
      </w:r>
    </w:p>
    <w:p w:rsidR="00000000" w:rsidDel="00000000" w:rsidP="00000000" w:rsidRDefault="00000000" w:rsidRPr="00000000" w14:paraId="00000192">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sentido, surgem, na amostra, dois artigos sobre abuso sexual infantil no Brasil. O primeiro afirma que esse abuso impacta no desenvolvimento infantil e acarreta sintomas emocionais e comportamentais colaterais em meninas,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tais como o Transtorno de Estresse Pós-Traumático (IJP, 2008). O segundo, por uma revisão de literatura, conclui que esse abuso seria um fator de risco para transtornos alimentares, notando que a correlação destes com o gênero seria multifatorial, envolvendo questões estéticas e sociais (IJP, 2009).</w:t>
      </w:r>
    </w:p>
    <w:p w:rsidR="00000000" w:rsidDel="00000000" w:rsidP="00000000" w:rsidRDefault="00000000" w:rsidRPr="00000000" w14:paraId="00000193">
      <w:pPr>
        <w:spacing w:line="240" w:lineRule="auto"/>
        <w:ind w:firstLine="70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Posto que os achados desses artigos reiteram a maior ocorrência da depressão entre mulheres, destacamos que esta diferente forma de adoecer possui vínculo com as relações de poder instituídas nos corpos, de modo que  “. . . seus comportamentos e sentimentos deveriam ser compreendidos mais como respostas plausíveis, quando contextualizados, do que como sintomas psiquiátricos” (Campos &amp; Zanello, 2016, p. 113). O saber psiquiátrico acaba, por vezes, a considerar o sintoma e o diagnóstico das experiências vividas e sentidas como se fossem inerentes, neste caso, ao ser mulher, e não uma produção normativa nos seus corpos à margem da representatividade social e econômica (Campos &amp; Zanello, 2016; Zanello &amp; Bukowitz, 2011)</w:t>
      </w:r>
      <w:r w:rsidDel="00000000" w:rsidR="00000000" w:rsidRPr="00000000">
        <w:rPr>
          <w:rtl w:val="0"/>
        </w:rPr>
      </w:r>
    </w:p>
    <w:p w:rsidR="00000000" w:rsidDel="00000000" w:rsidP="00000000" w:rsidRDefault="00000000" w:rsidRPr="00000000" w14:paraId="00000194">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seguida, emerge outra pesquisa sobre transtornos alimentares; desta vez, com foco nos corpos masculinos em Porto Rico (IJP, 2010). Considerando a masculinidade hegemônica resultante de relações de poder que servem ao patriarcado, esse estudo vê o sofrimento desses corpos refletido no aumento desses transtornos, sobretudo entre homossexuais, para os quais as cobranças sociais por certo tipo físico seriam um fator adicional de risco.</w:t>
      </w:r>
    </w:p>
    <w:p w:rsidR="00000000" w:rsidDel="00000000" w:rsidP="00000000" w:rsidRDefault="00000000" w:rsidRPr="00000000" w14:paraId="0000019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Novamente sobre abusos sexuais, um estudo realizado no México, embora não tenha encontrado correlação estatisticamente significativa entre esses abusos e as fantasias sexuais, indica que seus conteúdos relativos à promiscuidade, sadomasoquismo e homossexualidade seriam maiores em vítimas femininas de abuso sexual (IJP, 2010). Lembramos, entretanto, que esses dados carecem de maior contextualização antes de serem afirmados como indícios de propensão a doenças mentais, que compõem um campo</w:t>
      </w:r>
      <w:r w:rsidDel="00000000" w:rsidR="00000000" w:rsidRPr="00000000">
        <w:rPr>
          <w:rFonts w:ascii="Times New Roman" w:cs="Times New Roman" w:eastAsia="Times New Roman" w:hAnsi="Times New Roman"/>
          <w:sz w:val="24"/>
          <w:szCs w:val="24"/>
          <w:highlight w:val="white"/>
          <w:rtl w:val="0"/>
        </w:rPr>
        <w:t xml:space="preserve"> produzido e não descoberto na saúde, com significativo caráter de controle social e moral (Foucault, 1982).</w:t>
      </w:r>
      <w:r w:rsidDel="00000000" w:rsidR="00000000" w:rsidRPr="00000000">
        <w:rPr>
          <w:rtl w:val="0"/>
        </w:rPr>
      </w:r>
    </w:p>
    <w:p w:rsidR="00000000" w:rsidDel="00000000" w:rsidP="00000000" w:rsidRDefault="00000000" w:rsidRPr="00000000" w14:paraId="00000196">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 depressão, artigo sobre estudantes superdotados no Paraguai não identificou distinção na percepção de perfeccionismo, que seria alto para ambos os gêneros, mas sim no escore de depressão, maior entre meninas (IJP, 2015). Com público mais amplo, dois estudos feitos no México coadunam com achados segundo os quais mulheres teriam duas vezes mais quadro depressivo do que homens, identificando diferentes preditores para essas ocorrências (bebidas alcoólicas para homens; pensamento ruminativo e o tabagismo para mulheres) e fazendo referências a fatores sociais e culturais e a necessidade de se compreender o processo de socialização por gênero nas análises (IJP, 2013; IJP, 2017). </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As diferenças com que mulheres e homens</w:t>
      </w:r>
      <w:r w:rsidDel="00000000" w:rsidR="00000000" w:rsidRPr="00000000">
        <w:rPr>
          <w:rFonts w:ascii="Times New Roman" w:cs="Times New Roman" w:eastAsia="Times New Roman" w:hAnsi="Times New Roman"/>
          <w:sz w:val="24"/>
          <w:szCs w:val="24"/>
          <w:rtl w:val="0"/>
        </w:rPr>
        <w:t xml:space="preserve"> experienciam a existência subjetiva e sofrimentos são, certo modo, investigadas na Revista. No geral, contudo, essas diferenças costumam ser </w:t>
      </w:r>
      <w:r w:rsidDel="00000000" w:rsidR="00000000" w:rsidRPr="00000000">
        <w:rPr>
          <w:rFonts w:ascii="Times New Roman" w:cs="Times New Roman" w:eastAsia="Times New Roman" w:hAnsi="Times New Roman"/>
          <w:sz w:val="24"/>
          <w:szCs w:val="24"/>
          <w:highlight w:val="white"/>
          <w:rtl w:val="0"/>
        </w:rPr>
        <w:t xml:space="preserve">invisibilizadas no processo diagnóstico</w:t>
      </w:r>
      <w:r w:rsidDel="00000000" w:rsidR="00000000" w:rsidRPr="00000000">
        <w:rPr>
          <w:rFonts w:ascii="Times New Roman" w:cs="Times New Roman" w:eastAsia="Times New Roman" w:hAnsi="Times New Roman"/>
          <w:sz w:val="24"/>
          <w:szCs w:val="24"/>
          <w:rtl w:val="0"/>
        </w:rPr>
        <w:t xml:space="preserve"> e na prática clínica cotidiana (Campos &amp; Zanello, 2016; </w:t>
      </w:r>
      <w:r w:rsidDel="00000000" w:rsidR="00000000" w:rsidRPr="00000000">
        <w:rPr>
          <w:rFonts w:ascii="Times New Roman" w:cs="Times New Roman" w:eastAsia="Times New Roman" w:hAnsi="Times New Roman"/>
          <w:sz w:val="24"/>
          <w:szCs w:val="24"/>
          <w:highlight w:val="white"/>
          <w:rtl w:val="0"/>
        </w:rPr>
        <w:t xml:space="preserve">Souza, 2012; </w:t>
      </w:r>
      <w:r w:rsidDel="00000000" w:rsidR="00000000" w:rsidRPr="00000000">
        <w:rPr>
          <w:rFonts w:ascii="Times New Roman" w:cs="Times New Roman" w:eastAsia="Times New Roman" w:hAnsi="Times New Roman"/>
          <w:sz w:val="24"/>
          <w:szCs w:val="24"/>
          <w:rtl w:val="0"/>
        </w:rPr>
        <w:t xml:space="preserve">Zanello &amp; Bukowitz, 2011). </w:t>
      </w:r>
      <w:r w:rsidDel="00000000" w:rsidR="00000000" w:rsidRPr="00000000">
        <w:rPr>
          <w:rFonts w:ascii="Times New Roman" w:cs="Times New Roman" w:eastAsia="Times New Roman" w:hAnsi="Times New Roman"/>
          <w:sz w:val="24"/>
          <w:szCs w:val="24"/>
          <w:highlight w:val="white"/>
          <w:rtl w:val="0"/>
        </w:rPr>
        <w:t xml:space="preserve">Além das marcas da invisibilidade histórica e marginal dos corpos femininos, denunciadas por movimentos feministas e LGBTT+, são corpos historicamente sujeitos a violências, assim como corpos não-normativos, sendo esta outra faceta de controle e manutenção do poder masculino em sociedades patriarcais e heteronormativas (Gomes, Murta, Facchini &amp; Meneghel, 2018).</w:t>
      </w:r>
    </w:p>
    <w:p w:rsidR="00000000" w:rsidDel="00000000" w:rsidP="00000000" w:rsidRDefault="00000000" w:rsidRPr="00000000" w14:paraId="00000198">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falta de uma compreensão mais ampla da saúde pode colaborar para a construção de um normal e um desvio/patológico na saúde como padrões que, todavia, são engendrados por aspectos sociais e culturais e que, por conseguinte, podem se alterar no tempo (Souza, 2012; Zanello &amp; Bukowitz, 2011). Pensar o sofrimento psíquico nos impele a extrapolar o viés do discurso biomédico e exige reflexões com foco nos fatores sócio-político-econômico-culturais que nos constituem, como as relações de gênero, como se verá no próximo subtema.</w:t>
      </w:r>
    </w:p>
    <w:p w:rsidR="00000000" w:rsidDel="00000000" w:rsidP="00000000" w:rsidRDefault="00000000" w:rsidRPr="00000000" w14:paraId="00000199">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A">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4.2.2 Saúde sexual e (não) reprodutiva: produção de saberes e subjetividades. </w:t>
      </w:r>
      <w:r w:rsidDel="00000000" w:rsidR="00000000" w:rsidRPr="00000000">
        <w:rPr>
          <w:rFonts w:ascii="Times New Roman" w:cs="Times New Roman" w:eastAsia="Times New Roman" w:hAnsi="Times New Roman"/>
          <w:sz w:val="24"/>
          <w:szCs w:val="24"/>
          <w:highlight w:val="white"/>
          <w:rtl w:val="0"/>
        </w:rPr>
        <w:t xml:space="preserve">A partir da epidemia de HIV/AIDS nos anos 1980, houve um salto na produção em Saúde relativa a esse vírus em específico, como se infere, por exemplo, da Tabela 5.</w:t>
      </w:r>
    </w:p>
    <w:p w:rsidR="00000000" w:rsidDel="00000000" w:rsidP="00000000" w:rsidRDefault="00000000" w:rsidRPr="00000000" w14:paraId="0000019B">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19C">
      <w:pPr>
        <w:spacing w:line="276"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5. Quadro de artigos - Subtema 2 (Tema 2)</w:t>
      </w:r>
      <w:r w:rsidDel="00000000" w:rsidR="00000000" w:rsidRPr="00000000">
        <w:rPr>
          <w:rtl w:val="0"/>
        </w:rPr>
      </w:r>
    </w:p>
    <w:tbl>
      <w:tblPr>
        <w:tblStyle w:val="Table6"/>
        <w:tblW w:w="9135.0" w:type="dxa"/>
        <w:jc w:val="left"/>
        <w:tblInd w:w="100.0" w:type="pct"/>
        <w:tblLayout w:type="fixed"/>
        <w:tblLook w:val="0600"/>
      </w:tblPr>
      <w:tblGrid>
        <w:gridCol w:w="555"/>
        <w:gridCol w:w="660"/>
        <w:gridCol w:w="3135"/>
        <w:gridCol w:w="3225"/>
        <w:gridCol w:w="1560"/>
        <w:tblGridChange w:id="0">
          <w:tblGrid>
            <w:gridCol w:w="555"/>
            <w:gridCol w:w="660"/>
            <w:gridCol w:w="3135"/>
            <w:gridCol w:w="3225"/>
            <w:gridCol w:w="1560"/>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19D">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0" w:val="nil"/>
            </w:tcBorders>
            <w:vAlign w:val="center"/>
          </w:tcPr>
          <w:p w:rsidR="00000000" w:rsidDel="00000000" w:rsidP="00000000" w:rsidRDefault="00000000" w:rsidRPr="00000000" w14:paraId="0000019F">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1A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Assunto(s)</w:t>
            </w:r>
          </w:p>
          <w:p w:rsidR="00000000" w:rsidDel="00000000" w:rsidP="00000000" w:rsidRDefault="00000000" w:rsidRPr="00000000" w14:paraId="000001A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A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1A4">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6" w:val="single"/>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0" w:val="nil"/>
              <w:bottom w:color="000000" w:space="0" w:sz="12" w:val="single"/>
            </w:tcBorders>
            <w:vAlign w:val="center"/>
          </w:tcPr>
          <w:p w:rsidR="00000000" w:rsidDel="00000000" w:rsidP="00000000" w:rsidRDefault="00000000" w:rsidRPr="00000000" w14:paraId="000001A7">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8">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A9">
            <w:pPr>
              <w:widowControl w:val="0"/>
              <w:rPr>
                <w:rFonts w:ascii="Times New Roman" w:cs="Times New Roman" w:eastAsia="Times New Roman" w:hAnsi="Times New Roman"/>
                <w:sz w:val="20"/>
                <w:szCs w:val="20"/>
              </w:rPr>
            </w:pPr>
            <w:r w:rsidDel="00000000" w:rsidR="00000000" w:rsidRPr="00000000">
              <w:rPr>
                <w:rtl w:val="0"/>
              </w:rPr>
            </w:r>
          </w:p>
        </w:tc>
      </w:tr>
      <w:tr>
        <w:trPr>
          <w:trHeight w:val="239.68503937007875" w:hRule="atLeast"/>
        </w:trPr>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A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1990</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A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Fishbein</w:t>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A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(teoria comportamental)</w:t>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A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 EUA</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A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B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B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Diaz</w:t>
            </w:r>
            <w:r w:rsidDel="00000000" w:rsidR="00000000" w:rsidRPr="00000000">
              <w:rPr>
                <w:rFonts w:ascii="Times New Roman" w:cs="Times New Roman" w:eastAsia="Times New Roman" w:hAnsi="Times New Roman"/>
                <w:sz w:val="20"/>
                <w:szCs w:val="20"/>
                <w:rtl w:val="0"/>
              </w:rPr>
              <w:t xml:space="preserve">-Loving e Martinez</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B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(grupos de risco)</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B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B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B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B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Organista, Organista, Alba G. e Morán</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(prevenção)</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B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México, EUA</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B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B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34(1)</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B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Toro-Alfonso</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B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(prevenção, homossexualidade)</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B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80" w:hRule="atLeast"/>
        </w:trPr>
        <w:tc>
          <w:tcPr>
            <w:vMerge w:val="restart"/>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B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2001</w:t>
            </w:r>
          </w:p>
        </w:tc>
        <w:tc>
          <w:tcPr>
            <w:vMerge w:val="restart"/>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B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C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Ayala e Díaz</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C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(preconceito, homossexualidade)</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C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C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León</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C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(prevenção, políticas)</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C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 EUA</w:t>
            </w:r>
          </w:p>
        </w:tc>
      </w:tr>
      <w:tr>
        <w:trPr>
          <w:trHeight w:val="280" w:hRule="atLeast"/>
        </w:trPr>
        <w:tc>
          <w:tcPr>
            <w:vMerge w:val="restart"/>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C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w:t>
            </w:r>
          </w:p>
        </w:tc>
        <w:tc>
          <w:tcPr>
            <w:vMerge w:val="restart"/>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C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C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Pecheny, Manzelli e Jones</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(discriminação)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C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C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Arregui</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(discriminação)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 Dominicana</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D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D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Câmara, Sarriera e Carlotto</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(conduta de risco)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D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D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D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Torres e Faria</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(homossexualidade)</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D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D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D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Pérez-Jiménez, Santiago-Rivas e Serrano-García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D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DSTs (prevenção, heterosexualidade)</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80" w:hRule="atLeast"/>
        </w:trPr>
        <w:tc>
          <w:tcPr>
            <w:vMerge w:val="restart"/>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vMerge w:val="restart"/>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Hernández-Hernández e Perez-Jimenez</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(heterossexualidade)</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7">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Haack, Silva, Prati e Boeckel</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DST/AIDS (adolescência, prevenção)</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B">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Cerqueira-Santos, Calvetti, Rocha, Moura, Barbosa e Hermel</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(LGBTfobia, tratamento)</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E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F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F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46(3)</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F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Vázquez-Rivera, Nazario-Serrano e Sayers-Montalvo</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F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(LGBT, atendimento clínico)</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F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F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F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F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Cueto e Leon</w:t>
            </w:r>
          </w:p>
        </w:tc>
        <w:tc>
          <w:tcPr>
            <w:tcBorders>
              <w:top w:color="000000" w:space="0" w:sz="0" w:val="nil"/>
              <w:left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F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(comportamento, adolescência)</w:t>
            </w:r>
          </w:p>
        </w:tc>
        <w:tc>
          <w:tcPr>
            <w:tcBorders>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F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F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F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1F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Robles e Espinel</w:t>
            </w:r>
          </w:p>
        </w:tc>
        <w:tc>
          <w:tcPr>
            <w:tcBorders>
              <w:top w:color="000000" w:space="0" w:sz="0" w:val="nil"/>
              <w:left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F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(comportamento, adolescência)</w:t>
            </w:r>
          </w:p>
        </w:tc>
        <w:tc>
          <w:tcPr>
            <w:tcBorders>
              <w:left w:color="000000" w:space="0" w:sz="0" w:val="nil"/>
              <w:bottom w:color="000000" w:space="0" w:sz="0" w:val="nil"/>
              <w:right w:color="000000" w:space="0" w:sz="0" w:val="nil"/>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1F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Equador</w:t>
            </w:r>
          </w:p>
        </w:tc>
      </w:tr>
      <w:tr>
        <w:trPr>
          <w:trHeight w:val="239.68503937007875" w:hRule="atLeast"/>
        </w:trPr>
        <w:tc>
          <w:tcPr>
            <w:tcBorders>
              <w:top w:color="000000" w:space="0" w:sz="0" w:val="nil"/>
              <w:left w:color="000000" w:space="0" w:sz="0" w:val="nil"/>
              <w:bottom w:color="000000" w:space="0" w:sz="12"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F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tcBorders>
              <w:top w:color="000000" w:space="0" w:sz="0" w:val="nil"/>
              <w:left w:color="000000" w:space="0" w:sz="0" w:val="nil"/>
              <w:bottom w:color="000000" w:space="0" w:sz="12"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0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52(3)</w:t>
            </w:r>
          </w:p>
        </w:tc>
        <w:tc>
          <w:tcPr>
            <w:tcBorders>
              <w:top w:color="000000" w:space="0" w:sz="0" w:val="nil"/>
              <w:left w:color="000000" w:space="0" w:sz="0" w:val="nil"/>
              <w:bottom w:color="000000" w:space="0" w:sz="12"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0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Fonte-Boa, Queiroz, Santos e Pereira</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0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(relacionamento, cuidado)</w:t>
            </w:r>
          </w:p>
        </w:tc>
        <w:tc>
          <w:tcPr>
            <w:tcBorders>
              <w:left w:color="000000" w:space="0" w:sz="0" w:val="nil"/>
              <w:bottom w:color="000000" w:space="0" w:sz="12" w:val="single"/>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bl>
    <w:p w:rsidR="00000000" w:rsidDel="00000000" w:rsidP="00000000" w:rsidRDefault="00000000" w:rsidRPr="00000000" w14:paraId="00000204">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20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Nos anos 1990, surge uma primeira publicação sobre esse tema na Revista (IJP, 1990). Cinco anos se passam antes que outro artigo seja publicado sobre o mesmo tema na amostra. Mais alguns estudos, com foco na prevenção, foram publicados nessa década (IJP, 1997).</w:t>
      </w:r>
    </w:p>
    <w:p w:rsidR="00000000" w:rsidDel="00000000" w:rsidP="00000000" w:rsidRDefault="00000000" w:rsidRPr="00000000" w14:paraId="00000206">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década seguinte, a Revista publica uma edição especial composta por oito artigos, uma pesquisa estudantil e uma resenha voltados sobre a temática da AIDS (IJP, 2001, vol. 35 n° 2). Dois desses trabalhos passaram nos critérios desta revisão: um com a comunidade latina e </w:t>
      </w:r>
      <w:r w:rsidDel="00000000" w:rsidR="00000000" w:rsidRPr="00000000">
        <w:rPr>
          <w:rFonts w:ascii="Times New Roman" w:cs="Times New Roman" w:eastAsia="Times New Roman" w:hAnsi="Times New Roman"/>
          <w:i w:val="1"/>
          <w:sz w:val="24"/>
          <w:szCs w:val="24"/>
          <w:highlight w:val="white"/>
          <w:rtl w:val="0"/>
        </w:rPr>
        <w:t xml:space="preserve">gay </w:t>
      </w:r>
      <w:r w:rsidDel="00000000" w:rsidR="00000000" w:rsidRPr="00000000">
        <w:rPr>
          <w:rFonts w:ascii="Times New Roman" w:cs="Times New Roman" w:eastAsia="Times New Roman" w:hAnsi="Times New Roman"/>
          <w:sz w:val="24"/>
          <w:szCs w:val="24"/>
          <w:highlight w:val="white"/>
          <w:rtl w:val="0"/>
        </w:rPr>
        <w:t xml:space="preserve">e o outro com mulheres de Porto Rico, ambos os grupos radicados nos EUA (IJP, 2001) e considerados “de risco”. Preconceito e estigma contra soropositivos (mulheres, LGBTT+ e imigrantes, em especial) também foram relatados em artigos da Revista (IJP, 2007; IJP, 2008).</w:t>
      </w:r>
    </w:p>
    <w:p w:rsidR="00000000" w:rsidDel="00000000" w:rsidP="00000000" w:rsidRDefault="00000000" w:rsidRPr="00000000" w14:paraId="00000207">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Nesse sentido, Negreiros, Gomes, Colaço e Ximenes (2018) pontuam que as análises à época consideravam que a categoria risco se referia a questões de ordem sexual, enquanto “vulnerabilidade” corresponderia a “práticas desviantes” e certos tipos de violência (</w:t>
      </w:r>
      <w:r w:rsidDel="00000000" w:rsidR="00000000" w:rsidRPr="00000000">
        <w:rPr>
          <w:rFonts w:ascii="Times New Roman" w:cs="Times New Roman" w:eastAsia="Times New Roman" w:hAnsi="Times New Roman"/>
          <w:i w:val="1"/>
          <w:sz w:val="24"/>
          <w:szCs w:val="24"/>
          <w:rtl w:val="0"/>
        </w:rPr>
        <w:t xml:space="preserve">Op. cit.</w:t>
      </w:r>
      <w:r w:rsidDel="00000000" w:rsidR="00000000" w:rsidRPr="00000000">
        <w:rPr>
          <w:rFonts w:ascii="Times New Roman" w:cs="Times New Roman" w:eastAsia="Times New Roman" w:hAnsi="Times New Roman"/>
          <w:sz w:val="24"/>
          <w:szCs w:val="24"/>
          <w:rtl w:val="0"/>
        </w:rPr>
        <w:t xml:space="preserve">, p. 28). Seu estudo, para além de alertar para os limites dessas correlações, adverte que tais categorias não representam a totalidade e abrangên</w:t>
      </w:r>
      <w:r w:rsidDel="00000000" w:rsidR="00000000" w:rsidRPr="00000000">
        <w:rPr>
          <w:rFonts w:ascii="Times New Roman" w:cs="Times New Roman" w:eastAsia="Times New Roman" w:hAnsi="Times New Roman"/>
          <w:sz w:val="24"/>
          <w:szCs w:val="24"/>
          <w:highlight w:val="white"/>
          <w:rtl w:val="0"/>
        </w:rPr>
        <w:t xml:space="preserve">cia das diversas categorias sociais, como “jovens”, em seus respectivos contextos (</w:t>
      </w:r>
      <w:r w:rsidDel="00000000" w:rsidR="00000000" w:rsidRPr="00000000">
        <w:rPr>
          <w:rFonts w:ascii="Times New Roman" w:cs="Times New Roman" w:eastAsia="Times New Roman" w:hAnsi="Times New Roman"/>
          <w:sz w:val="24"/>
          <w:szCs w:val="24"/>
          <w:rtl w:val="0"/>
        </w:rPr>
        <w:t xml:space="preserve">Negreiros, Gomes, Colaço &amp; Ximenes, 2018)</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208">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Quase dez anos após a edição especial, novos estudos da Revista olham, então, menos para as pessoas soropositivas e mais para o papel das políticas públicas de saúde e o impacto negativo da intervenção de profissionais de saúde na vida dessas pessoas, em especial grupos minoritários como mulheres, LGBTT+ e imigrantes. Foram destacados, ainda, o preconceito, o estigma, a marginalização e a exposição a vulnerabilidades diversas dessas pessoas. </w:t>
      </w:r>
    </w:p>
    <w:p w:rsidR="00000000" w:rsidDel="00000000" w:rsidP="00000000" w:rsidRDefault="00000000" w:rsidRPr="00000000" w14:paraId="00000209">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resultados dessas pesquisas, no geral mistos, indicam que em alguns países, as políticas implementadas teriam exacerbado o preconceito e a discriminação dos indivíduos, grupos e comunidades com o espectro da epidemia (IJP, 2010; IJP, 2012). Muitos desses estudos já indicavam a necessidade de garantir espaços de tratamento humanizado e sigilo, além de uma melhor formação para os profissionais de saúde lidarem com esse público. </w:t>
      </w:r>
    </w:p>
    <w:p w:rsidR="00000000" w:rsidDel="00000000" w:rsidP="00000000" w:rsidRDefault="00000000" w:rsidRPr="00000000" w14:paraId="0000020A">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 comunidade LGBTT+, essas políticas deveriam garantir ainda serviços de acompanhamento e prevenção com foco nas especificidades de suas práticas sexuais, que </w:t>
      </w:r>
      <w:r w:rsidDel="00000000" w:rsidR="00000000" w:rsidRPr="00000000">
        <w:rPr>
          <w:rFonts w:ascii="Times New Roman" w:cs="Times New Roman" w:eastAsia="Times New Roman" w:hAnsi="Times New Roman"/>
          <w:sz w:val="24"/>
          <w:szCs w:val="24"/>
          <w:rtl w:val="0"/>
        </w:rPr>
        <w:t xml:space="preserve">fogem ao padrão cisheteronormativo da saúde (no geral, estabelecido para fins reprodutivos), e instigam usos dos poderes biomédicos em “espaços absolutamente outros” (Foucault, 2009, p. 20-21). A</w:t>
      </w:r>
      <w:r w:rsidDel="00000000" w:rsidR="00000000" w:rsidRPr="00000000">
        <w:rPr>
          <w:rFonts w:ascii="Times New Roman" w:cs="Times New Roman" w:eastAsia="Times New Roman" w:hAnsi="Times New Roman"/>
          <w:sz w:val="24"/>
          <w:szCs w:val="24"/>
          <w:highlight w:val="white"/>
          <w:rtl w:val="0"/>
        </w:rPr>
        <w:t xml:space="preserve"> cada país/território, portanto, caberia pensar estratégias e programas acolhedores, contínuos e com aporte material e financeiro para implantar apoio, intervenção e orientação em saúde, principalmente na área de sexualidades, que considere as especificidades sociais, culturais e políticas de cada comunidade, bem como suas subjetividades, em que comparecem múltiplos fatores não-totalizáveis ou centralizáveis no indivíduo (Guattari &amp; Rolnik, 1996).</w:t>
      </w:r>
    </w:p>
    <w:p w:rsidR="00000000" w:rsidDel="00000000" w:rsidP="00000000" w:rsidRDefault="00000000" w:rsidRPr="00000000" w14:paraId="0000020B">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Acerca da replicação de programas, muitas vezes importados, que não consideram as especificidades locais, observamos apenas que podem não atingir positivamente a população latino-americana e suas múltiplas realidades. No geral, poderá ser necessário, além desses programas, que se adotem políticas de valorização da saúde sexual, integral e (</w:t>
      </w:r>
      <w:r w:rsidDel="00000000" w:rsidR="00000000" w:rsidRPr="00000000">
        <w:rPr>
          <w:rFonts w:ascii="Times New Roman" w:cs="Times New Roman" w:eastAsia="Times New Roman" w:hAnsi="Times New Roman"/>
          <w:sz w:val="24"/>
          <w:szCs w:val="24"/>
          <w:highlight w:val="white"/>
          <w:rtl w:val="0"/>
        </w:rPr>
        <w:t xml:space="preserve">re)produtiva</w:t>
      </w:r>
      <w:r w:rsidDel="00000000" w:rsidR="00000000" w:rsidRPr="00000000">
        <w:rPr>
          <w:rFonts w:ascii="Times New Roman" w:cs="Times New Roman" w:eastAsia="Times New Roman" w:hAnsi="Times New Roman"/>
          <w:sz w:val="24"/>
          <w:szCs w:val="24"/>
          <w:highlight w:val="white"/>
          <w:rtl w:val="0"/>
        </w:rPr>
        <w:t xml:space="preserve"> dessas pessoas, incorporando aspectos socioeconômicos, culturais e subjetivos locais, o que poderá ser alcançado ainda com a colaboração e participação ativa dos próprios profissionais das diversas áreas da Saúde.</w:t>
      </w:r>
    </w:p>
    <w:p w:rsidR="00000000" w:rsidDel="00000000" w:rsidP="00000000" w:rsidRDefault="00000000" w:rsidRPr="00000000" w14:paraId="0000020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Pelos artigos elencados, notamos que muitas dessas políticas já estão sendo buscadas </w:t>
      </w:r>
      <w:r w:rsidDel="00000000" w:rsidR="00000000" w:rsidRPr="00000000">
        <w:rPr>
          <w:rFonts w:ascii="Times New Roman" w:cs="Times New Roman" w:eastAsia="Times New Roman" w:hAnsi="Times New Roman"/>
          <w:sz w:val="24"/>
          <w:szCs w:val="24"/>
          <w:rtl w:val="0"/>
        </w:rPr>
        <w:t xml:space="preserve">nesses próprios países, com maior ou menor “clareza conceitual” (Alquati Bisol &amp; Tapia, 2012), acerca de risco e vulnerabilidade, entre outros conceitos. No entanto, notamos com pesar a escassez da expressão saúde sexual adotada pela OMS nos artigos da amostra. No próximo Tema, serão revistos estudos que abordam a instituição “família” nas sociedades latino-americanas atuais, e veremos muitas questões já levantadas anteriormente.</w:t>
      </w:r>
    </w:p>
    <w:p w:rsidR="00000000" w:rsidDel="00000000" w:rsidP="00000000" w:rsidRDefault="00000000" w:rsidRPr="00000000" w14:paraId="000002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4.3 Tema 3: “Família, instituição de (re)produção de rel</w:t>
      </w:r>
      <w:r w:rsidDel="00000000" w:rsidR="00000000" w:rsidRPr="00000000">
        <w:rPr>
          <w:rFonts w:ascii="Times New Roman" w:cs="Times New Roman" w:eastAsia="Times New Roman" w:hAnsi="Times New Roman"/>
          <w:b w:val="1"/>
          <w:sz w:val="24"/>
          <w:szCs w:val="24"/>
          <w:rtl w:val="0"/>
        </w:rPr>
        <w:t xml:space="preserve">ações de gênero” </w:t>
      </w:r>
      <w:r w:rsidDel="00000000" w:rsidR="00000000" w:rsidRPr="00000000">
        <w:rPr>
          <w:rtl w:val="0"/>
        </w:rPr>
      </w:r>
    </w:p>
    <w:p w:rsidR="00000000" w:rsidDel="00000000" w:rsidP="00000000" w:rsidRDefault="00000000" w:rsidRPr="00000000" w14:paraId="0000020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presente, partimos do entendimento de família como uma instituição social, espaço </w:t>
      </w:r>
      <w:r w:rsidDel="00000000" w:rsidR="00000000" w:rsidRPr="00000000">
        <w:rPr>
          <w:rFonts w:ascii="Times New Roman" w:cs="Times New Roman" w:eastAsia="Times New Roman" w:hAnsi="Times New Roman"/>
          <w:sz w:val="24"/>
          <w:szCs w:val="24"/>
          <w:highlight w:val="white"/>
          <w:rtl w:val="0"/>
        </w:rPr>
        <w:t xml:space="preserve">privilegiado de produção de subjetividades, necessário para manutenção e organização das sociedades no geral. Nos últimos anos, vem passando por constantes alterações, observáveis nas relações sociais, cujos modelos estão interligados a con</w:t>
      </w:r>
      <w:r w:rsidDel="00000000" w:rsidR="00000000" w:rsidRPr="00000000">
        <w:rPr>
          <w:rFonts w:ascii="Times New Roman" w:cs="Times New Roman" w:eastAsia="Times New Roman" w:hAnsi="Times New Roman"/>
          <w:sz w:val="24"/>
          <w:szCs w:val="24"/>
          <w:rtl w:val="0"/>
        </w:rPr>
        <w:t xml:space="preserve">textos específicos e norteados por princípios sociais, culturais, políticos e econômicos (Coutinho &amp; Menandro, 2009; Lindinger, 2014; Roudinesco, 2003). Compreendemos que mudanças são gradativas e que o rompimento histórico, cultural e estrutural ocorre de modo concomitante às forças de manutenção do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dinâmica a que o saber </w:t>
      </w:r>
      <w:r w:rsidDel="00000000" w:rsidR="00000000" w:rsidRPr="00000000">
        <w:rPr>
          <w:rFonts w:ascii="Times New Roman" w:cs="Times New Roman" w:eastAsia="Times New Roman" w:hAnsi="Times New Roman"/>
          <w:i w:val="1"/>
          <w:sz w:val="24"/>
          <w:szCs w:val="24"/>
          <w:rtl w:val="0"/>
        </w:rPr>
        <w:t xml:space="preserve">psi </w:t>
      </w:r>
      <w:r w:rsidDel="00000000" w:rsidR="00000000" w:rsidRPr="00000000">
        <w:rPr>
          <w:rFonts w:ascii="Times New Roman" w:cs="Times New Roman" w:eastAsia="Times New Roman" w:hAnsi="Times New Roman"/>
          <w:sz w:val="24"/>
          <w:szCs w:val="24"/>
          <w:rtl w:val="0"/>
        </w:rPr>
        <w:t xml:space="preserve">precisa estar atento para não ser mais um espaço de reprodução de falas hegemônicas e excludentes.</w:t>
      </w:r>
    </w:p>
    <w:p w:rsidR="00000000" w:rsidDel="00000000" w:rsidP="00000000" w:rsidRDefault="00000000" w:rsidRPr="00000000" w14:paraId="0000020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etimologia de família (do latim, </w:t>
      </w:r>
      <w:r w:rsidDel="00000000" w:rsidR="00000000" w:rsidRPr="00000000">
        <w:rPr>
          <w:rFonts w:ascii="Times New Roman" w:cs="Times New Roman" w:eastAsia="Times New Roman" w:hAnsi="Times New Roman"/>
          <w:i w:val="1"/>
          <w:sz w:val="24"/>
          <w:szCs w:val="24"/>
          <w:rtl w:val="0"/>
        </w:rPr>
        <w:t xml:space="preserve">famulus</w:t>
      </w:r>
      <w:r w:rsidDel="00000000" w:rsidR="00000000" w:rsidRPr="00000000">
        <w:rPr>
          <w:rFonts w:ascii="Times New Roman" w:cs="Times New Roman" w:eastAsia="Times New Roman" w:hAnsi="Times New Roman"/>
          <w:sz w:val="24"/>
          <w:szCs w:val="24"/>
          <w:rtl w:val="0"/>
        </w:rPr>
        <w:t xml:space="preserve">, ou ‘escravo doméstico’) remete à relação de poder patriarcal, ainda muito arraigada nas sociedades ocidentais, bem como à relação com a religião, particularmente na América Latina, onde </w:t>
      </w:r>
      <w:r w:rsidDel="00000000" w:rsidR="00000000" w:rsidRPr="00000000">
        <w:rPr>
          <w:rFonts w:ascii="Times New Roman" w:cs="Times New Roman" w:eastAsia="Times New Roman" w:hAnsi="Times New Roman"/>
          <w:sz w:val="24"/>
          <w:szCs w:val="24"/>
          <w:highlight w:val="white"/>
          <w:rtl w:val="0"/>
        </w:rPr>
        <w:t xml:space="preserve">por muito tempo teve a formalização e constituição embasadas pelo casamento religioso, </w:t>
      </w:r>
      <w:r w:rsidDel="00000000" w:rsidR="00000000" w:rsidRPr="00000000">
        <w:rPr>
          <w:rFonts w:ascii="Times New Roman" w:cs="Times New Roman" w:eastAsia="Times New Roman" w:hAnsi="Times New Roman"/>
          <w:sz w:val="24"/>
          <w:szCs w:val="24"/>
          <w:rtl w:val="0"/>
        </w:rPr>
        <w:t xml:space="preserve">sendo que essas marcas ainda norteiam este espaço de interação (Zilles, 2002). </w:t>
      </w:r>
      <w:r w:rsidDel="00000000" w:rsidR="00000000" w:rsidRPr="00000000">
        <w:rPr>
          <w:rFonts w:ascii="Times New Roman" w:cs="Times New Roman" w:eastAsia="Times New Roman" w:hAnsi="Times New Roman"/>
          <w:sz w:val="24"/>
          <w:szCs w:val="24"/>
          <w:highlight w:val="white"/>
          <w:rtl w:val="0"/>
        </w:rPr>
        <w:t xml:space="preserve">Com as resistências jurídicos-sociais do século XIX pela laicização de Estados e pelo casamento civil, a família foi paulatinamente se adequando às realidades das vidas das pessoas, sendo então compreendida a partir da multiplicidade de possibilidades de arranjos, formais ou não, ao lado das conquistas recentes que fogem à concepção heteronormativa nas origens desta instituição soci</w:t>
      </w:r>
      <w:r w:rsidDel="00000000" w:rsidR="00000000" w:rsidRPr="00000000">
        <w:rPr>
          <w:rFonts w:ascii="Times New Roman" w:cs="Times New Roman" w:eastAsia="Times New Roman" w:hAnsi="Times New Roman"/>
          <w:sz w:val="24"/>
          <w:szCs w:val="24"/>
          <w:rtl w:val="0"/>
        </w:rPr>
        <w:t xml:space="preserve">al (Oliven, 2019).</w:t>
      </w:r>
    </w:p>
    <w:p w:rsidR="00000000" w:rsidDel="00000000" w:rsidP="00000000" w:rsidRDefault="00000000" w:rsidRPr="00000000" w14:paraId="0000021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no século XX, Silva (2016) aponta que as questões de gênero e sexualidades foram objeto de vigilância na ditadura civil-militar brasileira e que “homens e mulheres que não se </w:t>
      </w:r>
      <w:r w:rsidDel="00000000" w:rsidR="00000000" w:rsidRPr="00000000">
        <w:rPr>
          <w:rFonts w:ascii="Times New Roman" w:cs="Times New Roman" w:eastAsia="Times New Roman" w:hAnsi="Times New Roman"/>
          <w:sz w:val="24"/>
          <w:szCs w:val="24"/>
          <w:rtl w:val="0"/>
        </w:rPr>
        <w:t xml:space="preserve">enquadravam</w:t>
      </w:r>
      <w:r w:rsidDel="00000000" w:rsidR="00000000" w:rsidRPr="00000000">
        <w:rPr>
          <w:rFonts w:ascii="Times New Roman" w:cs="Times New Roman" w:eastAsia="Times New Roman" w:hAnsi="Times New Roman"/>
          <w:sz w:val="24"/>
          <w:szCs w:val="24"/>
          <w:rtl w:val="0"/>
        </w:rPr>
        <w:t xml:space="preserve"> na posição de gênero dominante foram censurados, vigiados, denunciados e punidos moralmente por expressarem uma feminilidade e masculinidade considerada subversiva” (p. 78). Assim como o estudo das famílias demonstrava ser um viés de produção de conhecimento para fins na manutenção da estrutura político-social-ideológica da época, a repressão desses regimes ditatoriais na América Latina certamente impactou na produção científica de então, seja pela censura dos debates, seja pela perseguição à produção dos saberes relativos a essas temáticas que escapavam aos modos hegemônicos da repressão. Nesse sentido, por vezes, em nome das subjetividades dominantes: </w:t>
      </w:r>
    </w:p>
    <w:p w:rsidR="00000000" w:rsidDel="00000000" w:rsidP="00000000" w:rsidRDefault="00000000" w:rsidRPr="00000000" w14:paraId="00000211">
      <w:pPr>
        <w:shd w:fill="ffffff" w:val="clear"/>
        <w:spacing w:before="240" w:line="240" w:lineRule="auto"/>
        <w:ind w:left="992.125984251968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liberdade sexual, o controle de natalidade, ‘a dissolução’ dos casamentos, a instituição do divórcio, ‘o sexo sem freios’, a emancipação intelectual, profissional e sexual da mulher, o ‘crepúsculo do macho’, a socialização dos serviços domésticos necessitam ser disciplinados, normatizados. É em cima de tais questões que o especialista ‘psi’ entra e detém seu monopólio, …, com sua providencial neutralidade, simplesmente ‘verifica o desejo do seu cliente’. ‘A família torna-se consumidora ávida de tudo o que pode ajudá-la a ‘realizar-se’. (Coimbra, 1995, p. 36-37) </w:t>
      </w:r>
    </w:p>
    <w:p w:rsidR="00000000" w:rsidDel="00000000" w:rsidP="00000000" w:rsidRDefault="00000000" w:rsidRPr="00000000" w14:paraId="00000212">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seguir, neste Tema, estão reunidos estudos das relações instituídas nas estruturas familiares. Nesses vinte artigos da Revista, o foco na família tradicional ainda predomina</w:t>
      </w:r>
      <w:r w:rsidDel="00000000" w:rsidR="00000000" w:rsidRPr="00000000">
        <w:rPr>
          <w:rFonts w:ascii="Times New Roman" w:cs="Times New Roman" w:eastAsia="Times New Roman" w:hAnsi="Times New Roman"/>
          <w:sz w:val="24"/>
          <w:szCs w:val="24"/>
          <w:highlight w:val="white"/>
          <w:rtl w:val="0"/>
        </w:rPr>
        <w:t xml:space="preserve">, no que poderemos identificar, tendo por base as discussões aqui trazidas, formas de controle dos corpos por usos apenas dos conceitos de gênero e sexualidades legitimados por discursos científicos. Notamos que o estudo dessa instituição pela Psicologia trouxe para si um espaço de saber </w:t>
      </w:r>
      <w:r w:rsidDel="00000000" w:rsidR="00000000" w:rsidRPr="00000000">
        <w:rPr>
          <w:rFonts w:ascii="Times New Roman" w:cs="Times New Roman" w:eastAsia="Times New Roman" w:hAnsi="Times New Roman"/>
          <w:sz w:val="24"/>
          <w:szCs w:val="24"/>
          <w:rtl w:val="0"/>
        </w:rPr>
        <w:t xml:space="preserve">que, por vezes, colaborou com 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de cada época (Silva, 2016).</w:t>
      </w:r>
    </w:p>
    <w:p w:rsidR="00000000" w:rsidDel="00000000" w:rsidP="00000000" w:rsidRDefault="00000000" w:rsidRPr="00000000" w14:paraId="00000214">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15">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4.3.1 Representações sociais de família. </w:t>
      </w:r>
      <w:r w:rsidDel="00000000" w:rsidR="00000000" w:rsidRPr="00000000">
        <w:rPr>
          <w:rFonts w:ascii="Times New Roman" w:cs="Times New Roman" w:eastAsia="Times New Roman" w:hAnsi="Times New Roman"/>
          <w:sz w:val="24"/>
          <w:szCs w:val="24"/>
          <w:highlight w:val="white"/>
          <w:rtl w:val="0"/>
        </w:rPr>
        <w:t xml:space="preserve">Esse subtema agrupa sete estudos que discorreram, entre outros, sobre papéis de gênero e sexualidades no âmbito das famílias (Tabela 6).</w:t>
      </w:r>
    </w:p>
    <w:p w:rsidR="00000000" w:rsidDel="00000000" w:rsidP="00000000" w:rsidRDefault="00000000" w:rsidRPr="00000000" w14:paraId="00000216">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17">
      <w:pPr>
        <w:spacing w:line="276"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6. Quadro de artigos - Subtema 1 (Tema 3)</w:t>
      </w:r>
      <w:r w:rsidDel="00000000" w:rsidR="00000000" w:rsidRPr="00000000">
        <w:rPr>
          <w:rtl w:val="0"/>
        </w:rPr>
      </w:r>
    </w:p>
    <w:tbl>
      <w:tblPr>
        <w:tblStyle w:val="Table7"/>
        <w:tblW w:w="9150.0" w:type="dxa"/>
        <w:jc w:val="left"/>
        <w:tblInd w:w="100.0" w:type="pct"/>
        <w:tblLayout w:type="fixed"/>
        <w:tblLook w:val="0600"/>
      </w:tblPr>
      <w:tblGrid>
        <w:gridCol w:w="555"/>
        <w:gridCol w:w="660"/>
        <w:gridCol w:w="3330"/>
        <w:gridCol w:w="3105"/>
        <w:gridCol w:w="1500"/>
        <w:tblGridChange w:id="0">
          <w:tblGrid>
            <w:gridCol w:w="555"/>
            <w:gridCol w:w="660"/>
            <w:gridCol w:w="3330"/>
            <w:gridCol w:w="3105"/>
            <w:gridCol w:w="1500"/>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218">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0" w:val="nil"/>
            </w:tcBorders>
            <w:vAlign w:val="center"/>
          </w:tcPr>
          <w:p w:rsidR="00000000" w:rsidDel="00000000" w:rsidP="00000000" w:rsidRDefault="00000000" w:rsidRPr="00000000" w14:paraId="0000021A">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21B">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21C">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Conceito(s)</w:t>
            </w:r>
          </w:p>
          <w:p w:rsidR="00000000" w:rsidDel="00000000" w:rsidP="00000000" w:rsidRDefault="00000000" w:rsidRPr="00000000" w14:paraId="0000021D">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21E">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21F">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6" w:val="single"/>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0" w:val="nil"/>
              <w:bottom w:color="000000" w:space="0" w:sz="12" w:val="single"/>
            </w:tcBorders>
            <w:vAlign w:val="center"/>
          </w:tcPr>
          <w:p w:rsidR="00000000" w:rsidDel="00000000" w:rsidP="00000000" w:rsidRDefault="00000000" w:rsidRPr="00000000" w14:paraId="00000222">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3">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4">
            <w:pPr>
              <w:widowControl w:val="0"/>
              <w:rPr>
                <w:rFonts w:ascii="Times New Roman" w:cs="Times New Roman" w:eastAsia="Times New Roman" w:hAnsi="Times New Roman"/>
                <w:sz w:val="20"/>
                <w:szCs w:val="20"/>
              </w:rPr>
            </w:pPr>
            <w:r w:rsidDel="00000000" w:rsidR="00000000" w:rsidRPr="00000000">
              <w:rPr>
                <w:rtl w:val="0"/>
              </w:rPr>
            </w:r>
          </w:p>
        </w:tc>
      </w:tr>
      <w:tr>
        <w:trPr>
          <w:trHeight w:val="239.68503937007875" w:hRule="atLeast"/>
        </w:trPr>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2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2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40(3)</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2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Toneli, Lodetti, Lucca, Gomes e Araújo</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2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(paternidade,  gênero)</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2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80" w:hRule="atLeast"/>
        </w:trPr>
        <w:tc>
          <w:tcPr>
            <w:vMerge w:val="restart"/>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2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2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2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Aizpurúa, Jablonski e Féres-Carneiro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2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(processo histórico)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2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Argentina</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2F">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Medina, López-Fuentes, </w:t>
            </w:r>
            <w:r w:rsidDel="00000000" w:rsidR="00000000" w:rsidRPr="00000000">
              <w:rPr>
                <w:rFonts w:ascii="Times New Roman" w:cs="Times New Roman" w:eastAsia="Times New Roman" w:hAnsi="Times New Roman"/>
                <w:sz w:val="20"/>
                <w:szCs w:val="20"/>
                <w:rtl w:val="0"/>
              </w:rPr>
              <w:t xml:space="preserve">Valdez</w:t>
            </w:r>
            <w:r w:rsidDel="00000000" w:rsidR="00000000" w:rsidRPr="00000000">
              <w:rPr>
                <w:rFonts w:ascii="Times New Roman" w:cs="Times New Roman" w:eastAsia="Times New Roman" w:hAnsi="Times New Roman"/>
                <w:sz w:val="20"/>
                <w:szCs w:val="20"/>
                <w:rtl w:val="0"/>
              </w:rPr>
              <w:t xml:space="preserve"> e Jiménez</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(escolha do par e estereótipo de gênero)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Hennigen e Guareschi</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(estereótipo, parentalidade)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 e Padilla-Díaz</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(práticas de equidade)</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3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3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4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Díaz-Marroquín, Rodríguez-Ortega e Flores-Angeles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4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Terapia familiar (gênero, poder)</w:t>
            </w:r>
          </w:p>
          <w:p w:rsidR="00000000" w:rsidDel="00000000" w:rsidP="00000000" w:rsidRDefault="00000000" w:rsidRPr="00000000" w14:paraId="00000242">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4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4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4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46(2)</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4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Levandowski; Barth, Munhós, Rödde e Wendland</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47">
            <w:pPr>
              <w:widowControl w:val="0"/>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z w:val="20"/>
                <w:szCs w:val="20"/>
                <w:rtl w:val="0"/>
              </w:rPr>
              <w:t xml:space="preserve">Apoio familiar (gravidez na adolescência)</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4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49">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4A">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4B">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4C">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4D">
            <w:pPr>
              <w:spacing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4E">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escolha de par romântico e ajuste diádico, que compareceu no Tema 1, reaparece novamente, dessa vez considerando a existência dos filhos para a participação na pesquisa, que investigou a desejabilidade social e engrandecimento conjugal em casais heterossexuais no México (IJP, 2007). Neste estudo, emergiram padrões heteronormativos estereotipados, como homens no papel de provedores de estabilidade material e afetiva e a satisfação e frequência sexual enquanto fatores de reforço natural de vínculo entre casais, em especial para os homens para quem haveria maior liberdade sexual na cultura latina, enquanto as mulheres emergem como potencialmente “boas” para gerar filhos e desempenhar cuidado. </w:t>
      </w:r>
    </w:p>
    <w:p w:rsidR="00000000" w:rsidDel="00000000" w:rsidP="00000000" w:rsidRDefault="00000000" w:rsidRPr="00000000" w14:paraId="0000024F">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 modo geral, os outros estudos do subtema </w:t>
      </w:r>
      <w:r w:rsidDel="00000000" w:rsidR="00000000" w:rsidRPr="00000000">
        <w:rPr>
          <w:rFonts w:ascii="Times New Roman" w:cs="Times New Roman" w:eastAsia="Times New Roman" w:hAnsi="Times New Roman"/>
          <w:sz w:val="24"/>
          <w:szCs w:val="24"/>
          <w:highlight w:val="white"/>
          <w:rtl w:val="0"/>
        </w:rPr>
        <w:t xml:space="preserve">focaram as relações familiares e papéis sociais (feminino e masculino), indicando mudanças significativas nas relações familiares e conjugais em consequência da inserção das mulheres no mercado de trabalho, por demandas estruturais e macroeconômicas e aumento da escolaridade feminina </w:t>
      </w:r>
      <w:r w:rsidDel="00000000" w:rsidR="00000000" w:rsidRPr="00000000">
        <w:rPr>
          <w:rFonts w:ascii="Times New Roman" w:cs="Times New Roman" w:eastAsia="Times New Roman" w:hAnsi="Times New Roman"/>
          <w:sz w:val="24"/>
          <w:szCs w:val="24"/>
          <w:rtl w:val="0"/>
        </w:rPr>
        <w:t xml:space="preserve">(IJP, 2010; IJP, 2008; IJP, 2006)</w:t>
      </w:r>
      <w:r w:rsidDel="00000000" w:rsidR="00000000" w:rsidRPr="00000000">
        <w:rPr>
          <w:rFonts w:ascii="Times New Roman" w:cs="Times New Roman" w:eastAsia="Times New Roman" w:hAnsi="Times New Roman"/>
          <w:sz w:val="24"/>
          <w:szCs w:val="24"/>
          <w:highlight w:val="white"/>
          <w:rtl w:val="0"/>
        </w:rPr>
        <w:t xml:space="preserve">. Essas mudanças perpassariam a busca por relações equânimes, sobretudo nos cuidados com filhos, promovendo espaços para o exercício da paternidade, co-participação nos afazeres domésticos e menor tolerância (das mulheres) com relacionamentos desfavoráveis. A organização das famílias também se teria alterado, com aumento significativo de casamentos informais, embora os artigos não se refiram, em regra, a famílias e casais com diferentes orientações sexuais e a arranjos familiares que fujam da cisheteronormatividade. </w:t>
      </w:r>
    </w:p>
    <w:p w:rsidR="00000000" w:rsidDel="00000000" w:rsidP="00000000" w:rsidRDefault="00000000" w:rsidRPr="00000000" w14:paraId="00000250">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modo específico, destacamos um artigo sobre a representação de pai e mãe em mídias no Brasil, em que foi analisado o discurso do que é ser homem e mulher, assim como analisar as concepções de gênero, nessa sociedade. Identificaram concepções do feminino e masculino associadas à sexualidade, sensualidade, bem como uma relação intrínseca entre feminilidade e maternidade, abordando as relações de poder presentes nessas concepções (IJP, 2008). Essas relações de poder são exemplificadas por um estudo de caso por meio de terapia familiar feminista, em que identificaram dificuldades de um casal mexicano em ressignificar as relações de poder, após o homem se aposentar, dada a sensação de inadequação ao universo doméstico dessa figura masculina (IJP, 2010). </w:t>
      </w:r>
    </w:p>
    <w:p w:rsidR="00000000" w:rsidDel="00000000" w:rsidP="00000000" w:rsidRDefault="00000000" w:rsidRPr="00000000" w14:paraId="0000025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anterior, enfim, outro estudo realizado no eixo Brasil-Argentina reafirmou a visão das mulheres como figuras importantes nas mudanças sociais (IJP, 2007), destacando mudanças na família, notadamente nas maternidades e maternagens, como se verá adiante. </w:t>
      </w:r>
    </w:p>
    <w:p w:rsidR="00000000" w:rsidDel="00000000" w:rsidP="00000000" w:rsidRDefault="00000000" w:rsidRPr="00000000" w14:paraId="0000025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line="240" w:lineRule="auto"/>
        <w:jc w:val="both"/>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b w:val="1"/>
          <w:sz w:val="24"/>
          <w:szCs w:val="24"/>
          <w:rtl w:val="0"/>
        </w:rPr>
        <w:t xml:space="preserve">4.3.2 </w:t>
      </w:r>
      <w:r w:rsidDel="00000000" w:rsidR="00000000" w:rsidRPr="00000000">
        <w:rPr>
          <w:rFonts w:ascii="Times New Roman" w:cs="Times New Roman" w:eastAsia="Times New Roman" w:hAnsi="Times New Roman"/>
          <w:b w:val="1"/>
          <w:i w:val="1"/>
          <w:sz w:val="24"/>
          <w:szCs w:val="24"/>
          <w:rtl w:val="0"/>
        </w:rPr>
        <w:t xml:space="preserve">Maternidades e maternagens</w:t>
      </w:r>
      <w:r w:rsidDel="00000000" w:rsidR="00000000" w:rsidRPr="00000000">
        <w:rPr>
          <w:rFonts w:ascii="Times New Roman" w:cs="Times New Roman" w:eastAsia="Times New Roman" w:hAnsi="Times New Roman"/>
          <w:sz w:val="24"/>
          <w:szCs w:val="24"/>
          <w:rtl w:val="0"/>
        </w:rPr>
        <w:t xml:space="preserve">. Nesse subtema, há nove artigos abordaram o papel da mulher que gesta e que se torna mãe como responsável pelo desenvolvimento e a constituição de personalidade dos filhos, com critérios de análise sócio-econômicos-culturais (Tabela 7).</w:t>
      </w:r>
      <w:r w:rsidDel="00000000" w:rsidR="00000000" w:rsidRPr="00000000">
        <w:rPr>
          <w:rtl w:val="0"/>
        </w:rPr>
      </w:r>
    </w:p>
    <w:p w:rsidR="00000000" w:rsidDel="00000000" w:rsidP="00000000" w:rsidRDefault="00000000" w:rsidRPr="00000000" w14:paraId="00000254">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255">
      <w:pPr>
        <w:spacing w:line="276"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7. Quadro de artigos - Subtema 2 (Tema 3)</w:t>
      </w:r>
      <w:r w:rsidDel="00000000" w:rsidR="00000000" w:rsidRPr="00000000">
        <w:rPr>
          <w:rtl w:val="0"/>
        </w:rPr>
      </w:r>
    </w:p>
    <w:tbl>
      <w:tblPr>
        <w:tblStyle w:val="Table8"/>
        <w:tblW w:w="90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780"/>
        <w:gridCol w:w="2730"/>
        <w:gridCol w:w="3450"/>
        <w:gridCol w:w="1515"/>
        <w:tblGridChange w:id="0">
          <w:tblGrid>
            <w:gridCol w:w="555"/>
            <w:gridCol w:w="780"/>
            <w:gridCol w:w="2730"/>
            <w:gridCol w:w="3450"/>
            <w:gridCol w:w="1515"/>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256">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8" w:val="single"/>
            </w:tcBorders>
            <w:vAlign w:val="center"/>
          </w:tcPr>
          <w:p w:rsidR="00000000" w:rsidDel="00000000" w:rsidP="00000000" w:rsidRDefault="00000000" w:rsidRPr="00000000" w14:paraId="00000258">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259">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5A">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Conceito(s)</w:t>
            </w:r>
          </w:p>
          <w:p w:rsidR="00000000" w:rsidDel="00000000" w:rsidP="00000000" w:rsidRDefault="00000000" w:rsidRPr="00000000" w14:paraId="0000025B">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5C">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25D">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260">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61">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62">
            <w:pPr>
              <w:widowControl w:val="0"/>
              <w:rPr>
                <w:rFonts w:ascii="Times New Roman" w:cs="Times New Roman" w:eastAsia="Times New Roman" w:hAnsi="Times New Roman"/>
                <w:sz w:val="20"/>
                <w:szCs w:val="20"/>
              </w:rPr>
            </w:pPr>
            <w:r w:rsidDel="00000000" w:rsidR="00000000" w:rsidRPr="00000000">
              <w:rPr>
                <w:rtl w:val="0"/>
              </w:rPr>
            </w:r>
          </w:p>
        </w:tc>
      </w:tr>
      <w:tr>
        <w:trPr>
          <w:trHeight w:val="198.42519685039372" w:hRule="atLeast"/>
        </w:trPr>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1976</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(1,2)</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Santos e Garcia</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(atitudes, diferenças)</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6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1989</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6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23(1,2)</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6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Irizarry e Pacheco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6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(desenvolvimento, gerações)</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6C">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Pascual, Schulthess, Galperin e Bomstein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7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(parentalidade)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71">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r>
        <w:trPr>
          <w:trHeight w:val="280" w:hRule="atLeast"/>
        </w:trPr>
        <w:tc>
          <w:tcPr>
            <w:vMerge w:val="restart"/>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vMerge w:val="restart"/>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Clark, Su, </w:t>
            </w:r>
            <w:r w:rsidDel="00000000" w:rsidR="00000000" w:rsidRPr="00000000">
              <w:rPr>
                <w:rFonts w:ascii="Times New Roman" w:cs="Times New Roman" w:eastAsia="Times New Roman" w:hAnsi="Times New Roman"/>
                <w:sz w:val="20"/>
                <w:szCs w:val="20"/>
                <w:rtl w:val="0"/>
              </w:rPr>
              <w:t xml:space="preserve">Kaciroti</w:t>
            </w:r>
            <w:r w:rsidDel="00000000" w:rsidR="00000000" w:rsidRPr="00000000">
              <w:rPr>
                <w:rFonts w:ascii="Times New Roman" w:cs="Times New Roman" w:eastAsia="Times New Roman" w:hAnsi="Times New Roman"/>
                <w:sz w:val="20"/>
                <w:szCs w:val="20"/>
                <w:rtl w:val="0"/>
              </w:rPr>
              <w:t xml:space="preserve">, Castillo, Millan, Rule e Lozoff</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5">
            <w:pPr>
              <w:widowControl w:val="0"/>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sz w:val="20"/>
                <w:szCs w:val="20"/>
                <w:rtl w:val="0"/>
              </w:rPr>
              <w:t xml:space="preserve">Maternidade (depressão)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8">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Wendland,  Maggi e Wolff</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(influência cultural)</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C">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D">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Moreira e Nardi</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7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(trabalho)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44(3)</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3">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Bolsoni-Silva e Marturano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(comportamento)</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5">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86">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87">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88">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Barragán, Romero, Campos e Espinoza-Romo</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8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Parentalidade (estereótipo, gravidez adolescente)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8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68503937007875" w:hRule="atLeast"/>
        </w:trPr>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B">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Brito</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E">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(infertilidade e gênero)</w:t>
            </w:r>
          </w:p>
        </w:tc>
        <w:tc>
          <w:tcPr>
            <w:tcBorders>
              <w:top w:color="000000" w:space="0" w:sz="0" w:val="nil"/>
              <w:left w:color="000000" w:space="0" w:sz="0" w:val="nil"/>
              <w:bottom w:color="000000" w:space="0" w:sz="12" w:val="single"/>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8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México</w:t>
            </w:r>
          </w:p>
        </w:tc>
      </w:tr>
    </w:tbl>
    <w:p w:rsidR="00000000" w:rsidDel="00000000" w:rsidP="00000000" w:rsidRDefault="00000000" w:rsidRPr="00000000" w14:paraId="00000290">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29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Maternidade e papel materno são conceitos marcados por mudanças sociais, políticas, culturais e econômicas agregadas ao protagonismo feminino na luta por direitos e alterações na estrutura familiar (Badinter, 1985; Correia, 1998; Moura &amp; Araújo, 2004; Resende, 2017). A maternidade para a sociedade do final do século XVIII, era considerada como desejo natural da mulher em ser mãe, aquela que gerava, à ela cabia o papel materno e as práticas de maternagem, que correspondem aos investimentos psíquico e cuidados necessários para o desenvolvimento dos filhos (Moura &amp; Araújo, 2004; Stellin, Monteiro, Albuquerque &amp; Marques, 2011). Existia uma imagem da mãe ideal e docilizada, ratificada por profissionais da área da saúde (dentre eles da Psicologia), pelo Estado e pela sociedade (Badinter, 1985). </w:t>
      </w:r>
    </w:p>
    <w:p w:rsidR="00000000" w:rsidDel="00000000" w:rsidP="00000000" w:rsidRDefault="00000000" w:rsidRPr="00000000" w14:paraId="00000292">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Notamos n</w:t>
      </w:r>
      <w:r w:rsidDel="00000000" w:rsidR="00000000" w:rsidRPr="00000000">
        <w:rPr>
          <w:rFonts w:ascii="Times New Roman" w:cs="Times New Roman" w:eastAsia="Times New Roman" w:hAnsi="Times New Roman"/>
          <w:sz w:val="24"/>
          <w:szCs w:val="24"/>
          <w:rtl w:val="0"/>
        </w:rPr>
        <w:t xml:space="preserve">esse subtema</w:t>
      </w:r>
      <w:r w:rsidDel="00000000" w:rsidR="00000000" w:rsidRPr="00000000">
        <w:rPr>
          <w:rFonts w:ascii="Times New Roman" w:cs="Times New Roman" w:eastAsia="Times New Roman" w:hAnsi="Times New Roman"/>
          <w:sz w:val="24"/>
          <w:szCs w:val="24"/>
          <w:highlight w:val="white"/>
          <w:rtl w:val="0"/>
        </w:rPr>
        <w:t xml:space="preserve">, como no anterior, que se fala de famílias majoritariamente como pertencentes às representações cisheteronormativas, sendo privilegiado o estudo sobre</w:t>
      </w:r>
      <w:r w:rsidDel="00000000" w:rsidR="00000000" w:rsidRPr="00000000">
        <w:rPr>
          <w:rFonts w:ascii="Times New Roman" w:cs="Times New Roman" w:eastAsia="Times New Roman" w:hAnsi="Times New Roman"/>
          <w:sz w:val="24"/>
          <w:szCs w:val="24"/>
          <w:rtl w:val="0"/>
        </w:rPr>
        <w:t xml:space="preserve"> a relação entre o exercício da maternidade e o impacto no desenvolvimento dos filhos. </w:t>
      </w:r>
      <w:r w:rsidDel="00000000" w:rsidR="00000000" w:rsidRPr="00000000">
        <w:rPr>
          <w:rFonts w:ascii="Times New Roman" w:cs="Times New Roman" w:eastAsia="Times New Roman" w:hAnsi="Times New Roman"/>
          <w:sz w:val="24"/>
          <w:szCs w:val="24"/>
          <w:highlight w:val="white"/>
          <w:rtl w:val="0"/>
        </w:rPr>
        <w:t xml:space="preserve">Por exemplo, em estudo nos anos 1990 na Argentina, foram analisadas as dimensões social, didática e disciplinar da percepção de mães em relação aos cuidados com os filhos, com os quais elas se percebem afetuosas, e em relação aos maridos, sendo estes na região urbana mais vistos como afetuosos se comparados à sua percepção na região rural (IJP, 1995). </w:t>
      </w:r>
    </w:p>
    <w:p w:rsidR="00000000" w:rsidDel="00000000" w:rsidP="00000000" w:rsidRDefault="00000000" w:rsidRPr="00000000" w14:paraId="00000293">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Na década seguinte, pesquisadores chilenos concluíram que mães deprimidas seriam mais críticas aos filhos, impactando seu desenvolvimento, sobretudo na primeira infância, no mesmo ano em que houve três artigos sobre as relações maternas no Brasil (IJP, 2010)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Dentre eles, destacamos um sobre </w:t>
      </w:r>
      <w:r w:rsidDel="00000000" w:rsidR="00000000" w:rsidRPr="00000000">
        <w:rPr>
          <w:rFonts w:ascii="Times New Roman" w:cs="Times New Roman" w:eastAsia="Times New Roman" w:hAnsi="Times New Roman"/>
          <w:sz w:val="24"/>
          <w:szCs w:val="24"/>
          <w:highlight w:val="white"/>
          <w:rtl w:val="0"/>
        </w:rPr>
        <w:t xml:space="preserve">a relação de trabalho e maternidade no processo de subjetivação de mulheres em diferentes contextos, no que foi dada a importância a se transpor a discussão da responsabilidade do cuidado do filho como exclusivo e natural das mulheres para o debate de paternidade e trabalho, pois caberia principalmente aos pais compartilhar a responsabilidade com os filhos, e não às outras mulheres da rede de apoio familiar.  </w:t>
      </w:r>
    </w:p>
    <w:p w:rsidR="00000000" w:rsidDel="00000000" w:rsidP="00000000" w:rsidRDefault="00000000" w:rsidRPr="00000000" w14:paraId="00000294">
      <w:pPr>
        <w:spacing w:line="240" w:lineRule="auto"/>
        <w:ind w:firstLine="72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highlight w:val="white"/>
          <w:rtl w:val="0"/>
        </w:rPr>
        <w:t xml:space="preserve">A linha de pensamento dos artigos deste subtema revelou-se semelhante, sendo avaliadas estratégias de regulação do comportamento infantil/desenvolvimento infantil, partindo-se da interação mãe-filho, por vezes avaliando ainda a percepção das mães acerca do papel dos pais, visibilizando a sua pre</w:t>
      </w:r>
      <w:r w:rsidDel="00000000" w:rsidR="00000000" w:rsidRPr="00000000">
        <w:rPr>
          <w:rFonts w:ascii="Times New Roman" w:cs="Times New Roman" w:eastAsia="Times New Roman" w:hAnsi="Times New Roman"/>
          <w:sz w:val="24"/>
          <w:szCs w:val="24"/>
          <w:rtl w:val="0"/>
        </w:rPr>
        <w:t xml:space="preserve">sença no cuidado com os filhos. A importância dos fatores culturais nessas relações familiares foi marcada desde os anos 1970 (IJP, 1976), sendo que nos anos 1980 o impacto de diferenças geracionais nos cuidados dos filhos é ressaltado por um artigo com participantes de Porto Rico (IJP, 1989), indicando mudanças na percepção do exercício da maternidade e do que seria o melhor para o desenvolvimento dos filhos, mesmo com a influência de fatores culturais e tradicionais no exercício das relações parentais.</w:t>
      </w:r>
    </w:p>
    <w:p w:rsidR="00000000" w:rsidDel="00000000" w:rsidP="00000000" w:rsidRDefault="00000000" w:rsidRPr="00000000" w14:paraId="00000295">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fim da década passada, emerge a questão da (não) reprodução dos corpos de mulheres mexicanas nos EUA, com histórico de infertilidade, em cujos discursos havia uma cobrança social por engravidar e receio da não-plenitude do ser mulher, mesmo com apoio dos companheiros/maridos, caso não engravidassem (IJP, 2018). Questionamos, nesse ínterim, o fato de que certos estudos marcam o familismo e o marianismo como centrais para as culturas latino-americanas (na presente revisão, para as sociedades mexicana e brasileira), o que pode, por vezes, apagar as diversidades culturais dessas mesmas sociedades.</w:t>
      </w:r>
    </w:p>
    <w:p w:rsidR="00000000" w:rsidDel="00000000" w:rsidP="00000000" w:rsidRDefault="00000000" w:rsidRPr="00000000" w14:paraId="00000296">
      <w:pPr>
        <w:spacing w:line="240" w:lineRule="auto"/>
        <w:jc w:val="both"/>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297">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rtl w:val="0"/>
        </w:rPr>
        <w:t xml:space="preserve">4.3.3 </w:t>
      </w:r>
      <w:r w:rsidDel="00000000" w:rsidR="00000000" w:rsidRPr="00000000">
        <w:rPr>
          <w:rFonts w:ascii="Times New Roman" w:cs="Times New Roman" w:eastAsia="Times New Roman" w:hAnsi="Times New Roman"/>
          <w:b w:val="1"/>
          <w:i w:val="1"/>
          <w:sz w:val="24"/>
          <w:szCs w:val="24"/>
          <w:highlight w:val="white"/>
          <w:rtl w:val="0"/>
        </w:rPr>
        <w:t xml:space="preserve">Violências e famílias</w:t>
      </w:r>
      <w:r w:rsidDel="00000000" w:rsidR="00000000" w:rsidRPr="00000000">
        <w:rPr>
          <w:rFonts w:ascii="Times New Roman" w:cs="Times New Roman" w:eastAsia="Times New Roman" w:hAnsi="Times New Roman"/>
          <w:sz w:val="24"/>
          <w:szCs w:val="24"/>
          <w:rtl w:val="0"/>
        </w:rPr>
        <w:t xml:space="preserve">. Os quatro artigos desse subtema estudaram efeitos das lutas das mulheres no padrão de família patriarcal e nos usos dos corpos que, apesar das conquistas, continuam assujeitados historicamente a diferentes violências, tal como a</w:t>
      </w:r>
      <w:r w:rsidDel="00000000" w:rsidR="00000000" w:rsidRPr="00000000">
        <w:rPr>
          <w:rFonts w:ascii="Times New Roman" w:cs="Times New Roman" w:eastAsia="Times New Roman" w:hAnsi="Times New Roman"/>
          <w:sz w:val="24"/>
          <w:szCs w:val="24"/>
          <w:highlight w:val="white"/>
          <w:rtl w:val="0"/>
        </w:rPr>
        <w:t xml:space="preserve"> física, psicológica e sexual, aqui abordadas sob diferentes perspectivas no espaço institucional família.</w:t>
      </w:r>
    </w:p>
    <w:p w:rsidR="00000000" w:rsidDel="00000000" w:rsidP="00000000" w:rsidRDefault="00000000" w:rsidRPr="00000000" w14:paraId="00000298">
      <w:pPr>
        <w:spacing w:line="240" w:lineRule="auto"/>
        <w:ind w:firstLine="72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este estudo, violência doméstica e familiar compreende violência de gênero,  por ação ou conduta, em espaço doméstico ou não, advindo de relação interpessoal, podendo ou não ocorrer de parceiros íntimos (CIDH, 1994). Para os fins desta revisão, por vezes, iremos considerar violência doméstica e violência entre parceiros íntimos equivalentes (Tabela 8)</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2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line="24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TABELA 8. Quadro de artigos - Subtema 3 (Tema 3)</w:t>
      </w:r>
      <w:r w:rsidDel="00000000" w:rsidR="00000000" w:rsidRPr="00000000">
        <w:rPr>
          <w:rtl w:val="0"/>
        </w:rPr>
      </w:r>
    </w:p>
    <w:tbl>
      <w:tblPr>
        <w:tblStyle w:val="Table9"/>
        <w:tblW w:w="90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660"/>
        <w:gridCol w:w="3135"/>
        <w:gridCol w:w="2910"/>
        <w:gridCol w:w="1800"/>
        <w:tblGridChange w:id="0">
          <w:tblGrid>
            <w:gridCol w:w="555"/>
            <w:gridCol w:w="660"/>
            <w:gridCol w:w="3135"/>
            <w:gridCol w:w="2910"/>
            <w:gridCol w:w="1800"/>
          </w:tblGrid>
        </w:tblGridChange>
      </w:tblGrid>
      <w:tr>
        <w:trPr>
          <w:trHeight w:val="460" w:hRule="atLeast"/>
        </w:trPr>
        <w:tc>
          <w:tcPr>
            <w:gridSpan w:val="2"/>
            <w:tcBorders>
              <w:top w:color="000000" w:space="0" w:sz="12" w:val="single"/>
              <w:bottom w:color="000000" w:space="0" w:sz="6" w:val="single"/>
            </w:tcBorders>
          </w:tcPr>
          <w:p w:rsidR="00000000" w:rsidDel="00000000" w:rsidP="00000000" w:rsidRDefault="00000000" w:rsidRPr="00000000" w14:paraId="0000029B">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Revista</w:t>
            </w:r>
          </w:p>
        </w:tc>
        <w:tc>
          <w:tcPr>
            <w:vMerge w:val="restart"/>
            <w:tcBorders>
              <w:top w:color="000000" w:space="0" w:sz="12" w:val="single"/>
              <w:bottom w:color="000000" w:space="0" w:sz="8" w:val="single"/>
            </w:tcBorders>
            <w:vAlign w:val="center"/>
          </w:tcPr>
          <w:p w:rsidR="00000000" w:rsidDel="00000000" w:rsidP="00000000" w:rsidRDefault="00000000" w:rsidRPr="00000000" w14:paraId="0000029D">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Pessoa(s)</w:t>
            </w:r>
          </w:p>
          <w:p w:rsidR="00000000" w:rsidDel="00000000" w:rsidP="00000000" w:rsidRDefault="00000000" w:rsidRPr="00000000" w14:paraId="0000029E">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9F">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Conceito(s)</w:t>
            </w:r>
          </w:p>
          <w:p w:rsidR="00000000" w:rsidDel="00000000" w:rsidP="00000000" w:rsidRDefault="00000000" w:rsidRPr="00000000" w14:paraId="000002A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A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País(es)</w:t>
            </w:r>
          </w:p>
          <w:p w:rsidR="00000000" w:rsidDel="00000000" w:rsidP="00000000" w:rsidRDefault="00000000" w:rsidRPr="00000000" w14:paraId="000002A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participante(s)</w:t>
            </w:r>
          </w:p>
        </w:tc>
      </w:tr>
      <w:tr>
        <w:trPr>
          <w:trHeight w:val="460" w:hRule="atLeast"/>
        </w:trPr>
        <w:tc>
          <w:tcPr>
            <w:tcBorders>
              <w:top w:color="000000" w:space="0" w:sz="6"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12" w:val="single"/>
            </w:tcBorders>
            <w:vAlign w:val="center"/>
          </w:tcPr>
          <w:p w:rsidR="00000000" w:rsidDel="00000000" w:rsidP="00000000" w:rsidRDefault="00000000" w:rsidRPr="00000000" w14:paraId="000002A5">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A6">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A7">
            <w:pPr>
              <w:widowControl w:val="0"/>
              <w:rPr>
                <w:rFonts w:ascii="Times New Roman" w:cs="Times New Roman" w:eastAsia="Times New Roman" w:hAnsi="Times New Roman"/>
                <w:sz w:val="20"/>
                <w:szCs w:val="20"/>
              </w:rPr>
            </w:pPr>
            <w:r w:rsidDel="00000000" w:rsidR="00000000" w:rsidRPr="00000000">
              <w:rPr>
                <w:rtl w:val="0"/>
              </w:rPr>
            </w:r>
          </w:p>
        </w:tc>
      </w:tr>
      <w:tr>
        <w:trPr>
          <w:trHeight w:val="198.42519685039372" w:hRule="atLeast"/>
        </w:trPr>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A8">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1994</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A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28(2)</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AA">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Flores-Ortiz, Esteban e Carrillo</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AB">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 familiar (contexto cultural, terapia familiar)</w:t>
            </w:r>
          </w:p>
        </w:tc>
        <w:tc>
          <w:tcPr>
            <w:tcBorders>
              <w:top w:color="000000" w:space="0" w:sz="12" w:val="single"/>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AC">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 Latina (vários)</w:t>
            </w:r>
          </w:p>
        </w:tc>
      </w:tr>
      <w:tr>
        <w:trPr>
          <w:trHeight w:val="239.68503937007875" w:hRule="atLeast"/>
        </w:trPr>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A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2005</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A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39(3)</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AF">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Mena, Rodríguez e Malavé</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B0">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 doméstica (relações afetivas e exercício de poder)</w:t>
            </w:r>
          </w:p>
        </w:tc>
        <w:tc>
          <w:tcPr>
            <w:tcBorders>
              <w:top w:color="000000" w:space="0" w:sz="0" w:val="nil"/>
              <w:left w:color="000000" w:space="0" w:sz="0" w:val="nil"/>
              <w:bottom w:color="000000" w:space="0" w:sz="0" w:val="nil"/>
              <w:right w:color="000000" w:space="0" w:sz="0" w:val="nil"/>
            </w:tcBorders>
            <w:shd w:fill="bfbfbf" w:val="clear"/>
            <w:tcMar>
              <w:top w:w="40.0" w:type="dxa"/>
              <w:left w:w="40.0" w:type="dxa"/>
              <w:bottom w:w="40.0" w:type="dxa"/>
              <w:right w:w="40.0" w:type="dxa"/>
            </w:tcMar>
            <w:vAlign w:val="center"/>
          </w:tcPr>
          <w:p w:rsidR="00000000" w:rsidDel="00000000" w:rsidP="00000000" w:rsidRDefault="00000000" w:rsidRPr="00000000" w14:paraId="000002B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68503937007875"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B2">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B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B4">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Albarraci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B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infantil (protocolo de intervenção) </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B6">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r>
        <w:trPr>
          <w:trHeight w:val="239.68503937007875" w:hRule="atLeast"/>
        </w:trPr>
        <w:tc>
          <w:tcPr>
            <w:tcBorders>
              <w:top w:color="000000" w:space="0" w:sz="0" w:val="nil"/>
              <w:bottom w:color="000000" w:space="0" w:sz="12" w:val="single"/>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w:t>
            </w:r>
          </w:p>
        </w:tc>
        <w:tc>
          <w:tcPr>
            <w:tcBorders>
              <w:top w:color="000000" w:space="0" w:sz="0" w:val="nil"/>
              <w:bottom w:color="000000" w:space="0" w:sz="12" w:val="single"/>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B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47(1)</w:t>
            </w:r>
          </w:p>
        </w:tc>
        <w:tc>
          <w:tcPr>
            <w:tcBorders>
              <w:top w:color="000000" w:space="0" w:sz="0" w:val="nil"/>
              <w:bottom w:color="000000" w:space="0" w:sz="12" w:val="single"/>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B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Lourenço, Baptista, Almeida, Basílio, Koga, Hashimoto, Stroppa, Bhona &amp; Andrade</w:t>
            </w:r>
          </w:p>
        </w:tc>
        <w:tc>
          <w:tcPr>
            <w:tcBorders>
              <w:top w:color="000000" w:space="0" w:sz="0" w:val="nil"/>
              <w:bottom w:color="000000" w:space="0" w:sz="12" w:val="single"/>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B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(Parceiro íntimo)</w:t>
            </w:r>
          </w:p>
        </w:tc>
        <w:tc>
          <w:tcPr>
            <w:tcBorders>
              <w:top w:color="000000" w:space="0" w:sz="0" w:val="nil"/>
              <w:bottom w:color="000000" w:space="0" w:sz="12" w:val="single"/>
            </w:tcBorders>
            <w:shd w:fill="bfbfbf" w:val="clear"/>
            <w:tcMar>
              <w:top w:w="19.842519685039374" w:type="dxa"/>
              <w:left w:w="19.842519685039374" w:type="dxa"/>
              <w:bottom w:w="19.842519685039374" w:type="dxa"/>
              <w:right w:w="19.842519685039374" w:type="dxa"/>
            </w:tcMar>
            <w:vAlign w:val="center"/>
          </w:tcPr>
          <w:p w:rsidR="00000000" w:rsidDel="00000000" w:rsidP="00000000" w:rsidRDefault="00000000" w:rsidRPr="00000000" w14:paraId="000002B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bl>
    <w:p w:rsidR="00000000" w:rsidDel="00000000" w:rsidP="00000000" w:rsidRDefault="00000000" w:rsidRPr="00000000" w14:paraId="000002BC">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2BD">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dois primeiros artigos identificaram o caráter estrutural da </w:t>
      </w:r>
      <w:r w:rsidDel="00000000" w:rsidR="00000000" w:rsidRPr="00000000">
        <w:rPr>
          <w:rFonts w:ascii="Times New Roman" w:cs="Times New Roman" w:eastAsia="Times New Roman" w:hAnsi="Times New Roman"/>
          <w:sz w:val="24"/>
          <w:szCs w:val="24"/>
          <w:rtl w:val="0"/>
        </w:rPr>
        <w:t xml:space="preserve">violência doméstica, pautada em relações de força e poder, e pontuaram que políticas públicas e intervençõ</w:t>
      </w:r>
      <w:r w:rsidDel="00000000" w:rsidR="00000000" w:rsidRPr="00000000">
        <w:rPr>
          <w:rFonts w:ascii="Times New Roman" w:cs="Times New Roman" w:eastAsia="Times New Roman" w:hAnsi="Times New Roman"/>
          <w:sz w:val="24"/>
          <w:szCs w:val="24"/>
          <w:highlight w:val="white"/>
          <w:rtl w:val="0"/>
        </w:rPr>
        <w:t xml:space="preserve">es técnicas precisam considerar fatores étnicos-culturais nas intervenções que buscam garantir a proteção, o cuidado e o fortalecimento das vítimas, sem culpabilizá-las e revitimá-las. Esses artigos consideram a dificuldade de se romper o ciclo da violência, que implica, em regra, no afastamento do agressor e no consequente rompimento dos laços familiares, uma questão cara para muitas culturas latino americanas (IJP, 1994; IJP, 2005). </w:t>
      </w:r>
    </w:p>
    <w:p w:rsidR="00000000" w:rsidDel="00000000" w:rsidP="00000000" w:rsidRDefault="00000000" w:rsidRPr="00000000" w14:paraId="000002BE">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Nos dois últimos artigos, um propõe criar um protocolo de atendimento que auxilie a identificar a ocorrência de abuso sexual em crianças, pensando em estratégias de proteção e possibilidades de intervenção (IJP, 2006) e o outro, a partir de revisão de literatura realizada no Brasil, identificou pouca produção com vistas à prevenção de violência entre parceiros íntimos, importante elemento para se pensar as políticas públicas de saúde (IJP, 2013).</w:t>
      </w:r>
    </w:p>
    <w:p w:rsidR="00000000" w:rsidDel="00000000" w:rsidP="00000000" w:rsidRDefault="00000000" w:rsidRPr="00000000" w14:paraId="000002BF">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w:t>
      </w:r>
    </w:p>
    <w:p w:rsidR="00000000" w:rsidDel="00000000" w:rsidP="00000000" w:rsidRDefault="00000000" w:rsidRPr="00000000" w14:paraId="000002C2">
      <w:pPr>
        <w:spacing w:line="240" w:lineRule="auto"/>
        <w:jc w:val="both"/>
        <w:rPr>
          <w:rFonts w:ascii="Times New Roman" w:cs="Times New Roman" w:eastAsia="Times New Roman" w:hAnsi="Times New Roman"/>
          <w:color w:val="1c4587"/>
          <w:sz w:val="24"/>
          <w:szCs w:val="24"/>
        </w:rPr>
      </w:pPr>
      <w:r w:rsidDel="00000000" w:rsidR="00000000" w:rsidRPr="00000000">
        <w:rPr>
          <w:rtl w:val="0"/>
        </w:rPr>
      </w:r>
    </w:p>
    <w:p w:rsidR="00000000" w:rsidDel="00000000" w:rsidP="00000000" w:rsidRDefault="00000000" w:rsidRPr="00000000" w14:paraId="000002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Embora não tenha sido objetivo deste trabalho a generalização dos resultados para a totalidade da produção científica latino-americana sobre os temas abordados, esperamos que a presente revisão sistemática auxilie na</w:t>
      </w:r>
      <w:r w:rsidDel="00000000" w:rsidR="00000000" w:rsidRPr="00000000">
        <w:rPr>
          <w:rFonts w:ascii="Times New Roman" w:cs="Times New Roman" w:eastAsia="Times New Roman" w:hAnsi="Times New Roman"/>
          <w:sz w:val="24"/>
          <w:szCs w:val="24"/>
          <w:highlight w:val="white"/>
          <w:rtl w:val="0"/>
        </w:rPr>
        <w:t xml:space="preserve"> compreensão do </w:t>
      </w:r>
      <w:r w:rsidDel="00000000" w:rsidR="00000000" w:rsidRPr="00000000">
        <w:rPr>
          <w:rFonts w:ascii="Times New Roman" w:cs="Times New Roman" w:eastAsia="Times New Roman" w:hAnsi="Times New Roman"/>
          <w:sz w:val="24"/>
          <w:szCs w:val="24"/>
          <w:rtl w:val="0"/>
        </w:rPr>
        <w:t xml:space="preserve">processo histórico de constituição dos conceitos ora em foco nos campos da Psicologia na América Latina, bem como do esforço de construção de estratégias teóricas e metodológicas para o seu estudo, mais próximas das suas realidades psicossocial, ética e cultural na contemporaneidade.</w:t>
      </w:r>
    </w:p>
    <w:p w:rsidR="00000000" w:rsidDel="00000000" w:rsidP="00000000" w:rsidRDefault="00000000" w:rsidRPr="00000000" w14:paraId="000002C4">
      <w:pPr>
        <w:spacing w:line="24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Afinal, mesmo que os trabalhos revistos não reflitam a posição da SIP sobre o grande tema, eles podem indicar, certo modo, linhas gerais das múltiplas produções latino-americanas sobre assuntos que, como vimos, são cada vez mais abordados por esta publicação.</w:t>
      </w:r>
    </w:p>
    <w:p w:rsidR="00000000" w:rsidDel="00000000" w:rsidP="00000000" w:rsidRDefault="00000000" w:rsidRPr="00000000" w14:paraId="000002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Referências</w:t>
      </w:r>
    </w:p>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Alquati Bisol, C., &amp; Tapia, A. M. (2012). A Psicologia e o Conceito de Risco: Estudos Publicados entre 1999 e 2010. </w:t>
      </w:r>
      <w:r w:rsidDel="00000000" w:rsidR="00000000" w:rsidRPr="00000000">
        <w:rPr>
          <w:rFonts w:ascii="Times New Roman" w:cs="Times New Roman" w:eastAsia="Times New Roman" w:hAnsi="Times New Roman"/>
          <w:i w:val="1"/>
          <w:sz w:val="24"/>
          <w:szCs w:val="24"/>
          <w:rtl w:val="0"/>
        </w:rPr>
        <w:t xml:space="preserve">Psico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(3). https://revistaseletronicas.pucrs.br/ojs/index.php/revistapsico/article/view/7824</w:t>
      </w:r>
    </w:p>
    <w:p w:rsidR="00000000" w:rsidDel="00000000" w:rsidP="00000000" w:rsidRDefault="00000000" w:rsidRPr="00000000" w14:paraId="000002C9">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Angelini, A. L. (2012). O papel da Sociedade Interamericana de Psicologia no desenvolvimento da Psicologia na América Latina. </w:t>
      </w:r>
      <w:r w:rsidDel="00000000" w:rsidR="00000000" w:rsidRPr="00000000">
        <w:rPr>
          <w:rFonts w:ascii="Times New Roman" w:cs="Times New Roman" w:eastAsia="Times New Roman" w:hAnsi="Times New Roman"/>
          <w:i w:val="1"/>
          <w:sz w:val="24"/>
          <w:szCs w:val="24"/>
          <w:rtl w:val="0"/>
        </w:rPr>
        <w:t xml:space="preserve">Interamerican Journal of Psychology</w:t>
      </w:r>
      <w:r w:rsidDel="00000000" w:rsidR="00000000" w:rsidRPr="00000000">
        <w:rPr>
          <w:rFonts w:ascii="Times New Roman" w:cs="Times New Roman" w:eastAsia="Times New Roman" w:hAnsi="Times New Roman"/>
          <w:sz w:val="24"/>
          <w:szCs w:val="24"/>
          <w:rtl w:val="0"/>
        </w:rPr>
        <w:t xml:space="preserve">, 46(1), 9-20. </w:t>
      </w:r>
      <w:hyperlink r:id="rId10">
        <w:r w:rsidDel="00000000" w:rsidR="00000000" w:rsidRPr="00000000">
          <w:rPr>
            <w:rFonts w:ascii="Times New Roman" w:cs="Times New Roman" w:eastAsia="Times New Roman" w:hAnsi="Times New Roman"/>
            <w:sz w:val="24"/>
            <w:szCs w:val="24"/>
            <w:rtl w:val="0"/>
          </w:rPr>
          <w:t xml:space="preserve">https://www.redalyc.org/articulo.oa?id=284/28424858002</w:t>
        </w:r>
      </w:hyperlink>
      <w:r w:rsidDel="00000000" w:rsidR="00000000" w:rsidRPr="00000000">
        <w:rPr>
          <w:rtl w:val="0"/>
        </w:rPr>
      </w:r>
    </w:p>
    <w:p w:rsidR="00000000" w:rsidDel="00000000" w:rsidP="00000000" w:rsidRDefault="00000000" w:rsidRPr="00000000" w14:paraId="000002CA">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D. S. V. &amp; Santos, H. M. (Orgs.) (2013). </w:t>
      </w:r>
      <w:r w:rsidDel="00000000" w:rsidR="00000000" w:rsidRPr="00000000">
        <w:rPr>
          <w:rFonts w:ascii="Times New Roman" w:cs="Times New Roman" w:eastAsia="Times New Roman" w:hAnsi="Times New Roman"/>
          <w:i w:val="1"/>
          <w:sz w:val="24"/>
          <w:szCs w:val="24"/>
          <w:rtl w:val="0"/>
        </w:rPr>
        <w:t xml:space="preserve">Gênero na Psicologia: Articulações e Discussões</w:t>
      </w:r>
      <w:r w:rsidDel="00000000" w:rsidR="00000000" w:rsidRPr="00000000">
        <w:rPr>
          <w:rFonts w:ascii="Times New Roman" w:cs="Times New Roman" w:eastAsia="Times New Roman" w:hAnsi="Times New Roman"/>
          <w:sz w:val="24"/>
          <w:szCs w:val="24"/>
          <w:rtl w:val="0"/>
        </w:rPr>
        <w:t xml:space="preserve">. Salvador: CRP-03. https://www.crp03.org.br/wp-content/uploads/2015/08/Genero-na-Psicologia-articulacoes-e-discussoes.pdf</w:t>
      </w:r>
    </w:p>
    <w:p w:rsidR="00000000" w:rsidDel="00000000" w:rsidP="00000000" w:rsidRDefault="00000000" w:rsidRPr="00000000" w14:paraId="000002CB">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M. A. M. (2012). A Psicologia no Brasil: um ensaio sobre suas contradições.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32(spe), 44-65. </w:t>
      </w:r>
      <w:hyperlink r:id="rId11">
        <w:r w:rsidDel="00000000" w:rsidR="00000000" w:rsidRPr="00000000">
          <w:rPr>
            <w:rFonts w:ascii="Times New Roman" w:cs="Times New Roman" w:eastAsia="Times New Roman" w:hAnsi="Times New Roman"/>
            <w:sz w:val="24"/>
            <w:szCs w:val="24"/>
            <w:rtl w:val="0"/>
          </w:rPr>
          <w:t xml:space="preserve">https://dx.doi.org/10.1590/S1414-98932012000500005</w:t>
        </w:r>
      </w:hyperlink>
      <w:r w:rsidDel="00000000" w:rsidR="00000000" w:rsidRPr="00000000">
        <w:rPr>
          <w:rtl w:val="0"/>
        </w:rPr>
      </w:r>
    </w:p>
    <w:p w:rsidR="00000000" w:rsidDel="00000000" w:rsidP="00000000" w:rsidRDefault="00000000" w:rsidRPr="00000000" w14:paraId="000002CC">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Badinter, E. (1985). </w:t>
      </w:r>
      <w:r w:rsidDel="00000000" w:rsidR="00000000" w:rsidRPr="00000000">
        <w:rPr>
          <w:rFonts w:ascii="Times New Roman" w:cs="Times New Roman" w:eastAsia="Times New Roman" w:hAnsi="Times New Roman"/>
          <w:i w:val="1"/>
          <w:sz w:val="24"/>
          <w:szCs w:val="24"/>
          <w:rtl w:val="0"/>
        </w:rPr>
        <w:t xml:space="preserve">Um Amor conquistado: o mito do amor materno </w:t>
      </w:r>
      <w:r w:rsidDel="00000000" w:rsidR="00000000" w:rsidRPr="00000000">
        <w:rPr>
          <w:rFonts w:ascii="Times New Roman" w:cs="Times New Roman" w:eastAsia="Times New Roman" w:hAnsi="Times New Roman"/>
          <w:sz w:val="24"/>
          <w:szCs w:val="24"/>
          <w:rtl w:val="0"/>
        </w:rPr>
        <w:t xml:space="preserve">(4ª ed.).Tradução de Waltensir           Dutra. Rio de Janeiro: Nova Fronteira. </w:t>
      </w:r>
    </w:p>
    <w:p w:rsidR="00000000" w:rsidDel="00000000" w:rsidP="00000000" w:rsidRDefault="00000000" w:rsidRPr="00000000" w14:paraId="000002CD">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Borges, L. S.; Canuto, A. de A. A.; Oliveira, D. P. de, &amp; Vaz, R. P. (2013). Abordagens de gênero e sexualidade na Psicologia: revendo conceitos, repensando práticas.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(3), 730-745. </w:t>
      </w:r>
      <w:hyperlink r:id="rId12">
        <w:r w:rsidDel="00000000" w:rsidR="00000000" w:rsidRPr="00000000">
          <w:rPr>
            <w:rFonts w:ascii="Times New Roman" w:cs="Times New Roman" w:eastAsia="Times New Roman" w:hAnsi="Times New Roman"/>
            <w:sz w:val="24"/>
            <w:szCs w:val="24"/>
            <w:rtl w:val="0"/>
          </w:rPr>
          <w:t xml:space="preserve">https://dx.doi.org/10.1590/S1414-98932013000300016</w:t>
        </w:r>
      </w:hyperlink>
      <w:r w:rsidDel="00000000" w:rsidR="00000000" w:rsidRPr="00000000">
        <w:rPr>
          <w:rtl w:val="0"/>
        </w:rPr>
      </w:r>
    </w:p>
    <w:p w:rsidR="00000000" w:rsidDel="00000000" w:rsidP="00000000" w:rsidRDefault="00000000" w:rsidRPr="00000000" w14:paraId="000002CE">
      <w:pPr>
        <w:spacing w:line="240" w:lineRule="auto"/>
        <w:ind w:left="708.661417322834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w:t>
      </w:r>
      <w:r w:rsidDel="00000000" w:rsidR="00000000" w:rsidRPr="00000000">
        <w:rPr>
          <w:rFonts w:ascii="Times New Roman" w:cs="Times New Roman" w:eastAsia="Times New Roman" w:hAnsi="Times New Roman"/>
          <w:i w:val="1"/>
          <w:sz w:val="24"/>
          <w:szCs w:val="24"/>
          <w:rtl w:val="0"/>
        </w:rPr>
        <w:t xml:space="preserve">. Qualitative Research in Psychology,</w:t>
      </w:r>
      <w:r w:rsidDel="00000000" w:rsidR="00000000" w:rsidRPr="00000000">
        <w:rPr>
          <w:rFonts w:ascii="Times New Roman" w:cs="Times New Roman" w:eastAsia="Times New Roman" w:hAnsi="Times New Roman"/>
          <w:sz w:val="24"/>
          <w:szCs w:val="24"/>
          <w:rtl w:val="0"/>
        </w:rPr>
        <w:t xml:space="preserve"> 3 (2).77-101. </w:t>
      </w:r>
      <w:hyperlink r:id="rId13">
        <w:r w:rsidDel="00000000" w:rsidR="00000000" w:rsidRPr="00000000">
          <w:rPr>
            <w:rFonts w:ascii="Times New Roman" w:cs="Times New Roman" w:eastAsia="Times New Roman" w:hAnsi="Times New Roman"/>
            <w:sz w:val="24"/>
            <w:szCs w:val="24"/>
            <w:rtl w:val="0"/>
          </w:rPr>
          <w:t xml:space="preserve">http://dx.doi.org/10.1191/1478088706qp063oa</w:t>
        </w:r>
      </w:hyperlink>
      <w:r w:rsidDel="00000000" w:rsidR="00000000" w:rsidRPr="00000000">
        <w:rPr>
          <w:rtl w:val="0"/>
        </w:rPr>
      </w:r>
    </w:p>
    <w:p w:rsidR="00000000" w:rsidDel="00000000" w:rsidP="00000000" w:rsidRDefault="00000000" w:rsidRPr="00000000" w14:paraId="000002CF">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(2013). </w:t>
      </w:r>
      <w:r w:rsidDel="00000000" w:rsidR="00000000" w:rsidRPr="00000000">
        <w:rPr>
          <w:rFonts w:ascii="Times New Roman" w:cs="Times New Roman" w:eastAsia="Times New Roman" w:hAnsi="Times New Roman"/>
          <w:i w:val="1"/>
          <w:sz w:val="24"/>
          <w:szCs w:val="24"/>
          <w:rtl w:val="0"/>
        </w:rPr>
        <w:t xml:space="preserve">Problemas de gênero: feminismo e subversão de identidade.</w:t>
      </w:r>
      <w:r w:rsidDel="00000000" w:rsidR="00000000" w:rsidRPr="00000000">
        <w:rPr>
          <w:rFonts w:ascii="Times New Roman" w:cs="Times New Roman" w:eastAsia="Times New Roman" w:hAnsi="Times New Roman"/>
          <w:sz w:val="24"/>
          <w:szCs w:val="24"/>
          <w:rtl w:val="0"/>
        </w:rPr>
        <w:t xml:space="preserve"> 6 ed. Rio de Janeiro: Civilização Brasileira, 2013.</w:t>
      </w:r>
    </w:p>
    <w:p w:rsidR="00000000" w:rsidDel="00000000" w:rsidP="00000000" w:rsidRDefault="00000000" w:rsidRPr="00000000" w14:paraId="000002D0">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Campos</w:t>
      </w:r>
      <w:r w:rsidDel="00000000" w:rsidR="00000000" w:rsidRPr="00000000">
        <w:rPr>
          <w:rFonts w:ascii="Times New Roman" w:cs="Times New Roman" w:eastAsia="Times New Roman" w:hAnsi="Times New Roman"/>
          <w:sz w:val="24"/>
          <w:szCs w:val="24"/>
          <w:highlight w:val="white"/>
          <w:rtl w:val="0"/>
        </w:rPr>
        <w:t xml:space="preserve">, I. de O., &amp; Zanello, V. (2016).</w:t>
      </w:r>
      <w:r w:rsidDel="00000000" w:rsidR="00000000" w:rsidRPr="00000000">
        <w:rPr>
          <w:rFonts w:ascii="Times New Roman" w:cs="Times New Roman" w:eastAsia="Times New Roman" w:hAnsi="Times New Roman"/>
          <w:sz w:val="24"/>
          <w:szCs w:val="24"/>
          <w:rtl w:val="0"/>
        </w:rPr>
        <w:t xml:space="preserve">Saúde mental e gênero: o sofrimento psíquico e a invisibilidade das violências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Vivência: Revista De Antropologia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w:t>
      </w:r>
      <w:r w:rsidDel="00000000" w:rsidR="00000000" w:rsidRPr="00000000">
        <w:rPr>
          <w:rFonts w:ascii="Times New Roman" w:cs="Times New Roman" w:eastAsia="Times New Roman" w:hAnsi="Times New Roman"/>
          <w:sz w:val="24"/>
          <w:szCs w:val="24"/>
          <w:highlight w:val="white"/>
          <w:rtl w:val="0"/>
        </w:rPr>
        <w:t xml:space="preserve">(48), 105-117. https://periodicos.ufrn.br/vivencia/article/view/11505</w:t>
      </w:r>
      <w:r w:rsidDel="00000000" w:rsidR="00000000" w:rsidRPr="00000000">
        <w:rPr>
          <w:rtl w:val="0"/>
        </w:rPr>
      </w:r>
    </w:p>
    <w:p w:rsidR="00000000" w:rsidDel="00000000" w:rsidP="00000000" w:rsidRDefault="00000000" w:rsidRPr="00000000" w14:paraId="000002D1">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Coimbra, C. (1995). </w:t>
      </w:r>
      <w:r w:rsidDel="00000000" w:rsidR="00000000" w:rsidRPr="00000000">
        <w:rPr>
          <w:rFonts w:ascii="Times New Roman" w:cs="Times New Roman" w:eastAsia="Times New Roman" w:hAnsi="Times New Roman"/>
          <w:i w:val="1"/>
          <w:sz w:val="24"/>
          <w:szCs w:val="24"/>
          <w:rtl w:val="0"/>
        </w:rPr>
        <w:t xml:space="preserve">Guardiães da ordem</w:t>
      </w:r>
      <w:r w:rsidDel="00000000" w:rsidR="00000000" w:rsidRPr="00000000">
        <w:rPr>
          <w:rFonts w:ascii="Times New Roman" w:cs="Times New Roman" w:eastAsia="Times New Roman" w:hAnsi="Times New Roman"/>
          <w:sz w:val="24"/>
          <w:szCs w:val="24"/>
          <w:rtl w:val="0"/>
        </w:rPr>
        <w:t xml:space="preserve">: Uma viagem pelas práticas psi no Brasil do “Milagre”. Rio de Janeiro, RJ: Oficina do Autor</w:t>
      </w:r>
    </w:p>
    <w:p w:rsidR="00000000" w:rsidDel="00000000" w:rsidP="00000000" w:rsidRDefault="00000000" w:rsidRPr="00000000" w14:paraId="000002D2">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Connell, R. W. (1995). </w:t>
      </w:r>
      <w:r w:rsidDel="00000000" w:rsidR="00000000" w:rsidRPr="00000000">
        <w:rPr>
          <w:rFonts w:ascii="Times New Roman" w:cs="Times New Roman" w:eastAsia="Times New Roman" w:hAnsi="Times New Roman"/>
          <w:i w:val="1"/>
          <w:sz w:val="24"/>
          <w:szCs w:val="24"/>
          <w:highlight w:val="white"/>
          <w:rtl w:val="0"/>
        </w:rPr>
        <w:t xml:space="preserve">Masculinities</w:t>
      </w:r>
      <w:r w:rsidDel="00000000" w:rsidR="00000000" w:rsidRPr="00000000">
        <w:rPr>
          <w:rFonts w:ascii="Times New Roman" w:cs="Times New Roman" w:eastAsia="Times New Roman" w:hAnsi="Times New Roman"/>
          <w:sz w:val="24"/>
          <w:szCs w:val="24"/>
          <w:highlight w:val="white"/>
          <w:rtl w:val="0"/>
        </w:rPr>
        <w:t xml:space="preserve">. Berkeley: University of California Press.</w:t>
      </w:r>
    </w:p>
    <w:p w:rsidR="00000000" w:rsidDel="00000000" w:rsidP="00000000" w:rsidRDefault="00000000" w:rsidRPr="00000000" w14:paraId="000002D3">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Correia, M. de J. (1998). Sobre a maternidade. </w:t>
      </w:r>
      <w:r w:rsidDel="00000000" w:rsidR="00000000" w:rsidRPr="00000000">
        <w:rPr>
          <w:rFonts w:ascii="Times New Roman" w:cs="Times New Roman" w:eastAsia="Times New Roman" w:hAnsi="Times New Roman"/>
          <w:i w:val="1"/>
          <w:sz w:val="24"/>
          <w:szCs w:val="24"/>
          <w:highlight w:val="white"/>
          <w:rtl w:val="0"/>
        </w:rPr>
        <w:t xml:space="preserve">Análise Psicológica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16</w:t>
      </w:r>
      <w:r w:rsidDel="00000000" w:rsidR="00000000" w:rsidRPr="00000000">
        <w:rPr>
          <w:rFonts w:ascii="Times New Roman" w:cs="Times New Roman" w:eastAsia="Times New Roman" w:hAnsi="Times New Roman"/>
          <w:sz w:val="24"/>
          <w:szCs w:val="24"/>
          <w:highlight w:val="white"/>
          <w:rtl w:val="0"/>
        </w:rPr>
        <w:t xml:space="preserve">(3), 365-371. http://www.scielo.mec.pt/pdf/aps/v16n3/v16n3a02.pdf</w:t>
      </w:r>
    </w:p>
    <w:p w:rsidR="00000000" w:rsidDel="00000000" w:rsidP="00000000" w:rsidRDefault="00000000" w:rsidRPr="00000000" w14:paraId="000002D4">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Corte Interamericana de Direitos Humanos - CIDH (1994). </w:t>
      </w:r>
      <w:r w:rsidDel="00000000" w:rsidR="00000000" w:rsidRPr="00000000">
        <w:rPr>
          <w:rFonts w:ascii="Times New Roman" w:cs="Times New Roman" w:eastAsia="Times New Roman" w:hAnsi="Times New Roman"/>
          <w:i w:val="1"/>
          <w:sz w:val="24"/>
          <w:szCs w:val="24"/>
          <w:highlight w:val="white"/>
          <w:rtl w:val="0"/>
        </w:rPr>
        <w:t xml:space="preserve">Convenção Interamericana para prevenir, punir e erradicar a violência contra a mulher</w:t>
      </w:r>
      <w:r w:rsidDel="00000000" w:rsidR="00000000" w:rsidRPr="00000000">
        <w:rPr>
          <w:rFonts w:ascii="Times New Roman" w:cs="Times New Roman" w:eastAsia="Times New Roman" w:hAnsi="Times New Roman"/>
          <w:sz w:val="24"/>
          <w:szCs w:val="24"/>
          <w:highlight w:val="white"/>
          <w:rtl w:val="0"/>
        </w:rPr>
        <w:t xml:space="preserve">. Belém do Pará, Brasil. http://www.cidh.org/Basicos/Portugues/m.Belem.do.Para.htm</w:t>
      </w:r>
      <w:r w:rsidDel="00000000" w:rsidR="00000000" w:rsidRPr="00000000">
        <w:rPr>
          <w:rtl w:val="0"/>
        </w:rPr>
      </w:r>
    </w:p>
    <w:p w:rsidR="00000000" w:rsidDel="00000000" w:rsidP="00000000" w:rsidRDefault="00000000" w:rsidRPr="00000000" w14:paraId="000002D5">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Coutinho, S.M.S., &amp; Menandro, P.R.M. (2009). </w:t>
      </w:r>
      <w:r w:rsidDel="00000000" w:rsidR="00000000" w:rsidRPr="00000000">
        <w:rPr>
          <w:rFonts w:ascii="Times New Roman" w:cs="Times New Roman" w:eastAsia="Times New Roman" w:hAnsi="Times New Roman"/>
          <w:i w:val="1"/>
          <w:sz w:val="24"/>
          <w:szCs w:val="24"/>
          <w:rtl w:val="0"/>
        </w:rPr>
        <w:t xml:space="preserve">A Dona de Tudo: um estudo intergeracional sobre representações sociais de mãe e esposa.</w:t>
      </w:r>
      <w:r w:rsidDel="00000000" w:rsidR="00000000" w:rsidRPr="00000000">
        <w:rPr>
          <w:rFonts w:ascii="Times New Roman" w:cs="Times New Roman" w:eastAsia="Times New Roman" w:hAnsi="Times New Roman"/>
          <w:sz w:val="24"/>
          <w:szCs w:val="24"/>
          <w:rtl w:val="0"/>
        </w:rPr>
        <w:t xml:space="preserve"> Vitória: PPGP/UFES/Facastelo/GM Ed.</w:t>
      </w:r>
    </w:p>
    <w:p w:rsidR="00000000" w:rsidDel="00000000" w:rsidP="00000000" w:rsidRDefault="00000000" w:rsidRPr="00000000" w14:paraId="000002D6">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A.B.; Zoltowski, A.P.C. (2014). Como escrever um artigo de revisão sistemática. S. H. Koller; M. C. P. P. Couto &amp; J. V. Hohendorff. </w:t>
      </w:r>
      <w:r w:rsidDel="00000000" w:rsidR="00000000" w:rsidRPr="00000000">
        <w:rPr>
          <w:rFonts w:ascii="Times New Roman" w:cs="Times New Roman" w:eastAsia="Times New Roman" w:hAnsi="Times New Roman"/>
          <w:i w:val="1"/>
          <w:sz w:val="24"/>
          <w:szCs w:val="24"/>
          <w:rtl w:val="0"/>
        </w:rPr>
        <w:t xml:space="preserve">Manual de Produção Científica</w:t>
      </w:r>
      <w:r w:rsidDel="00000000" w:rsidR="00000000" w:rsidRPr="00000000">
        <w:rPr>
          <w:rFonts w:ascii="Times New Roman" w:cs="Times New Roman" w:eastAsia="Times New Roman" w:hAnsi="Times New Roman"/>
          <w:sz w:val="24"/>
          <w:szCs w:val="24"/>
          <w:rtl w:val="0"/>
        </w:rPr>
        <w:t xml:space="preserve">. Porto Alegre: Penso.</w:t>
      </w:r>
    </w:p>
    <w:p w:rsidR="00000000" w:rsidDel="00000000" w:rsidP="00000000" w:rsidRDefault="00000000" w:rsidRPr="00000000" w14:paraId="000002D7">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(1982).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São Paulo: Perspectiva.</w:t>
      </w:r>
    </w:p>
    <w:p w:rsidR="00000000" w:rsidDel="00000000" w:rsidP="00000000" w:rsidRDefault="00000000" w:rsidRPr="00000000" w14:paraId="000002D8">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(2001).  </w:t>
      </w:r>
      <w:r w:rsidDel="00000000" w:rsidR="00000000" w:rsidRPr="00000000">
        <w:rPr>
          <w:rFonts w:ascii="Times New Roman" w:cs="Times New Roman" w:eastAsia="Times New Roman" w:hAnsi="Times New Roman"/>
          <w:i w:val="1"/>
          <w:sz w:val="24"/>
          <w:szCs w:val="24"/>
          <w:rtl w:val="0"/>
        </w:rPr>
        <w:t xml:space="preserve">Microfísica do poder </w:t>
      </w:r>
      <w:r w:rsidDel="00000000" w:rsidR="00000000" w:rsidRPr="00000000">
        <w:rPr>
          <w:rFonts w:ascii="Times New Roman" w:cs="Times New Roman" w:eastAsia="Times New Roman" w:hAnsi="Times New Roman"/>
          <w:sz w:val="24"/>
          <w:szCs w:val="24"/>
          <w:rtl w:val="0"/>
        </w:rPr>
        <w:t xml:space="preserve">(16ª ed.). Rio de Janeiro: Graal.</w:t>
      </w:r>
    </w:p>
    <w:p w:rsidR="00000000" w:rsidDel="00000000" w:rsidP="00000000" w:rsidRDefault="00000000" w:rsidRPr="00000000" w14:paraId="000002D9">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(2009). O corpo utópico, as heterotopias. Salma Tannus Muchail (Trad.). 1o ed. N-1 edições: Brasil, 2009.</w:t>
      </w:r>
    </w:p>
    <w:p w:rsidR="00000000" w:rsidDel="00000000" w:rsidP="00000000" w:rsidRDefault="00000000" w:rsidRPr="00000000" w14:paraId="000002DA">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Guattari, F. &amp; Rolnik, S. (1996). </w:t>
      </w:r>
      <w:r w:rsidDel="00000000" w:rsidR="00000000" w:rsidRPr="00000000">
        <w:rPr>
          <w:rFonts w:ascii="Times New Roman" w:cs="Times New Roman" w:eastAsia="Times New Roman" w:hAnsi="Times New Roman"/>
          <w:i w:val="1"/>
          <w:sz w:val="24"/>
          <w:szCs w:val="24"/>
          <w:rtl w:val="0"/>
        </w:rPr>
        <w:t xml:space="preserve">Micropolítica: cartografias do desejo</w:t>
      </w:r>
      <w:r w:rsidDel="00000000" w:rsidR="00000000" w:rsidRPr="00000000">
        <w:rPr>
          <w:rFonts w:ascii="Times New Roman" w:cs="Times New Roman" w:eastAsia="Times New Roman" w:hAnsi="Times New Roman"/>
          <w:sz w:val="24"/>
          <w:szCs w:val="24"/>
          <w:rtl w:val="0"/>
        </w:rPr>
        <w:t xml:space="preserve">. Petrópolis: Vozes.</w:t>
      </w:r>
    </w:p>
    <w:p w:rsidR="00000000" w:rsidDel="00000000" w:rsidP="00000000" w:rsidRDefault="00000000" w:rsidRPr="00000000" w14:paraId="000002DB">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Gomes, R.; Murta, D; Facchini, R; &amp; Meneghel, S. N. (2018). Gênero, direitos sexuais e suas implicações na saúde. </w:t>
      </w:r>
      <w:r w:rsidDel="00000000" w:rsidR="00000000" w:rsidRPr="00000000">
        <w:rPr>
          <w:rFonts w:ascii="Times New Roman" w:cs="Times New Roman" w:eastAsia="Times New Roman" w:hAnsi="Times New Roman"/>
          <w:i w:val="1"/>
          <w:sz w:val="24"/>
          <w:szCs w:val="24"/>
          <w:highlight w:val="white"/>
          <w:rtl w:val="0"/>
        </w:rPr>
        <w:t xml:space="preserve">Ciência e Saúde Coletiva</w:t>
      </w:r>
      <w:r w:rsidDel="00000000" w:rsidR="00000000" w:rsidRPr="00000000">
        <w:rPr>
          <w:rFonts w:ascii="Times New Roman" w:cs="Times New Roman" w:eastAsia="Times New Roman" w:hAnsi="Times New Roman"/>
          <w:sz w:val="24"/>
          <w:szCs w:val="24"/>
          <w:highlight w:val="white"/>
          <w:rtl w:val="0"/>
        </w:rPr>
        <w:t xml:space="preserve">, 23(6), 1997-2005. </w:t>
      </w:r>
      <w:hyperlink r:id="rId14">
        <w:r w:rsidDel="00000000" w:rsidR="00000000" w:rsidRPr="00000000">
          <w:rPr>
            <w:rFonts w:ascii="Times New Roman" w:cs="Times New Roman" w:eastAsia="Times New Roman" w:hAnsi="Times New Roman"/>
            <w:sz w:val="24"/>
            <w:szCs w:val="24"/>
            <w:rtl w:val="0"/>
          </w:rPr>
          <w:t xml:space="preserve">https://doi.org/</w:t>
        </w:r>
      </w:hyperlink>
      <w:r w:rsidDel="00000000" w:rsidR="00000000" w:rsidRPr="00000000">
        <w:rPr>
          <w:rFonts w:ascii="Times New Roman" w:cs="Times New Roman" w:eastAsia="Times New Roman" w:hAnsi="Times New Roman"/>
          <w:sz w:val="24"/>
          <w:szCs w:val="24"/>
          <w:highlight w:val="white"/>
          <w:rtl w:val="0"/>
        </w:rPr>
        <w:t xml:space="preserve">10.1590/1413-81232018236.04872018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C">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 D.U., &amp; Lacerda Júnior, F. (2017). Ditadura e insurgência na América Latina: psicologia da libertação e resistência armada.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37(spe),  28-43. </w:t>
      </w:r>
      <w:hyperlink r:id="rId15">
        <w:r w:rsidDel="00000000" w:rsidR="00000000" w:rsidRPr="00000000">
          <w:rPr>
            <w:rFonts w:ascii="Times New Roman" w:cs="Times New Roman" w:eastAsia="Times New Roman" w:hAnsi="Times New Roman"/>
            <w:sz w:val="24"/>
            <w:szCs w:val="24"/>
            <w:rtl w:val="0"/>
          </w:rPr>
          <w:t xml:space="preserve">https://doi.org/10.1590/1982-10.1590/1982-3703020002017</w:t>
        </w:r>
      </w:hyperlink>
      <w:r w:rsidDel="00000000" w:rsidR="00000000" w:rsidRPr="00000000">
        <w:rPr>
          <w:rtl w:val="0"/>
        </w:rPr>
      </w:r>
    </w:p>
    <w:p w:rsidR="00000000" w:rsidDel="00000000" w:rsidP="00000000" w:rsidRDefault="00000000" w:rsidRPr="00000000" w14:paraId="000002DD">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Lindinger, L. (2014). </w:t>
      </w:r>
      <w:r w:rsidDel="00000000" w:rsidR="00000000" w:rsidRPr="00000000">
        <w:rPr>
          <w:rFonts w:ascii="Times New Roman" w:cs="Times New Roman" w:eastAsia="Times New Roman" w:hAnsi="Times New Roman"/>
          <w:i w:val="1"/>
          <w:sz w:val="24"/>
          <w:szCs w:val="24"/>
          <w:rtl w:val="0"/>
        </w:rPr>
        <w:t xml:space="preserve">Violação de direitos e medidas protetivas na concepção de juízes que atuam em Juizados de Infância e Juventude</w:t>
      </w:r>
      <w:r w:rsidDel="00000000" w:rsidR="00000000" w:rsidRPr="00000000">
        <w:rPr>
          <w:rFonts w:ascii="Times New Roman" w:cs="Times New Roman" w:eastAsia="Times New Roman" w:hAnsi="Times New Roman"/>
          <w:sz w:val="24"/>
          <w:szCs w:val="24"/>
          <w:rtl w:val="0"/>
        </w:rPr>
        <w:t xml:space="preserve"> (Dissertação de Mestrado). Universidade Federal do Espírito Santo, Vitória, ES.</w:t>
      </w:r>
    </w:p>
    <w:p w:rsidR="00000000" w:rsidDel="00000000" w:rsidP="00000000" w:rsidRDefault="00000000" w:rsidRPr="00000000" w14:paraId="000002DE">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Maluf, M. (2004). A Participação de Psicólogos Brasileiros na Sociedade Interamericana de Psicologia: Contribuições e Perspectivas. </w:t>
      </w:r>
      <w:r w:rsidDel="00000000" w:rsidR="00000000" w:rsidRPr="00000000">
        <w:rPr>
          <w:rFonts w:ascii="Times New Roman" w:cs="Times New Roman" w:eastAsia="Times New Roman" w:hAnsi="Times New Roman"/>
          <w:i w:val="1"/>
          <w:sz w:val="24"/>
          <w:szCs w:val="24"/>
          <w:rtl w:val="0"/>
        </w:rPr>
        <w:t xml:space="preserve">Interamerican Journal of Psychology</w:t>
      </w:r>
      <w:r w:rsidDel="00000000" w:rsidR="00000000" w:rsidRPr="00000000">
        <w:rPr>
          <w:rFonts w:ascii="Times New Roman" w:cs="Times New Roman" w:eastAsia="Times New Roman" w:hAnsi="Times New Roman"/>
          <w:sz w:val="24"/>
          <w:szCs w:val="24"/>
          <w:rtl w:val="0"/>
        </w:rPr>
        <w:t xml:space="preserve">, 38 (2), 323-332. </w:t>
      </w:r>
      <w:hyperlink r:id="rId16">
        <w:r w:rsidDel="00000000" w:rsidR="00000000" w:rsidRPr="00000000">
          <w:rPr>
            <w:rFonts w:ascii="Times New Roman" w:cs="Times New Roman" w:eastAsia="Times New Roman" w:hAnsi="Times New Roman"/>
            <w:sz w:val="24"/>
            <w:szCs w:val="24"/>
            <w:rtl w:val="0"/>
          </w:rPr>
          <w:t xml:space="preserve">https://www.redalyc.org/articulo.oa?id=284/28438219</w:t>
        </w:r>
      </w:hyperlink>
      <w:r w:rsidDel="00000000" w:rsidR="00000000" w:rsidRPr="00000000">
        <w:rPr>
          <w:rtl w:val="0"/>
        </w:rPr>
      </w:r>
    </w:p>
    <w:p w:rsidR="00000000" w:rsidDel="00000000" w:rsidP="00000000" w:rsidRDefault="00000000" w:rsidRPr="00000000" w14:paraId="000002DF">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Medeiros, P. F. de, Bernardes, A. G., &amp; Guareschi, N. M. F. (2005). O conceito de saúde e suas implicações nas práticas psicológicas. </w:t>
      </w:r>
      <w:r w:rsidDel="00000000" w:rsidR="00000000" w:rsidRPr="00000000">
        <w:rPr>
          <w:rFonts w:ascii="Times New Roman" w:cs="Times New Roman" w:eastAsia="Times New Roman" w:hAnsi="Times New Roman"/>
          <w:i w:val="1"/>
          <w:sz w:val="24"/>
          <w:szCs w:val="24"/>
          <w:rtl w:val="0"/>
        </w:rPr>
        <w:t xml:space="preserve">Psicologia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Teoria e Pesquisa</w:t>
      </w:r>
      <w:r w:rsidDel="00000000" w:rsidR="00000000" w:rsidRPr="00000000">
        <w:rPr>
          <w:rFonts w:ascii="Times New Roman" w:cs="Times New Roman" w:eastAsia="Times New Roman" w:hAnsi="Times New Roman"/>
          <w:sz w:val="24"/>
          <w:szCs w:val="24"/>
          <w:rtl w:val="0"/>
        </w:rPr>
        <w:t xml:space="preserve">, 21(3), 263-269. https://doi.org/10.1590/S0102-37722005000300002</w:t>
      </w:r>
    </w:p>
    <w:p w:rsidR="00000000" w:rsidDel="00000000" w:rsidP="00000000" w:rsidRDefault="00000000" w:rsidRPr="00000000" w14:paraId="000002E0">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Medrado, B., &amp; Lyra, J. (2008). Por uma matriz feminista de gênero para os estudos sobre homens e masculinidades. </w:t>
      </w:r>
      <w:r w:rsidDel="00000000" w:rsidR="00000000" w:rsidRPr="00000000">
        <w:rPr>
          <w:rFonts w:ascii="Times New Roman" w:cs="Times New Roman" w:eastAsia="Times New Roman" w:hAnsi="Times New Roman"/>
          <w:i w:val="1"/>
          <w:sz w:val="24"/>
          <w:szCs w:val="24"/>
          <w:rtl w:val="0"/>
        </w:rPr>
        <w:t xml:space="preserve">Revista estudos feministas</w:t>
      </w:r>
      <w:r w:rsidDel="00000000" w:rsidR="00000000" w:rsidRPr="00000000">
        <w:rPr>
          <w:rFonts w:ascii="Times New Roman" w:cs="Times New Roman" w:eastAsia="Times New Roman" w:hAnsi="Times New Roman"/>
          <w:sz w:val="24"/>
          <w:szCs w:val="24"/>
          <w:rtl w:val="0"/>
        </w:rPr>
        <w:t xml:space="preserve">, 16, 20-35.</w:t>
      </w:r>
      <w:hyperlink r:id="rId17">
        <w:r w:rsidDel="00000000" w:rsidR="00000000" w:rsidRPr="00000000">
          <w:rPr>
            <w:rFonts w:ascii="Times New Roman" w:cs="Times New Roman" w:eastAsia="Times New Roman" w:hAnsi="Times New Roman"/>
            <w:sz w:val="24"/>
            <w:szCs w:val="24"/>
            <w:rtl w:val="0"/>
          </w:rPr>
          <w:t xml:space="preserve"> https://periodicos.ufsc.br/index.php/ref/article/view/S0104-026X2008000300005/9130</w:t>
        </w:r>
      </w:hyperlink>
      <w:r w:rsidDel="00000000" w:rsidR="00000000" w:rsidRPr="00000000">
        <w:rPr>
          <w:rtl w:val="0"/>
        </w:rPr>
      </w:r>
    </w:p>
    <w:p w:rsidR="00000000" w:rsidDel="00000000" w:rsidP="00000000" w:rsidRDefault="00000000" w:rsidRPr="00000000" w14:paraId="000002E1">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Medrado, B., &amp; Lyra, J. (2012). O gênero dos/nos homens: linhas de uma proto-genealogia. </w:t>
      </w:r>
      <w:r w:rsidDel="00000000" w:rsidR="00000000" w:rsidRPr="00000000">
        <w:rPr>
          <w:rFonts w:ascii="Times New Roman" w:cs="Times New Roman" w:eastAsia="Times New Roman" w:hAnsi="Times New Roman"/>
          <w:i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(10), 2579-2581. </w:t>
      </w:r>
      <w:hyperlink r:id="rId18">
        <w:r w:rsidDel="00000000" w:rsidR="00000000" w:rsidRPr="00000000">
          <w:rPr>
            <w:rFonts w:ascii="Times New Roman" w:cs="Times New Roman" w:eastAsia="Times New Roman" w:hAnsi="Times New Roman"/>
            <w:sz w:val="24"/>
            <w:szCs w:val="24"/>
            <w:rtl w:val="0"/>
          </w:rPr>
          <w:t xml:space="preserve">https://dx.doi.org/10.1590/S1413-81232012001000003</w:t>
        </w:r>
      </w:hyperlink>
      <w:r w:rsidDel="00000000" w:rsidR="00000000" w:rsidRPr="00000000">
        <w:rPr>
          <w:rtl w:val="0"/>
        </w:rPr>
      </w:r>
    </w:p>
    <w:p w:rsidR="00000000" w:rsidDel="00000000" w:rsidP="00000000" w:rsidRDefault="00000000" w:rsidRPr="00000000" w14:paraId="000002E2">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Moura, S. M. S. R. de, &amp; Araújo, M. de F. (2004). A maternidade na história e a história dos cuidados maternos.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24</w:t>
      </w:r>
      <w:r w:rsidDel="00000000" w:rsidR="00000000" w:rsidRPr="00000000">
        <w:rPr>
          <w:rFonts w:ascii="Times New Roman" w:cs="Times New Roman" w:eastAsia="Times New Roman" w:hAnsi="Times New Roman"/>
          <w:sz w:val="24"/>
          <w:szCs w:val="24"/>
          <w:highlight w:val="white"/>
          <w:rtl w:val="0"/>
        </w:rPr>
        <w:t xml:space="preserve">(1), 44-55. </w:t>
      </w:r>
      <w:hyperlink r:id="rId19">
        <w:r w:rsidDel="00000000" w:rsidR="00000000" w:rsidRPr="00000000">
          <w:rPr>
            <w:rFonts w:ascii="Times New Roman" w:cs="Times New Roman" w:eastAsia="Times New Roman" w:hAnsi="Times New Roman"/>
            <w:sz w:val="24"/>
            <w:szCs w:val="24"/>
            <w:highlight w:val="white"/>
            <w:rtl w:val="0"/>
          </w:rPr>
          <w:t xml:space="preserve">https://dx.doi.org/10.1590/S1414-98932004000100006</w:t>
        </w:r>
      </w:hyperlink>
      <w:r w:rsidDel="00000000" w:rsidR="00000000" w:rsidRPr="00000000">
        <w:rPr>
          <w:rtl w:val="0"/>
        </w:rPr>
      </w:r>
    </w:p>
    <w:p w:rsidR="00000000" w:rsidDel="00000000" w:rsidP="00000000" w:rsidRDefault="00000000" w:rsidRPr="00000000" w14:paraId="000002E3">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Negreiros, D. J., Gomes, I. D., Colaço, V. de F. R., &amp; Ximenes, V. M.. (2018). Risco e vulnerabilidade: pontos de convergência na produção brasileira sobre juventudes. </w:t>
      </w:r>
      <w:r w:rsidDel="00000000" w:rsidR="00000000" w:rsidRPr="00000000">
        <w:rPr>
          <w:rFonts w:ascii="Times New Roman" w:cs="Times New Roman" w:eastAsia="Times New Roman" w:hAnsi="Times New Roman"/>
          <w:i w:val="1"/>
          <w:sz w:val="24"/>
          <w:szCs w:val="24"/>
          <w:highlight w:val="white"/>
          <w:rtl w:val="0"/>
        </w:rPr>
        <w:t xml:space="preserve">Desidades</w:t>
      </w:r>
      <w:r w:rsidDel="00000000" w:rsidR="00000000" w:rsidRPr="00000000">
        <w:rPr>
          <w:rFonts w:ascii="Times New Roman" w:cs="Times New Roman" w:eastAsia="Times New Roman" w:hAnsi="Times New Roman"/>
          <w:sz w:val="24"/>
          <w:szCs w:val="24"/>
          <w:highlight w:val="white"/>
          <w:rtl w:val="0"/>
        </w:rPr>
        <w:t xml:space="preserve">, (18), 20-33. http://pepsic.bvsalud.org/pdf/desi/n18/n18a03.pdf</w:t>
      </w:r>
    </w:p>
    <w:p w:rsidR="00000000" w:rsidDel="00000000" w:rsidP="00000000" w:rsidRDefault="00000000" w:rsidRPr="00000000" w14:paraId="000002E4">
      <w:pPr>
        <w:spacing w:before="100" w:lineRule="auto"/>
        <w:ind w:left="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Nogueira, C. (2001). Feminismo e discurso do gênero na Psicologia social. </w:t>
      </w:r>
      <w:r w:rsidDel="00000000" w:rsidR="00000000" w:rsidRPr="00000000">
        <w:rPr>
          <w:rFonts w:ascii="Times New Roman" w:cs="Times New Roman" w:eastAsia="Times New Roman" w:hAnsi="Times New Roman"/>
          <w:i w:val="1"/>
          <w:sz w:val="24"/>
          <w:szCs w:val="24"/>
          <w:highlight w:val="white"/>
          <w:rtl w:val="0"/>
        </w:rPr>
        <w:t xml:space="preserve">Psicologia &amp; Sociedade</w:t>
      </w:r>
      <w:r w:rsidDel="00000000" w:rsidR="00000000" w:rsidRPr="00000000">
        <w:rPr>
          <w:rFonts w:ascii="Times New Roman" w:cs="Times New Roman" w:eastAsia="Times New Roman" w:hAnsi="Times New Roman"/>
          <w:sz w:val="24"/>
          <w:szCs w:val="24"/>
          <w:highlight w:val="white"/>
          <w:rtl w:val="0"/>
        </w:rPr>
        <w:t xml:space="preserve">, 3 (1), 107-128.</w:t>
      </w:r>
    </w:p>
    <w:p w:rsidR="00000000" w:rsidDel="00000000" w:rsidP="00000000" w:rsidRDefault="00000000" w:rsidRPr="00000000" w14:paraId="000002E5">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Oliven, L. R. A. (2019). A autonomia de separação de direito. </w:t>
      </w:r>
      <w:r w:rsidDel="00000000" w:rsidR="00000000" w:rsidRPr="00000000">
        <w:rPr>
          <w:rFonts w:ascii="Times New Roman" w:cs="Times New Roman" w:eastAsia="Times New Roman" w:hAnsi="Times New Roman"/>
          <w:i w:val="1"/>
          <w:sz w:val="24"/>
          <w:szCs w:val="24"/>
          <w:highlight w:val="white"/>
          <w:rtl w:val="0"/>
        </w:rPr>
        <w:t xml:space="preserve">Revista Interdisciplinar de Direito</w:t>
      </w:r>
      <w:r w:rsidDel="00000000" w:rsidR="00000000" w:rsidRPr="00000000">
        <w:rPr>
          <w:rFonts w:ascii="Times New Roman" w:cs="Times New Roman" w:eastAsia="Times New Roman" w:hAnsi="Times New Roman"/>
          <w:sz w:val="24"/>
          <w:szCs w:val="24"/>
          <w:highlight w:val="white"/>
          <w:rtl w:val="0"/>
        </w:rPr>
        <w:t xml:space="preserve">, 17 (2), 169-184. </w:t>
      </w:r>
    </w:p>
    <w:p w:rsidR="00000000" w:rsidDel="00000000" w:rsidP="00000000" w:rsidRDefault="00000000" w:rsidRPr="00000000" w14:paraId="000002E6">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Organização Mundial da Saúde - OMS (2006). </w:t>
      </w:r>
      <w:r w:rsidDel="00000000" w:rsidR="00000000" w:rsidRPr="00000000">
        <w:rPr>
          <w:rFonts w:ascii="Times New Roman" w:cs="Times New Roman" w:eastAsia="Times New Roman" w:hAnsi="Times New Roman"/>
          <w:i w:val="1"/>
          <w:sz w:val="24"/>
          <w:szCs w:val="24"/>
          <w:highlight w:val="white"/>
          <w:rtl w:val="0"/>
        </w:rPr>
        <w:t xml:space="preserve">Defining sexual health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Report of a technical consultation on sexual health</w:t>
      </w:r>
      <w:r w:rsidDel="00000000" w:rsidR="00000000" w:rsidRPr="00000000">
        <w:rPr>
          <w:rFonts w:ascii="Times New Roman" w:cs="Times New Roman" w:eastAsia="Times New Roman" w:hAnsi="Times New Roman"/>
          <w:sz w:val="24"/>
          <w:szCs w:val="24"/>
          <w:highlight w:val="white"/>
          <w:rtl w:val="0"/>
        </w:rPr>
        <w:t xml:space="preserve"> (28–31 January 2002, Geneva). www.who.int/reproductivehealth/publications/sexual_health/defining_sexual_health.pdf</w:t>
      </w:r>
    </w:p>
    <w:p w:rsidR="00000000" w:rsidDel="00000000" w:rsidP="00000000" w:rsidRDefault="00000000" w:rsidRPr="00000000" w14:paraId="000002E7">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Paula, T. R., Porto, E. J., &amp; Carvalho, C. S. (2019). Um sobrevoo pelo estado da arte sobre gênero e sexualidade  na pesquisa.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w:t>
      </w:r>
      <w:r w:rsidDel="00000000" w:rsidR="00000000" w:rsidRPr="00000000">
        <w:rPr>
          <w:rFonts w:ascii="Times New Roman" w:cs="Times New Roman" w:eastAsia="Times New Roman" w:hAnsi="Times New Roman"/>
          <w:sz w:val="24"/>
          <w:szCs w:val="24"/>
          <w:highlight w:val="white"/>
          <w:rtl w:val="0"/>
        </w:rPr>
        <w:t xml:space="preserve">, 39 (n.spe 3), 194-205. https://doi.org/10.1590/1982-3703003228573 </w:t>
      </w:r>
    </w:p>
    <w:p w:rsidR="00000000" w:rsidDel="00000000" w:rsidP="00000000" w:rsidRDefault="00000000" w:rsidRPr="00000000" w14:paraId="000002E8">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Paiva, V. (2008). A psicologia redescobrirá a sexualidade?. </w:t>
      </w:r>
      <w:r w:rsidDel="00000000" w:rsidR="00000000" w:rsidRPr="00000000">
        <w:rPr>
          <w:rFonts w:ascii="Times New Roman" w:cs="Times New Roman" w:eastAsia="Times New Roman" w:hAnsi="Times New Roman"/>
          <w:i w:val="1"/>
          <w:sz w:val="24"/>
          <w:szCs w:val="24"/>
          <w:rtl w:val="0"/>
        </w:rPr>
        <w:t xml:space="preserve">Psicologia em Estudo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(4), 641-651. </w:t>
      </w:r>
      <w:hyperlink r:id="rId20">
        <w:r w:rsidDel="00000000" w:rsidR="00000000" w:rsidRPr="00000000">
          <w:rPr>
            <w:rFonts w:ascii="Times New Roman" w:cs="Times New Roman" w:eastAsia="Times New Roman" w:hAnsi="Times New Roman"/>
            <w:sz w:val="24"/>
            <w:szCs w:val="24"/>
            <w:rtl w:val="0"/>
          </w:rPr>
          <w:t xml:space="preserve">https://dx.doi.org/10.1590/S1413-73722008000400002</w:t>
        </w:r>
      </w:hyperlink>
      <w:r w:rsidDel="00000000" w:rsidR="00000000" w:rsidRPr="00000000">
        <w:rPr>
          <w:rtl w:val="0"/>
        </w:rPr>
      </w:r>
    </w:p>
    <w:p w:rsidR="00000000" w:rsidDel="00000000" w:rsidP="00000000" w:rsidRDefault="00000000" w:rsidRPr="00000000" w14:paraId="000002E9">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Polanco, F. (2016). </w:t>
      </w:r>
      <w:r w:rsidDel="00000000" w:rsidR="00000000" w:rsidRPr="00000000">
        <w:rPr>
          <w:rFonts w:ascii="Times New Roman" w:cs="Times New Roman" w:eastAsia="Times New Roman" w:hAnsi="Times New Roman"/>
          <w:i w:val="1"/>
          <w:sz w:val="24"/>
          <w:szCs w:val="24"/>
          <w:rtl w:val="0"/>
        </w:rPr>
        <w:t xml:space="preserve">Impacto y evolución del conductismo en la Revista Interamericana de Psicología y la Revista Latinoamericana de Psicología:</w:t>
      </w:r>
      <w:r w:rsidDel="00000000" w:rsidR="00000000" w:rsidRPr="00000000">
        <w:rPr>
          <w:rFonts w:ascii="Times New Roman" w:cs="Times New Roman" w:eastAsia="Times New Roman" w:hAnsi="Times New Roman"/>
          <w:sz w:val="24"/>
          <w:szCs w:val="24"/>
          <w:rtl w:val="0"/>
        </w:rPr>
        <w:t xml:space="preserve"> Un análisis socio- bibliométrico (1969-2008). Tese de Doutorado (</w:t>
      </w:r>
      <w:r w:rsidDel="00000000" w:rsidR="00000000" w:rsidRPr="00000000">
        <w:rPr>
          <w:rFonts w:ascii="Times New Roman" w:cs="Times New Roman" w:eastAsia="Times New Roman" w:hAnsi="Times New Roman"/>
          <w:i w:val="1"/>
          <w:sz w:val="24"/>
          <w:szCs w:val="24"/>
          <w:rtl w:val="0"/>
        </w:rPr>
        <w:t xml:space="preserve">unpublished</w:t>
      </w:r>
      <w:r w:rsidDel="00000000" w:rsidR="00000000" w:rsidRPr="00000000">
        <w:rPr>
          <w:rFonts w:ascii="Times New Roman" w:cs="Times New Roman" w:eastAsia="Times New Roman" w:hAnsi="Times New Roman"/>
          <w:sz w:val="24"/>
          <w:szCs w:val="24"/>
          <w:rtl w:val="0"/>
        </w:rPr>
        <w:t xml:space="preserve">). Universidad Nacional de San Luis, San Luis, Argentina.</w:t>
      </w:r>
    </w:p>
    <w:p w:rsidR="00000000" w:rsidDel="00000000" w:rsidP="00000000" w:rsidRDefault="00000000" w:rsidRPr="00000000" w14:paraId="000002EA">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Rago, M. (1998). Descobrindo historicamente o gênero. </w:t>
      </w:r>
      <w:r w:rsidDel="00000000" w:rsidR="00000000" w:rsidRPr="00000000">
        <w:rPr>
          <w:rFonts w:ascii="Times New Roman" w:cs="Times New Roman" w:eastAsia="Times New Roman" w:hAnsi="Times New Roman"/>
          <w:i w:val="1"/>
          <w:sz w:val="24"/>
          <w:szCs w:val="24"/>
          <w:highlight w:val="white"/>
          <w:rtl w:val="0"/>
        </w:rPr>
        <w:t xml:space="preserve">Cadernos Pagu</w:t>
      </w:r>
      <w:r w:rsidDel="00000000" w:rsidR="00000000" w:rsidRPr="00000000">
        <w:rPr>
          <w:rFonts w:ascii="Times New Roman" w:cs="Times New Roman" w:eastAsia="Times New Roman" w:hAnsi="Times New Roman"/>
          <w:sz w:val="24"/>
          <w:szCs w:val="24"/>
          <w:highlight w:val="white"/>
          <w:rtl w:val="0"/>
        </w:rPr>
        <w:t xml:space="preserve">, (11), 89-98. </w:t>
      </w:r>
      <w:hyperlink r:id="rId21">
        <w:r w:rsidDel="00000000" w:rsidR="00000000" w:rsidRPr="00000000">
          <w:rPr>
            <w:rFonts w:ascii="Times New Roman" w:cs="Times New Roman" w:eastAsia="Times New Roman" w:hAnsi="Times New Roman"/>
            <w:sz w:val="24"/>
            <w:szCs w:val="24"/>
            <w:highlight w:val="white"/>
            <w:rtl w:val="0"/>
          </w:rPr>
          <w:t xml:space="preserve">https://periodicos.sbu.unicamp.br/ojs/index.php/cadpagu/article/view/8634465</w:t>
        </w:r>
      </w:hyperlink>
      <w:r w:rsidDel="00000000" w:rsidR="00000000" w:rsidRPr="00000000">
        <w:rPr>
          <w:rtl w:val="0"/>
        </w:rPr>
      </w:r>
    </w:p>
    <w:p w:rsidR="00000000" w:rsidDel="00000000" w:rsidP="00000000" w:rsidRDefault="00000000" w:rsidRPr="00000000" w14:paraId="000002EB">
      <w:pPr>
        <w:spacing w:line="240" w:lineRule="auto"/>
        <w:ind w:left="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Resende, D. K. (2017).  Maternidade: Uma Construção Histórica e Social. </w:t>
      </w:r>
      <w:r w:rsidDel="00000000" w:rsidR="00000000" w:rsidRPr="00000000">
        <w:rPr>
          <w:rFonts w:ascii="Times New Roman" w:cs="Times New Roman" w:eastAsia="Times New Roman" w:hAnsi="Times New Roman"/>
          <w:i w:val="1"/>
          <w:sz w:val="24"/>
          <w:szCs w:val="24"/>
          <w:highlight w:val="white"/>
          <w:rtl w:val="0"/>
        </w:rPr>
        <w:t xml:space="preserve">Pretexto Revista da Graduação em Psicologia da PUC-MG, </w:t>
      </w:r>
      <w:r w:rsidDel="00000000" w:rsidR="00000000" w:rsidRPr="00000000">
        <w:rPr>
          <w:rFonts w:ascii="Times New Roman" w:cs="Times New Roman" w:eastAsia="Times New Roman" w:hAnsi="Times New Roman"/>
          <w:sz w:val="24"/>
          <w:szCs w:val="24"/>
          <w:highlight w:val="white"/>
          <w:rtl w:val="0"/>
        </w:rPr>
        <w:t xml:space="preserve">2(4), 175-191. http://periodicos.pucminas.br/index.php/pretextos/article/view/15251</w:t>
      </w:r>
    </w:p>
    <w:p w:rsidR="00000000" w:rsidDel="00000000" w:rsidP="00000000" w:rsidRDefault="00000000" w:rsidRPr="00000000" w14:paraId="000002EC">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Rou</w:t>
      </w:r>
      <w:r w:rsidDel="00000000" w:rsidR="00000000" w:rsidRPr="00000000">
        <w:rPr>
          <w:rFonts w:ascii="Times New Roman" w:cs="Times New Roman" w:eastAsia="Times New Roman" w:hAnsi="Times New Roman"/>
          <w:sz w:val="24"/>
          <w:szCs w:val="24"/>
          <w:rtl w:val="0"/>
        </w:rPr>
        <w:t xml:space="preserve">dinesco, E. (2003). </w:t>
      </w:r>
      <w:r w:rsidDel="00000000" w:rsidR="00000000" w:rsidRPr="00000000">
        <w:rPr>
          <w:rFonts w:ascii="Times New Roman" w:cs="Times New Roman" w:eastAsia="Times New Roman" w:hAnsi="Times New Roman"/>
          <w:i w:val="1"/>
          <w:sz w:val="24"/>
          <w:szCs w:val="24"/>
          <w:rtl w:val="0"/>
        </w:rPr>
        <w:t xml:space="preserve">A família em desordem</w:t>
      </w:r>
      <w:r w:rsidDel="00000000" w:rsidR="00000000" w:rsidRPr="00000000">
        <w:rPr>
          <w:rFonts w:ascii="Times New Roman" w:cs="Times New Roman" w:eastAsia="Times New Roman" w:hAnsi="Times New Roman"/>
          <w:sz w:val="24"/>
          <w:szCs w:val="24"/>
          <w:rtl w:val="0"/>
        </w:rPr>
        <w:t xml:space="preserve">. Rio de Janeiro, RJ: Zahar.</w:t>
      </w:r>
    </w:p>
    <w:p w:rsidR="00000000" w:rsidDel="00000000" w:rsidP="00000000" w:rsidRDefault="00000000" w:rsidRPr="00000000" w14:paraId="000002ED">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Saffioti, H. I. B. (2001). Contribuições feministas para o estudo da violência de gênero. </w:t>
      </w:r>
      <w:r w:rsidDel="00000000" w:rsidR="00000000" w:rsidRPr="00000000">
        <w:rPr>
          <w:rFonts w:ascii="Times New Roman" w:cs="Times New Roman" w:eastAsia="Times New Roman" w:hAnsi="Times New Roman"/>
          <w:i w:val="1"/>
          <w:sz w:val="24"/>
          <w:szCs w:val="24"/>
          <w:rtl w:val="0"/>
        </w:rPr>
        <w:t xml:space="preserve">Cadernos Pagu</w:t>
      </w:r>
      <w:r w:rsidDel="00000000" w:rsidR="00000000" w:rsidRPr="00000000">
        <w:rPr>
          <w:rFonts w:ascii="Times New Roman" w:cs="Times New Roman" w:eastAsia="Times New Roman" w:hAnsi="Times New Roman"/>
          <w:sz w:val="24"/>
          <w:szCs w:val="24"/>
          <w:rtl w:val="0"/>
        </w:rPr>
        <w:t xml:space="preserve">, (16), 115-136.  </w:t>
      </w:r>
      <w:hyperlink r:id="rId22">
        <w:r w:rsidDel="00000000" w:rsidR="00000000" w:rsidRPr="00000000">
          <w:rPr>
            <w:rFonts w:ascii="Times New Roman" w:cs="Times New Roman" w:eastAsia="Times New Roman" w:hAnsi="Times New Roman"/>
            <w:sz w:val="24"/>
            <w:szCs w:val="24"/>
            <w:rtl w:val="0"/>
          </w:rPr>
          <w:t xml:space="preserve">https://doi.org/10.1590/S0104-83332001000100007</w:t>
        </w:r>
      </w:hyperlink>
      <w:r w:rsidDel="00000000" w:rsidR="00000000" w:rsidRPr="00000000">
        <w:rPr>
          <w:rtl w:val="0"/>
        </w:rPr>
      </w:r>
    </w:p>
    <w:p w:rsidR="00000000" w:rsidDel="00000000" w:rsidP="00000000" w:rsidRDefault="00000000" w:rsidRPr="00000000" w14:paraId="000002EE">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Scarparo, H. B. K., Torres, S., &amp; Ecker, D. D.. (2014). Psicologia e ditadura civil-militar: reflexões sobre práticas psicológicas frente às violências de estado. </w:t>
      </w:r>
      <w:r w:rsidDel="00000000" w:rsidR="00000000" w:rsidRPr="00000000">
        <w:rPr>
          <w:rFonts w:ascii="Times New Roman" w:cs="Times New Roman" w:eastAsia="Times New Roman" w:hAnsi="Times New Roman"/>
          <w:i w:val="1"/>
          <w:sz w:val="24"/>
          <w:szCs w:val="24"/>
          <w:rtl w:val="0"/>
        </w:rPr>
        <w:t xml:space="preserve">EPOS</w:t>
      </w:r>
      <w:r w:rsidDel="00000000" w:rsidR="00000000" w:rsidRPr="00000000">
        <w:rPr>
          <w:rFonts w:ascii="Times New Roman" w:cs="Times New Roman" w:eastAsia="Times New Roman" w:hAnsi="Times New Roman"/>
          <w:sz w:val="24"/>
          <w:szCs w:val="24"/>
          <w:rtl w:val="0"/>
        </w:rPr>
        <w:t xml:space="preserve">, 5(1), 57-78. http://pepsic.bvsalud.org/pdf/epos/v5n1/04.pdf</w:t>
      </w:r>
    </w:p>
    <w:p w:rsidR="00000000" w:rsidDel="00000000" w:rsidP="00000000" w:rsidRDefault="00000000" w:rsidRPr="00000000" w14:paraId="000002EF">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J. W. (1995). Gênero: uma categoria útil para análise histórica. </w:t>
      </w:r>
      <w:r w:rsidDel="00000000" w:rsidR="00000000" w:rsidRPr="00000000">
        <w:rPr>
          <w:rFonts w:ascii="Times New Roman" w:cs="Times New Roman" w:eastAsia="Times New Roman" w:hAnsi="Times New Roman"/>
          <w:i w:val="1"/>
          <w:sz w:val="24"/>
          <w:szCs w:val="24"/>
          <w:rtl w:val="0"/>
        </w:rPr>
        <w:t xml:space="preserve">Educação &amp; Realidade,</w:t>
      </w:r>
      <w:r w:rsidDel="00000000" w:rsidR="00000000" w:rsidRPr="00000000">
        <w:rPr>
          <w:rFonts w:ascii="Times New Roman" w:cs="Times New Roman" w:eastAsia="Times New Roman" w:hAnsi="Times New Roman"/>
          <w:sz w:val="24"/>
          <w:szCs w:val="24"/>
          <w:rtl w:val="0"/>
        </w:rPr>
        <w:t xml:space="preserve"> 20(2), 71-99. https://seer.ufrgs.br/index.php/educacaoerealidade/article/view/71721</w:t>
      </w:r>
    </w:p>
    <w:p w:rsidR="00000000" w:rsidDel="00000000" w:rsidP="00000000" w:rsidRDefault="00000000" w:rsidRPr="00000000" w14:paraId="000002F0">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Silva, N. de F. (2016). Ditadura civil-militar no Brasil e a ordem de gênero: masculinidades e feminilidades vigiadas. </w:t>
      </w:r>
      <w:r w:rsidDel="00000000" w:rsidR="00000000" w:rsidRPr="00000000">
        <w:rPr>
          <w:rFonts w:ascii="Times New Roman" w:cs="Times New Roman" w:eastAsia="Times New Roman" w:hAnsi="Times New Roman"/>
          <w:i w:val="1"/>
          <w:color w:val="111111"/>
          <w:sz w:val="24"/>
          <w:szCs w:val="24"/>
          <w:highlight w:val="white"/>
          <w:rtl w:val="0"/>
        </w:rPr>
        <w:t xml:space="preserve">Mosaico, 7</w:t>
      </w:r>
      <w:r w:rsidDel="00000000" w:rsidR="00000000" w:rsidRPr="00000000">
        <w:rPr>
          <w:rFonts w:ascii="Times New Roman" w:cs="Times New Roman" w:eastAsia="Times New Roman" w:hAnsi="Times New Roman"/>
          <w:color w:val="111111"/>
          <w:sz w:val="24"/>
          <w:szCs w:val="24"/>
          <w:highlight w:val="white"/>
          <w:rtl w:val="0"/>
        </w:rPr>
        <w:t xml:space="preserve">(11), 64-83. doi:http://dx.doi.org/10.12660/rm.v7n11.2016.64778</w:t>
      </w:r>
      <w:r w:rsidDel="00000000" w:rsidR="00000000" w:rsidRPr="00000000">
        <w:rPr>
          <w:rtl w:val="0"/>
        </w:rPr>
      </w:r>
    </w:p>
    <w:p w:rsidR="00000000" w:rsidDel="00000000" w:rsidP="00000000" w:rsidRDefault="00000000" w:rsidRPr="00000000" w14:paraId="000002F1">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Strey, M. N. (2004). Violência de gênero: uma questão complexa e interminável. M. Strey; M. Azambuja &amp; F. Jaeger. (Orgs.). </w:t>
      </w:r>
      <w:r w:rsidDel="00000000" w:rsidR="00000000" w:rsidRPr="00000000">
        <w:rPr>
          <w:rFonts w:ascii="Times New Roman" w:cs="Times New Roman" w:eastAsia="Times New Roman" w:hAnsi="Times New Roman"/>
          <w:i w:val="1"/>
          <w:sz w:val="24"/>
          <w:szCs w:val="24"/>
          <w:rtl w:val="0"/>
        </w:rPr>
        <w:t xml:space="preserve">Violência, gênero e políticas públicas</w:t>
      </w:r>
      <w:r w:rsidDel="00000000" w:rsidR="00000000" w:rsidRPr="00000000">
        <w:rPr>
          <w:rFonts w:ascii="Times New Roman" w:cs="Times New Roman" w:eastAsia="Times New Roman" w:hAnsi="Times New Roman"/>
          <w:sz w:val="24"/>
          <w:szCs w:val="24"/>
          <w:rtl w:val="0"/>
        </w:rPr>
        <w:t xml:space="preserve">, 13-43. Porto Alegre: EDIPUCRS.</w:t>
      </w:r>
    </w:p>
    <w:p w:rsidR="00000000" w:rsidDel="00000000" w:rsidP="00000000" w:rsidRDefault="00000000" w:rsidRPr="00000000" w14:paraId="000002F2">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M. F. de. (2009). As análises de gênero e a formação do campo de estudos sobre a(s) masculinidade(s). </w:t>
      </w:r>
      <w:r w:rsidDel="00000000" w:rsidR="00000000" w:rsidRPr="00000000">
        <w:rPr>
          <w:rFonts w:ascii="Times New Roman" w:cs="Times New Roman" w:eastAsia="Times New Roman" w:hAnsi="Times New Roman"/>
          <w:i w:val="1"/>
          <w:sz w:val="24"/>
          <w:szCs w:val="24"/>
          <w:rtl w:val="0"/>
        </w:rPr>
        <w:t xml:space="preserve">Mediações</w:t>
      </w:r>
      <w:r w:rsidDel="00000000" w:rsidR="00000000" w:rsidRPr="00000000">
        <w:rPr>
          <w:rFonts w:ascii="Times New Roman" w:cs="Times New Roman" w:eastAsia="Times New Roman" w:hAnsi="Times New Roman"/>
          <w:sz w:val="24"/>
          <w:szCs w:val="24"/>
          <w:rtl w:val="0"/>
        </w:rPr>
        <w:t xml:space="preserve">, 14(2), 123-144. </w:t>
      </w:r>
      <w:hyperlink r:id="rId23">
        <w:r w:rsidDel="00000000" w:rsidR="00000000" w:rsidRPr="00000000">
          <w:rPr>
            <w:rFonts w:ascii="Times New Roman" w:cs="Times New Roman" w:eastAsia="Times New Roman" w:hAnsi="Times New Roman"/>
            <w:sz w:val="24"/>
            <w:szCs w:val="24"/>
            <w:rtl w:val="0"/>
          </w:rPr>
          <w:t xml:space="preserve">http://dx.doi.org/10.5433/2176-6665.2009v14n2p123</w:t>
        </w:r>
      </w:hyperlink>
      <w:r w:rsidDel="00000000" w:rsidR="00000000" w:rsidRPr="00000000">
        <w:rPr>
          <w:rtl w:val="0"/>
        </w:rPr>
      </w:r>
    </w:p>
    <w:p w:rsidR="00000000" w:rsidDel="00000000" w:rsidP="00000000" w:rsidRDefault="00000000" w:rsidRPr="00000000" w14:paraId="000002F3">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L. G. S. (2012). </w:t>
      </w:r>
      <w:r w:rsidDel="00000000" w:rsidR="00000000" w:rsidRPr="00000000">
        <w:rPr>
          <w:rFonts w:ascii="Times New Roman" w:cs="Times New Roman" w:eastAsia="Times New Roman" w:hAnsi="Times New Roman"/>
          <w:i w:val="1"/>
          <w:sz w:val="24"/>
          <w:szCs w:val="24"/>
          <w:rtl w:val="0"/>
        </w:rPr>
        <w:t xml:space="preserve">Profissionais de saúde da família e representações sociais de alcoolismo</w:t>
      </w:r>
      <w:r w:rsidDel="00000000" w:rsidR="00000000" w:rsidRPr="00000000">
        <w:rPr>
          <w:rFonts w:ascii="Times New Roman" w:cs="Times New Roman" w:eastAsia="Times New Roman" w:hAnsi="Times New Roman"/>
          <w:sz w:val="24"/>
          <w:szCs w:val="24"/>
          <w:rtl w:val="0"/>
        </w:rPr>
        <w:t xml:space="preserve">. (Tese de Doutorado). Pós-Graduação em Psicologia: UFES. Vitória, Brasil</w:t>
      </w:r>
    </w:p>
    <w:p w:rsidR="00000000" w:rsidDel="00000000" w:rsidP="00000000" w:rsidRDefault="00000000" w:rsidRPr="00000000" w14:paraId="000002F4">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Stellin, R. M. R., Monteiro, C. F.  d'A., Albuquerque, R. A., &amp; Marques, C. M. X. C. (2011). Processos de construção de maternagem. Feminilidade e maternagem: recursos psíquicos para o exercício da maternagem em suas singularidades. </w:t>
      </w:r>
      <w:r w:rsidDel="00000000" w:rsidR="00000000" w:rsidRPr="00000000">
        <w:rPr>
          <w:rFonts w:ascii="Times New Roman" w:cs="Times New Roman" w:eastAsia="Times New Roman" w:hAnsi="Times New Roman"/>
          <w:i w:val="1"/>
          <w:sz w:val="24"/>
          <w:szCs w:val="24"/>
          <w:rtl w:val="0"/>
        </w:rPr>
        <w:t xml:space="preserve">Estilos da Clínica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(1), 170-185. http://pepsic.bvsalud.org/pdf/estic/v16n1/a10v16n1.pdf.</w:t>
      </w:r>
    </w:p>
    <w:p w:rsidR="00000000" w:rsidDel="00000000" w:rsidP="00000000" w:rsidRDefault="00000000" w:rsidRPr="00000000" w14:paraId="000002F5">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Fernandez, I., Polanco, F., Pereira, S., Sueli </w:t>
      </w:r>
      <w:r w:rsidDel="00000000" w:rsidR="00000000" w:rsidRPr="00000000">
        <w:rPr>
          <w:rFonts w:ascii="Times New Roman" w:cs="Times New Roman" w:eastAsia="Times New Roman" w:hAnsi="Times New Roman"/>
          <w:sz w:val="24"/>
          <w:szCs w:val="24"/>
          <w:rtl w:val="0"/>
        </w:rPr>
        <w:t xml:space="preserve">Beria</w:t>
      </w:r>
      <w:r w:rsidDel="00000000" w:rsidR="00000000" w:rsidRPr="00000000">
        <w:rPr>
          <w:rFonts w:ascii="Times New Roman" w:cs="Times New Roman" w:eastAsia="Times New Roman" w:hAnsi="Times New Roman"/>
          <w:sz w:val="24"/>
          <w:szCs w:val="24"/>
          <w:rtl w:val="0"/>
        </w:rPr>
        <w:t xml:space="preserve">, J. &amp; Zapico, M. (2017). Celebrating 50 years of the Interamerican Journal of Psychology: a content analysis. </w:t>
      </w:r>
      <w:r w:rsidDel="00000000" w:rsidR="00000000" w:rsidRPr="00000000">
        <w:rPr>
          <w:rFonts w:ascii="Times New Roman" w:cs="Times New Roman" w:eastAsia="Times New Roman" w:hAnsi="Times New Roman"/>
          <w:i w:val="1"/>
          <w:sz w:val="24"/>
          <w:szCs w:val="24"/>
          <w:rtl w:val="0"/>
        </w:rPr>
        <w:t xml:space="preserve">Interamerican Journal of Psychology</w:t>
      </w:r>
      <w:r w:rsidDel="00000000" w:rsidR="00000000" w:rsidRPr="00000000">
        <w:rPr>
          <w:rFonts w:ascii="Times New Roman" w:cs="Times New Roman" w:eastAsia="Times New Roman" w:hAnsi="Times New Roman"/>
          <w:sz w:val="24"/>
          <w:szCs w:val="24"/>
          <w:rtl w:val="0"/>
        </w:rPr>
        <w:t xml:space="preserve">, 51 (3), 320-334. https://doi.org/10.30849/rip/ijp.v51i3.954</w:t>
      </w:r>
    </w:p>
    <w:p w:rsidR="00000000" w:rsidDel="00000000" w:rsidP="00000000" w:rsidRDefault="00000000" w:rsidRPr="00000000" w14:paraId="000002F6">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Zanello, V.; &amp; Bukowitz, B. (2011). Loucura e cultura: uma escuta das relações de gênero nas falas de pacientes psiquiatrizados. </w:t>
      </w:r>
      <w:r w:rsidDel="00000000" w:rsidR="00000000" w:rsidRPr="00000000">
        <w:rPr>
          <w:rFonts w:ascii="Times New Roman" w:cs="Times New Roman" w:eastAsia="Times New Roman" w:hAnsi="Times New Roman"/>
          <w:i w:val="1"/>
          <w:sz w:val="24"/>
          <w:szCs w:val="24"/>
          <w:highlight w:val="white"/>
          <w:rtl w:val="0"/>
        </w:rPr>
        <w:t xml:space="preserve">Revista Labrys Estudos Feministas</w:t>
      </w:r>
      <w:r w:rsidDel="00000000" w:rsidR="00000000" w:rsidRPr="00000000">
        <w:rPr>
          <w:rFonts w:ascii="Times New Roman" w:cs="Times New Roman" w:eastAsia="Times New Roman" w:hAnsi="Times New Roman"/>
          <w:sz w:val="24"/>
          <w:szCs w:val="24"/>
          <w:highlight w:val="white"/>
          <w:rtl w:val="0"/>
        </w:rPr>
        <w:t xml:space="preserve">. 20-21. </w:t>
      </w:r>
      <w:hyperlink r:id="rId24">
        <w:r w:rsidDel="00000000" w:rsidR="00000000" w:rsidRPr="00000000">
          <w:rPr>
            <w:rFonts w:ascii="Times New Roman" w:cs="Times New Roman" w:eastAsia="Times New Roman" w:hAnsi="Times New Roman"/>
            <w:sz w:val="24"/>
            <w:szCs w:val="24"/>
            <w:highlight w:val="white"/>
            <w:rtl w:val="0"/>
          </w:rPr>
          <w:t xml:space="preserve">http://www.labrys.net.br/labrys20/brasil/valeska.htm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7">
      <w:pPr>
        <w:spacing w:line="240" w:lineRule="auto"/>
        <w:ind w:left="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Zilles, U. (2002). Apresentação. In: A. Wagner. (Org.). </w:t>
      </w:r>
      <w:r w:rsidDel="00000000" w:rsidR="00000000" w:rsidRPr="00000000">
        <w:rPr>
          <w:rFonts w:ascii="Times New Roman" w:cs="Times New Roman" w:eastAsia="Times New Roman" w:hAnsi="Times New Roman"/>
          <w:i w:val="1"/>
          <w:sz w:val="24"/>
          <w:szCs w:val="24"/>
          <w:rtl w:val="0"/>
        </w:rPr>
        <w:t xml:space="preserve">Família em cena: tramas, dramas e transformações</w:t>
      </w:r>
      <w:r w:rsidDel="00000000" w:rsidR="00000000" w:rsidRPr="00000000">
        <w:rPr>
          <w:rFonts w:ascii="Times New Roman" w:cs="Times New Roman" w:eastAsia="Times New Roman" w:hAnsi="Times New Roman"/>
          <w:sz w:val="24"/>
          <w:szCs w:val="24"/>
          <w:rtl w:val="0"/>
        </w:rPr>
        <w:t xml:space="preserve"> (9-11). Petrópolis, RJ: Vozes.</w:t>
      </w:r>
    </w:p>
    <w:p w:rsidR="00000000" w:rsidDel="00000000" w:rsidP="00000000" w:rsidRDefault="00000000" w:rsidRPr="00000000" w14:paraId="000002F8">
      <w:pPr>
        <w:spacing w:line="240" w:lineRule="auto"/>
        <w:jc w:val="both"/>
        <w:rPr>
          <w:rFonts w:ascii="Times New Roman" w:cs="Times New Roman" w:eastAsia="Times New Roman" w:hAnsi="Times New Roman"/>
          <w:color w:val="313131"/>
          <w:sz w:val="24"/>
          <w:szCs w:val="24"/>
        </w:rPr>
      </w:pPr>
      <w:r w:rsidDel="00000000" w:rsidR="00000000" w:rsidRPr="00000000">
        <w:rPr>
          <w:rtl w:val="0"/>
        </w:rPr>
      </w:r>
    </w:p>
    <w:p w:rsidR="00000000" w:rsidDel="00000000" w:rsidP="00000000" w:rsidRDefault="00000000" w:rsidRPr="00000000" w14:paraId="000002F9">
      <w:pPr>
        <w:spacing w:line="240" w:lineRule="auto"/>
        <w:jc w:val="both"/>
        <w:rPr>
          <w:rFonts w:ascii="Times New Roman" w:cs="Times New Roman" w:eastAsia="Times New Roman" w:hAnsi="Times New Roman"/>
          <w:color w:val="313131"/>
          <w:sz w:val="24"/>
          <w:szCs w:val="24"/>
        </w:rPr>
      </w:pPr>
      <w:r w:rsidDel="00000000" w:rsidR="00000000" w:rsidRPr="00000000">
        <w:rPr>
          <w:rtl w:val="0"/>
        </w:rPr>
      </w:r>
    </w:p>
    <w:p w:rsidR="00000000" w:rsidDel="00000000" w:rsidP="00000000" w:rsidRDefault="00000000" w:rsidRPr="00000000" w14:paraId="000002FA">
      <w:pPr>
        <w:spacing w:line="240" w:lineRule="auto"/>
        <w:ind w:left="708.6614173228347"/>
        <w:jc w:val="both"/>
        <w:rPr>
          <w:rFonts w:ascii="Times New Roman" w:cs="Times New Roman" w:eastAsia="Times New Roman" w:hAnsi="Times New Roman"/>
          <w:b w:val="1"/>
          <w:sz w:val="24"/>
          <w:szCs w:val="24"/>
        </w:rPr>
      </w:pPr>
      <w:r w:rsidDel="00000000" w:rsidR="00000000" w:rsidRPr="00000000">
        <w:rPr>
          <w:rtl w:val="0"/>
        </w:rPr>
      </w:r>
    </w:p>
    <w:sectPr>
      <w:headerReference r:id="rId25" w:type="default"/>
      <w:footerReference r:id="rId26" w:type="default"/>
      <w:pgSz w:h="16838" w:w="11906"/>
      <w:pgMar w:bottom="1133.8582677165355" w:top="1700.7874015748032" w:left="1700.7874015748032"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F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Link</w:t>
      </w:r>
      <w:r w:rsidDel="00000000" w:rsidR="00000000" w:rsidRPr="00000000">
        <w:rPr>
          <w:rFonts w:ascii="Times New Roman" w:cs="Times New Roman" w:eastAsia="Times New Roman" w:hAnsi="Times New Roman"/>
          <w:sz w:val="20"/>
          <w:szCs w:val="20"/>
          <w:rtl w:val="0"/>
        </w:rPr>
        <w:t xml:space="preserve"> quebrado: &lt;</w:t>
      </w:r>
      <w:hyperlink r:id="rId1">
        <w:r w:rsidDel="00000000" w:rsidR="00000000" w:rsidRPr="00000000">
          <w:rPr>
            <w:rFonts w:ascii="Times New Roman" w:cs="Times New Roman" w:eastAsia="Times New Roman" w:hAnsi="Times New Roman"/>
            <w:sz w:val="20"/>
            <w:szCs w:val="20"/>
            <w:rtl w:val="0"/>
          </w:rPr>
          <w:t xml:space="preserve">https://journal.sipsych.org/index.php/IJP/issue/view/55</w:t>
        </w:r>
      </w:hyperlink>
      <w:r w:rsidDel="00000000" w:rsidR="00000000" w:rsidRPr="00000000">
        <w:rPr>
          <w:rFonts w:ascii="Times New Roman" w:cs="Times New Roman" w:eastAsia="Times New Roman" w:hAnsi="Times New Roman"/>
          <w:sz w:val="20"/>
          <w:szCs w:val="20"/>
          <w:rtl w:val="0"/>
        </w:rPr>
        <w:t xml:space="preserve">&gt; [05/03/2020]</w:t>
      </w:r>
    </w:p>
  </w:footnote>
  <w:footnote w:id="1">
    <w:p w:rsidR="00000000" w:rsidDel="00000000" w:rsidP="00000000" w:rsidRDefault="00000000" w:rsidRPr="00000000" w14:paraId="000002F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Link </w:t>
      </w:r>
      <w:r w:rsidDel="00000000" w:rsidR="00000000" w:rsidRPr="00000000">
        <w:rPr>
          <w:rFonts w:ascii="Times New Roman" w:cs="Times New Roman" w:eastAsia="Times New Roman" w:hAnsi="Times New Roman"/>
          <w:sz w:val="20"/>
          <w:szCs w:val="20"/>
          <w:rtl w:val="0"/>
        </w:rPr>
        <w:t xml:space="preserve">redireciona para outra edição: &lt;</w:t>
      </w:r>
      <w:hyperlink r:id="rId2">
        <w:r w:rsidDel="00000000" w:rsidR="00000000" w:rsidRPr="00000000">
          <w:rPr>
            <w:rFonts w:ascii="Times New Roman" w:cs="Times New Roman" w:eastAsia="Times New Roman" w:hAnsi="Times New Roman"/>
            <w:sz w:val="20"/>
            <w:szCs w:val="20"/>
            <w:rtl w:val="0"/>
          </w:rPr>
          <w:t xml:space="preserve">https://journal.sipsych.org/index.php/IJP/issue/view/65</w:t>
        </w:r>
      </w:hyperlink>
      <w:r w:rsidDel="00000000" w:rsidR="00000000" w:rsidRPr="00000000">
        <w:rPr>
          <w:rFonts w:ascii="Times New Roman" w:cs="Times New Roman" w:eastAsia="Times New Roman" w:hAnsi="Times New Roman"/>
          <w:sz w:val="20"/>
          <w:szCs w:val="20"/>
          <w:rtl w:val="0"/>
        </w:rPr>
        <w:t xml:space="preserve">&gt; [05/03/2020]</w:t>
      </w:r>
    </w:p>
  </w:footnote>
  <w:footnote w:id="2">
    <w:p w:rsidR="00000000" w:rsidDel="00000000" w:rsidP="00000000" w:rsidRDefault="00000000" w:rsidRPr="00000000" w14:paraId="000002F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Disponível: &lt;</w:t>
      </w:r>
      <w:hyperlink r:id="rId3">
        <w:r w:rsidDel="00000000" w:rsidR="00000000" w:rsidRPr="00000000">
          <w:rPr>
            <w:rFonts w:ascii="Times New Roman" w:cs="Times New Roman" w:eastAsia="Times New Roman" w:hAnsi="Times New Roman"/>
            <w:sz w:val="20"/>
            <w:szCs w:val="20"/>
            <w:rtl w:val="0"/>
          </w:rPr>
          <w:t xml:space="preserve">https://dialnet.unirioja.es/revista/12854/V/32</w:t>
        </w:r>
      </w:hyperlink>
      <w:r w:rsidDel="00000000" w:rsidR="00000000" w:rsidRPr="00000000">
        <w:rPr>
          <w:rFonts w:ascii="Times New Roman" w:cs="Times New Roman" w:eastAsia="Times New Roman" w:hAnsi="Times New Roman"/>
          <w:sz w:val="20"/>
          <w:szCs w:val="20"/>
          <w:rtl w:val="0"/>
        </w:rPr>
        <w:t xml:space="preserve">&gt; [1º/01/2020]</w:t>
      </w:r>
    </w:p>
  </w:footnote>
  <w:footnote w:id="3">
    <w:p w:rsidR="00000000" w:rsidDel="00000000" w:rsidP="00000000" w:rsidRDefault="00000000" w:rsidRPr="00000000" w14:paraId="0000030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em Inglês: “</w:t>
      </w:r>
      <w:r w:rsidDel="00000000" w:rsidR="00000000" w:rsidRPr="00000000">
        <w:rPr>
          <w:rFonts w:ascii="Times New Roman" w:cs="Times New Roman" w:eastAsia="Times New Roman" w:hAnsi="Times New Roman"/>
          <w:i w:val="1"/>
          <w:sz w:val="20"/>
          <w:szCs w:val="20"/>
          <w:rtl w:val="0"/>
        </w:rPr>
        <w:t xml:space="preserve">Sexual health is a state of physical, emotional, mental and social well-being in relation to sexuality; it is not merely the absence of disease, dysfunction or infirmity</w:t>
      </w:r>
      <w:r w:rsidDel="00000000" w:rsidR="00000000" w:rsidRPr="00000000">
        <w:rPr>
          <w:rFonts w:ascii="Times New Roman" w:cs="Times New Roman" w:eastAsia="Times New Roman" w:hAnsi="Times New Roman"/>
          <w:sz w:val="20"/>
          <w:szCs w:val="20"/>
          <w:rtl w:val="0"/>
        </w:rPr>
        <w:t xml:space="preserve">.” Traduzido livremente.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x.doi.org/10.1590/S1413-73722008000400002" TargetMode="External"/><Relationship Id="rId22" Type="http://schemas.openxmlformats.org/officeDocument/2006/relationships/hyperlink" Target="https://doi.org/10.1590/S0104-83332001000100007" TargetMode="External"/><Relationship Id="rId21" Type="http://schemas.openxmlformats.org/officeDocument/2006/relationships/hyperlink" Target="https://periodicos.sbu.unicamp.br/ojs/index.php/cadpagu/article/view/8634465" TargetMode="External"/><Relationship Id="rId24" Type="http://schemas.openxmlformats.org/officeDocument/2006/relationships/hyperlink" Target="http://www.labrys.net.br/labrys20/brasil/valeska.htm" TargetMode="External"/><Relationship Id="rId23" Type="http://schemas.openxmlformats.org/officeDocument/2006/relationships/hyperlink" Target="http://dx.doi.org/10.5433/2176-6665.2009v14n2p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dx.doi.org/10.1590/S1414-98932012000500005" TargetMode="External"/><Relationship Id="rId10" Type="http://schemas.openxmlformats.org/officeDocument/2006/relationships/hyperlink" Target="https://www.redalyc.org/articulo.oa?id=284/28424858002" TargetMode="External"/><Relationship Id="rId13" Type="http://schemas.openxmlformats.org/officeDocument/2006/relationships/hyperlink" Target="http://dx.doi.org/10.1191/1478088706qp063oa" TargetMode="External"/><Relationship Id="rId12" Type="http://schemas.openxmlformats.org/officeDocument/2006/relationships/hyperlink" Target="https://dx.doi.org/10.1590/S1414-98932013000300016" TargetMode="External"/><Relationship Id="rId15" Type="http://schemas.openxmlformats.org/officeDocument/2006/relationships/hyperlink" Target="https://doi.org/10.1590/1982-10.1590/1982-3703020002017" TargetMode="External"/><Relationship Id="rId14" Type="http://schemas.openxmlformats.org/officeDocument/2006/relationships/hyperlink" Target="https://doi.org/10.1590/1413-81232018236.04872018" TargetMode="External"/><Relationship Id="rId17" Type="http://schemas.openxmlformats.org/officeDocument/2006/relationships/hyperlink" Target="https://periodicos.ufsc.br/index.php/ref/article/view/S0104-026X2008000300005/9130" TargetMode="External"/><Relationship Id="rId16" Type="http://schemas.openxmlformats.org/officeDocument/2006/relationships/hyperlink" Target="https://www.redalyc.org/articulo.oa?id=284/28438219" TargetMode="External"/><Relationship Id="rId19" Type="http://schemas.openxmlformats.org/officeDocument/2006/relationships/hyperlink" Target="https://dx.doi.org/10.1590/S1414-98932004000100006" TargetMode="External"/><Relationship Id="rId18" Type="http://schemas.openxmlformats.org/officeDocument/2006/relationships/hyperlink" Target="https://dx.doi.org/10.1590/S1413-812320120010000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urnal.sipsych.org/index.php/IJP/issue/view/55" TargetMode="External"/><Relationship Id="rId2" Type="http://schemas.openxmlformats.org/officeDocument/2006/relationships/hyperlink" Target="https://journal.sipsych.org/index.php/IJP/issue/view/65" TargetMode="External"/><Relationship Id="rId3" Type="http://schemas.openxmlformats.org/officeDocument/2006/relationships/hyperlink" Target="https://dialnet.unirioja.es/revista/12854/V/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