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403F26" w14:textId="77777777" w:rsidR="007E74C0" w:rsidRDefault="00EA091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GÊNERO E SEXUALIDADES NA REVISTA INTERAMERICANA DE PSICOLOGIA: REVISÃO SISTEMÁTICA </w:t>
      </w:r>
    </w:p>
    <w:p w14:paraId="34C36CD9" w14:textId="77777777" w:rsidR="007E74C0" w:rsidRDefault="007E74C0">
      <w:pPr>
        <w:spacing w:line="240" w:lineRule="auto"/>
        <w:jc w:val="center"/>
        <w:rPr>
          <w:rFonts w:ascii="Times New Roman" w:eastAsia="Times New Roman" w:hAnsi="Times New Roman" w:cs="Times New Roman"/>
          <w:b/>
          <w:sz w:val="24"/>
          <w:szCs w:val="24"/>
        </w:rPr>
      </w:pPr>
    </w:p>
    <w:p w14:paraId="483384B8"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7B77500C" w14:textId="77777777" w:rsidR="007E74C0" w:rsidRDefault="007E74C0">
      <w:pPr>
        <w:spacing w:line="240" w:lineRule="auto"/>
        <w:jc w:val="both"/>
        <w:rPr>
          <w:rFonts w:ascii="Times New Roman" w:eastAsia="Times New Roman" w:hAnsi="Times New Roman" w:cs="Times New Roman"/>
          <w:sz w:val="24"/>
          <w:szCs w:val="24"/>
        </w:rPr>
      </w:pPr>
    </w:p>
    <w:p w14:paraId="2B46C7F5"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Esta revisão sistemática sobre sexualidades e gênero na Revista Interamericana de Psicologia</w:t>
      </w:r>
      <w:r>
        <w:rPr>
          <w:rFonts w:ascii="Times New Roman" w:eastAsia="Times New Roman" w:hAnsi="Times New Roman" w:cs="Times New Roman"/>
          <w:sz w:val="24"/>
          <w:szCs w:val="24"/>
        </w:rPr>
        <w:t xml:space="preserve"> cobre 80 artigos das últimas cinco décadas. Pelo método da análise temática, eles foram agrupados em três temas: </w:t>
      </w:r>
      <w:r>
        <w:rPr>
          <w:rFonts w:ascii="Times New Roman" w:eastAsia="Times New Roman" w:hAnsi="Times New Roman" w:cs="Times New Roman"/>
          <w:sz w:val="24"/>
          <w:szCs w:val="24"/>
          <w:highlight w:val="white"/>
        </w:rPr>
        <w:t>O conceito de gênero como eixo estruturante das relações psicossociais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Gênero e sexualidades: olhares sob a perspectiva da saúde; Família, es</w:t>
      </w:r>
      <w:r>
        <w:rPr>
          <w:rFonts w:ascii="Times New Roman" w:eastAsia="Times New Roman" w:hAnsi="Times New Roman" w:cs="Times New Roman"/>
          <w:sz w:val="24"/>
          <w:szCs w:val="24"/>
          <w:highlight w:val="white"/>
        </w:rPr>
        <w:t xml:space="preserve">paço de possibilidades e de (re)produção de relações </w:t>
      </w:r>
      <w:r>
        <w:rPr>
          <w:rFonts w:ascii="Times New Roman" w:eastAsia="Times New Roman" w:hAnsi="Times New Roman" w:cs="Times New Roman"/>
          <w:sz w:val="24"/>
          <w:szCs w:val="24"/>
        </w:rPr>
        <w:t>de gênero</w:t>
      </w:r>
      <w:r>
        <w:rPr>
          <w:rFonts w:ascii="Times New Roman" w:eastAsia="Times New Roman" w:hAnsi="Times New Roman" w:cs="Times New Roman"/>
          <w:sz w:val="24"/>
          <w:szCs w:val="24"/>
          <w:highlight w:val="white"/>
        </w:rPr>
        <w:t xml:space="preserve">. Notamos mais artigos sobre esses Temas após os anos 1990, entre outros resultados analisados </w:t>
      </w:r>
      <w:r>
        <w:rPr>
          <w:rFonts w:ascii="Times New Roman" w:eastAsia="Times New Roman" w:hAnsi="Times New Roman" w:cs="Times New Roman"/>
          <w:sz w:val="24"/>
          <w:szCs w:val="24"/>
        </w:rPr>
        <w:t>a partir dos descritores de busca (mãe, gênero, masculinidade, sexo e sexua)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Espera-se dessa forma</w:t>
      </w:r>
      <w:r>
        <w:rPr>
          <w:rFonts w:ascii="Times New Roman" w:eastAsia="Times New Roman" w:hAnsi="Times New Roman" w:cs="Times New Roman"/>
          <w:sz w:val="24"/>
          <w:szCs w:val="24"/>
        </w:rPr>
        <w:t xml:space="preserve"> contribuir com reflexões em torno d</w:t>
      </w: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rPr>
        <w:t xml:space="preserve"> constituição dos conceitos gênero e sexualidades nos campos da Psicologia na América Latina, bem como sobre seus desafios nos dias atuais.</w:t>
      </w:r>
    </w:p>
    <w:p w14:paraId="5571D58C" w14:textId="77777777" w:rsidR="007E74C0" w:rsidRDefault="007E74C0">
      <w:pPr>
        <w:spacing w:line="240" w:lineRule="auto"/>
        <w:ind w:firstLine="720"/>
        <w:jc w:val="both"/>
        <w:rPr>
          <w:rFonts w:ascii="Times New Roman" w:eastAsia="Times New Roman" w:hAnsi="Times New Roman" w:cs="Times New Roman"/>
          <w:sz w:val="24"/>
          <w:szCs w:val="24"/>
        </w:rPr>
      </w:pPr>
    </w:p>
    <w:p w14:paraId="0B1A4A02"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América Latina, Gênero, Psicologia, Revisão, Sexualidades.</w:t>
      </w:r>
    </w:p>
    <w:p w14:paraId="0A95E2A8" w14:textId="77777777" w:rsidR="007E74C0" w:rsidRDefault="007E74C0">
      <w:pPr>
        <w:spacing w:line="240" w:lineRule="auto"/>
        <w:jc w:val="both"/>
        <w:rPr>
          <w:rFonts w:ascii="Times New Roman" w:eastAsia="Times New Roman" w:hAnsi="Times New Roman" w:cs="Times New Roman"/>
          <w:sz w:val="24"/>
          <w:szCs w:val="24"/>
        </w:rPr>
      </w:pPr>
    </w:p>
    <w:p w14:paraId="3324F5CA"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w:t>
      </w:r>
      <w:r>
        <w:rPr>
          <w:rFonts w:ascii="Times New Roman" w:eastAsia="Times New Roman" w:hAnsi="Times New Roman" w:cs="Times New Roman"/>
          <w:b/>
          <w:sz w:val="24"/>
          <w:szCs w:val="24"/>
        </w:rPr>
        <w:t>sumen</w:t>
      </w:r>
    </w:p>
    <w:p w14:paraId="2BF6070C" w14:textId="77777777" w:rsidR="007E74C0" w:rsidRDefault="007E74C0">
      <w:pPr>
        <w:spacing w:line="240" w:lineRule="auto"/>
        <w:jc w:val="both"/>
        <w:rPr>
          <w:rFonts w:ascii="Times New Roman" w:eastAsia="Times New Roman" w:hAnsi="Times New Roman" w:cs="Times New Roman"/>
          <w:sz w:val="24"/>
          <w:szCs w:val="24"/>
        </w:rPr>
      </w:pPr>
    </w:p>
    <w:p w14:paraId="187927D6"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Esta revisión sistemática de las sexualidades y del género en la Revista Interamericana de Psicología cubre 80 artículos de las cinco últimas décadas. Por el método de análisis temática, fueron agrupados en tres temas: El concepto de género como eje</w:t>
      </w:r>
      <w:r>
        <w:rPr>
          <w:rFonts w:ascii="Times New Roman" w:eastAsia="Times New Roman" w:hAnsi="Times New Roman" w:cs="Times New Roman"/>
          <w:sz w:val="24"/>
          <w:szCs w:val="24"/>
        </w:rPr>
        <w:t xml:space="preserve"> estructurante de las relaciones psicosociales; Género y sexualidades: puntos de vista desde la perspectiva de la </w:t>
      </w:r>
      <w:proofErr w:type="gramStart"/>
      <w:r>
        <w:rPr>
          <w:rFonts w:ascii="Times New Roman" w:eastAsia="Times New Roman" w:hAnsi="Times New Roman" w:cs="Times New Roman"/>
          <w:sz w:val="24"/>
          <w:szCs w:val="24"/>
        </w:rPr>
        <w:t>salud</w:t>
      </w:r>
      <w:proofErr w:type="gramEnd"/>
      <w:r>
        <w:rPr>
          <w:rFonts w:ascii="Times New Roman" w:eastAsia="Times New Roman" w:hAnsi="Times New Roman" w:cs="Times New Roman"/>
          <w:sz w:val="24"/>
          <w:szCs w:val="24"/>
        </w:rPr>
        <w:t>; Familia, espacio de posibilidades y (re)producción de relaciones de género. Notamos más artículos sobre estos Temas tras la década de 1</w:t>
      </w:r>
      <w:r>
        <w:rPr>
          <w:rFonts w:ascii="Times New Roman" w:eastAsia="Times New Roman" w:hAnsi="Times New Roman" w:cs="Times New Roman"/>
          <w:sz w:val="24"/>
          <w:szCs w:val="24"/>
        </w:rPr>
        <w:t>990, entre otros resultados analizados por los descriptores de búsqueda (madre, género, masculinidad, sexo y sexua). Se espera que contribuya con reflexiones sobre la constitución de los conceptos de género y sexualidad en los campos de la Psicología en Am</w:t>
      </w:r>
      <w:r>
        <w:rPr>
          <w:rFonts w:ascii="Times New Roman" w:eastAsia="Times New Roman" w:hAnsi="Times New Roman" w:cs="Times New Roman"/>
          <w:sz w:val="24"/>
          <w:szCs w:val="24"/>
        </w:rPr>
        <w:t>érica Latina, así como sus desafíos actuales.</w:t>
      </w:r>
    </w:p>
    <w:p w14:paraId="7AF9F35D" w14:textId="77777777" w:rsidR="007E74C0" w:rsidRDefault="007E74C0">
      <w:pPr>
        <w:spacing w:line="240" w:lineRule="auto"/>
        <w:ind w:firstLine="720"/>
        <w:jc w:val="both"/>
        <w:rPr>
          <w:rFonts w:ascii="Times New Roman" w:eastAsia="Times New Roman" w:hAnsi="Times New Roman" w:cs="Times New Roman"/>
          <w:sz w:val="24"/>
          <w:szCs w:val="24"/>
        </w:rPr>
      </w:pPr>
    </w:p>
    <w:p w14:paraId="61FA2095"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Palabras-clave: </w:t>
      </w:r>
      <w:r>
        <w:rPr>
          <w:rFonts w:ascii="Times New Roman" w:eastAsia="Times New Roman" w:hAnsi="Times New Roman" w:cs="Times New Roman"/>
          <w:sz w:val="24"/>
          <w:szCs w:val="24"/>
        </w:rPr>
        <w:t>América Latina, Género, Psicología, Revisión, Sexualidades.</w:t>
      </w:r>
    </w:p>
    <w:p w14:paraId="53C0E040" w14:textId="77777777" w:rsidR="007E74C0" w:rsidRDefault="007E74C0">
      <w:pPr>
        <w:spacing w:line="240" w:lineRule="auto"/>
        <w:jc w:val="both"/>
        <w:rPr>
          <w:rFonts w:ascii="Times New Roman" w:eastAsia="Times New Roman" w:hAnsi="Times New Roman" w:cs="Times New Roman"/>
          <w:sz w:val="24"/>
          <w:szCs w:val="24"/>
        </w:rPr>
      </w:pPr>
    </w:p>
    <w:p w14:paraId="2967D536" w14:textId="77777777" w:rsidR="007E74C0" w:rsidRDefault="007E74C0">
      <w:pPr>
        <w:spacing w:line="240" w:lineRule="auto"/>
        <w:jc w:val="both"/>
        <w:rPr>
          <w:rFonts w:ascii="Times New Roman" w:eastAsia="Times New Roman" w:hAnsi="Times New Roman" w:cs="Times New Roman"/>
          <w:sz w:val="24"/>
          <w:szCs w:val="24"/>
        </w:rPr>
      </w:pPr>
    </w:p>
    <w:p w14:paraId="0F6B49EB" w14:textId="77777777" w:rsidR="007E74C0" w:rsidRDefault="00EA091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21FF72EC" w14:textId="77777777" w:rsidR="007E74C0" w:rsidRDefault="007E74C0">
      <w:pPr>
        <w:spacing w:line="240" w:lineRule="auto"/>
        <w:ind w:firstLine="700"/>
        <w:jc w:val="both"/>
        <w:rPr>
          <w:rFonts w:ascii="Times New Roman" w:eastAsia="Times New Roman" w:hAnsi="Times New Roman" w:cs="Times New Roman"/>
          <w:sz w:val="24"/>
          <w:szCs w:val="24"/>
          <w:shd w:val="clear" w:color="auto" w:fill="FFF2CC"/>
        </w:rPr>
      </w:pPr>
    </w:p>
    <w:p w14:paraId="5FE88433"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século XX, sobretudo após os anos 1960, inspirados pelos movimentos juvenis, feministas, gays e lésbicos,</w:t>
      </w:r>
      <w:r>
        <w:rPr>
          <w:rFonts w:ascii="Times New Roman" w:eastAsia="Times New Roman" w:hAnsi="Times New Roman" w:cs="Times New Roman"/>
          <w:sz w:val="24"/>
          <w:szCs w:val="24"/>
          <w:highlight w:val="white"/>
        </w:rPr>
        <w:t xml:space="preserve"> estudos </w:t>
      </w:r>
      <w:r>
        <w:rPr>
          <w:rFonts w:ascii="Times New Roman" w:eastAsia="Times New Roman" w:hAnsi="Times New Roman" w:cs="Times New Roman"/>
          <w:sz w:val="24"/>
          <w:szCs w:val="24"/>
          <w:highlight w:val="white"/>
        </w:rPr>
        <w:t>acadêmicos e científicos sobre gênero e sexualidades começam a se emancipar das discussões sobre a essencialidade ou a reprodução. As Ciências Humanas e Sociais trouxeram, então, novas críticas e debates em torno das multip</w:t>
      </w:r>
      <w:r>
        <w:rPr>
          <w:rFonts w:ascii="Times New Roman" w:eastAsia="Times New Roman" w:hAnsi="Times New Roman" w:cs="Times New Roman"/>
          <w:sz w:val="24"/>
          <w:szCs w:val="24"/>
        </w:rPr>
        <w:t>licidades possíveis da expressão/</w:t>
      </w:r>
      <w:r>
        <w:rPr>
          <w:rFonts w:ascii="Times New Roman" w:eastAsia="Times New Roman" w:hAnsi="Times New Roman" w:cs="Times New Roman"/>
          <w:sz w:val="24"/>
          <w:szCs w:val="24"/>
        </w:rPr>
        <w:t xml:space="preserve">exercício das sexualidades no novo contexto social </w:t>
      </w:r>
      <w:r>
        <w:rPr>
          <w:rFonts w:ascii="Times New Roman" w:eastAsia="Times New Roman" w:hAnsi="Times New Roman" w:cs="Times New Roman"/>
          <w:sz w:val="24"/>
          <w:szCs w:val="24"/>
          <w:highlight w:val="white"/>
        </w:rPr>
        <w:t>(Paiva, 2008)</w:t>
      </w:r>
      <w:r>
        <w:rPr>
          <w:rFonts w:ascii="Times New Roman" w:eastAsia="Times New Roman" w:hAnsi="Times New Roman" w:cs="Times New Roman"/>
          <w:sz w:val="24"/>
          <w:szCs w:val="24"/>
        </w:rPr>
        <w:t>.</w:t>
      </w:r>
    </w:p>
    <w:p w14:paraId="762488C4"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últimos anos, diversos embates e discussões a respeito dos conceitos de gênero e sexualidades nos campos político, jurídico, acadêmico e social podem ser observados, por exemplo, nos est</w:t>
      </w:r>
      <w:r>
        <w:rPr>
          <w:rFonts w:ascii="Times New Roman" w:eastAsia="Times New Roman" w:hAnsi="Times New Roman" w:cs="Times New Roman"/>
          <w:sz w:val="24"/>
          <w:szCs w:val="24"/>
        </w:rPr>
        <w:t xml:space="preserve">udos </w:t>
      </w:r>
      <w:r>
        <w:rPr>
          <w:rFonts w:ascii="Times New Roman" w:eastAsia="Times New Roman" w:hAnsi="Times New Roman" w:cs="Times New Roman"/>
          <w:i/>
          <w:sz w:val="24"/>
          <w:szCs w:val="24"/>
        </w:rPr>
        <w:t>queer</w:t>
      </w:r>
      <w:r>
        <w:rPr>
          <w:rFonts w:ascii="Times New Roman" w:eastAsia="Times New Roman" w:hAnsi="Times New Roman" w:cs="Times New Roman"/>
          <w:sz w:val="24"/>
          <w:szCs w:val="24"/>
        </w:rPr>
        <w:t>. Nesse sentido, Butler (2013) problematiza categorias um tanto cristalizadas nos meios acadêmico e social, envolvendo esses conceitos. Em sua obra, a autora critica os pares conceituais homem/mulher e masculino/feminino, que a seu ver reproduzir</w:t>
      </w:r>
      <w:r>
        <w:rPr>
          <w:rFonts w:ascii="Times New Roman" w:eastAsia="Times New Roman" w:hAnsi="Times New Roman" w:cs="Times New Roman"/>
          <w:sz w:val="24"/>
          <w:szCs w:val="24"/>
        </w:rPr>
        <w:t>iam a binaridade da norma (cis</w:t>
      </w:r>
      <w:proofErr w:type="gramStart"/>
      <w:r>
        <w:rPr>
          <w:rFonts w:ascii="Times New Roman" w:eastAsia="Times New Roman" w:hAnsi="Times New Roman" w:cs="Times New Roman"/>
          <w:sz w:val="24"/>
          <w:szCs w:val="24"/>
        </w:rPr>
        <w:t>)heterosexual</w:t>
      </w:r>
      <w:proofErr w:type="gramEnd"/>
      <w:r>
        <w:rPr>
          <w:rFonts w:ascii="Times New Roman" w:eastAsia="Times New Roman" w:hAnsi="Times New Roman" w:cs="Times New Roman"/>
          <w:sz w:val="24"/>
          <w:szCs w:val="24"/>
        </w:rPr>
        <w:t xml:space="preserve"> hegemônica. Para a autora, tais postulações engessam os olhares envolvendo o corpo, o sexo e o desejo em vários níveis de expressão e articulação social. Ademais, pressupostos como o binarismo de gênero e a heter</w:t>
      </w:r>
      <w:r>
        <w:rPr>
          <w:rFonts w:ascii="Times New Roman" w:eastAsia="Times New Roman" w:hAnsi="Times New Roman" w:cs="Times New Roman"/>
          <w:sz w:val="24"/>
          <w:szCs w:val="24"/>
        </w:rPr>
        <w:t>onormatividade atestam sua fragilidade e são postos em xeque em um mundo plural. Além disso, essa categorização expressaria relações de poder em linguagem que, por vezes, adquirem caráter político na identificação compulsória de indivíduos por Estados em t</w:t>
      </w:r>
      <w:r>
        <w:rPr>
          <w:rFonts w:ascii="Times New Roman" w:eastAsia="Times New Roman" w:hAnsi="Times New Roman" w:cs="Times New Roman"/>
          <w:sz w:val="24"/>
          <w:szCs w:val="24"/>
        </w:rPr>
        <w:t>ermos do sexo biológico.</w:t>
      </w:r>
    </w:p>
    <w:p w14:paraId="729FCB26"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Quanto ao par sexo/gênero (no qual o gênero é culturalmente construído e distinto do sexo, dado como biológico ou naturalmente adquirido), Butler (2013) diz ainda que serviu às teorias feministas até meados de 1980, quando começou </w:t>
      </w:r>
      <w:r>
        <w:rPr>
          <w:rFonts w:ascii="Times New Roman" w:eastAsia="Times New Roman" w:hAnsi="Times New Roman" w:cs="Times New Roman"/>
          <w:sz w:val="24"/>
          <w:szCs w:val="24"/>
        </w:rPr>
        <w:t>a ser questionado se o sexo seria não natural, mas discursivo e cultural como o gênero, para o qual propõe a ideia de efeito, expressão, performance e não mais essência, substância, atributo da pessoa. Essa seria uma forma de subverter a (cis</w:t>
      </w:r>
      <w:proofErr w:type="gramStart"/>
      <w:r>
        <w:rPr>
          <w:rFonts w:ascii="Times New Roman" w:eastAsia="Times New Roman" w:hAnsi="Times New Roman" w:cs="Times New Roman"/>
          <w:sz w:val="24"/>
          <w:szCs w:val="24"/>
        </w:rPr>
        <w:t>)heteronormati</w:t>
      </w:r>
      <w:r>
        <w:rPr>
          <w:rFonts w:ascii="Times New Roman" w:eastAsia="Times New Roman" w:hAnsi="Times New Roman" w:cs="Times New Roman"/>
          <w:sz w:val="24"/>
          <w:szCs w:val="24"/>
        </w:rPr>
        <w:t>vidade</w:t>
      </w:r>
      <w:proofErr w:type="gramEnd"/>
      <w:r>
        <w:rPr>
          <w:rFonts w:ascii="Times New Roman" w:eastAsia="Times New Roman" w:hAnsi="Times New Roman" w:cs="Times New Roman"/>
          <w:sz w:val="24"/>
          <w:szCs w:val="24"/>
        </w:rPr>
        <w:t>, ressignificando esses conceitos para além do binarismo hegemônico vigente sobre os corpos, as sexualidades e os desejos.</w:t>
      </w:r>
    </w:p>
    <w:p w14:paraId="77416C0F"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estudos recentes sobre epistemologias feministas na Psicologia, então, as análises críticas são no geral realizadas sobre as</w:t>
      </w:r>
      <w:r>
        <w:rPr>
          <w:rFonts w:ascii="Times New Roman" w:eastAsia="Times New Roman" w:hAnsi="Times New Roman" w:cs="Times New Roman"/>
          <w:sz w:val="24"/>
          <w:szCs w:val="24"/>
        </w:rPr>
        <w:t xml:space="preserve"> maneiras pelas quais a área aborda e entende gêneros e sexualidades. Dessa maneira, entram em tensão com paradigmas teóricos de ênfase mais positivista, sendo aos poucos incorporadas suas questões epistemológicas e metodológicas nas pesquisas e cada vez m</w:t>
      </w:r>
      <w:r>
        <w:rPr>
          <w:rFonts w:ascii="Times New Roman" w:eastAsia="Times New Roman" w:hAnsi="Times New Roman" w:cs="Times New Roman"/>
          <w:sz w:val="24"/>
          <w:szCs w:val="24"/>
        </w:rPr>
        <w:t>ais questionadas suas pretensões de neutralidade, objetividade e desinteresse sob a ótica da “ciência moderna”, que procura “proteger os resultados da pesquisa dos valores sociais dos pesquisadores e das suas culturas” (Nogueira, 2011, p. 11). Nesse contex</w:t>
      </w:r>
      <w:r>
        <w:rPr>
          <w:rFonts w:ascii="Times New Roman" w:eastAsia="Times New Roman" w:hAnsi="Times New Roman" w:cs="Times New Roman"/>
          <w:sz w:val="24"/>
          <w:szCs w:val="24"/>
        </w:rPr>
        <w:t xml:space="preserve">to, </w:t>
      </w:r>
    </w:p>
    <w:p w14:paraId="23DB7403" w14:textId="77777777" w:rsidR="007E74C0" w:rsidRDefault="00EA0911">
      <w:pPr>
        <w:spacing w:before="24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perspectiva feminista na psicologia pode contribuir para a compreensão de todos estes processos, tentando elucidar os mecanismos psicológicos pelos quais o gênero exerce o seu controlo. Devem desafiar a tendência da psicologia para aceitar a diferença, d</w:t>
      </w:r>
      <w:r>
        <w:rPr>
          <w:rFonts w:ascii="Times New Roman" w:eastAsia="Times New Roman" w:hAnsi="Times New Roman" w:cs="Times New Roman"/>
          <w:sz w:val="24"/>
          <w:szCs w:val="24"/>
        </w:rPr>
        <w:t>emonstrando como as categorias, quer profissionais quer culturais são construídas (Nogueira, 2001, p. 23).</w:t>
      </w:r>
    </w:p>
    <w:p w14:paraId="34FE549B" w14:textId="77777777" w:rsidR="007E74C0" w:rsidRDefault="007E74C0">
      <w:pPr>
        <w:spacing w:line="240" w:lineRule="auto"/>
        <w:ind w:firstLine="720"/>
        <w:jc w:val="both"/>
        <w:rPr>
          <w:rFonts w:ascii="Times New Roman" w:eastAsia="Times New Roman" w:hAnsi="Times New Roman" w:cs="Times New Roman"/>
          <w:sz w:val="24"/>
          <w:szCs w:val="24"/>
        </w:rPr>
      </w:pPr>
    </w:p>
    <w:p w14:paraId="1C009D05"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história da Psicologia, termos e práticas foram sendo implicadas em conceitos mais amplos de saúde que incluíam direitos e deveres jurídicos, de modo que a área desenvolveu técnicas e métodos de atendimentos próprios para lidar com as questões relaciona</w:t>
      </w:r>
      <w:r>
        <w:rPr>
          <w:rFonts w:ascii="Times New Roman" w:eastAsia="Times New Roman" w:hAnsi="Times New Roman" w:cs="Times New Roman"/>
          <w:sz w:val="24"/>
          <w:szCs w:val="24"/>
        </w:rPr>
        <w:t>das à saúde e ao adoecimento da mente expresso no corpo (psicossomático), como medidas de “profilaxia ou prevenção das doenças mentais” (Medeiros, Bernardes &amp; Guareschi, 2005, p. 267).</w:t>
      </w:r>
    </w:p>
    <w:p w14:paraId="5E949312"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produção científica, a partir do final do século XVIII apontou discur</w:t>
      </w:r>
      <w:r>
        <w:rPr>
          <w:rFonts w:ascii="Times New Roman" w:eastAsia="Times New Roman" w:hAnsi="Times New Roman" w:cs="Times New Roman"/>
          <w:sz w:val="24"/>
          <w:szCs w:val="24"/>
        </w:rPr>
        <w:t>sos sobre sexualidade pela Medicina e Psiquiatria como uma criação discursivo-institucional, um dispositivo cuja função seria o controle dos corpos e das populações pela normatização das práticas sexuais, sendo delimitada para definir normalidade e anormal</w:t>
      </w:r>
      <w:r>
        <w:rPr>
          <w:rFonts w:ascii="Times New Roman" w:eastAsia="Times New Roman" w:hAnsi="Times New Roman" w:cs="Times New Roman"/>
          <w:sz w:val="24"/>
          <w:szCs w:val="24"/>
        </w:rPr>
        <w:t>idade, legitimando as práticas heterossexuais, reprodutivas e monogâmicas (Foucault, 1986). Em meados do século XX, então inspirados por movimentos juvenis, feministas, gays e lésbicos, os estudos sobre a sexualidade começam a se emancipar das discussões s</w:t>
      </w:r>
      <w:r>
        <w:rPr>
          <w:rFonts w:ascii="Times New Roman" w:eastAsia="Times New Roman" w:hAnsi="Times New Roman" w:cs="Times New Roman"/>
          <w:sz w:val="24"/>
          <w:szCs w:val="24"/>
        </w:rPr>
        <w:t xml:space="preserve">obre a essencialidade ou a reprodução nas ciências humanas e sociais com análises, estudos e debates sobre as multiplicidades da expressão/exercício das sexualidades nos novos contextos sociais e culturais (Paiva, 2008). </w:t>
      </w:r>
    </w:p>
    <w:p w14:paraId="04DAF39B"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Psicologia, porém, se há, por u</w:t>
      </w:r>
      <w:r>
        <w:rPr>
          <w:rFonts w:ascii="Times New Roman" w:eastAsia="Times New Roman" w:hAnsi="Times New Roman" w:cs="Times New Roman"/>
          <w:sz w:val="24"/>
          <w:szCs w:val="24"/>
        </w:rPr>
        <w:t>m lado, um maior reconhecimento das pluralidades e diversidades de práticas sexuais e usos dos corpos; por outro, são persistentes as tentativas de “essencializar e naturalizar as diferenças entre homens e mulheres e reforçar estigmas e estereótipos gendra</w:t>
      </w:r>
      <w:r>
        <w:rPr>
          <w:rFonts w:ascii="Times New Roman" w:eastAsia="Times New Roman" w:hAnsi="Times New Roman" w:cs="Times New Roman"/>
          <w:sz w:val="24"/>
          <w:szCs w:val="24"/>
        </w:rPr>
        <w:t>dos” (Andrade &amp; Santos, 2013, p. 19). Em defesa de utilizar o conceito de gênero por profissionais da área como “categoria de estudo e análise profissional”, Andrade e Santos (2013) propõem a estes que questionem os seus “fazeres”, as suas “teorias” e o se</w:t>
      </w:r>
      <w:r>
        <w:rPr>
          <w:rFonts w:ascii="Times New Roman" w:eastAsia="Times New Roman" w:hAnsi="Times New Roman" w:cs="Times New Roman"/>
          <w:sz w:val="24"/>
          <w:szCs w:val="24"/>
        </w:rPr>
        <w:t>u papel, inquirindo: “De que modo temos contribuído para a redução ou o fortalecimento das negligências e discriminações no que se refere à categoria de gênero? Como a Psicologia contribui para reforçar ou quebrar estigmas e estereótipos de gênero?” (</w:t>
      </w:r>
      <w:r>
        <w:rPr>
          <w:rFonts w:ascii="Times New Roman" w:eastAsia="Times New Roman" w:hAnsi="Times New Roman" w:cs="Times New Roman"/>
          <w:i/>
          <w:sz w:val="24"/>
          <w:szCs w:val="24"/>
        </w:rPr>
        <w:t>Op. c</w:t>
      </w:r>
      <w:r>
        <w:rPr>
          <w:rFonts w:ascii="Times New Roman" w:eastAsia="Times New Roman" w:hAnsi="Times New Roman" w:cs="Times New Roman"/>
          <w:i/>
          <w:sz w:val="24"/>
          <w:szCs w:val="24"/>
        </w:rPr>
        <w:t>it.</w:t>
      </w:r>
      <w:r>
        <w:rPr>
          <w:rFonts w:ascii="Times New Roman" w:eastAsia="Times New Roman" w:hAnsi="Times New Roman" w:cs="Times New Roman"/>
          <w:sz w:val="24"/>
          <w:szCs w:val="24"/>
        </w:rPr>
        <w:t>, p. 28).</w:t>
      </w:r>
    </w:p>
    <w:p w14:paraId="5EC04185"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consonância com a compreensão de que estudos sobre esses temas situam-se em um campo interdisciplinar, há um chamado para a Psicologia refletir acerca de sua produção e seus modos de incorporar essas noções no cotidiano de ensino e de pesqu</w:t>
      </w:r>
      <w:r>
        <w:rPr>
          <w:rFonts w:ascii="Times New Roman" w:eastAsia="Times New Roman" w:hAnsi="Times New Roman" w:cs="Times New Roman"/>
          <w:sz w:val="24"/>
          <w:szCs w:val="24"/>
        </w:rPr>
        <w:t xml:space="preserve">isa (Borges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Diante desse chamado, indagamos em que medida a produção na área tem refletido essas demandas e se a produção de conhecimento está atenta aos aportes teóricos e políticos mais </w:t>
      </w:r>
      <w:r>
        <w:rPr>
          <w:rFonts w:ascii="Times New Roman" w:eastAsia="Times New Roman" w:hAnsi="Times New Roman" w:cs="Times New Roman"/>
          <w:sz w:val="24"/>
          <w:szCs w:val="24"/>
        </w:rPr>
        <w:lastRenderedPageBreak/>
        <w:t>recentes, com foco na América Latina, onde há há atr</w:t>
      </w:r>
      <w:r>
        <w:rPr>
          <w:rFonts w:ascii="Times New Roman" w:eastAsia="Times New Roman" w:hAnsi="Times New Roman" w:cs="Times New Roman"/>
          <w:sz w:val="24"/>
          <w:szCs w:val="24"/>
        </w:rPr>
        <w:t>avessamentos históricos, políticos, sociais e econômicos em comum, diante dos quais a Psicologia sempre teve diante de si tanto possibilidades de atuar à disposição do sistema estatal quanto em defesa dos direitos humanos na região (Scarparo, Torres &amp; Ecke</w:t>
      </w:r>
      <w:r>
        <w:rPr>
          <w:rFonts w:ascii="Times New Roman" w:eastAsia="Times New Roman" w:hAnsi="Times New Roman" w:cs="Times New Roman"/>
          <w:sz w:val="24"/>
          <w:szCs w:val="24"/>
        </w:rPr>
        <w:t>r, 2014).</w:t>
      </w:r>
    </w:p>
    <w:p w14:paraId="109E7EB6"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Esses atravessamentos decerto tiveram (e têm) impactos nos modos de a Psicologia compreender a realidade e produzir conhecimentos para sua atuação, seja no Brasil (Antunes, 2012), seja nos demais países da região. Assim, acreditamos ser possível </w:t>
      </w:r>
      <w:r>
        <w:rPr>
          <w:rFonts w:ascii="Times New Roman" w:eastAsia="Times New Roman" w:hAnsi="Times New Roman" w:cs="Times New Roman"/>
          <w:sz w:val="24"/>
          <w:szCs w:val="24"/>
        </w:rPr>
        <w:t>traçar hipóteses acerca das abordagens dos temas pesquisados com olhares para as semelhanças históricas entre seus países, como “a proximidade temporal dos movimentos de independência no século XIX, a industrialização tardia, os regimes populistas no sécul</w:t>
      </w:r>
      <w:r>
        <w:rPr>
          <w:rFonts w:ascii="Times New Roman" w:eastAsia="Times New Roman" w:hAnsi="Times New Roman" w:cs="Times New Roman"/>
          <w:sz w:val="24"/>
          <w:szCs w:val="24"/>
        </w:rPr>
        <w:t>o XX e os golpes que instauraram ditaduras” (Hur &amp; Lacerda Júnior, 2017, p. 29), além das redes de cooperação e de resistência diversos estabelecidas entre as sociedades latino-americanas.</w:t>
      </w:r>
    </w:p>
    <w:p w14:paraId="2B6FB51B" w14:textId="77777777" w:rsidR="007E74C0" w:rsidRDefault="00EA0911">
      <w:pPr>
        <w:spacing w:line="24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Nesse sentido, o presente artigo discute parte da produção científi</w:t>
      </w:r>
      <w:r>
        <w:rPr>
          <w:rFonts w:ascii="Times New Roman" w:eastAsia="Times New Roman" w:hAnsi="Times New Roman" w:cs="Times New Roman"/>
          <w:sz w:val="24"/>
          <w:szCs w:val="24"/>
        </w:rPr>
        <w:t>ca latino-americana sobre esses temas a partir de artigos da Revista Interamericana de Psicologia (</w:t>
      </w:r>
      <w:r>
        <w:rPr>
          <w:rFonts w:ascii="Times New Roman" w:eastAsia="Times New Roman" w:hAnsi="Times New Roman" w:cs="Times New Roman"/>
          <w:i/>
          <w:sz w:val="24"/>
          <w:szCs w:val="24"/>
        </w:rPr>
        <w:t>Interamerican Journal of Psychology - IJP</w:t>
      </w:r>
      <w:r>
        <w:rPr>
          <w:rFonts w:ascii="Times New Roman" w:eastAsia="Times New Roman" w:hAnsi="Times New Roman" w:cs="Times New Roman"/>
          <w:sz w:val="24"/>
          <w:szCs w:val="24"/>
        </w:rPr>
        <w:t>) - doravante, “a Revista” - publicada desde 1967 pela Sociedade Interamericana de  Psicologia (SIP)</w:t>
      </w:r>
      <w:r>
        <w:rPr>
          <w:rFonts w:ascii="Times New Roman" w:eastAsia="Times New Roman" w:hAnsi="Times New Roman" w:cs="Times New Roman"/>
          <w:sz w:val="24"/>
          <w:szCs w:val="24"/>
          <w:highlight w:val="white"/>
        </w:rPr>
        <w:t xml:space="preserve"> e considerada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 xml:space="preserve">ma das revistas científicas mais influentes e reconhecidas das </w:t>
      </w:r>
      <w:r>
        <w:rPr>
          <w:rFonts w:ascii="Times New Roman" w:eastAsia="Times New Roman" w:hAnsi="Times New Roman" w:cs="Times New Roman"/>
          <w:sz w:val="24"/>
          <w:szCs w:val="24"/>
        </w:rPr>
        <w:t>Américas</w:t>
      </w:r>
      <w:r>
        <w:rPr>
          <w:rFonts w:ascii="Times New Roman" w:eastAsia="Times New Roman" w:hAnsi="Times New Roman" w:cs="Times New Roman"/>
          <w:sz w:val="24"/>
          <w:szCs w:val="24"/>
          <w:highlight w:val="white"/>
        </w:rPr>
        <w:t xml:space="preserve"> (Polanco, 2016). </w:t>
      </w:r>
      <w:r>
        <w:rPr>
          <w:rFonts w:ascii="Times New Roman" w:eastAsia="Times New Roman" w:hAnsi="Times New Roman" w:cs="Times New Roman"/>
          <w:sz w:val="24"/>
          <w:szCs w:val="24"/>
        </w:rPr>
        <w:t xml:space="preserve">A SIP foi fundada em 1951 no </w:t>
      </w:r>
      <w:r>
        <w:rPr>
          <w:rFonts w:ascii="Times New Roman" w:eastAsia="Times New Roman" w:hAnsi="Times New Roman" w:cs="Times New Roman"/>
          <w:i/>
          <w:sz w:val="24"/>
          <w:szCs w:val="24"/>
        </w:rPr>
        <w:t>IV Congresso Internacional de Saúde Mental</w:t>
      </w:r>
      <w:r>
        <w:rPr>
          <w:rFonts w:ascii="Times New Roman" w:eastAsia="Times New Roman" w:hAnsi="Times New Roman" w:cs="Times New Roman"/>
          <w:sz w:val="24"/>
          <w:szCs w:val="24"/>
        </w:rPr>
        <w:t xml:space="preserve"> (Cidade do México) em prol da integração entre profissionais da área em todo o continente (Ange</w:t>
      </w:r>
      <w:r>
        <w:rPr>
          <w:rFonts w:ascii="Times New Roman" w:eastAsia="Times New Roman" w:hAnsi="Times New Roman" w:cs="Times New Roman"/>
          <w:sz w:val="24"/>
          <w:szCs w:val="24"/>
        </w:rPr>
        <w:t>lini, 2012). Seu objetivo inicial era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criar: “. . . uma estrutura institucional para a comunicação entre os países das Américas no campo da Psicologia” (Maluf, 2004, p. 324). </w:t>
      </w:r>
      <w:r>
        <w:rPr>
          <w:rFonts w:ascii="Times New Roman" w:eastAsia="Times New Roman" w:hAnsi="Times New Roman" w:cs="Times New Roman"/>
          <w:sz w:val="24"/>
          <w:szCs w:val="24"/>
          <w:highlight w:val="white"/>
        </w:rPr>
        <w:t>Ao longo de todo esse período:</w:t>
      </w:r>
    </w:p>
    <w:p w14:paraId="77838DFE" w14:textId="77777777" w:rsidR="007E74C0" w:rsidRDefault="007E74C0">
      <w:pPr>
        <w:spacing w:line="240" w:lineRule="auto"/>
        <w:ind w:left="708"/>
        <w:jc w:val="both"/>
        <w:rPr>
          <w:rFonts w:ascii="Times New Roman" w:eastAsia="Times New Roman" w:hAnsi="Times New Roman" w:cs="Times New Roman"/>
          <w:sz w:val="24"/>
          <w:szCs w:val="24"/>
          <w:highlight w:val="white"/>
        </w:rPr>
      </w:pPr>
    </w:p>
    <w:p w14:paraId="0CEB4A87"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 . a revista tem cumprido sua missão de promo</w:t>
      </w:r>
      <w:r>
        <w:rPr>
          <w:rFonts w:ascii="Times New Roman" w:eastAsia="Times New Roman" w:hAnsi="Times New Roman" w:cs="Times New Roman"/>
          <w:sz w:val="24"/>
          <w:szCs w:val="24"/>
          <w:highlight w:val="white"/>
        </w:rPr>
        <w:t>ver a Psicologia nas Américas, manifestada pela diversidade de sua estrutura editorial; pelos diferentes países representados; pelo alcance e a amplitude dos assuntos publicados; as diferentes línguas em que a pesquisa é publicada; e seu compromisso de dis</w:t>
      </w:r>
      <w:r>
        <w:rPr>
          <w:rFonts w:ascii="Times New Roman" w:eastAsia="Times New Roman" w:hAnsi="Times New Roman" w:cs="Times New Roman"/>
          <w:sz w:val="24"/>
          <w:szCs w:val="24"/>
          <w:highlight w:val="white"/>
        </w:rPr>
        <w:t>seminar o conhecimento em maneiras que melhoram a promoção da psicologia de diversas perspectivas” (</w:t>
      </w:r>
      <w:r>
        <w:rPr>
          <w:rFonts w:ascii="Times New Roman" w:eastAsia="Times New Roman" w:hAnsi="Times New Roman" w:cs="Times New Roman"/>
          <w:i/>
          <w:sz w:val="24"/>
          <w:szCs w:val="24"/>
          <w:highlight w:val="white"/>
        </w:rPr>
        <w:t>Torres-Fernandez, Polanco, Pereira, Sueli Beria &amp; Zapico, 2017</w:t>
      </w:r>
      <w:r>
        <w:rPr>
          <w:rFonts w:ascii="Times New Roman" w:eastAsia="Times New Roman" w:hAnsi="Times New Roman" w:cs="Times New Roman"/>
          <w:sz w:val="24"/>
          <w:szCs w:val="24"/>
          <w:highlight w:val="white"/>
        </w:rPr>
        <w:t>, 321). (Tradução livre)</w:t>
      </w:r>
    </w:p>
    <w:p w14:paraId="3996DD42" w14:textId="77777777" w:rsidR="007E74C0" w:rsidRDefault="007E74C0">
      <w:pPr>
        <w:spacing w:line="240" w:lineRule="auto"/>
        <w:jc w:val="both"/>
        <w:rPr>
          <w:rFonts w:ascii="Times New Roman" w:eastAsia="Times New Roman" w:hAnsi="Times New Roman" w:cs="Times New Roman"/>
          <w:sz w:val="24"/>
          <w:szCs w:val="24"/>
          <w:highlight w:val="white"/>
        </w:rPr>
      </w:pPr>
    </w:p>
    <w:p w14:paraId="6BB2FA00" w14:textId="77777777" w:rsidR="007E74C0" w:rsidRDefault="00EA0911">
      <w:pPr>
        <w:spacing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acreditamos que a análise facilitará a compreensão das </w:t>
      </w:r>
      <w:r>
        <w:rPr>
          <w:rFonts w:ascii="Times New Roman" w:eastAsia="Times New Roman" w:hAnsi="Times New Roman" w:cs="Times New Roman"/>
          <w:sz w:val="24"/>
          <w:szCs w:val="24"/>
        </w:rPr>
        <w:t xml:space="preserve">mudanças na produção da área sobre os conceitos em foco, bem como sobre a diversidade dessa produção na América Latina, ao longo da existência da Revista. </w:t>
      </w:r>
    </w:p>
    <w:p w14:paraId="4C2DC7B6" w14:textId="77777777" w:rsidR="007E74C0" w:rsidRDefault="007E74C0">
      <w:pPr>
        <w:spacing w:line="240" w:lineRule="auto"/>
        <w:jc w:val="both"/>
        <w:rPr>
          <w:rFonts w:ascii="Times New Roman" w:eastAsia="Times New Roman" w:hAnsi="Times New Roman" w:cs="Times New Roman"/>
          <w:sz w:val="24"/>
          <w:szCs w:val="24"/>
        </w:rPr>
      </w:pPr>
    </w:p>
    <w:p w14:paraId="135378BF" w14:textId="77777777" w:rsidR="007E74C0" w:rsidRDefault="00EA0911">
      <w:pPr>
        <w:spacing w:line="240" w:lineRule="auto"/>
        <w:jc w:val="both"/>
        <w:rPr>
          <w:rFonts w:ascii="Times New Roman" w:eastAsia="Times New Roman" w:hAnsi="Times New Roman" w:cs="Times New Roman"/>
          <w:b/>
          <w:sz w:val="24"/>
          <w:szCs w:val="24"/>
        </w:rPr>
      </w:pPr>
      <w:commentRangeStart w:id="0"/>
      <w:r>
        <w:rPr>
          <w:rFonts w:ascii="Times New Roman" w:eastAsia="Times New Roman" w:hAnsi="Times New Roman" w:cs="Times New Roman"/>
          <w:b/>
          <w:sz w:val="24"/>
          <w:szCs w:val="24"/>
        </w:rPr>
        <w:t>2 Métodos</w:t>
      </w:r>
      <w:commentRangeEnd w:id="0"/>
      <w:r w:rsidR="008677AC">
        <w:rPr>
          <w:rStyle w:val="Refdecomentario"/>
        </w:rPr>
        <w:commentReference w:id="0"/>
      </w:r>
    </w:p>
    <w:p w14:paraId="044BF2E2" w14:textId="77777777" w:rsidR="007E74C0" w:rsidRDefault="007E74C0">
      <w:pPr>
        <w:spacing w:line="240" w:lineRule="auto"/>
        <w:ind w:firstLine="720"/>
        <w:jc w:val="both"/>
        <w:rPr>
          <w:rFonts w:ascii="Times New Roman" w:eastAsia="Times New Roman" w:hAnsi="Times New Roman" w:cs="Times New Roman"/>
          <w:sz w:val="24"/>
          <w:szCs w:val="24"/>
        </w:rPr>
      </w:pPr>
    </w:p>
    <w:p w14:paraId="70B1841E"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trabalho trata-se de Revisão Sistemática de Literatura (Costa &amp;</w:t>
      </w:r>
      <w:r>
        <w:rPr>
          <w:rFonts w:ascii="Times New Roman" w:eastAsia="Times New Roman" w:hAnsi="Times New Roman" w:cs="Times New Roman"/>
          <w:sz w:val="24"/>
          <w:szCs w:val="24"/>
        </w:rPr>
        <w:t xml:space="preserve"> Zoltowski, 2014), um estudo de natureza quanti-qualitativa, que objetiva analisar os artigos da Revista em foco, disponíveis no seu </w:t>
      </w:r>
      <w:r>
        <w:rPr>
          <w:rFonts w:ascii="Times New Roman" w:eastAsia="Times New Roman" w:hAnsi="Times New Roman" w:cs="Times New Roman"/>
          <w:i/>
          <w:sz w:val="24"/>
          <w:szCs w:val="24"/>
        </w:rPr>
        <w:t>site</w:t>
      </w:r>
      <w:r>
        <w:rPr>
          <w:rFonts w:ascii="Times New Roman" w:eastAsia="Times New Roman" w:hAnsi="Times New Roman" w:cs="Times New Roman"/>
          <w:sz w:val="24"/>
          <w:szCs w:val="24"/>
        </w:rPr>
        <w:t>, utilizando como recorte temporal o período entre o Volume 1 (1967) e o Volume 53, n</w:t>
      </w:r>
      <w:proofErr w:type="gramStart"/>
      <w:r>
        <w:rPr>
          <w:rFonts w:ascii="Times New Roman" w:eastAsia="Times New Roman" w:hAnsi="Times New Roman" w:cs="Times New Roman"/>
          <w:sz w:val="24"/>
          <w:szCs w:val="24"/>
        </w:rPr>
        <w:t>.º</w:t>
      </w:r>
      <w:proofErr w:type="gramEnd"/>
      <w:r>
        <w:rPr>
          <w:rFonts w:ascii="Times New Roman" w:eastAsia="Times New Roman" w:hAnsi="Times New Roman" w:cs="Times New Roman"/>
          <w:sz w:val="24"/>
          <w:szCs w:val="24"/>
        </w:rPr>
        <w:t xml:space="preserve"> 02 (2019), contabilizando 118 e</w:t>
      </w:r>
      <w:r>
        <w:rPr>
          <w:rFonts w:ascii="Times New Roman" w:eastAsia="Times New Roman" w:hAnsi="Times New Roman" w:cs="Times New Roman"/>
          <w:sz w:val="24"/>
          <w:szCs w:val="24"/>
        </w:rPr>
        <w:t>dições.</w:t>
      </w:r>
    </w:p>
    <w:p w14:paraId="65265FB1"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Três edições - Vol. 14, n</w:t>
      </w:r>
      <w:proofErr w:type="gramStart"/>
      <w:r>
        <w:rPr>
          <w:rFonts w:ascii="Times New Roman" w:eastAsia="Times New Roman" w:hAnsi="Times New Roman" w:cs="Times New Roman"/>
          <w:sz w:val="24"/>
          <w:szCs w:val="24"/>
        </w:rPr>
        <w:t>.º</w:t>
      </w:r>
      <w:proofErr w:type="gramEnd"/>
      <w:r>
        <w:rPr>
          <w:rFonts w:ascii="Times New Roman" w:eastAsia="Times New Roman" w:hAnsi="Times New Roman" w:cs="Times New Roman"/>
          <w:sz w:val="24"/>
          <w:szCs w:val="24"/>
        </w:rPr>
        <w:t xml:space="preserve"> 2 (1980),</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Vol. 22, n.º 1&amp;2 (1988)</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e Vol. 32, n.º 1 (1998) -, porém, estavam indisponíveis nesse </w:t>
      </w:r>
      <w:r>
        <w:rPr>
          <w:rFonts w:ascii="Times New Roman" w:eastAsia="Times New Roman" w:hAnsi="Times New Roman" w:cs="Times New Roman"/>
          <w:i/>
          <w:sz w:val="24"/>
          <w:szCs w:val="24"/>
        </w:rPr>
        <w:t>site</w:t>
      </w:r>
      <w:r>
        <w:rPr>
          <w:rFonts w:ascii="Times New Roman" w:eastAsia="Times New Roman" w:hAnsi="Times New Roman" w:cs="Times New Roman"/>
          <w:sz w:val="24"/>
          <w:szCs w:val="24"/>
        </w:rPr>
        <w:t>. As duas primeiras foram encontradas na Biblioteca do Instituto de Psicologia da Universidade de São Paulo (USP), enq</w:t>
      </w:r>
      <w:r>
        <w:rPr>
          <w:rFonts w:ascii="Times New Roman" w:eastAsia="Times New Roman" w:hAnsi="Times New Roman" w:cs="Times New Roman"/>
          <w:sz w:val="24"/>
          <w:szCs w:val="24"/>
        </w:rPr>
        <w:t>uanto</w:t>
      </w:r>
      <w:r>
        <w:rPr>
          <w:rFonts w:ascii="Times New Roman" w:eastAsia="Times New Roman" w:hAnsi="Times New Roman" w:cs="Times New Roman"/>
          <w:sz w:val="24"/>
          <w:szCs w:val="24"/>
          <w:highlight w:val="white"/>
        </w:rPr>
        <w:t xml:space="preserve"> a última possuía para consulta apenas o sumário em outra base de dados,</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 xml:space="preserve"> sendo excluída desta revisão. </w:t>
      </w:r>
    </w:p>
    <w:p w14:paraId="0C31FF9E" w14:textId="77777777" w:rsidR="007E74C0" w:rsidRDefault="007E74C0">
      <w:pPr>
        <w:spacing w:line="240" w:lineRule="auto"/>
        <w:jc w:val="both"/>
        <w:rPr>
          <w:rFonts w:ascii="Times New Roman" w:eastAsia="Times New Roman" w:hAnsi="Times New Roman" w:cs="Times New Roman"/>
          <w:sz w:val="24"/>
          <w:szCs w:val="24"/>
          <w:highlight w:val="yellow"/>
        </w:rPr>
      </w:pPr>
    </w:p>
    <w:p w14:paraId="7527FC9A"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Coleta de dados</w:t>
      </w:r>
    </w:p>
    <w:p w14:paraId="1A12A698" w14:textId="77777777" w:rsidR="007E74C0" w:rsidRDefault="007E74C0">
      <w:pPr>
        <w:spacing w:line="240" w:lineRule="auto"/>
        <w:jc w:val="both"/>
        <w:rPr>
          <w:rFonts w:ascii="Times New Roman" w:eastAsia="Times New Roman" w:hAnsi="Times New Roman" w:cs="Times New Roman"/>
          <w:sz w:val="24"/>
          <w:szCs w:val="24"/>
        </w:rPr>
      </w:pPr>
    </w:p>
    <w:p w14:paraId="588DD86E"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Antes d</w:t>
      </w:r>
      <w:r>
        <w:rPr>
          <w:rFonts w:ascii="Times New Roman" w:eastAsia="Times New Roman" w:hAnsi="Times New Roman" w:cs="Times New Roman"/>
          <w:sz w:val="24"/>
          <w:szCs w:val="24"/>
          <w:highlight w:val="white"/>
        </w:rPr>
        <w:t xml:space="preserve">e coletar </w:t>
      </w:r>
      <w:r>
        <w:rPr>
          <w:rFonts w:ascii="Times New Roman" w:eastAsia="Times New Roman" w:hAnsi="Times New Roman" w:cs="Times New Roman"/>
          <w:sz w:val="24"/>
          <w:szCs w:val="24"/>
        </w:rPr>
        <w:t xml:space="preserve">os dados, foi realizada uma leitura preliminar do </w:t>
      </w:r>
      <w:r>
        <w:rPr>
          <w:rFonts w:ascii="Times New Roman" w:eastAsia="Times New Roman" w:hAnsi="Times New Roman" w:cs="Times New Roman"/>
          <w:i/>
          <w:sz w:val="24"/>
          <w:szCs w:val="24"/>
        </w:rPr>
        <w:t xml:space="preserve">corpus </w:t>
      </w:r>
      <w:r>
        <w:rPr>
          <w:rFonts w:ascii="Times New Roman" w:eastAsia="Times New Roman" w:hAnsi="Times New Roman" w:cs="Times New Roman"/>
          <w:sz w:val="24"/>
          <w:szCs w:val="24"/>
        </w:rPr>
        <w:t>(título, resumos e palavras-chaves, se existentes)</w:t>
      </w:r>
      <w:r>
        <w:rPr>
          <w:rFonts w:ascii="Times New Roman" w:eastAsia="Times New Roman" w:hAnsi="Times New Roman" w:cs="Times New Roman"/>
          <w:sz w:val="24"/>
          <w:szCs w:val="24"/>
        </w:rPr>
        <w:t xml:space="preserve"> sob o método indutivo de identificação dos padrões dos dados (</w:t>
      </w:r>
      <w:r>
        <w:rPr>
          <w:rFonts w:ascii="Times New Roman" w:eastAsia="Times New Roman" w:hAnsi="Times New Roman" w:cs="Times New Roman"/>
          <w:i/>
          <w:sz w:val="24"/>
          <w:szCs w:val="24"/>
        </w:rPr>
        <w:t>patterns within data</w:t>
      </w:r>
      <w:r>
        <w:rPr>
          <w:rFonts w:ascii="Times New Roman" w:eastAsia="Times New Roman" w:hAnsi="Times New Roman" w:cs="Times New Roman"/>
          <w:sz w:val="24"/>
          <w:szCs w:val="24"/>
        </w:rPr>
        <w:t xml:space="preserve">) da análise temática (Braun &amp; Clarke, 2006). Nessa leitura, o padrão buscado era a afinidade intuitiva com o grande tema “sexualidade e gênero”. </w:t>
      </w:r>
    </w:p>
    <w:p w14:paraId="54B4CB2D"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essa leitura, foram d</w:t>
      </w:r>
      <w:r>
        <w:rPr>
          <w:rFonts w:ascii="Times New Roman" w:eastAsia="Times New Roman" w:hAnsi="Times New Roman" w:cs="Times New Roman"/>
          <w:sz w:val="24"/>
          <w:szCs w:val="24"/>
        </w:rPr>
        <w:t>efinidos os seguintes termos como descritores: mãe, gênero, masculinidade, sexo e sexua (este último, radical de palavras como homossexual, sexualidade, etc). O</w:t>
      </w:r>
      <w:r>
        <w:rPr>
          <w:rFonts w:ascii="Times New Roman" w:eastAsia="Times New Roman" w:hAnsi="Times New Roman" w:cs="Times New Roman"/>
          <w:sz w:val="24"/>
          <w:szCs w:val="24"/>
          <w:highlight w:val="white"/>
        </w:rPr>
        <w:t>ptamos pela exclusão de artigos que não os co</w:t>
      </w:r>
      <w:r>
        <w:rPr>
          <w:rFonts w:ascii="Times New Roman" w:eastAsia="Times New Roman" w:hAnsi="Times New Roman" w:cs="Times New Roman"/>
          <w:sz w:val="24"/>
          <w:szCs w:val="24"/>
        </w:rPr>
        <w:t>ntinham no título, palavras-chave (após os anos 200</w:t>
      </w:r>
      <w:r>
        <w:rPr>
          <w:rFonts w:ascii="Times New Roman" w:eastAsia="Times New Roman" w:hAnsi="Times New Roman" w:cs="Times New Roman"/>
          <w:sz w:val="24"/>
          <w:szCs w:val="24"/>
        </w:rPr>
        <w:t>0) e/ou resumo, mesmo que dialogassem com o grande tema. Do mesmo modo, foram selecionados apenas artigos, deixando de lado produções como resenhas e comentários.</w:t>
      </w:r>
    </w:p>
    <w:p w14:paraId="36E367AC" w14:textId="77777777" w:rsidR="007E74C0" w:rsidRDefault="007E74C0">
      <w:pPr>
        <w:spacing w:line="240" w:lineRule="auto"/>
        <w:ind w:firstLine="720"/>
        <w:jc w:val="both"/>
        <w:rPr>
          <w:rFonts w:ascii="Times New Roman" w:eastAsia="Times New Roman" w:hAnsi="Times New Roman" w:cs="Times New Roman"/>
          <w:sz w:val="24"/>
          <w:szCs w:val="24"/>
          <w:highlight w:val="white"/>
        </w:rPr>
      </w:pPr>
    </w:p>
    <w:p w14:paraId="4D0D01A8"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Critérios de inclusão e de exclusão</w:t>
      </w:r>
    </w:p>
    <w:p w14:paraId="07057183" w14:textId="77777777" w:rsidR="007E74C0" w:rsidRDefault="007E74C0">
      <w:pPr>
        <w:spacing w:line="240" w:lineRule="auto"/>
        <w:jc w:val="both"/>
        <w:rPr>
          <w:rFonts w:ascii="Times New Roman" w:eastAsia="Times New Roman" w:hAnsi="Times New Roman" w:cs="Times New Roman"/>
          <w:sz w:val="24"/>
          <w:szCs w:val="24"/>
        </w:rPr>
      </w:pPr>
    </w:p>
    <w:p w14:paraId="76E05C25"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Definidos os descritores, foi iniciada a revisão sistemática propriamente dita dos 1145 artigos da Revista, desde a primeira edição (1967) até 2019. Nesta etapa, foram estabelecidos os seguintes critérios de inclusão: a) os descritores deveriam aparecer no</w:t>
      </w:r>
      <w:r>
        <w:rPr>
          <w:rFonts w:ascii="Times New Roman" w:eastAsia="Times New Roman" w:hAnsi="Times New Roman" w:cs="Times New Roman"/>
          <w:sz w:val="24"/>
          <w:szCs w:val="24"/>
        </w:rPr>
        <w:t xml:space="preserve"> título, resumo e/ou palavras-chave do artigo; b) os descritores deveriam estar em ao menos um dos idiomas da Revista (Português, Inglês e/ou Espanhol), sendo realizadas buscas nesses três idiomas.</w:t>
      </w:r>
    </w:p>
    <w:p w14:paraId="183BE211"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primeira busca sob esses critérios (Etapa 1) resultou 22</w:t>
      </w:r>
      <w:r>
        <w:rPr>
          <w:rFonts w:ascii="Times New Roman" w:eastAsia="Times New Roman" w:hAnsi="Times New Roman" w:cs="Times New Roman"/>
          <w:sz w:val="24"/>
          <w:szCs w:val="24"/>
        </w:rPr>
        <w:t>4 artigos, submetidos a uma segunda busca, nos mesmos descritores, para checar os seguintes critérios de exclusão: a) contexto não se refere à realidade latino-americana; b) descritor caracteriza a amostra, mas não guarda qualquer relação com o tema estuda</w:t>
      </w:r>
      <w:r>
        <w:rPr>
          <w:rFonts w:ascii="Times New Roman" w:eastAsia="Times New Roman" w:hAnsi="Times New Roman" w:cs="Times New Roman"/>
          <w:sz w:val="24"/>
          <w:szCs w:val="24"/>
        </w:rPr>
        <w:t>do; c) análise não se refere ao grande tema.</w:t>
      </w:r>
    </w:p>
    <w:p w14:paraId="4C5C6BEF" w14:textId="77777777" w:rsidR="007E74C0" w:rsidRDefault="00EA0911">
      <w:pPr>
        <w:spacing w:line="240" w:lineRule="auto"/>
        <w:ind w:firstLine="720"/>
        <w:jc w:val="both"/>
        <w:rPr>
          <w:rFonts w:ascii="Times New Roman" w:eastAsia="Times New Roman" w:hAnsi="Times New Roman" w:cs="Times New Roman"/>
          <w:sz w:val="24"/>
          <w:szCs w:val="24"/>
          <w:shd w:val="clear" w:color="auto" w:fill="C9DAF8"/>
        </w:rPr>
      </w:pPr>
      <w:r>
        <w:rPr>
          <w:rFonts w:ascii="Times New Roman" w:eastAsia="Times New Roman" w:hAnsi="Times New Roman" w:cs="Times New Roman"/>
          <w:sz w:val="24"/>
          <w:szCs w:val="24"/>
        </w:rPr>
        <w:t>Após essa seleção (Etapa 2), os 80 artigos foram submetidos à codificação (Etapa 3), primeira fase da análise temática (Braun &amp; Clarke, 2006), detalhada na próxima seção.</w:t>
      </w:r>
    </w:p>
    <w:p w14:paraId="10A58DCA" w14:textId="77777777" w:rsidR="007E74C0" w:rsidRDefault="007E74C0">
      <w:pPr>
        <w:spacing w:line="240" w:lineRule="auto"/>
        <w:jc w:val="both"/>
        <w:rPr>
          <w:rFonts w:ascii="Times New Roman" w:eastAsia="Times New Roman" w:hAnsi="Times New Roman" w:cs="Times New Roman"/>
          <w:sz w:val="24"/>
          <w:szCs w:val="24"/>
        </w:rPr>
      </w:pPr>
    </w:p>
    <w:p w14:paraId="3A3D2951" w14:textId="77777777" w:rsidR="007E74C0" w:rsidRDefault="00EA0911">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2.3 Codificação temática </w:t>
      </w:r>
    </w:p>
    <w:p w14:paraId="5766E556"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178F713" w14:textId="77777777" w:rsidR="007E74C0" w:rsidRDefault="00EA0911">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Para a aplicação da codificação temática, cada artigo teve revisto seu título, resumo, palavras-chave e resultado, sendo estabelecidos códigos (ou subtemas) para cada qual. Após a análise dos subtemas, os artigos foram codificados, por afinidade, nos segui</w:t>
      </w:r>
      <w:r>
        <w:rPr>
          <w:rFonts w:ascii="Times New Roman" w:eastAsia="Times New Roman" w:hAnsi="Times New Roman" w:cs="Times New Roman"/>
          <w:sz w:val="24"/>
          <w:szCs w:val="24"/>
        </w:rPr>
        <w:t>ntes temas:</w:t>
      </w:r>
    </w:p>
    <w:p w14:paraId="38AB5DC8"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O conceito de gênero como estruturante das relações psicossociais </w:t>
      </w:r>
      <w:r>
        <w:rPr>
          <w:rFonts w:ascii="Times New Roman" w:eastAsia="Times New Roman" w:hAnsi="Times New Roman" w:cs="Times New Roman"/>
          <w:sz w:val="24"/>
          <w:szCs w:val="24"/>
        </w:rPr>
        <w:t>(35 artigos);</w:t>
      </w:r>
    </w:p>
    <w:p w14:paraId="21399F3E"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w:t>
      </w:r>
      <w:r>
        <w:rPr>
          <w:rFonts w:ascii="Times New Roman" w:eastAsia="Times New Roman" w:hAnsi="Times New Roman" w:cs="Times New Roman"/>
          <w:sz w:val="24"/>
          <w:szCs w:val="24"/>
          <w:highlight w:val="white"/>
        </w:rPr>
        <w:t>) Gênero e sexualidades: olhares sob a perspectiva da saúde</w:t>
      </w:r>
      <w:r>
        <w:rPr>
          <w:rFonts w:ascii="Times New Roman" w:eastAsia="Times New Roman" w:hAnsi="Times New Roman" w:cs="Times New Roman"/>
          <w:sz w:val="24"/>
          <w:szCs w:val="24"/>
        </w:rPr>
        <w:t xml:space="preserve"> (25 artigos)</w:t>
      </w:r>
      <w:r>
        <w:rPr>
          <w:rFonts w:ascii="Times New Roman" w:eastAsia="Times New Roman" w:hAnsi="Times New Roman" w:cs="Times New Roman"/>
          <w:sz w:val="24"/>
          <w:szCs w:val="24"/>
          <w:highlight w:val="white"/>
        </w:rPr>
        <w:t>;</w:t>
      </w:r>
    </w:p>
    <w:p w14:paraId="3A9EE258"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3</w:t>
      </w:r>
      <w:r>
        <w:rPr>
          <w:rFonts w:ascii="Times New Roman" w:eastAsia="Times New Roman" w:hAnsi="Times New Roman" w:cs="Times New Roman"/>
          <w:sz w:val="24"/>
          <w:szCs w:val="24"/>
          <w:highlight w:val="white"/>
        </w:rPr>
        <w:t xml:space="preserve">) Família, espaço de possibilidades e de (re)produção de relações de gênero </w:t>
      </w:r>
      <w:r>
        <w:rPr>
          <w:rFonts w:ascii="Times New Roman" w:eastAsia="Times New Roman" w:hAnsi="Times New Roman" w:cs="Times New Roman"/>
          <w:sz w:val="24"/>
          <w:szCs w:val="24"/>
        </w:rPr>
        <w:t>(20 artig</w:t>
      </w:r>
      <w:r>
        <w:rPr>
          <w:rFonts w:ascii="Times New Roman" w:eastAsia="Times New Roman" w:hAnsi="Times New Roman" w:cs="Times New Roman"/>
          <w:sz w:val="24"/>
          <w:szCs w:val="24"/>
        </w:rPr>
        <w:t>os).</w:t>
      </w:r>
    </w:p>
    <w:p w14:paraId="7C5E151E" w14:textId="77777777" w:rsidR="007E74C0" w:rsidRDefault="007E74C0">
      <w:pPr>
        <w:spacing w:line="240" w:lineRule="auto"/>
        <w:jc w:val="both"/>
        <w:rPr>
          <w:rFonts w:ascii="Times New Roman" w:eastAsia="Times New Roman" w:hAnsi="Times New Roman" w:cs="Times New Roman"/>
          <w:b/>
          <w:sz w:val="24"/>
          <w:szCs w:val="24"/>
        </w:rPr>
      </w:pPr>
    </w:p>
    <w:p w14:paraId="405D2738"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No primeiro tema, encontramos tópicos tais como </w:t>
      </w:r>
      <w:r>
        <w:rPr>
          <w:rFonts w:ascii="Times New Roman" w:eastAsia="Times New Roman" w:hAnsi="Times New Roman" w:cs="Times New Roman"/>
          <w:sz w:val="24"/>
          <w:szCs w:val="24"/>
          <w:highlight w:val="white"/>
        </w:rPr>
        <w:t>diferenças culturais e papéis sociais de gênero (relações psicossociais de gênero, diferenças culturais e sexuais, papéis sexuais), bem como movimentos sociais, identidade sexual, feminilidades, masculi</w:t>
      </w:r>
      <w:r>
        <w:rPr>
          <w:rFonts w:ascii="Times New Roman" w:eastAsia="Times New Roman" w:hAnsi="Times New Roman" w:cs="Times New Roman"/>
          <w:sz w:val="24"/>
          <w:szCs w:val="24"/>
          <w:highlight w:val="white"/>
        </w:rPr>
        <w:t xml:space="preserve">nidades, violências e estereótipos de gênero. </w:t>
      </w:r>
      <w:r>
        <w:rPr>
          <w:rFonts w:ascii="Times New Roman" w:eastAsia="Times New Roman" w:hAnsi="Times New Roman" w:cs="Times New Roman"/>
          <w:sz w:val="24"/>
          <w:szCs w:val="24"/>
        </w:rPr>
        <w:t xml:space="preserve">No segundo, foram agrupados </w:t>
      </w:r>
      <w:r>
        <w:rPr>
          <w:rFonts w:ascii="Times New Roman" w:eastAsia="Times New Roman" w:hAnsi="Times New Roman" w:cs="Times New Roman"/>
          <w:sz w:val="24"/>
          <w:szCs w:val="24"/>
          <w:highlight w:val="white"/>
        </w:rPr>
        <w:t>estudos sobre o comportamento sexual, prevenção de enfermidades e HIV/AIDS. No terceiro, com foco na família, os artigos trataram de assuntos como maternidade e paternidade, desenvol</w:t>
      </w:r>
      <w:r>
        <w:rPr>
          <w:rFonts w:ascii="Times New Roman" w:eastAsia="Times New Roman" w:hAnsi="Times New Roman" w:cs="Times New Roman"/>
          <w:sz w:val="24"/>
          <w:szCs w:val="24"/>
          <w:highlight w:val="white"/>
        </w:rPr>
        <w:t>vimento infantil, violência doméstica e processo terapêutico familiar.</w:t>
      </w:r>
    </w:p>
    <w:p w14:paraId="50B66AFB" w14:textId="77777777" w:rsidR="007E74C0" w:rsidRDefault="00EA0911">
      <w:pPr>
        <w:spacing w:line="240" w:lineRule="auto"/>
        <w:ind w:firstLine="720"/>
        <w:jc w:val="both"/>
        <w:rPr>
          <w:rFonts w:ascii="Times New Roman" w:eastAsia="Times New Roman" w:hAnsi="Times New Roman" w:cs="Times New Roman"/>
          <w:sz w:val="24"/>
          <w:szCs w:val="24"/>
        </w:rPr>
      </w:pPr>
      <w:r>
        <w:rPr>
          <w:noProof/>
        </w:rPr>
        <w:lastRenderedPageBreak/>
        <w:drawing>
          <wp:anchor distT="0" distB="0" distL="0" distR="0" simplePos="0" relativeHeight="251658240" behindDoc="0" locked="0" layoutInCell="1" hidden="0" allowOverlap="1" wp14:anchorId="14F6A0DA" wp14:editId="548595E6">
            <wp:simplePos x="0" y="0"/>
            <wp:positionH relativeFrom="column">
              <wp:posOffset>0</wp:posOffset>
            </wp:positionH>
            <wp:positionV relativeFrom="paragraph">
              <wp:posOffset>38100</wp:posOffset>
            </wp:positionV>
            <wp:extent cx="4105275" cy="2061075"/>
            <wp:effectExtent l="0" t="0" r="0" b="0"/>
            <wp:wrapSquare wrapText="bothSides" distT="0" distB="0" distL="0" distR="0"/>
            <wp:docPr id="1"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8"/>
                    <a:srcRect t="12394" r="2104"/>
                    <a:stretch>
                      <a:fillRect/>
                    </a:stretch>
                  </pic:blipFill>
                  <pic:spPr>
                    <a:xfrm>
                      <a:off x="0" y="0"/>
                      <a:ext cx="4105275" cy="2061075"/>
                    </a:xfrm>
                    <a:prstGeom prst="rect">
                      <a:avLst/>
                    </a:prstGeom>
                    <a:ln/>
                  </pic:spPr>
                </pic:pic>
              </a:graphicData>
            </a:graphic>
          </wp:anchor>
        </w:drawing>
      </w:r>
    </w:p>
    <w:p w14:paraId="0132FEA5"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Resultados</w:t>
      </w:r>
    </w:p>
    <w:p w14:paraId="1C5FC328" w14:textId="77777777" w:rsidR="007E74C0" w:rsidRDefault="007E74C0">
      <w:pPr>
        <w:spacing w:line="240" w:lineRule="auto"/>
        <w:jc w:val="both"/>
        <w:rPr>
          <w:rFonts w:ascii="Times New Roman" w:eastAsia="Times New Roman" w:hAnsi="Times New Roman" w:cs="Times New Roman"/>
          <w:sz w:val="24"/>
          <w:szCs w:val="24"/>
          <w:highlight w:val="white"/>
        </w:rPr>
      </w:pPr>
    </w:p>
    <w:p w14:paraId="20CE8663"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Como primeiro achado, a</w:t>
      </w:r>
      <w:r>
        <w:rPr>
          <w:rFonts w:ascii="Times New Roman" w:eastAsia="Times New Roman" w:hAnsi="Times New Roman" w:cs="Times New Roman"/>
          <w:sz w:val="24"/>
          <w:szCs w:val="24"/>
        </w:rPr>
        <w:t xml:space="preserve"> ocorrência dos descritores nos artigos consta do Gráfico 1, no qual </w:t>
      </w:r>
      <w:r>
        <w:rPr>
          <w:rFonts w:ascii="Times New Roman" w:eastAsia="Times New Roman" w:hAnsi="Times New Roman" w:cs="Times New Roman"/>
          <w:sz w:val="24"/>
          <w:szCs w:val="24"/>
          <w:highlight w:val="white"/>
        </w:rPr>
        <w:t xml:space="preserve">observa-se o aumento no número de artigos a partir dos anos 1990 e sua concentração nas duas últimas décadas, sobretudo a de 2000. </w:t>
      </w:r>
    </w:p>
    <w:p w14:paraId="2E06536D" w14:textId="77777777" w:rsidR="007E74C0" w:rsidRDefault="007E74C0">
      <w:pPr>
        <w:spacing w:line="240" w:lineRule="auto"/>
        <w:jc w:val="both"/>
        <w:rPr>
          <w:rFonts w:ascii="Times New Roman" w:eastAsia="Times New Roman" w:hAnsi="Times New Roman" w:cs="Times New Roman"/>
          <w:sz w:val="24"/>
          <w:szCs w:val="24"/>
        </w:rPr>
      </w:pPr>
    </w:p>
    <w:p w14:paraId="43BB5B6B"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1. Distribuição dos descritores por década.</w:t>
      </w:r>
    </w:p>
    <w:p w14:paraId="05AEFFC3"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commentRangeStart w:id="1"/>
      <w:r>
        <w:rPr>
          <w:rFonts w:ascii="Times New Roman" w:eastAsia="Times New Roman" w:hAnsi="Times New Roman" w:cs="Times New Roman"/>
          <w:sz w:val="24"/>
          <w:szCs w:val="24"/>
          <w:highlight w:val="white"/>
        </w:rPr>
        <w:t>Ao</w:t>
      </w:r>
      <w:commentRangeEnd w:id="1"/>
      <w:r w:rsidR="008677AC">
        <w:rPr>
          <w:rStyle w:val="Refdecomentario"/>
        </w:rPr>
        <w:commentReference w:id="1"/>
      </w:r>
      <w:r>
        <w:rPr>
          <w:rFonts w:ascii="Times New Roman" w:eastAsia="Times New Roman" w:hAnsi="Times New Roman" w:cs="Times New Roman"/>
          <w:sz w:val="24"/>
          <w:szCs w:val="24"/>
          <w:highlight w:val="white"/>
        </w:rPr>
        <w:t xml:space="preserve"> discutir sexualidades, notamos que os descritores sexo e sexua foram</w:t>
      </w:r>
      <w:r>
        <w:rPr>
          <w:rFonts w:ascii="Times New Roman" w:eastAsia="Times New Roman" w:hAnsi="Times New Roman" w:cs="Times New Roman"/>
          <w:sz w:val="24"/>
          <w:szCs w:val="24"/>
          <w:highlight w:val="white"/>
        </w:rPr>
        <w:t xml:space="preserve"> observados em quase todas as décadas. Utilizado para contemplar diferentes léxicos, sexua teve maior incidência (45 vezes) entre todos os descritores, sobretudo nas duas últimas décadas (43,3% do período). A produção em torno do descritor gênero também fo</w:t>
      </w:r>
      <w:r>
        <w:rPr>
          <w:rFonts w:ascii="Times New Roman" w:eastAsia="Times New Roman" w:hAnsi="Times New Roman" w:cs="Times New Roman"/>
          <w:sz w:val="24"/>
          <w:szCs w:val="24"/>
          <w:highlight w:val="white"/>
        </w:rPr>
        <w:t>i alta nesse período, em especial na última década (30,4% da produção), com aumento significativo a partir de sua emergência nos anos 1990.</w:t>
      </w:r>
      <w:r>
        <w:rPr>
          <w:noProof/>
        </w:rPr>
        <w:drawing>
          <wp:anchor distT="57150" distB="57150" distL="57150" distR="57150" simplePos="0" relativeHeight="251659264" behindDoc="0" locked="0" layoutInCell="1" hidden="0" allowOverlap="1" wp14:anchorId="23D47611" wp14:editId="28C23807">
            <wp:simplePos x="0" y="0"/>
            <wp:positionH relativeFrom="column">
              <wp:posOffset>1</wp:posOffset>
            </wp:positionH>
            <wp:positionV relativeFrom="paragraph">
              <wp:posOffset>106892</wp:posOffset>
            </wp:positionV>
            <wp:extent cx="3990975" cy="2376458"/>
            <wp:effectExtent l="0" t="0" r="0" b="0"/>
            <wp:wrapSquare wrapText="bothSides" distT="57150" distB="57150" distL="57150" distR="571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11782" b="4634"/>
                    <a:stretch>
                      <a:fillRect/>
                    </a:stretch>
                  </pic:blipFill>
                  <pic:spPr>
                    <a:xfrm>
                      <a:off x="0" y="0"/>
                      <a:ext cx="3990975" cy="2376458"/>
                    </a:xfrm>
                    <a:prstGeom prst="rect">
                      <a:avLst/>
                    </a:prstGeom>
                    <a:ln/>
                  </pic:spPr>
                </pic:pic>
              </a:graphicData>
            </a:graphic>
          </wp:anchor>
        </w:drawing>
      </w:r>
    </w:p>
    <w:p w14:paraId="25969C94"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 menor incidência, artigos com o descritor masculinidade só emergem na Revista a partir de 1990, estando concentr</w:t>
      </w:r>
      <w:r>
        <w:rPr>
          <w:rFonts w:ascii="Times New Roman" w:eastAsia="Times New Roman" w:hAnsi="Times New Roman" w:cs="Times New Roman"/>
          <w:sz w:val="24"/>
          <w:szCs w:val="24"/>
          <w:highlight w:val="white"/>
        </w:rPr>
        <w:t xml:space="preserve">ado nos anos 2000 (57,1%). Como os demais, o descritor mãe verifica um aumento ao fim do século XX, com pico (42,8%) em 2010. Foi o descritor com a segunda menor ocorrência entre todos (12,2%), perdendo apenas para masculinidade. </w:t>
      </w:r>
    </w:p>
    <w:p w14:paraId="1E01B136"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Note-se que os anos 2000 </w:t>
      </w:r>
      <w:r>
        <w:rPr>
          <w:rFonts w:ascii="Times New Roman" w:eastAsia="Times New Roman" w:hAnsi="Times New Roman" w:cs="Times New Roman"/>
          <w:sz w:val="24"/>
          <w:szCs w:val="24"/>
          <w:highlight w:val="white"/>
        </w:rPr>
        <w:t>são responsáveis por 38,2% e a década de 2010 por 40% dos descritores elencados, o que instiga a compreender quais fenômenos presentes nas sociedades latino-americanas provocaram o interesse crescente por tais temas nas duas últimas décadas. No caso da Rev</w:t>
      </w:r>
      <w:r>
        <w:rPr>
          <w:rFonts w:ascii="Times New Roman" w:eastAsia="Times New Roman" w:hAnsi="Times New Roman" w:cs="Times New Roman"/>
          <w:sz w:val="24"/>
          <w:szCs w:val="24"/>
          <w:highlight w:val="white"/>
        </w:rPr>
        <w:t>ista, sua distribuição após a codificação temática segue descrita no Gráfico 2.</w:t>
      </w:r>
    </w:p>
    <w:p w14:paraId="41F8171E" w14:textId="77777777" w:rsidR="007E74C0" w:rsidRDefault="007E74C0">
      <w:pPr>
        <w:spacing w:line="240" w:lineRule="auto"/>
        <w:jc w:val="both"/>
        <w:rPr>
          <w:rFonts w:ascii="Times New Roman" w:eastAsia="Times New Roman" w:hAnsi="Times New Roman" w:cs="Times New Roman"/>
          <w:sz w:val="24"/>
          <w:szCs w:val="24"/>
          <w:highlight w:val="white"/>
        </w:rPr>
      </w:pPr>
    </w:p>
    <w:p w14:paraId="659BC412"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GRÁFICO 2. Codificação temática por década.</w:t>
      </w:r>
    </w:p>
    <w:p w14:paraId="23BDCF24" w14:textId="77777777" w:rsidR="007E74C0" w:rsidRDefault="00EA0911">
      <w:pPr>
        <w:spacing w:line="240" w:lineRule="auto"/>
        <w:jc w:val="both"/>
        <w:rPr>
          <w:rFonts w:ascii="Times New Roman" w:eastAsia="Times New Roman" w:hAnsi="Times New Roman" w:cs="Times New Roman"/>
          <w:sz w:val="24"/>
          <w:szCs w:val="24"/>
          <w:highlight w:val="white"/>
        </w:rPr>
      </w:pPr>
      <w:r>
        <w:rPr>
          <w:noProof/>
        </w:rPr>
        <w:lastRenderedPageBreak/>
        <w:drawing>
          <wp:anchor distT="0" distB="0" distL="0" distR="0" simplePos="0" relativeHeight="251660288" behindDoc="0" locked="0" layoutInCell="1" hidden="0" allowOverlap="1" wp14:anchorId="3DEC33D1" wp14:editId="298CB983">
            <wp:simplePos x="0" y="0"/>
            <wp:positionH relativeFrom="column">
              <wp:posOffset>-114299</wp:posOffset>
            </wp:positionH>
            <wp:positionV relativeFrom="paragraph">
              <wp:posOffset>135467</wp:posOffset>
            </wp:positionV>
            <wp:extent cx="4105275" cy="2021917"/>
            <wp:effectExtent l="0" t="0" r="0" b="0"/>
            <wp:wrapSquare wrapText="bothSides" distT="0" distB="0" distL="0" distR="0"/>
            <wp:docPr id="3" name="image3.png" descr="Points scored"/>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8"/>
                    <a:srcRect t="13905" r="2104"/>
                    <a:stretch>
                      <a:fillRect/>
                    </a:stretch>
                  </pic:blipFill>
                  <pic:spPr>
                    <a:xfrm>
                      <a:off x="0" y="0"/>
                      <a:ext cx="4105275" cy="2021917"/>
                    </a:xfrm>
                    <a:prstGeom prst="rect">
                      <a:avLst/>
                    </a:prstGeom>
                    <a:ln/>
                  </pic:spPr>
                </pic:pic>
              </a:graphicData>
            </a:graphic>
          </wp:anchor>
        </w:drawing>
      </w:r>
    </w:p>
    <w:p w14:paraId="43C0616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Quanto à produtividade por década, não foram localizados artigos nos anos 1960. Foram encontrados apenas cinco artigos nos Temas </w:t>
      </w:r>
      <w:r>
        <w:rPr>
          <w:rFonts w:ascii="Times New Roman" w:eastAsia="Times New Roman" w:hAnsi="Times New Roman" w:cs="Times New Roman"/>
          <w:sz w:val="24"/>
          <w:szCs w:val="24"/>
          <w:highlight w:val="white"/>
        </w:rPr>
        <w:t xml:space="preserve">1 e 3 entre 1970 e 1980. O Tema 2, mais afim às questões de saúde e sexualidade, emerge a partir dos anos 1990, quando também entram em ascensão questões abordadas nos outros dois temas - notadamente no Tema 3, que explora relações de gênero e família. </w:t>
      </w:r>
    </w:p>
    <w:p w14:paraId="4666B27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Nas décadas de 2000 e 2010, quantidade similar de artigos por períodos foi encontrada nos temas I e II, sendo que o Tema I responde por 43,8% dos artigos analisados. No geral, os temas têm observado uma produção crescente, notadamente nos temas II e III, s</w:t>
      </w:r>
      <w:r>
        <w:rPr>
          <w:rFonts w:ascii="Times New Roman" w:eastAsia="Times New Roman" w:hAnsi="Times New Roman" w:cs="Times New Roman"/>
          <w:sz w:val="24"/>
          <w:szCs w:val="24"/>
          <w:highlight w:val="white"/>
        </w:rPr>
        <w:t>ugerindo tendências que, talvez, possam ser melhor observadas na próxima década.</w:t>
      </w:r>
    </w:p>
    <w:p w14:paraId="6CDA7D70"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 relação ao gênero dos autores, atribuído a partir do nome social e da consulta eventual às bases curriculares, notamos o interesse nos temas abordados e uma produção acadê</w:t>
      </w:r>
      <w:r>
        <w:rPr>
          <w:rFonts w:ascii="Times New Roman" w:eastAsia="Times New Roman" w:hAnsi="Times New Roman" w:cs="Times New Roman"/>
          <w:sz w:val="24"/>
          <w:szCs w:val="24"/>
          <w:highlight w:val="white"/>
        </w:rPr>
        <w:t xml:space="preserve">mica entre as pesquisadoras, sobretudo a partir dos anos 1990, quando o grande tema recebe aportes importantes dos movimentos feministas, entre outros, como se verá adiante. </w:t>
      </w:r>
    </w:p>
    <w:p w14:paraId="150B2096" w14:textId="77777777" w:rsidR="007E74C0" w:rsidRDefault="007E74C0">
      <w:pPr>
        <w:spacing w:line="240" w:lineRule="auto"/>
        <w:jc w:val="both"/>
        <w:rPr>
          <w:rFonts w:ascii="Times New Roman" w:eastAsia="Times New Roman" w:hAnsi="Times New Roman" w:cs="Times New Roman"/>
          <w:sz w:val="24"/>
          <w:szCs w:val="24"/>
          <w:highlight w:val="white"/>
        </w:rPr>
      </w:pPr>
    </w:p>
    <w:p w14:paraId="66EDC75F"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Discussão</w:t>
      </w:r>
    </w:p>
    <w:p w14:paraId="4B068025" w14:textId="77777777" w:rsidR="007E74C0" w:rsidRDefault="007E74C0">
      <w:pPr>
        <w:spacing w:line="240" w:lineRule="auto"/>
        <w:ind w:firstLine="720"/>
        <w:jc w:val="both"/>
        <w:rPr>
          <w:rFonts w:ascii="Times New Roman" w:eastAsia="Times New Roman" w:hAnsi="Times New Roman" w:cs="Times New Roman"/>
          <w:strike/>
          <w:sz w:val="24"/>
          <w:szCs w:val="24"/>
        </w:rPr>
      </w:pPr>
    </w:p>
    <w:p w14:paraId="536EF637"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Como visto, há uma maior ocorrência de certos descritores a partir </w:t>
      </w:r>
      <w:r>
        <w:rPr>
          <w:rFonts w:ascii="Times New Roman" w:eastAsia="Times New Roman" w:hAnsi="Times New Roman" w:cs="Times New Roman"/>
          <w:sz w:val="24"/>
          <w:szCs w:val="24"/>
        </w:rPr>
        <w:t xml:space="preserve">de determinadas décadas. A literatura sobre o tema apresenta algumas hipóteses para a maior ocorrência de gênero </w:t>
      </w:r>
      <w:r>
        <w:rPr>
          <w:rFonts w:ascii="Times New Roman" w:eastAsia="Times New Roman" w:hAnsi="Times New Roman" w:cs="Times New Roman"/>
          <w:sz w:val="24"/>
          <w:szCs w:val="24"/>
          <w:highlight w:val="white"/>
        </w:rPr>
        <w:t>e sexualidades a partir dos anos 1990, por exemplo, nos artigos revistos, relacionadas sobretudo a movimentos feministas no mundo ocidental (Sc</w:t>
      </w:r>
      <w:r>
        <w:rPr>
          <w:rFonts w:ascii="Times New Roman" w:eastAsia="Times New Roman" w:hAnsi="Times New Roman" w:cs="Times New Roman"/>
          <w:sz w:val="24"/>
          <w:szCs w:val="24"/>
          <w:highlight w:val="white"/>
        </w:rPr>
        <w:t>ott, 1995) e à criação de grupos de estudos sobre o tema, no caso do Brasil (Rago, 1998). C</w:t>
      </w:r>
      <w:r>
        <w:rPr>
          <w:rFonts w:ascii="Times New Roman" w:eastAsia="Times New Roman" w:hAnsi="Times New Roman" w:cs="Times New Roman"/>
          <w:sz w:val="24"/>
          <w:szCs w:val="24"/>
        </w:rPr>
        <w:t xml:space="preserve">onsiderando os saberes “psi” inclusos na Revista, comentaremos adiante os artigos sistematizados nos temas </w:t>
      </w:r>
      <w:r>
        <w:rPr>
          <w:rFonts w:ascii="Times New Roman" w:eastAsia="Times New Roman" w:hAnsi="Times New Roman" w:cs="Times New Roman"/>
          <w:sz w:val="24"/>
          <w:szCs w:val="24"/>
          <w:highlight w:val="white"/>
        </w:rPr>
        <w:t>à luz da literatura atual.</w:t>
      </w:r>
    </w:p>
    <w:p w14:paraId="62E86F99" w14:textId="77777777" w:rsidR="007E74C0" w:rsidRDefault="007E74C0">
      <w:pPr>
        <w:spacing w:line="240" w:lineRule="auto"/>
        <w:jc w:val="both"/>
        <w:rPr>
          <w:rFonts w:ascii="Times New Roman" w:eastAsia="Times New Roman" w:hAnsi="Times New Roman" w:cs="Times New Roman"/>
          <w:sz w:val="24"/>
          <w:szCs w:val="24"/>
          <w:highlight w:val="white"/>
        </w:rPr>
      </w:pPr>
    </w:p>
    <w:p w14:paraId="0A0E35B3" w14:textId="77777777" w:rsidR="007E74C0" w:rsidRDefault="00EA0911">
      <w:pPr>
        <w:spacing w:line="24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b/>
          <w:sz w:val="24"/>
          <w:szCs w:val="24"/>
        </w:rPr>
        <w:t xml:space="preserve">4.1 Tema 1: </w:t>
      </w:r>
      <w:r>
        <w:rPr>
          <w:rFonts w:ascii="Times New Roman" w:eastAsia="Times New Roman" w:hAnsi="Times New Roman" w:cs="Times New Roman"/>
          <w:b/>
          <w:sz w:val="24"/>
          <w:szCs w:val="24"/>
          <w:highlight w:val="white"/>
        </w:rPr>
        <w:t>O conceito de gêne</w:t>
      </w:r>
      <w:r>
        <w:rPr>
          <w:rFonts w:ascii="Times New Roman" w:eastAsia="Times New Roman" w:hAnsi="Times New Roman" w:cs="Times New Roman"/>
          <w:b/>
          <w:sz w:val="24"/>
          <w:szCs w:val="24"/>
          <w:highlight w:val="white"/>
        </w:rPr>
        <w:t>ro como estruturante das relações psicossociais</w:t>
      </w:r>
    </w:p>
    <w:p w14:paraId="5E2EC3D5" w14:textId="77777777" w:rsidR="007E74C0" w:rsidRDefault="007E74C0">
      <w:pPr>
        <w:spacing w:line="240" w:lineRule="auto"/>
        <w:jc w:val="both"/>
        <w:rPr>
          <w:rFonts w:ascii="Times New Roman" w:eastAsia="Times New Roman" w:hAnsi="Times New Roman" w:cs="Times New Roman"/>
          <w:sz w:val="24"/>
          <w:szCs w:val="24"/>
          <w:highlight w:val="white"/>
        </w:rPr>
      </w:pPr>
    </w:p>
    <w:p w14:paraId="431B97DF"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Este Tema possui o maior número (35) de artigos e perpassa todas as décadas desta revisão, exceto, os anos 1960. Para os propósitos desta revisão, os artigos foram divididos em quatro</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subtemas: a) papéis sexuais e de gênero; b) relações e identidades sexuais e de gênero; c) masculinidades, práticas sexuais e de gênero e d) violências e resistências.</w:t>
      </w:r>
    </w:p>
    <w:p w14:paraId="149E2985" w14:textId="77777777" w:rsidR="007E74C0" w:rsidRDefault="007E74C0">
      <w:pPr>
        <w:spacing w:line="240" w:lineRule="auto"/>
        <w:jc w:val="both"/>
        <w:rPr>
          <w:rFonts w:ascii="Times New Roman" w:eastAsia="Times New Roman" w:hAnsi="Times New Roman" w:cs="Times New Roman"/>
          <w:b/>
          <w:sz w:val="24"/>
          <w:szCs w:val="24"/>
          <w:highlight w:val="white"/>
        </w:rPr>
      </w:pPr>
    </w:p>
    <w:p w14:paraId="12AB8F30"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4.1.1 Papéis sexuais e de gênero</w:t>
      </w:r>
      <w:r>
        <w:rPr>
          <w:rFonts w:ascii="Times New Roman" w:eastAsia="Times New Roman" w:hAnsi="Times New Roman" w:cs="Times New Roman"/>
          <w:sz w:val="24"/>
          <w:szCs w:val="24"/>
          <w:highlight w:val="white"/>
        </w:rPr>
        <w:t>. Remontando aos anos 1970, consiste no único subtema d</w:t>
      </w:r>
      <w:r>
        <w:rPr>
          <w:rFonts w:ascii="Times New Roman" w:eastAsia="Times New Roman" w:hAnsi="Times New Roman" w:cs="Times New Roman"/>
          <w:sz w:val="24"/>
          <w:szCs w:val="24"/>
          <w:highlight w:val="white"/>
        </w:rPr>
        <w:t>o Tema 1 que antecede aos anos 1990. Apesar da variedade de assuntos e métodos, o enfoque sobre “diferenças sexuais” e “papéis sexuais” nos três artigos dos anos 1970 e 1980 levou à primeira parte do seu nome. A emergência posterior dos estudos de gênero c</w:t>
      </w:r>
      <w:r>
        <w:rPr>
          <w:rFonts w:ascii="Times New Roman" w:eastAsia="Times New Roman" w:hAnsi="Times New Roman" w:cs="Times New Roman"/>
          <w:sz w:val="24"/>
          <w:szCs w:val="24"/>
          <w:highlight w:val="white"/>
        </w:rPr>
        <w:t>omo categoria de análise nos anos 1990, então, completa esse subtema com outros onze artigos (Tabela 1).</w:t>
      </w:r>
    </w:p>
    <w:p w14:paraId="5AA0DCEF" w14:textId="77777777" w:rsidR="007E74C0" w:rsidRDefault="007E74C0">
      <w:pPr>
        <w:spacing w:line="240" w:lineRule="auto"/>
        <w:jc w:val="both"/>
        <w:rPr>
          <w:rFonts w:ascii="Times New Roman" w:eastAsia="Times New Roman" w:hAnsi="Times New Roman" w:cs="Times New Roman"/>
          <w:sz w:val="24"/>
          <w:szCs w:val="24"/>
          <w:highlight w:val="white"/>
        </w:rPr>
      </w:pPr>
    </w:p>
    <w:p w14:paraId="68489503"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1. Quadro de artigos - Subtema 1 (Tema 1)</w:t>
      </w:r>
    </w:p>
    <w:tbl>
      <w:tblPr>
        <w:tblStyle w:val="a"/>
        <w:tblW w:w="90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00"/>
        <w:gridCol w:w="765"/>
        <w:gridCol w:w="3315"/>
        <w:gridCol w:w="2250"/>
        <w:gridCol w:w="2085"/>
      </w:tblGrid>
      <w:tr w:rsidR="007E74C0" w14:paraId="26F4C240" w14:textId="77777777">
        <w:trPr>
          <w:trHeight w:val="460"/>
        </w:trPr>
        <w:tc>
          <w:tcPr>
            <w:tcW w:w="1365" w:type="dxa"/>
            <w:gridSpan w:val="2"/>
            <w:tcBorders>
              <w:top w:val="single" w:sz="12" w:space="0" w:color="000000"/>
              <w:bottom w:val="single" w:sz="6" w:space="0" w:color="000000"/>
            </w:tcBorders>
          </w:tcPr>
          <w:p w14:paraId="43898C4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315" w:type="dxa"/>
            <w:vMerge w:val="restart"/>
            <w:tcBorders>
              <w:top w:val="single" w:sz="12" w:space="0" w:color="000000"/>
              <w:bottom w:val="single" w:sz="8" w:space="0" w:color="000000"/>
            </w:tcBorders>
            <w:vAlign w:val="center"/>
          </w:tcPr>
          <w:p w14:paraId="0ED740C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Pessoa(s) </w:t>
            </w:r>
          </w:p>
          <w:p w14:paraId="72DC187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25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0A33360"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0FF6888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208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7FE03B51"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5850986F"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4129DD63" w14:textId="77777777">
        <w:trPr>
          <w:trHeight w:val="460"/>
        </w:trPr>
        <w:tc>
          <w:tcPr>
            <w:tcW w:w="600"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16CCE89F"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Ano</w:t>
            </w:r>
          </w:p>
        </w:tc>
        <w:tc>
          <w:tcPr>
            <w:tcW w:w="765" w:type="dxa"/>
            <w:tcBorders>
              <w:top w:val="nil"/>
              <w:left w:val="nil"/>
              <w:bottom w:val="single" w:sz="12" w:space="0" w:color="000000"/>
              <w:right w:val="nil"/>
            </w:tcBorders>
            <w:shd w:val="clear" w:color="auto" w:fill="auto"/>
            <w:tcMar>
              <w:top w:w="100" w:type="dxa"/>
              <w:left w:w="100" w:type="dxa"/>
              <w:bottom w:w="100" w:type="dxa"/>
              <w:right w:w="100" w:type="dxa"/>
            </w:tcMar>
          </w:tcPr>
          <w:p w14:paraId="4E04C74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31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85E768B" w14:textId="77777777" w:rsidR="007E74C0" w:rsidRDefault="007E74C0">
            <w:pPr>
              <w:spacing w:line="240" w:lineRule="auto"/>
              <w:jc w:val="center"/>
              <w:rPr>
                <w:rFonts w:ascii="Times New Roman" w:eastAsia="Times New Roman" w:hAnsi="Times New Roman" w:cs="Times New Roman"/>
                <w:sz w:val="20"/>
                <w:szCs w:val="20"/>
              </w:rPr>
            </w:pPr>
          </w:p>
        </w:tc>
        <w:tc>
          <w:tcPr>
            <w:tcW w:w="2250"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4AF6745C" w14:textId="77777777" w:rsidR="007E74C0" w:rsidRDefault="007E74C0">
            <w:pPr>
              <w:spacing w:line="240" w:lineRule="auto"/>
              <w:jc w:val="center"/>
              <w:rPr>
                <w:rFonts w:ascii="Times New Roman" w:eastAsia="Times New Roman" w:hAnsi="Times New Roman" w:cs="Times New Roman"/>
                <w:sz w:val="20"/>
                <w:szCs w:val="20"/>
              </w:rPr>
            </w:pPr>
          </w:p>
        </w:tc>
        <w:tc>
          <w:tcPr>
            <w:tcW w:w="208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6BDABA4C" w14:textId="77777777" w:rsidR="007E74C0" w:rsidRDefault="007E74C0">
            <w:pPr>
              <w:spacing w:line="240" w:lineRule="auto"/>
              <w:jc w:val="center"/>
              <w:rPr>
                <w:rFonts w:ascii="Times New Roman" w:eastAsia="Times New Roman" w:hAnsi="Times New Roman" w:cs="Times New Roman"/>
                <w:sz w:val="20"/>
                <w:szCs w:val="20"/>
              </w:rPr>
            </w:pPr>
          </w:p>
        </w:tc>
      </w:tr>
      <w:tr w:rsidR="007E74C0" w14:paraId="2523F248" w14:textId="77777777">
        <w:trPr>
          <w:trHeight w:val="198"/>
        </w:trPr>
        <w:tc>
          <w:tcPr>
            <w:tcW w:w="600" w:type="dxa"/>
            <w:tcBorders>
              <w:top w:val="nil"/>
              <w:left w:val="nil"/>
              <w:bottom w:val="nil"/>
              <w:right w:val="nil"/>
            </w:tcBorders>
            <w:shd w:val="clear" w:color="auto" w:fill="auto"/>
            <w:tcMar>
              <w:top w:w="19" w:type="dxa"/>
              <w:left w:w="19" w:type="dxa"/>
              <w:bottom w:w="19" w:type="dxa"/>
              <w:right w:w="19" w:type="dxa"/>
            </w:tcMar>
            <w:vAlign w:val="center"/>
          </w:tcPr>
          <w:p w14:paraId="7E1EE87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765" w:type="dxa"/>
            <w:tcBorders>
              <w:top w:val="nil"/>
              <w:left w:val="nil"/>
              <w:bottom w:val="nil"/>
              <w:right w:val="nil"/>
            </w:tcBorders>
            <w:shd w:val="clear" w:color="auto" w:fill="auto"/>
            <w:tcMar>
              <w:top w:w="19" w:type="dxa"/>
              <w:left w:w="19" w:type="dxa"/>
              <w:bottom w:w="19" w:type="dxa"/>
              <w:right w:w="19" w:type="dxa"/>
            </w:tcMar>
            <w:vAlign w:val="center"/>
          </w:tcPr>
          <w:p w14:paraId="02C924B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3315" w:type="dxa"/>
            <w:tcBorders>
              <w:top w:val="nil"/>
              <w:left w:val="nil"/>
              <w:bottom w:val="nil"/>
              <w:right w:val="nil"/>
            </w:tcBorders>
            <w:shd w:val="clear" w:color="auto" w:fill="auto"/>
            <w:tcMar>
              <w:top w:w="19" w:type="dxa"/>
              <w:left w:w="19" w:type="dxa"/>
              <w:bottom w:w="19" w:type="dxa"/>
              <w:right w:w="19" w:type="dxa"/>
            </w:tcMar>
            <w:vAlign w:val="center"/>
          </w:tcPr>
          <w:p w14:paraId="7991D07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Mebane &amp; Johnson</w:t>
            </w:r>
          </w:p>
        </w:tc>
        <w:tc>
          <w:tcPr>
            <w:tcW w:w="2250" w:type="dxa"/>
            <w:tcBorders>
              <w:top w:val="nil"/>
              <w:left w:val="nil"/>
              <w:bottom w:val="nil"/>
              <w:right w:val="nil"/>
            </w:tcBorders>
            <w:shd w:val="clear" w:color="auto" w:fill="auto"/>
            <w:tcMar>
              <w:top w:w="19" w:type="dxa"/>
              <w:left w:w="19" w:type="dxa"/>
              <w:bottom w:w="19" w:type="dxa"/>
              <w:right w:w="19" w:type="dxa"/>
            </w:tcMar>
            <w:vAlign w:val="center"/>
          </w:tcPr>
          <w:p w14:paraId="69F6BB6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Diferenças sexuais</w:t>
            </w:r>
          </w:p>
        </w:tc>
        <w:tc>
          <w:tcPr>
            <w:tcW w:w="2085" w:type="dxa"/>
            <w:tcBorders>
              <w:top w:val="nil"/>
              <w:left w:val="nil"/>
              <w:bottom w:val="nil"/>
              <w:right w:val="nil"/>
            </w:tcBorders>
            <w:shd w:val="clear" w:color="auto" w:fill="auto"/>
            <w:tcMar>
              <w:top w:w="19" w:type="dxa"/>
              <w:left w:w="19" w:type="dxa"/>
              <w:bottom w:w="19" w:type="dxa"/>
              <w:right w:w="19" w:type="dxa"/>
            </w:tcMar>
            <w:vAlign w:val="center"/>
          </w:tcPr>
          <w:p w14:paraId="39810184" w14:textId="77777777" w:rsidR="007E74C0" w:rsidRDefault="00EA0911">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EUA, México</w:t>
            </w:r>
          </w:p>
        </w:tc>
      </w:tr>
      <w:tr w:rsidR="007E74C0" w14:paraId="6AE220AE" w14:textId="77777777">
        <w:trPr>
          <w:trHeight w:val="198"/>
        </w:trPr>
        <w:tc>
          <w:tcPr>
            <w:tcW w:w="600" w:type="dxa"/>
            <w:tcBorders>
              <w:top w:val="nil"/>
              <w:left w:val="nil"/>
              <w:bottom w:val="nil"/>
              <w:right w:val="nil"/>
            </w:tcBorders>
            <w:shd w:val="clear" w:color="auto" w:fill="BFBFBF"/>
            <w:tcMar>
              <w:top w:w="19" w:type="dxa"/>
              <w:left w:w="19" w:type="dxa"/>
              <w:bottom w:w="19" w:type="dxa"/>
              <w:right w:w="19" w:type="dxa"/>
            </w:tcMar>
            <w:vAlign w:val="center"/>
          </w:tcPr>
          <w:p w14:paraId="6F12790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1977</w:t>
            </w:r>
          </w:p>
        </w:tc>
        <w:tc>
          <w:tcPr>
            <w:tcW w:w="765" w:type="dxa"/>
            <w:tcBorders>
              <w:top w:val="nil"/>
              <w:left w:val="nil"/>
              <w:bottom w:val="nil"/>
              <w:right w:val="nil"/>
            </w:tcBorders>
            <w:shd w:val="clear" w:color="auto" w:fill="BFBFBF"/>
            <w:tcMar>
              <w:top w:w="19" w:type="dxa"/>
              <w:left w:w="19" w:type="dxa"/>
              <w:bottom w:w="19" w:type="dxa"/>
              <w:right w:w="19" w:type="dxa"/>
            </w:tcMar>
            <w:vAlign w:val="center"/>
          </w:tcPr>
          <w:p w14:paraId="32B9658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0D787BD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Alencar, Alvim &amp; Matias</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6234408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099D195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 (BRA)</w:t>
            </w:r>
          </w:p>
        </w:tc>
      </w:tr>
      <w:tr w:rsidR="007E74C0" w14:paraId="18C1D172" w14:textId="77777777">
        <w:trPr>
          <w:trHeight w:val="198"/>
        </w:trPr>
        <w:tc>
          <w:tcPr>
            <w:tcW w:w="600" w:type="dxa"/>
            <w:tcBorders>
              <w:top w:val="nil"/>
              <w:left w:val="nil"/>
              <w:bottom w:val="nil"/>
              <w:right w:val="nil"/>
            </w:tcBorders>
            <w:tcMar>
              <w:top w:w="19" w:type="dxa"/>
              <w:left w:w="19" w:type="dxa"/>
              <w:bottom w:w="19" w:type="dxa"/>
              <w:right w:w="19" w:type="dxa"/>
            </w:tcMar>
            <w:vAlign w:val="center"/>
          </w:tcPr>
          <w:p w14:paraId="000C99A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1988</w:t>
            </w:r>
          </w:p>
        </w:tc>
        <w:tc>
          <w:tcPr>
            <w:tcW w:w="765" w:type="dxa"/>
            <w:tcBorders>
              <w:top w:val="nil"/>
              <w:left w:val="nil"/>
              <w:bottom w:val="nil"/>
              <w:right w:val="nil"/>
            </w:tcBorders>
            <w:tcMar>
              <w:top w:w="19" w:type="dxa"/>
              <w:left w:w="19" w:type="dxa"/>
              <w:bottom w:w="19" w:type="dxa"/>
              <w:right w:w="19" w:type="dxa"/>
            </w:tcMar>
            <w:vAlign w:val="center"/>
          </w:tcPr>
          <w:p w14:paraId="7E6EE7B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22(1&amp;2)</w:t>
            </w:r>
          </w:p>
        </w:tc>
        <w:tc>
          <w:tcPr>
            <w:tcW w:w="3315" w:type="dxa"/>
            <w:tcBorders>
              <w:top w:val="nil"/>
              <w:left w:val="nil"/>
              <w:bottom w:val="nil"/>
              <w:right w:val="nil"/>
            </w:tcBorders>
            <w:tcMar>
              <w:top w:w="19" w:type="dxa"/>
              <w:left w:w="19" w:type="dxa"/>
              <w:bottom w:w="19" w:type="dxa"/>
              <w:right w:w="19" w:type="dxa"/>
            </w:tcMar>
            <w:vAlign w:val="center"/>
          </w:tcPr>
          <w:p w14:paraId="7FBD429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Kashak &amp; Sharatt</w:t>
            </w:r>
          </w:p>
        </w:tc>
        <w:tc>
          <w:tcPr>
            <w:tcW w:w="2250" w:type="dxa"/>
            <w:tcBorders>
              <w:top w:val="nil"/>
              <w:left w:val="nil"/>
              <w:bottom w:val="nil"/>
              <w:right w:val="nil"/>
            </w:tcBorders>
            <w:tcMar>
              <w:top w:w="19" w:type="dxa"/>
              <w:left w:w="19" w:type="dxa"/>
              <w:bottom w:w="19" w:type="dxa"/>
              <w:right w:w="19" w:type="dxa"/>
            </w:tcMar>
            <w:vAlign w:val="center"/>
          </w:tcPr>
          <w:p w14:paraId="1AB03E9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tcMar>
              <w:top w:w="19" w:type="dxa"/>
              <w:left w:w="19" w:type="dxa"/>
              <w:bottom w:w="19" w:type="dxa"/>
              <w:right w:w="19" w:type="dxa"/>
            </w:tcMar>
            <w:vAlign w:val="center"/>
          </w:tcPr>
          <w:p w14:paraId="765E3FC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r w:rsidR="007E74C0" w14:paraId="4E6BF6B9" w14:textId="77777777">
        <w:trPr>
          <w:trHeight w:val="198"/>
        </w:trPr>
        <w:tc>
          <w:tcPr>
            <w:tcW w:w="600" w:type="dxa"/>
            <w:tcBorders>
              <w:top w:val="nil"/>
              <w:left w:val="nil"/>
              <w:bottom w:val="nil"/>
              <w:right w:val="nil"/>
            </w:tcBorders>
            <w:shd w:val="clear" w:color="auto" w:fill="BFBFBF"/>
            <w:tcMar>
              <w:top w:w="19" w:type="dxa"/>
              <w:left w:w="19" w:type="dxa"/>
              <w:bottom w:w="19" w:type="dxa"/>
              <w:right w:w="19" w:type="dxa"/>
            </w:tcMar>
            <w:vAlign w:val="center"/>
          </w:tcPr>
          <w:p w14:paraId="5E8CCA9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1994</w:t>
            </w:r>
          </w:p>
        </w:tc>
        <w:tc>
          <w:tcPr>
            <w:tcW w:w="765" w:type="dxa"/>
            <w:tcBorders>
              <w:top w:val="nil"/>
              <w:left w:val="nil"/>
              <w:bottom w:val="nil"/>
              <w:right w:val="nil"/>
            </w:tcBorders>
            <w:shd w:val="clear" w:color="auto" w:fill="BFBFBF"/>
            <w:tcMar>
              <w:top w:w="19" w:type="dxa"/>
              <w:left w:w="19" w:type="dxa"/>
              <w:bottom w:w="19" w:type="dxa"/>
              <w:right w:w="19" w:type="dxa"/>
            </w:tcMar>
            <w:vAlign w:val="center"/>
          </w:tcPr>
          <w:p w14:paraId="5A4419C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019EDAB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Acuña, Bruner &amp; Avila</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4639610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224BBBA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4EC24C80" w14:textId="77777777">
        <w:trPr>
          <w:trHeight w:val="198"/>
        </w:trPr>
        <w:tc>
          <w:tcPr>
            <w:tcW w:w="600" w:type="dxa"/>
            <w:tcBorders>
              <w:top w:val="nil"/>
              <w:left w:val="nil"/>
              <w:bottom w:val="nil"/>
              <w:right w:val="nil"/>
            </w:tcBorders>
            <w:tcMar>
              <w:top w:w="19" w:type="dxa"/>
              <w:left w:w="19" w:type="dxa"/>
              <w:bottom w:w="19" w:type="dxa"/>
              <w:right w:w="19" w:type="dxa"/>
            </w:tcMar>
            <w:vAlign w:val="center"/>
          </w:tcPr>
          <w:p w14:paraId="1EE5025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765" w:type="dxa"/>
            <w:tcBorders>
              <w:top w:val="nil"/>
              <w:left w:val="nil"/>
              <w:bottom w:val="nil"/>
              <w:right w:val="nil"/>
            </w:tcBorders>
            <w:tcMar>
              <w:top w:w="19" w:type="dxa"/>
              <w:left w:w="19" w:type="dxa"/>
              <w:bottom w:w="19" w:type="dxa"/>
              <w:right w:w="19" w:type="dxa"/>
            </w:tcMar>
            <w:vAlign w:val="center"/>
          </w:tcPr>
          <w:p w14:paraId="52982D2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w:t>
            </w:r>
          </w:p>
        </w:tc>
        <w:tc>
          <w:tcPr>
            <w:tcW w:w="3315" w:type="dxa"/>
            <w:tcBorders>
              <w:top w:val="nil"/>
              <w:left w:val="nil"/>
              <w:bottom w:val="nil"/>
              <w:right w:val="nil"/>
            </w:tcBorders>
            <w:tcMar>
              <w:top w:w="19" w:type="dxa"/>
              <w:left w:w="19" w:type="dxa"/>
              <w:bottom w:w="19" w:type="dxa"/>
              <w:right w:w="19" w:type="dxa"/>
            </w:tcMar>
            <w:vAlign w:val="center"/>
          </w:tcPr>
          <w:p w14:paraId="3309380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Souza &amp; Hutz</w:t>
            </w:r>
          </w:p>
        </w:tc>
        <w:tc>
          <w:tcPr>
            <w:tcW w:w="2250" w:type="dxa"/>
            <w:tcBorders>
              <w:top w:val="nil"/>
              <w:left w:val="nil"/>
              <w:bottom w:val="nil"/>
              <w:right w:val="nil"/>
            </w:tcBorders>
            <w:tcMar>
              <w:top w:w="19" w:type="dxa"/>
              <w:left w:w="19" w:type="dxa"/>
              <w:bottom w:w="19" w:type="dxa"/>
              <w:right w:w="19" w:type="dxa"/>
            </w:tcMar>
            <w:vAlign w:val="center"/>
          </w:tcPr>
          <w:p w14:paraId="03B7AFA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tcMar>
              <w:top w:w="19" w:type="dxa"/>
              <w:left w:w="19" w:type="dxa"/>
              <w:bottom w:w="19" w:type="dxa"/>
              <w:right w:w="19" w:type="dxa"/>
            </w:tcMar>
            <w:vAlign w:val="center"/>
          </w:tcPr>
          <w:p w14:paraId="38DB43B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 (BRA)</w:t>
            </w:r>
          </w:p>
        </w:tc>
      </w:tr>
      <w:tr w:rsidR="007E74C0" w14:paraId="53AAEE60" w14:textId="77777777">
        <w:trPr>
          <w:trHeight w:val="198"/>
        </w:trPr>
        <w:tc>
          <w:tcPr>
            <w:tcW w:w="600" w:type="dxa"/>
            <w:tcBorders>
              <w:top w:val="nil"/>
              <w:left w:val="nil"/>
              <w:bottom w:val="nil"/>
              <w:right w:val="nil"/>
            </w:tcBorders>
            <w:shd w:val="clear" w:color="auto" w:fill="BFBFBF"/>
            <w:tcMar>
              <w:top w:w="19" w:type="dxa"/>
              <w:left w:w="19" w:type="dxa"/>
              <w:bottom w:w="19" w:type="dxa"/>
              <w:right w:w="19" w:type="dxa"/>
            </w:tcMar>
            <w:vAlign w:val="center"/>
          </w:tcPr>
          <w:p w14:paraId="0EFDB61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1998</w:t>
            </w:r>
          </w:p>
        </w:tc>
        <w:tc>
          <w:tcPr>
            <w:tcW w:w="765" w:type="dxa"/>
            <w:tcBorders>
              <w:top w:val="nil"/>
              <w:left w:val="nil"/>
              <w:bottom w:val="nil"/>
              <w:right w:val="nil"/>
            </w:tcBorders>
            <w:shd w:val="clear" w:color="auto" w:fill="BFBFBF"/>
            <w:tcMar>
              <w:top w:w="19" w:type="dxa"/>
              <w:left w:w="19" w:type="dxa"/>
              <w:bottom w:w="19" w:type="dxa"/>
              <w:right w:w="19" w:type="dxa"/>
            </w:tcMar>
            <w:vAlign w:val="center"/>
          </w:tcPr>
          <w:p w14:paraId="363FB0A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w:t>
            </w: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4467D84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Krippner, Winkler, Rochlen &amp; Yashar</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5EE0A95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Diferenças de gênero</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6BCDDD2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EUA, Argentina</w:t>
            </w:r>
          </w:p>
        </w:tc>
      </w:tr>
      <w:tr w:rsidR="007E74C0" w14:paraId="415ACDEA" w14:textId="77777777">
        <w:trPr>
          <w:trHeight w:val="198"/>
        </w:trPr>
        <w:tc>
          <w:tcPr>
            <w:tcW w:w="600" w:type="dxa"/>
            <w:tcBorders>
              <w:top w:val="nil"/>
              <w:left w:val="nil"/>
              <w:bottom w:val="nil"/>
              <w:right w:val="nil"/>
            </w:tcBorders>
            <w:tcMar>
              <w:top w:w="19" w:type="dxa"/>
              <w:left w:w="19" w:type="dxa"/>
              <w:bottom w:w="19" w:type="dxa"/>
              <w:right w:w="19" w:type="dxa"/>
            </w:tcMar>
            <w:vAlign w:val="center"/>
          </w:tcPr>
          <w:p w14:paraId="5F87A96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1999</w:t>
            </w:r>
          </w:p>
        </w:tc>
        <w:tc>
          <w:tcPr>
            <w:tcW w:w="765" w:type="dxa"/>
            <w:tcBorders>
              <w:top w:val="nil"/>
              <w:left w:val="nil"/>
              <w:bottom w:val="nil"/>
              <w:right w:val="nil"/>
            </w:tcBorders>
            <w:tcMar>
              <w:top w:w="19" w:type="dxa"/>
              <w:left w:w="19" w:type="dxa"/>
              <w:bottom w:w="19" w:type="dxa"/>
              <w:right w:w="19" w:type="dxa"/>
            </w:tcMar>
            <w:vAlign w:val="center"/>
          </w:tcPr>
          <w:p w14:paraId="727B783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3315" w:type="dxa"/>
            <w:tcBorders>
              <w:top w:val="nil"/>
              <w:left w:val="nil"/>
              <w:bottom w:val="nil"/>
              <w:right w:val="nil"/>
            </w:tcBorders>
            <w:tcMar>
              <w:top w:w="19" w:type="dxa"/>
              <w:left w:w="19" w:type="dxa"/>
              <w:bottom w:w="19" w:type="dxa"/>
              <w:right w:w="19" w:type="dxa"/>
            </w:tcMar>
            <w:vAlign w:val="center"/>
          </w:tcPr>
          <w:p w14:paraId="05BEAF1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Carlo, Roesch &amp; Koller</w:t>
            </w:r>
          </w:p>
        </w:tc>
        <w:tc>
          <w:tcPr>
            <w:tcW w:w="2250" w:type="dxa"/>
            <w:tcBorders>
              <w:top w:val="nil"/>
              <w:left w:val="nil"/>
              <w:bottom w:val="nil"/>
              <w:right w:val="nil"/>
            </w:tcBorders>
            <w:tcMar>
              <w:top w:w="19" w:type="dxa"/>
              <w:left w:w="19" w:type="dxa"/>
              <w:bottom w:w="19" w:type="dxa"/>
              <w:right w:w="19" w:type="dxa"/>
            </w:tcMar>
            <w:vAlign w:val="center"/>
          </w:tcPr>
          <w:p w14:paraId="7F50D81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de gênero</w:t>
            </w:r>
          </w:p>
        </w:tc>
        <w:tc>
          <w:tcPr>
            <w:tcW w:w="2085" w:type="dxa"/>
            <w:tcBorders>
              <w:top w:val="nil"/>
              <w:left w:val="nil"/>
              <w:bottom w:val="nil"/>
              <w:right w:val="nil"/>
            </w:tcBorders>
            <w:tcMar>
              <w:top w:w="19" w:type="dxa"/>
              <w:left w:w="19" w:type="dxa"/>
              <w:bottom w:w="19" w:type="dxa"/>
              <w:right w:w="19" w:type="dxa"/>
            </w:tcMar>
            <w:vAlign w:val="center"/>
          </w:tcPr>
          <w:p w14:paraId="5B7F653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 BRA, EUA</w:t>
            </w:r>
          </w:p>
        </w:tc>
      </w:tr>
      <w:tr w:rsidR="007E74C0" w14:paraId="2F784F68" w14:textId="77777777">
        <w:trPr>
          <w:trHeight w:val="198"/>
        </w:trPr>
        <w:tc>
          <w:tcPr>
            <w:tcW w:w="600" w:type="dxa"/>
            <w:vMerge w:val="restart"/>
            <w:tcBorders>
              <w:top w:val="nil"/>
              <w:left w:val="nil"/>
              <w:bottom w:val="nil"/>
              <w:right w:val="nil"/>
            </w:tcBorders>
            <w:shd w:val="clear" w:color="auto" w:fill="BFBFBF"/>
            <w:tcMar>
              <w:top w:w="19" w:type="dxa"/>
              <w:left w:w="19" w:type="dxa"/>
              <w:bottom w:w="19" w:type="dxa"/>
              <w:right w:w="19" w:type="dxa"/>
            </w:tcMar>
            <w:vAlign w:val="center"/>
          </w:tcPr>
          <w:p w14:paraId="539A692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2001</w:t>
            </w:r>
          </w:p>
        </w:tc>
        <w:tc>
          <w:tcPr>
            <w:tcW w:w="765" w:type="dxa"/>
            <w:vMerge w:val="restart"/>
            <w:tcBorders>
              <w:top w:val="nil"/>
              <w:left w:val="nil"/>
              <w:bottom w:val="nil"/>
              <w:right w:val="nil"/>
            </w:tcBorders>
            <w:shd w:val="clear" w:color="auto" w:fill="BFBFBF"/>
            <w:tcMar>
              <w:top w:w="19" w:type="dxa"/>
              <w:left w:w="19" w:type="dxa"/>
              <w:bottom w:w="19" w:type="dxa"/>
              <w:right w:w="19" w:type="dxa"/>
            </w:tcMar>
            <w:vAlign w:val="center"/>
          </w:tcPr>
          <w:p w14:paraId="65C1645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w:t>
            </w: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4732857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Baldwin &amp; De Souza</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7837F53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de gênero</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15C7DD0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7E759A8C" w14:textId="77777777">
        <w:trPr>
          <w:trHeight w:val="198"/>
        </w:trPr>
        <w:tc>
          <w:tcPr>
            <w:tcW w:w="600" w:type="dxa"/>
            <w:vMerge/>
            <w:tcBorders>
              <w:top w:val="nil"/>
              <w:left w:val="nil"/>
              <w:bottom w:val="nil"/>
              <w:right w:val="nil"/>
            </w:tcBorders>
            <w:shd w:val="clear" w:color="auto" w:fill="BFBFBF"/>
            <w:tcMar>
              <w:top w:w="19" w:type="dxa"/>
              <w:left w:w="19" w:type="dxa"/>
              <w:bottom w:w="19" w:type="dxa"/>
              <w:right w:w="19" w:type="dxa"/>
            </w:tcMar>
            <w:vAlign w:val="center"/>
          </w:tcPr>
          <w:p w14:paraId="358B2325" w14:textId="77777777" w:rsidR="007E74C0" w:rsidRDefault="007E74C0">
            <w:pPr>
              <w:spacing w:line="240" w:lineRule="auto"/>
              <w:jc w:val="both"/>
              <w:rPr>
                <w:rFonts w:ascii="Times New Roman" w:eastAsia="Times New Roman" w:hAnsi="Times New Roman" w:cs="Times New Roman"/>
                <w:sz w:val="20"/>
                <w:szCs w:val="20"/>
              </w:rPr>
            </w:pPr>
          </w:p>
        </w:tc>
        <w:tc>
          <w:tcPr>
            <w:tcW w:w="765" w:type="dxa"/>
            <w:vMerge/>
            <w:tcBorders>
              <w:top w:val="nil"/>
              <w:left w:val="nil"/>
              <w:bottom w:val="nil"/>
              <w:right w:val="nil"/>
            </w:tcBorders>
            <w:shd w:val="clear" w:color="auto" w:fill="BFBFBF"/>
            <w:tcMar>
              <w:top w:w="19" w:type="dxa"/>
              <w:left w:w="19" w:type="dxa"/>
              <w:bottom w:w="19" w:type="dxa"/>
              <w:right w:w="19" w:type="dxa"/>
            </w:tcMar>
            <w:vAlign w:val="center"/>
          </w:tcPr>
          <w:p w14:paraId="35D01E87" w14:textId="77777777" w:rsidR="007E74C0" w:rsidRDefault="007E74C0">
            <w:pPr>
              <w:spacing w:line="240" w:lineRule="auto"/>
              <w:jc w:val="center"/>
              <w:rPr>
                <w:rFonts w:ascii="Times New Roman" w:eastAsia="Times New Roman" w:hAnsi="Times New Roman" w:cs="Times New Roman"/>
                <w:sz w:val="20"/>
                <w:szCs w:val="20"/>
              </w:rPr>
            </w:pP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0C3003F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Acuña &amp; Bruner</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2914522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0B9F6F1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70632068" w14:textId="77777777">
        <w:trPr>
          <w:trHeight w:val="198"/>
        </w:trPr>
        <w:tc>
          <w:tcPr>
            <w:tcW w:w="600" w:type="dxa"/>
            <w:tcBorders>
              <w:top w:val="nil"/>
              <w:left w:val="nil"/>
              <w:bottom w:val="single" w:sz="12" w:space="0" w:color="000000"/>
              <w:right w:val="nil"/>
            </w:tcBorders>
            <w:tcMar>
              <w:top w:w="19" w:type="dxa"/>
              <w:left w:w="19" w:type="dxa"/>
              <w:bottom w:w="19" w:type="dxa"/>
              <w:right w:w="19" w:type="dxa"/>
            </w:tcMar>
            <w:vAlign w:val="center"/>
          </w:tcPr>
          <w:p w14:paraId="00B6DAD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765" w:type="dxa"/>
            <w:tcBorders>
              <w:top w:val="nil"/>
              <w:left w:val="nil"/>
              <w:bottom w:val="single" w:sz="12" w:space="0" w:color="000000"/>
              <w:right w:val="nil"/>
            </w:tcBorders>
            <w:tcMar>
              <w:top w:w="19" w:type="dxa"/>
              <w:left w:w="19" w:type="dxa"/>
              <w:bottom w:w="19" w:type="dxa"/>
              <w:right w:w="19" w:type="dxa"/>
            </w:tcMar>
            <w:vAlign w:val="center"/>
          </w:tcPr>
          <w:p w14:paraId="01F6CFE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43(3)</w:t>
            </w:r>
          </w:p>
        </w:tc>
        <w:tc>
          <w:tcPr>
            <w:tcW w:w="3315" w:type="dxa"/>
            <w:tcBorders>
              <w:top w:val="nil"/>
              <w:left w:val="nil"/>
              <w:bottom w:val="single" w:sz="12" w:space="0" w:color="000000"/>
              <w:right w:val="nil"/>
            </w:tcBorders>
            <w:tcMar>
              <w:top w:w="19" w:type="dxa"/>
              <w:left w:w="19" w:type="dxa"/>
              <w:bottom w:w="19" w:type="dxa"/>
              <w:right w:w="19" w:type="dxa"/>
            </w:tcMar>
            <w:vAlign w:val="center"/>
          </w:tcPr>
          <w:p w14:paraId="7492FB0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Cárdenas, González, Calderón &amp; Lay</w:t>
            </w:r>
          </w:p>
        </w:tc>
        <w:tc>
          <w:tcPr>
            <w:tcW w:w="2250" w:type="dxa"/>
            <w:tcBorders>
              <w:top w:val="nil"/>
              <w:left w:val="nil"/>
              <w:bottom w:val="single" w:sz="12" w:space="0" w:color="000000"/>
              <w:right w:val="nil"/>
            </w:tcBorders>
            <w:tcMar>
              <w:top w:w="19" w:type="dxa"/>
              <w:left w:w="19" w:type="dxa"/>
              <w:bottom w:w="19" w:type="dxa"/>
              <w:right w:w="19" w:type="dxa"/>
            </w:tcMar>
            <w:vAlign w:val="center"/>
          </w:tcPr>
          <w:p w14:paraId="45B4472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single" w:sz="12" w:space="0" w:color="000000"/>
              <w:right w:val="nil"/>
            </w:tcBorders>
            <w:tcMar>
              <w:top w:w="19" w:type="dxa"/>
              <w:left w:w="19" w:type="dxa"/>
              <w:bottom w:w="19" w:type="dxa"/>
              <w:right w:w="19" w:type="dxa"/>
            </w:tcMar>
            <w:vAlign w:val="center"/>
          </w:tcPr>
          <w:p w14:paraId="3019FF4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bl>
    <w:p w14:paraId="25DF18EA" w14:textId="77777777" w:rsidR="007E74C0" w:rsidRDefault="007E74C0">
      <w:pPr>
        <w:spacing w:line="240" w:lineRule="auto"/>
        <w:jc w:val="both"/>
        <w:rPr>
          <w:rFonts w:ascii="Times New Roman" w:eastAsia="Times New Roman" w:hAnsi="Times New Roman" w:cs="Times New Roman"/>
          <w:b/>
          <w:sz w:val="24"/>
          <w:szCs w:val="24"/>
          <w:highlight w:val="white"/>
        </w:rPr>
      </w:pPr>
    </w:p>
    <w:p w14:paraId="7ACB8878"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Na década de 1970, apenas crianças participaram nos dois artigos aqui elencados. No primeiro meninos e meninas dos Estados Unidos da América (EUA) e México fizeram parte de um estudo psicométrico comparado das suas habilidades cognitivas (IJP, 1970). No se</w:t>
      </w:r>
      <w:r>
        <w:rPr>
          <w:rFonts w:ascii="Times New Roman" w:eastAsia="Times New Roman" w:hAnsi="Times New Roman" w:cs="Times New Roman"/>
          <w:sz w:val="24"/>
          <w:szCs w:val="24"/>
        </w:rPr>
        <w:t>gundo, crianças do Brasil auxiliaram estudo sobre a relação entre sexo, classe, desempenho e atração por brinquedos (IJP, 1977). Na década seguinte, o público-alvo do artigo encontrado muda: desta vez, estudantes da Costa Rica participam de um estudo sobre</w:t>
      </w:r>
      <w:r>
        <w:rPr>
          <w:rFonts w:ascii="Times New Roman" w:eastAsia="Times New Roman" w:hAnsi="Times New Roman" w:cs="Times New Roman"/>
          <w:sz w:val="24"/>
          <w:szCs w:val="24"/>
        </w:rPr>
        <w:t xml:space="preserve"> papéis sexuais nos EUA (IJP, 1988). O termo gênero ainda não aparece nesse artigo.</w:t>
      </w:r>
    </w:p>
    <w:p w14:paraId="6D3F5E06"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década de 1990, então, encontramos mais quatro artigos nesse subtema: um sobre papéis sexuais e sua relação com a classe social no México (IJP, 1994); um inventário de r</w:t>
      </w:r>
      <w:r>
        <w:rPr>
          <w:rFonts w:ascii="Times New Roman" w:eastAsia="Times New Roman" w:hAnsi="Times New Roman" w:cs="Times New Roman"/>
          <w:sz w:val="24"/>
          <w:szCs w:val="24"/>
        </w:rPr>
        <w:t>espostas a estímulos sexuais e sua relação com o grau de identificação do participante com certos papéis sexuais e o seu sexo (IJP, 1995); um sobre diferenças de gênero e origem nos sonhos de participantes da Argentina, do Brasil e Estados Unidos (IJP, 199</w:t>
      </w:r>
      <w:r>
        <w:rPr>
          <w:rFonts w:ascii="Times New Roman" w:eastAsia="Times New Roman" w:hAnsi="Times New Roman" w:cs="Times New Roman"/>
          <w:sz w:val="24"/>
          <w:szCs w:val="24"/>
        </w:rPr>
        <w:t>8) e um sobre diferenças e semelhanças no raciocínio moral pró-social de crianças e adolescentes nos EUA e no Brasil quanto à nacionalidade e ao gênero (IJP, 1999). Esses primeiros usos de gênero, por vezes, ocorrem como um sinônimo de sexo, tal como utili</w:t>
      </w:r>
      <w:r>
        <w:rPr>
          <w:rFonts w:ascii="Times New Roman" w:eastAsia="Times New Roman" w:hAnsi="Times New Roman" w:cs="Times New Roman"/>
          <w:sz w:val="24"/>
          <w:szCs w:val="24"/>
        </w:rPr>
        <w:t>zado nas décadas anteriores.</w:t>
      </w:r>
    </w:p>
    <w:p w14:paraId="330704E4"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início deste século, ainda há artigos sobre papéis sexuais, como no estudo comparado entre estereótipos desses papéis no México e nos Estados (IJP, 2001) ou no estudo psicométrico que aplicou inventário acerca desses papéis </w:t>
      </w:r>
      <w:r>
        <w:rPr>
          <w:rFonts w:ascii="Times New Roman" w:eastAsia="Times New Roman" w:hAnsi="Times New Roman" w:cs="Times New Roman"/>
          <w:sz w:val="24"/>
          <w:szCs w:val="24"/>
        </w:rPr>
        <w:t xml:space="preserve">no Chile (IJP, 2009). Ainda assim, emergem outros fatores, como história, trabalho/economia, religião e outros, como em um ensaio teórico sobre papéis de gênero e sua relação com o “marianismo” no Brasil (IJP, 2001). </w:t>
      </w:r>
    </w:p>
    <w:p w14:paraId="2F536A48"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Acerca do fim parcialmente abrupto des</w:t>
      </w:r>
      <w:r>
        <w:rPr>
          <w:rFonts w:ascii="Times New Roman" w:eastAsia="Times New Roman" w:hAnsi="Times New Roman" w:cs="Times New Roman"/>
          <w:sz w:val="24"/>
          <w:szCs w:val="24"/>
        </w:rPr>
        <w:t>se subtema em meados da década passada, parece cabível a crítica de Connell (1995), para quem os conceitos de papéis sexuais nas Ciências Sociais dificultariam a compreensão das relações de gênero como relações de poder, o que seria, a seu ver: “. . . mini</w:t>
      </w:r>
      <w:r>
        <w:rPr>
          <w:rFonts w:ascii="Times New Roman" w:eastAsia="Times New Roman" w:hAnsi="Times New Roman" w:cs="Times New Roman"/>
          <w:sz w:val="24"/>
          <w:szCs w:val="24"/>
        </w:rPr>
        <w:t>mizar a violência, suprimir a questão da coerção, fazendo uma suposição ampla de consentimento”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xml:space="preserve">., p. 27). </w:t>
      </w:r>
    </w:p>
    <w:p w14:paraId="2E2122A0" w14:textId="77777777" w:rsidR="007E74C0" w:rsidRDefault="007E74C0">
      <w:pPr>
        <w:spacing w:line="240" w:lineRule="auto"/>
        <w:jc w:val="both"/>
        <w:rPr>
          <w:rFonts w:ascii="Times New Roman" w:eastAsia="Times New Roman" w:hAnsi="Times New Roman" w:cs="Times New Roman"/>
          <w:sz w:val="24"/>
          <w:szCs w:val="24"/>
        </w:rPr>
      </w:pPr>
    </w:p>
    <w:p w14:paraId="483A1F21"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highlight w:val="white"/>
        </w:rPr>
        <w:t xml:space="preserve">4.1.2 </w:t>
      </w:r>
      <w:r>
        <w:rPr>
          <w:rFonts w:ascii="Times New Roman" w:eastAsia="Times New Roman" w:hAnsi="Times New Roman" w:cs="Times New Roman"/>
          <w:b/>
          <w:i/>
          <w:sz w:val="24"/>
          <w:szCs w:val="24"/>
        </w:rPr>
        <w:t>Relações e identidades sexuais e de gênero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Nesse subtema, que emerge a partir de 1990, há artigos sobre relações de gênero, identidades de gênero e sexo, bem como sexismos, aí incluindo atitudes, preconceitos e estereótipos de gênero e sexualidades (Tabela 2).</w:t>
      </w:r>
    </w:p>
    <w:p w14:paraId="78C90801" w14:textId="77777777" w:rsidR="007E74C0" w:rsidRDefault="007E74C0">
      <w:pPr>
        <w:spacing w:line="240" w:lineRule="auto"/>
        <w:jc w:val="both"/>
        <w:rPr>
          <w:rFonts w:ascii="Times New Roman" w:eastAsia="Times New Roman" w:hAnsi="Times New Roman" w:cs="Times New Roman"/>
          <w:sz w:val="24"/>
          <w:szCs w:val="24"/>
        </w:rPr>
      </w:pPr>
    </w:p>
    <w:p w14:paraId="53451875"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2. Quadro de artigos - Subtem</w:t>
      </w:r>
      <w:r>
        <w:rPr>
          <w:rFonts w:ascii="Times New Roman" w:eastAsia="Times New Roman" w:hAnsi="Times New Roman" w:cs="Times New Roman"/>
          <w:sz w:val="24"/>
          <w:szCs w:val="24"/>
        </w:rPr>
        <w:t>a 2 (Tema 1)</w:t>
      </w:r>
    </w:p>
    <w:tbl>
      <w:tblPr>
        <w:tblStyle w:val="a0"/>
        <w:tblW w:w="90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4005"/>
        <w:gridCol w:w="2325"/>
        <w:gridCol w:w="1500"/>
      </w:tblGrid>
      <w:tr w:rsidR="007E74C0" w14:paraId="0B226FDB" w14:textId="77777777">
        <w:trPr>
          <w:trHeight w:val="226"/>
        </w:trPr>
        <w:tc>
          <w:tcPr>
            <w:tcW w:w="1215" w:type="dxa"/>
            <w:gridSpan w:val="2"/>
            <w:tcBorders>
              <w:top w:val="single" w:sz="12" w:space="0" w:color="000000"/>
              <w:bottom w:val="single" w:sz="6" w:space="0" w:color="000000"/>
            </w:tcBorders>
          </w:tcPr>
          <w:p w14:paraId="1CC8115B"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4005" w:type="dxa"/>
            <w:vMerge w:val="restart"/>
            <w:tcBorders>
              <w:top w:val="single" w:sz="12" w:space="0" w:color="000000"/>
              <w:bottom w:val="single" w:sz="8" w:space="0" w:color="000000"/>
            </w:tcBorders>
            <w:vAlign w:val="center"/>
          </w:tcPr>
          <w:p w14:paraId="424E8329"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590A911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32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56CE6FE"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3DE64443"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0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45D59BB3"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2EC3084E"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04D279DB" w14:textId="77777777">
        <w:trPr>
          <w:trHeight w:val="226"/>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4329DE07"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3837989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400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47E5E831" w14:textId="77777777" w:rsidR="007E74C0" w:rsidRDefault="007E74C0">
            <w:pPr>
              <w:spacing w:line="240" w:lineRule="auto"/>
              <w:jc w:val="center"/>
              <w:rPr>
                <w:rFonts w:ascii="Times New Roman" w:eastAsia="Times New Roman" w:hAnsi="Times New Roman" w:cs="Times New Roman"/>
                <w:sz w:val="20"/>
                <w:szCs w:val="20"/>
              </w:rPr>
            </w:pPr>
          </w:p>
        </w:tc>
        <w:tc>
          <w:tcPr>
            <w:tcW w:w="232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5A098BFF" w14:textId="77777777" w:rsidR="007E74C0" w:rsidRDefault="007E74C0">
            <w:pPr>
              <w:spacing w:line="240" w:lineRule="auto"/>
              <w:jc w:val="center"/>
              <w:rPr>
                <w:rFonts w:ascii="Times New Roman" w:eastAsia="Times New Roman" w:hAnsi="Times New Roman" w:cs="Times New Roman"/>
                <w:sz w:val="20"/>
                <w:szCs w:val="20"/>
              </w:rPr>
            </w:pPr>
          </w:p>
        </w:tc>
        <w:tc>
          <w:tcPr>
            <w:tcW w:w="1500"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3B4C9A91" w14:textId="77777777" w:rsidR="007E74C0" w:rsidRDefault="007E74C0">
            <w:pPr>
              <w:spacing w:line="240" w:lineRule="auto"/>
              <w:jc w:val="center"/>
              <w:rPr>
                <w:rFonts w:ascii="Times New Roman" w:eastAsia="Times New Roman" w:hAnsi="Times New Roman" w:cs="Times New Roman"/>
                <w:sz w:val="20"/>
                <w:szCs w:val="20"/>
              </w:rPr>
            </w:pPr>
          </w:p>
        </w:tc>
      </w:tr>
      <w:tr w:rsidR="007E74C0" w14:paraId="038E9109" w14:textId="77777777">
        <w:trPr>
          <w:trHeight w:val="198"/>
        </w:trPr>
        <w:tc>
          <w:tcPr>
            <w:tcW w:w="555" w:type="dxa"/>
            <w:tcBorders>
              <w:top w:val="nil"/>
              <w:left w:val="nil"/>
              <w:bottom w:val="nil"/>
              <w:right w:val="nil"/>
            </w:tcBorders>
            <w:shd w:val="clear" w:color="auto" w:fill="auto"/>
            <w:tcMar>
              <w:top w:w="19" w:type="dxa"/>
              <w:left w:w="19" w:type="dxa"/>
              <w:bottom w:w="19" w:type="dxa"/>
              <w:right w:w="19" w:type="dxa"/>
            </w:tcMar>
            <w:vAlign w:val="center"/>
          </w:tcPr>
          <w:p w14:paraId="19997D7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1998</w:t>
            </w:r>
          </w:p>
        </w:tc>
        <w:tc>
          <w:tcPr>
            <w:tcW w:w="660" w:type="dxa"/>
            <w:tcBorders>
              <w:top w:val="nil"/>
              <w:left w:val="nil"/>
              <w:bottom w:val="nil"/>
              <w:right w:val="nil"/>
            </w:tcBorders>
            <w:shd w:val="clear" w:color="auto" w:fill="auto"/>
            <w:tcMar>
              <w:top w:w="19" w:type="dxa"/>
              <w:left w:w="19" w:type="dxa"/>
              <w:bottom w:w="19" w:type="dxa"/>
              <w:right w:w="19" w:type="dxa"/>
            </w:tcMar>
            <w:vAlign w:val="center"/>
          </w:tcPr>
          <w:p w14:paraId="306FB6F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w:t>
            </w:r>
          </w:p>
        </w:tc>
        <w:tc>
          <w:tcPr>
            <w:tcW w:w="4005" w:type="dxa"/>
            <w:tcBorders>
              <w:top w:val="nil"/>
              <w:left w:val="nil"/>
              <w:bottom w:val="nil"/>
              <w:right w:val="nil"/>
            </w:tcBorders>
            <w:shd w:val="clear" w:color="auto" w:fill="auto"/>
            <w:tcMar>
              <w:top w:w="19" w:type="dxa"/>
              <w:left w:w="19" w:type="dxa"/>
              <w:bottom w:w="19" w:type="dxa"/>
              <w:right w:w="19" w:type="dxa"/>
            </w:tcMar>
            <w:vAlign w:val="center"/>
          </w:tcPr>
          <w:p w14:paraId="48CC09E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Keating &amp; Kurtz-Costes</w:t>
            </w:r>
          </w:p>
        </w:tc>
        <w:tc>
          <w:tcPr>
            <w:tcW w:w="2325" w:type="dxa"/>
            <w:tcBorders>
              <w:top w:val="nil"/>
              <w:left w:val="nil"/>
              <w:bottom w:val="nil"/>
              <w:right w:val="nil"/>
            </w:tcBorders>
            <w:shd w:val="clear" w:color="auto" w:fill="auto"/>
            <w:tcMar>
              <w:top w:w="19" w:type="dxa"/>
              <w:left w:w="19" w:type="dxa"/>
              <w:bottom w:w="19" w:type="dxa"/>
              <w:right w:w="19" w:type="dxa"/>
            </w:tcMar>
            <w:vAlign w:val="center"/>
          </w:tcPr>
          <w:p w14:paraId="56A50F1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Relações de gênero (poder)</w:t>
            </w:r>
          </w:p>
        </w:tc>
        <w:tc>
          <w:tcPr>
            <w:tcW w:w="1500" w:type="dxa"/>
            <w:tcBorders>
              <w:top w:val="nil"/>
              <w:left w:val="nil"/>
              <w:bottom w:val="nil"/>
              <w:right w:val="nil"/>
            </w:tcBorders>
            <w:shd w:val="clear" w:color="auto" w:fill="auto"/>
            <w:tcMar>
              <w:top w:w="19" w:type="dxa"/>
              <w:left w:w="19" w:type="dxa"/>
              <w:bottom w:w="19" w:type="dxa"/>
              <w:right w:w="19" w:type="dxa"/>
            </w:tcMar>
            <w:vAlign w:val="center"/>
          </w:tcPr>
          <w:p w14:paraId="1541420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Equador</w:t>
            </w:r>
          </w:p>
        </w:tc>
      </w:tr>
      <w:tr w:rsidR="007E74C0" w14:paraId="1F29AE40" w14:textId="77777777">
        <w:trPr>
          <w:trHeight w:val="239"/>
        </w:trPr>
        <w:tc>
          <w:tcPr>
            <w:tcW w:w="555" w:type="dxa"/>
            <w:tcBorders>
              <w:top w:val="nil"/>
              <w:left w:val="nil"/>
              <w:right w:val="nil"/>
            </w:tcBorders>
            <w:shd w:val="clear" w:color="auto" w:fill="BFBFBF"/>
            <w:tcMar>
              <w:top w:w="19" w:type="dxa"/>
              <w:left w:w="19" w:type="dxa"/>
              <w:bottom w:w="19" w:type="dxa"/>
              <w:right w:w="19" w:type="dxa"/>
            </w:tcMar>
            <w:vAlign w:val="center"/>
          </w:tcPr>
          <w:p w14:paraId="0F5ECA3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660" w:type="dxa"/>
            <w:tcBorders>
              <w:top w:val="nil"/>
              <w:left w:val="nil"/>
              <w:right w:val="nil"/>
            </w:tcBorders>
            <w:shd w:val="clear" w:color="auto" w:fill="BFBFBF"/>
            <w:tcMar>
              <w:top w:w="19" w:type="dxa"/>
              <w:left w:w="19" w:type="dxa"/>
              <w:bottom w:w="19" w:type="dxa"/>
              <w:right w:w="19" w:type="dxa"/>
            </w:tcMar>
            <w:vAlign w:val="center"/>
          </w:tcPr>
          <w:p w14:paraId="4281099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40(1)</w:t>
            </w:r>
          </w:p>
        </w:tc>
        <w:tc>
          <w:tcPr>
            <w:tcW w:w="4005" w:type="dxa"/>
            <w:tcBorders>
              <w:top w:val="nil"/>
              <w:left w:val="nil"/>
              <w:right w:val="nil"/>
            </w:tcBorders>
            <w:shd w:val="clear" w:color="auto" w:fill="BFBFBF"/>
            <w:tcMar>
              <w:top w:w="19" w:type="dxa"/>
              <w:left w:w="19" w:type="dxa"/>
              <w:bottom w:w="19" w:type="dxa"/>
              <w:right w:w="19" w:type="dxa"/>
            </w:tcMar>
            <w:vAlign w:val="center"/>
          </w:tcPr>
          <w:p w14:paraId="6B5A66C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 Díaz, Andújar-Bello &amp; N.-Rosa</w:t>
            </w:r>
          </w:p>
        </w:tc>
        <w:tc>
          <w:tcPr>
            <w:tcW w:w="2325" w:type="dxa"/>
            <w:tcBorders>
              <w:top w:val="nil"/>
              <w:left w:val="nil"/>
              <w:right w:val="nil"/>
            </w:tcBorders>
            <w:shd w:val="clear" w:color="auto" w:fill="BFBFBF"/>
            <w:tcMar>
              <w:top w:w="19" w:type="dxa"/>
              <w:left w:w="19" w:type="dxa"/>
              <w:bottom w:w="19" w:type="dxa"/>
              <w:right w:w="19" w:type="dxa"/>
            </w:tcMar>
            <w:vAlign w:val="center"/>
          </w:tcPr>
          <w:p w14:paraId="062600F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Identidade sexual</w:t>
            </w:r>
          </w:p>
        </w:tc>
        <w:tc>
          <w:tcPr>
            <w:tcW w:w="1500" w:type="dxa"/>
            <w:tcBorders>
              <w:top w:val="nil"/>
              <w:left w:val="nil"/>
              <w:right w:val="nil"/>
            </w:tcBorders>
            <w:shd w:val="clear" w:color="auto" w:fill="BFBFBF"/>
            <w:tcMar>
              <w:top w:w="19" w:type="dxa"/>
              <w:left w:w="19" w:type="dxa"/>
              <w:bottom w:w="19" w:type="dxa"/>
              <w:right w:w="19" w:type="dxa"/>
            </w:tcMar>
            <w:vAlign w:val="center"/>
          </w:tcPr>
          <w:p w14:paraId="7AFEE1C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745C5091" w14:textId="77777777">
        <w:trPr>
          <w:trHeight w:val="239"/>
        </w:trPr>
        <w:tc>
          <w:tcPr>
            <w:tcW w:w="555" w:type="dxa"/>
            <w:tcBorders>
              <w:top w:val="nil"/>
              <w:left w:val="nil"/>
              <w:right w:val="nil"/>
            </w:tcBorders>
            <w:tcMar>
              <w:top w:w="19" w:type="dxa"/>
              <w:left w:w="19" w:type="dxa"/>
              <w:bottom w:w="19" w:type="dxa"/>
              <w:right w:w="19" w:type="dxa"/>
            </w:tcMar>
            <w:vAlign w:val="center"/>
          </w:tcPr>
          <w:p w14:paraId="1D0E7E0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2009</w:t>
            </w:r>
          </w:p>
        </w:tc>
        <w:tc>
          <w:tcPr>
            <w:tcW w:w="660" w:type="dxa"/>
            <w:tcBorders>
              <w:top w:val="nil"/>
              <w:left w:val="nil"/>
              <w:right w:val="nil"/>
            </w:tcBorders>
            <w:tcMar>
              <w:top w:w="19" w:type="dxa"/>
              <w:left w:w="19" w:type="dxa"/>
              <w:bottom w:w="19" w:type="dxa"/>
              <w:right w:w="19" w:type="dxa"/>
            </w:tcMar>
            <w:vAlign w:val="center"/>
          </w:tcPr>
          <w:p w14:paraId="5005B5E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4005" w:type="dxa"/>
            <w:tcBorders>
              <w:top w:val="nil"/>
              <w:left w:val="nil"/>
              <w:right w:val="nil"/>
            </w:tcBorders>
            <w:tcMar>
              <w:top w:w="19" w:type="dxa"/>
              <w:left w:w="19" w:type="dxa"/>
              <w:bottom w:w="19" w:type="dxa"/>
              <w:right w:w="19" w:type="dxa"/>
            </w:tcMar>
            <w:vAlign w:val="center"/>
          </w:tcPr>
          <w:p w14:paraId="06200CD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Sánchez</w:t>
            </w:r>
          </w:p>
        </w:tc>
        <w:tc>
          <w:tcPr>
            <w:tcW w:w="2325" w:type="dxa"/>
            <w:tcBorders>
              <w:top w:val="nil"/>
              <w:left w:val="nil"/>
              <w:right w:val="nil"/>
            </w:tcBorders>
            <w:tcMar>
              <w:top w:w="19" w:type="dxa"/>
              <w:left w:w="19" w:type="dxa"/>
              <w:bottom w:w="19" w:type="dxa"/>
              <w:right w:w="19" w:type="dxa"/>
            </w:tcMar>
            <w:vAlign w:val="center"/>
          </w:tcPr>
          <w:p w14:paraId="1699C7F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Identidade de gênero</w:t>
            </w:r>
          </w:p>
        </w:tc>
        <w:tc>
          <w:tcPr>
            <w:tcW w:w="1500" w:type="dxa"/>
            <w:tcBorders>
              <w:top w:val="nil"/>
              <w:left w:val="nil"/>
              <w:right w:val="nil"/>
            </w:tcBorders>
            <w:tcMar>
              <w:top w:w="19" w:type="dxa"/>
              <w:left w:w="19" w:type="dxa"/>
              <w:bottom w:w="19" w:type="dxa"/>
              <w:right w:w="19" w:type="dxa"/>
            </w:tcMar>
            <w:vAlign w:val="center"/>
          </w:tcPr>
          <w:p w14:paraId="2497F34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72E2042E" w14:textId="77777777">
        <w:trPr>
          <w:trHeight w:val="239"/>
        </w:trPr>
        <w:tc>
          <w:tcPr>
            <w:tcW w:w="555" w:type="dxa"/>
            <w:tcBorders>
              <w:left w:val="nil"/>
              <w:bottom w:val="nil"/>
              <w:right w:val="nil"/>
            </w:tcBorders>
            <w:shd w:val="clear" w:color="auto" w:fill="BFBFBF"/>
            <w:tcMar>
              <w:top w:w="19" w:type="dxa"/>
              <w:left w:w="19" w:type="dxa"/>
              <w:bottom w:w="19" w:type="dxa"/>
              <w:right w:w="19" w:type="dxa"/>
            </w:tcMar>
            <w:vAlign w:val="center"/>
          </w:tcPr>
          <w:p w14:paraId="148BB4D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2011</w:t>
            </w:r>
          </w:p>
        </w:tc>
        <w:tc>
          <w:tcPr>
            <w:tcW w:w="660" w:type="dxa"/>
            <w:tcBorders>
              <w:left w:val="nil"/>
              <w:bottom w:val="nil"/>
              <w:right w:val="nil"/>
            </w:tcBorders>
            <w:shd w:val="clear" w:color="auto" w:fill="BFBFBF"/>
            <w:tcMar>
              <w:top w:w="19" w:type="dxa"/>
              <w:left w:w="19" w:type="dxa"/>
              <w:bottom w:w="19" w:type="dxa"/>
              <w:right w:w="19" w:type="dxa"/>
            </w:tcMar>
            <w:vAlign w:val="center"/>
          </w:tcPr>
          <w:p w14:paraId="4EA5D18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4005" w:type="dxa"/>
            <w:tcBorders>
              <w:left w:val="nil"/>
              <w:bottom w:val="nil"/>
              <w:right w:val="nil"/>
            </w:tcBorders>
            <w:shd w:val="clear" w:color="auto" w:fill="BFBFBF"/>
            <w:tcMar>
              <w:top w:w="19" w:type="dxa"/>
              <w:left w:w="19" w:type="dxa"/>
              <w:bottom w:w="19" w:type="dxa"/>
              <w:right w:w="19" w:type="dxa"/>
            </w:tcMar>
            <w:vAlign w:val="center"/>
          </w:tcPr>
          <w:p w14:paraId="4A63388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Smith-Castro &amp; Molina-Delgado</w:t>
            </w:r>
          </w:p>
        </w:tc>
        <w:tc>
          <w:tcPr>
            <w:tcW w:w="2325" w:type="dxa"/>
            <w:tcBorders>
              <w:left w:val="nil"/>
              <w:bottom w:val="nil"/>
              <w:right w:val="nil"/>
            </w:tcBorders>
            <w:shd w:val="clear" w:color="auto" w:fill="BFBFBF"/>
            <w:tcMar>
              <w:top w:w="19" w:type="dxa"/>
              <w:left w:w="19" w:type="dxa"/>
              <w:bottom w:w="19" w:type="dxa"/>
              <w:right w:w="19" w:type="dxa"/>
            </w:tcMar>
            <w:vAlign w:val="center"/>
          </w:tcPr>
          <w:p w14:paraId="5B7D484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(Homofobia)</w:t>
            </w:r>
          </w:p>
        </w:tc>
        <w:tc>
          <w:tcPr>
            <w:tcW w:w="1500" w:type="dxa"/>
            <w:tcBorders>
              <w:left w:val="nil"/>
              <w:bottom w:val="nil"/>
              <w:right w:val="nil"/>
            </w:tcBorders>
            <w:shd w:val="clear" w:color="auto" w:fill="BFBFBF"/>
            <w:tcMar>
              <w:top w:w="19" w:type="dxa"/>
              <w:left w:w="19" w:type="dxa"/>
              <w:bottom w:w="19" w:type="dxa"/>
              <w:right w:w="19" w:type="dxa"/>
            </w:tcMar>
            <w:vAlign w:val="center"/>
          </w:tcPr>
          <w:p w14:paraId="704A711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r w:rsidR="007E74C0" w14:paraId="214758E1" w14:textId="77777777">
        <w:trPr>
          <w:trHeight w:val="239"/>
        </w:trPr>
        <w:tc>
          <w:tcPr>
            <w:tcW w:w="555" w:type="dxa"/>
            <w:tcBorders>
              <w:left w:val="nil"/>
              <w:bottom w:val="nil"/>
              <w:right w:val="nil"/>
            </w:tcBorders>
            <w:tcMar>
              <w:top w:w="19" w:type="dxa"/>
              <w:left w:w="19" w:type="dxa"/>
              <w:bottom w:w="19" w:type="dxa"/>
              <w:right w:w="19" w:type="dxa"/>
            </w:tcMar>
            <w:vAlign w:val="center"/>
          </w:tcPr>
          <w:p w14:paraId="63C73DC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2014</w:t>
            </w:r>
          </w:p>
        </w:tc>
        <w:tc>
          <w:tcPr>
            <w:tcW w:w="660" w:type="dxa"/>
            <w:tcBorders>
              <w:left w:val="nil"/>
              <w:bottom w:val="nil"/>
              <w:right w:val="nil"/>
            </w:tcBorders>
            <w:tcMar>
              <w:top w:w="19" w:type="dxa"/>
              <w:left w:w="19" w:type="dxa"/>
              <w:bottom w:w="19" w:type="dxa"/>
              <w:right w:w="19" w:type="dxa"/>
            </w:tcMar>
            <w:vAlign w:val="center"/>
          </w:tcPr>
          <w:p w14:paraId="6D9A499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w:t>
            </w:r>
          </w:p>
        </w:tc>
        <w:tc>
          <w:tcPr>
            <w:tcW w:w="4005" w:type="dxa"/>
            <w:tcBorders>
              <w:left w:val="nil"/>
              <w:bottom w:val="nil"/>
              <w:right w:val="nil"/>
            </w:tcBorders>
            <w:tcMar>
              <w:top w:w="19" w:type="dxa"/>
              <w:left w:w="19" w:type="dxa"/>
              <w:bottom w:w="19" w:type="dxa"/>
              <w:right w:w="19" w:type="dxa"/>
            </w:tcMar>
            <w:vAlign w:val="center"/>
          </w:tcPr>
          <w:p w14:paraId="5305420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Chaigneau &amp; Rosenbluth</w:t>
            </w:r>
          </w:p>
        </w:tc>
        <w:tc>
          <w:tcPr>
            <w:tcW w:w="2325" w:type="dxa"/>
            <w:tcBorders>
              <w:left w:val="nil"/>
              <w:bottom w:val="nil"/>
              <w:right w:val="nil"/>
            </w:tcBorders>
            <w:tcMar>
              <w:top w:w="19" w:type="dxa"/>
              <w:left w:w="19" w:type="dxa"/>
              <w:bottom w:w="19" w:type="dxa"/>
              <w:right w:w="19" w:type="dxa"/>
            </w:tcMar>
            <w:vAlign w:val="center"/>
          </w:tcPr>
          <w:p w14:paraId="0BC3C8A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500" w:type="dxa"/>
            <w:tcBorders>
              <w:left w:val="nil"/>
              <w:bottom w:val="nil"/>
              <w:right w:val="nil"/>
            </w:tcBorders>
            <w:tcMar>
              <w:top w:w="19" w:type="dxa"/>
              <w:left w:w="19" w:type="dxa"/>
              <w:bottom w:w="19" w:type="dxa"/>
              <w:right w:w="19" w:type="dxa"/>
            </w:tcMar>
            <w:vAlign w:val="center"/>
          </w:tcPr>
          <w:p w14:paraId="70F5D05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r w:rsidR="007E74C0" w14:paraId="6E538A3B" w14:textId="77777777">
        <w:trPr>
          <w:trHeight w:val="239"/>
        </w:trPr>
        <w:tc>
          <w:tcPr>
            <w:tcW w:w="555" w:type="dxa"/>
            <w:vMerge w:val="restart"/>
            <w:tcBorders>
              <w:left w:val="nil"/>
              <w:bottom w:val="nil"/>
              <w:right w:val="nil"/>
            </w:tcBorders>
            <w:shd w:val="clear" w:color="auto" w:fill="BFBFBF"/>
            <w:tcMar>
              <w:top w:w="19" w:type="dxa"/>
              <w:left w:w="19" w:type="dxa"/>
              <w:bottom w:w="19" w:type="dxa"/>
              <w:right w:w="19" w:type="dxa"/>
            </w:tcMar>
            <w:vAlign w:val="center"/>
          </w:tcPr>
          <w:p w14:paraId="4929622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660" w:type="dxa"/>
            <w:tcBorders>
              <w:left w:val="nil"/>
              <w:bottom w:val="nil"/>
              <w:right w:val="nil"/>
            </w:tcBorders>
            <w:shd w:val="clear" w:color="auto" w:fill="BFBFBF"/>
            <w:tcMar>
              <w:top w:w="19" w:type="dxa"/>
              <w:left w:w="19" w:type="dxa"/>
              <w:bottom w:w="19" w:type="dxa"/>
              <w:right w:w="19" w:type="dxa"/>
            </w:tcMar>
            <w:vAlign w:val="center"/>
          </w:tcPr>
          <w:p w14:paraId="53A7C87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w:t>
            </w:r>
          </w:p>
        </w:tc>
        <w:tc>
          <w:tcPr>
            <w:tcW w:w="4005" w:type="dxa"/>
            <w:tcBorders>
              <w:left w:val="nil"/>
              <w:bottom w:val="nil"/>
              <w:right w:val="nil"/>
            </w:tcBorders>
            <w:shd w:val="clear" w:color="auto" w:fill="BFBFBF"/>
            <w:tcMar>
              <w:top w:w="19" w:type="dxa"/>
              <w:left w:w="19" w:type="dxa"/>
              <w:bottom w:w="19" w:type="dxa"/>
              <w:right w:w="19" w:type="dxa"/>
            </w:tcMar>
            <w:vAlign w:val="center"/>
          </w:tcPr>
          <w:p w14:paraId="66C2439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Nava-Reyes, Rojas-Solís, Amador &amp; Quintero</w:t>
            </w:r>
          </w:p>
        </w:tc>
        <w:tc>
          <w:tcPr>
            <w:tcW w:w="2325" w:type="dxa"/>
            <w:tcBorders>
              <w:left w:val="nil"/>
              <w:bottom w:val="nil"/>
              <w:right w:val="nil"/>
            </w:tcBorders>
            <w:shd w:val="clear" w:color="auto" w:fill="BFBFBF"/>
            <w:tcMar>
              <w:top w:w="19" w:type="dxa"/>
              <w:left w:w="19" w:type="dxa"/>
              <w:bottom w:w="19" w:type="dxa"/>
              <w:right w:w="19" w:type="dxa"/>
            </w:tcMar>
            <w:vAlign w:val="center"/>
          </w:tcPr>
          <w:p w14:paraId="45A7C0D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500" w:type="dxa"/>
            <w:tcBorders>
              <w:left w:val="nil"/>
              <w:bottom w:val="nil"/>
              <w:right w:val="nil"/>
            </w:tcBorders>
            <w:shd w:val="clear" w:color="auto" w:fill="BFBFBF"/>
            <w:tcMar>
              <w:top w:w="19" w:type="dxa"/>
              <w:left w:w="19" w:type="dxa"/>
              <w:bottom w:w="19" w:type="dxa"/>
              <w:right w:w="19" w:type="dxa"/>
            </w:tcMar>
            <w:vAlign w:val="center"/>
          </w:tcPr>
          <w:p w14:paraId="4F9DA86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43ED8802" w14:textId="77777777">
        <w:trPr>
          <w:trHeight w:val="239"/>
        </w:trPr>
        <w:tc>
          <w:tcPr>
            <w:tcW w:w="555" w:type="dxa"/>
            <w:vMerge/>
            <w:tcBorders>
              <w:left w:val="nil"/>
              <w:bottom w:val="nil"/>
              <w:right w:val="nil"/>
            </w:tcBorders>
            <w:shd w:val="clear" w:color="auto" w:fill="BFBFBF"/>
            <w:tcMar>
              <w:top w:w="19" w:type="dxa"/>
              <w:left w:w="19" w:type="dxa"/>
              <w:bottom w:w="19" w:type="dxa"/>
              <w:right w:w="19" w:type="dxa"/>
            </w:tcMar>
            <w:vAlign w:val="center"/>
          </w:tcPr>
          <w:p w14:paraId="15EAE675"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left w:val="nil"/>
              <w:bottom w:val="nil"/>
              <w:right w:val="nil"/>
            </w:tcBorders>
            <w:shd w:val="clear" w:color="auto" w:fill="BFBFBF"/>
            <w:tcMar>
              <w:top w:w="19" w:type="dxa"/>
              <w:left w:w="19" w:type="dxa"/>
              <w:bottom w:w="19" w:type="dxa"/>
              <w:right w:w="19" w:type="dxa"/>
            </w:tcMar>
            <w:vAlign w:val="center"/>
          </w:tcPr>
          <w:p w14:paraId="6F97D51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52(2)</w:t>
            </w:r>
          </w:p>
        </w:tc>
        <w:tc>
          <w:tcPr>
            <w:tcW w:w="4005" w:type="dxa"/>
            <w:tcBorders>
              <w:left w:val="nil"/>
              <w:bottom w:val="nil"/>
              <w:right w:val="nil"/>
            </w:tcBorders>
            <w:shd w:val="clear" w:color="auto" w:fill="BFBFBF"/>
            <w:tcMar>
              <w:top w:w="19" w:type="dxa"/>
              <w:left w:w="19" w:type="dxa"/>
              <w:bottom w:w="19" w:type="dxa"/>
              <w:right w:w="19" w:type="dxa"/>
            </w:tcMar>
            <w:vAlign w:val="center"/>
          </w:tcPr>
          <w:p w14:paraId="2ED5E0B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Codas</w:t>
            </w:r>
          </w:p>
        </w:tc>
        <w:tc>
          <w:tcPr>
            <w:tcW w:w="2325" w:type="dxa"/>
            <w:tcBorders>
              <w:left w:val="nil"/>
              <w:bottom w:val="nil"/>
              <w:right w:val="nil"/>
            </w:tcBorders>
            <w:shd w:val="clear" w:color="auto" w:fill="BFBFBF"/>
            <w:tcMar>
              <w:top w:w="19" w:type="dxa"/>
              <w:left w:w="19" w:type="dxa"/>
              <w:bottom w:w="19" w:type="dxa"/>
              <w:right w:w="19" w:type="dxa"/>
            </w:tcMar>
            <w:vAlign w:val="center"/>
          </w:tcPr>
          <w:p w14:paraId="5E1AA9E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(LGBTfobia)</w:t>
            </w:r>
          </w:p>
        </w:tc>
        <w:tc>
          <w:tcPr>
            <w:tcW w:w="1500" w:type="dxa"/>
            <w:tcBorders>
              <w:left w:val="nil"/>
              <w:bottom w:val="nil"/>
              <w:right w:val="nil"/>
            </w:tcBorders>
            <w:shd w:val="clear" w:color="auto" w:fill="BFBFBF"/>
            <w:tcMar>
              <w:top w:w="19" w:type="dxa"/>
              <w:left w:w="19" w:type="dxa"/>
              <w:bottom w:w="19" w:type="dxa"/>
              <w:right w:w="19" w:type="dxa"/>
            </w:tcMar>
            <w:vAlign w:val="center"/>
          </w:tcPr>
          <w:p w14:paraId="3FF5634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Paraguai</w:t>
            </w:r>
          </w:p>
        </w:tc>
      </w:tr>
      <w:tr w:rsidR="007E74C0" w14:paraId="6B128429" w14:textId="77777777">
        <w:trPr>
          <w:trHeight w:val="239"/>
        </w:trPr>
        <w:tc>
          <w:tcPr>
            <w:tcW w:w="555" w:type="dxa"/>
            <w:tcBorders>
              <w:left w:val="nil"/>
              <w:bottom w:val="single" w:sz="12" w:space="0" w:color="000000"/>
              <w:right w:val="nil"/>
            </w:tcBorders>
            <w:tcMar>
              <w:top w:w="19" w:type="dxa"/>
              <w:left w:w="19" w:type="dxa"/>
              <w:bottom w:w="19" w:type="dxa"/>
              <w:right w:w="19" w:type="dxa"/>
            </w:tcMar>
            <w:vAlign w:val="center"/>
          </w:tcPr>
          <w:p w14:paraId="0A8794F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660" w:type="dxa"/>
            <w:tcBorders>
              <w:left w:val="nil"/>
              <w:bottom w:val="single" w:sz="12" w:space="0" w:color="000000"/>
              <w:right w:val="nil"/>
            </w:tcBorders>
            <w:tcMar>
              <w:top w:w="19" w:type="dxa"/>
              <w:left w:w="19" w:type="dxa"/>
              <w:bottom w:w="19" w:type="dxa"/>
              <w:right w:w="19" w:type="dxa"/>
            </w:tcMar>
            <w:vAlign w:val="center"/>
          </w:tcPr>
          <w:p w14:paraId="0E69775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w:t>
            </w:r>
          </w:p>
        </w:tc>
        <w:tc>
          <w:tcPr>
            <w:tcW w:w="4005" w:type="dxa"/>
            <w:tcBorders>
              <w:left w:val="nil"/>
              <w:bottom w:val="single" w:sz="12" w:space="0" w:color="000000"/>
              <w:right w:val="nil"/>
            </w:tcBorders>
            <w:tcMar>
              <w:top w:w="19" w:type="dxa"/>
              <w:left w:w="19" w:type="dxa"/>
              <w:bottom w:w="19" w:type="dxa"/>
              <w:right w:w="19" w:type="dxa"/>
            </w:tcMar>
            <w:vAlign w:val="center"/>
          </w:tcPr>
          <w:p w14:paraId="7F14B26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Smith-Castro, Montero-Rojas, Moreira-Mora &amp; Zamora-Araya</w:t>
            </w:r>
          </w:p>
        </w:tc>
        <w:tc>
          <w:tcPr>
            <w:tcW w:w="2325" w:type="dxa"/>
            <w:tcBorders>
              <w:left w:val="nil"/>
              <w:bottom w:val="single" w:sz="12" w:space="0" w:color="000000"/>
              <w:right w:val="nil"/>
            </w:tcBorders>
            <w:tcMar>
              <w:top w:w="19" w:type="dxa"/>
              <w:left w:w="19" w:type="dxa"/>
              <w:bottom w:w="19" w:type="dxa"/>
              <w:right w:w="19" w:type="dxa"/>
            </w:tcMar>
            <w:vAlign w:val="center"/>
          </w:tcPr>
          <w:p w14:paraId="580DEDA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500" w:type="dxa"/>
            <w:tcBorders>
              <w:left w:val="nil"/>
              <w:bottom w:val="single" w:sz="12" w:space="0" w:color="000000"/>
              <w:right w:val="nil"/>
            </w:tcBorders>
            <w:tcMar>
              <w:top w:w="19" w:type="dxa"/>
              <w:left w:w="19" w:type="dxa"/>
              <w:bottom w:w="19" w:type="dxa"/>
              <w:right w:w="19" w:type="dxa"/>
            </w:tcMar>
            <w:vAlign w:val="center"/>
          </w:tcPr>
          <w:p w14:paraId="29638C8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bl>
    <w:p w14:paraId="4064FB6D" w14:textId="77777777" w:rsidR="007E74C0" w:rsidRDefault="007E74C0">
      <w:pPr>
        <w:spacing w:line="240" w:lineRule="auto"/>
        <w:jc w:val="both"/>
        <w:rPr>
          <w:rFonts w:ascii="Times New Roman" w:eastAsia="Times New Roman" w:hAnsi="Times New Roman" w:cs="Times New Roman"/>
          <w:sz w:val="24"/>
          <w:szCs w:val="24"/>
        </w:rPr>
      </w:pPr>
    </w:p>
    <w:p w14:paraId="7D0E590A"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podemos perceber como, aos poucos, gênero ganha uma conotação mais ampla que no subtema anterior. Assim, destacamos um artigo sobre crenças de mulheres acerca de oportunidades na família, na escola e no trabalho, sendo apontado que o tradici</w:t>
      </w:r>
      <w:r>
        <w:rPr>
          <w:rFonts w:ascii="Times New Roman" w:eastAsia="Times New Roman" w:hAnsi="Times New Roman" w:cs="Times New Roman"/>
          <w:sz w:val="24"/>
          <w:szCs w:val="24"/>
        </w:rPr>
        <w:t>onal papel masculino ainda predominaria no Equador (IJP, 1998).</w:t>
      </w:r>
    </w:p>
    <w:p w14:paraId="2A7AC9AC"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Nesse subtema, há ainda artigos sobre identidades sexuais e de gênero. </w:t>
      </w:r>
      <w:r>
        <w:rPr>
          <w:rFonts w:ascii="Times New Roman" w:eastAsia="Times New Roman" w:hAnsi="Times New Roman" w:cs="Times New Roman"/>
          <w:sz w:val="24"/>
          <w:szCs w:val="24"/>
          <w:highlight w:val="white"/>
        </w:rPr>
        <w:t>Importante destacar que há diferentes siglas para designar esses grupos nos artigos, tais como GLS (gays, lésbicas e simp</w:t>
      </w:r>
      <w:r>
        <w:rPr>
          <w:rFonts w:ascii="Times New Roman" w:eastAsia="Times New Roman" w:hAnsi="Times New Roman" w:cs="Times New Roman"/>
          <w:sz w:val="24"/>
          <w:szCs w:val="24"/>
          <w:highlight w:val="white"/>
        </w:rPr>
        <w:t>atizantes), GLBT (gays, lésbicas, bissexuais e travestis), entre outras. Embora respeitada na citação indireta, a presente revisão utilizará, por vezes, a sigla LGBTT+ (lésbicas, gays, bissexuais, travestis, transexuais e outros) como termo guarda-chuva de</w:t>
      </w:r>
      <w:r>
        <w:rPr>
          <w:rFonts w:ascii="Times New Roman" w:eastAsia="Times New Roman" w:hAnsi="Times New Roman" w:cs="Times New Roman"/>
          <w:sz w:val="24"/>
          <w:szCs w:val="24"/>
          <w:highlight w:val="white"/>
        </w:rPr>
        <w:t xml:space="preserve"> marcadores sociais da diferença adotados em alguns setores da sociedade, embora reconheça o limite à representação de vivências e experiências pessoais representado pelo símbolo +.</w:t>
      </w:r>
    </w:p>
    <w:p w14:paraId="43979AD5"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Na amostra, esse debate </w:t>
      </w:r>
      <w:r>
        <w:rPr>
          <w:rFonts w:ascii="Times New Roman" w:eastAsia="Times New Roman" w:hAnsi="Times New Roman" w:cs="Times New Roman"/>
          <w:sz w:val="24"/>
          <w:szCs w:val="24"/>
        </w:rPr>
        <w:t>emerge com um artigo sobre adolescentes gays e bis</w:t>
      </w:r>
      <w:r>
        <w:rPr>
          <w:rFonts w:ascii="Times New Roman" w:eastAsia="Times New Roman" w:hAnsi="Times New Roman" w:cs="Times New Roman"/>
          <w:sz w:val="24"/>
          <w:szCs w:val="24"/>
        </w:rPr>
        <w:t>sexuais em Porto Rico (IJP, 2006) e, adiante, em outro</w:t>
      </w:r>
      <w:r>
        <w:rPr>
          <w:rFonts w:ascii="Times New Roman" w:eastAsia="Times New Roman" w:hAnsi="Times New Roman" w:cs="Times New Roman"/>
          <w:sz w:val="24"/>
          <w:szCs w:val="24"/>
          <w:highlight w:val="white"/>
        </w:rPr>
        <w:t xml:space="preserve"> sobre a construção da identidade de gênero e as descobertas teóricas no contexto cultural mexicano (IJP, 2009). Quanto aos sexismos, foram encontrados trabalhos sobre a homofobia face à união civil, na</w:t>
      </w:r>
      <w:r>
        <w:rPr>
          <w:rFonts w:ascii="Times New Roman" w:eastAsia="Times New Roman" w:hAnsi="Times New Roman" w:cs="Times New Roman"/>
          <w:sz w:val="24"/>
          <w:szCs w:val="24"/>
          <w:highlight w:val="white"/>
        </w:rPr>
        <w:t xml:space="preserve"> Costa Rica (IJP, 2011) e face à população LGBTI+ no Paraguai (IJP, 2018). Quanto a</w:t>
      </w:r>
      <w:r>
        <w:rPr>
          <w:rFonts w:ascii="Times New Roman" w:eastAsia="Times New Roman" w:hAnsi="Times New Roman" w:cs="Times New Roman"/>
          <w:sz w:val="24"/>
          <w:szCs w:val="24"/>
        </w:rPr>
        <w:t xml:space="preserve"> estereótipos de gênero e as ideologias sexistas em relação às mulheres, foram objeto de um estudos sobre o mercado de trabalho no Chile (IJP, 2014) e de outro sobre o desem</w:t>
      </w:r>
      <w:r>
        <w:rPr>
          <w:rFonts w:ascii="Times New Roman" w:eastAsia="Times New Roman" w:hAnsi="Times New Roman" w:cs="Times New Roman"/>
          <w:sz w:val="24"/>
          <w:szCs w:val="24"/>
        </w:rPr>
        <w:t>penho das mulheres na Matemática (IJP, 2019).</w:t>
      </w:r>
    </w:p>
    <w:p w14:paraId="2A1BC4EE" w14:textId="77777777" w:rsidR="007E74C0" w:rsidRDefault="007E74C0">
      <w:pPr>
        <w:spacing w:line="240" w:lineRule="auto"/>
        <w:ind w:firstLine="720"/>
        <w:jc w:val="both"/>
        <w:rPr>
          <w:rFonts w:ascii="Times New Roman" w:eastAsia="Times New Roman" w:hAnsi="Times New Roman" w:cs="Times New Roman"/>
          <w:sz w:val="24"/>
          <w:szCs w:val="24"/>
        </w:rPr>
      </w:pPr>
    </w:p>
    <w:p w14:paraId="065EB95A"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4.1.3 Masculinidades, práticas sexuais e de gênero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Nesse subtema, há dez artigos elencados a partir dos anos 1990 sobre os assuntos em pauta (Tabela 3).</w:t>
      </w:r>
    </w:p>
    <w:p w14:paraId="7AF971D5" w14:textId="77777777" w:rsidR="007E74C0" w:rsidRDefault="007E74C0">
      <w:pPr>
        <w:jc w:val="both"/>
        <w:rPr>
          <w:rFonts w:ascii="Times New Roman" w:eastAsia="Times New Roman" w:hAnsi="Times New Roman" w:cs="Times New Roman"/>
          <w:sz w:val="24"/>
          <w:szCs w:val="24"/>
        </w:rPr>
      </w:pPr>
    </w:p>
    <w:p w14:paraId="4E90E4CD"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3. Quadro de artigos - Subtema 3 (Tema 1)</w:t>
      </w:r>
    </w:p>
    <w:tbl>
      <w:tblPr>
        <w:tblStyle w:val="a1"/>
        <w:tblW w:w="90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3255"/>
        <w:gridCol w:w="2985"/>
        <w:gridCol w:w="1560"/>
      </w:tblGrid>
      <w:tr w:rsidR="007E74C0" w14:paraId="4B04846D" w14:textId="77777777">
        <w:trPr>
          <w:trHeight w:val="226"/>
        </w:trPr>
        <w:tc>
          <w:tcPr>
            <w:tcW w:w="1215" w:type="dxa"/>
            <w:gridSpan w:val="2"/>
            <w:tcBorders>
              <w:top w:val="single" w:sz="12" w:space="0" w:color="000000"/>
              <w:bottom w:val="single" w:sz="6" w:space="0" w:color="000000"/>
            </w:tcBorders>
          </w:tcPr>
          <w:p w14:paraId="27A6600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w:t>
            </w:r>
            <w:r>
              <w:rPr>
                <w:rFonts w:ascii="Times New Roman" w:eastAsia="Times New Roman" w:hAnsi="Times New Roman" w:cs="Times New Roman"/>
                <w:b/>
                <w:sz w:val="20"/>
                <w:szCs w:val="20"/>
              </w:rPr>
              <w:t>ta</w:t>
            </w:r>
          </w:p>
        </w:tc>
        <w:tc>
          <w:tcPr>
            <w:tcW w:w="3255" w:type="dxa"/>
            <w:vMerge w:val="restart"/>
            <w:tcBorders>
              <w:top w:val="single" w:sz="12" w:space="0" w:color="000000"/>
              <w:bottom w:val="single" w:sz="8" w:space="0" w:color="000000"/>
            </w:tcBorders>
            <w:vAlign w:val="center"/>
          </w:tcPr>
          <w:p w14:paraId="34BE6799"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079932E0"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98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1B416A2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37915B04"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6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5E5D78ED"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42F4F91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287FC8DE" w14:textId="77777777">
        <w:trPr>
          <w:trHeight w:val="226"/>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075935B9"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046EB1C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25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5A7FD23" w14:textId="77777777" w:rsidR="007E74C0" w:rsidRDefault="007E74C0">
            <w:pPr>
              <w:spacing w:line="240" w:lineRule="auto"/>
              <w:jc w:val="center"/>
              <w:rPr>
                <w:rFonts w:ascii="Times New Roman" w:eastAsia="Times New Roman" w:hAnsi="Times New Roman" w:cs="Times New Roman"/>
                <w:sz w:val="20"/>
                <w:szCs w:val="20"/>
              </w:rPr>
            </w:pPr>
          </w:p>
        </w:tc>
        <w:tc>
          <w:tcPr>
            <w:tcW w:w="298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38A6DE43" w14:textId="77777777" w:rsidR="007E74C0" w:rsidRDefault="007E74C0">
            <w:pPr>
              <w:spacing w:line="240" w:lineRule="auto"/>
              <w:jc w:val="center"/>
              <w:rPr>
                <w:rFonts w:ascii="Times New Roman" w:eastAsia="Times New Roman" w:hAnsi="Times New Roman" w:cs="Times New Roman"/>
                <w:sz w:val="20"/>
                <w:szCs w:val="20"/>
              </w:rPr>
            </w:pPr>
          </w:p>
        </w:tc>
        <w:tc>
          <w:tcPr>
            <w:tcW w:w="1560"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74A9932B" w14:textId="77777777" w:rsidR="007E74C0" w:rsidRDefault="007E74C0">
            <w:pPr>
              <w:spacing w:line="240" w:lineRule="auto"/>
              <w:jc w:val="center"/>
              <w:rPr>
                <w:rFonts w:ascii="Times New Roman" w:eastAsia="Times New Roman" w:hAnsi="Times New Roman" w:cs="Times New Roman"/>
                <w:sz w:val="20"/>
                <w:szCs w:val="20"/>
              </w:rPr>
            </w:pPr>
          </w:p>
        </w:tc>
      </w:tr>
      <w:tr w:rsidR="007E74C0" w14:paraId="72A249D6" w14:textId="77777777">
        <w:trPr>
          <w:trHeight w:val="198"/>
        </w:trPr>
        <w:tc>
          <w:tcPr>
            <w:tcW w:w="555" w:type="dxa"/>
            <w:tcBorders>
              <w:top w:val="nil"/>
              <w:left w:val="nil"/>
              <w:bottom w:val="nil"/>
              <w:right w:val="nil"/>
            </w:tcBorders>
            <w:shd w:val="clear" w:color="auto" w:fill="auto"/>
            <w:tcMar>
              <w:top w:w="19" w:type="dxa"/>
              <w:left w:w="19" w:type="dxa"/>
              <w:bottom w:w="19" w:type="dxa"/>
              <w:right w:w="19" w:type="dxa"/>
            </w:tcMar>
            <w:vAlign w:val="center"/>
          </w:tcPr>
          <w:p w14:paraId="4949A40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1992</w:t>
            </w:r>
          </w:p>
        </w:tc>
        <w:tc>
          <w:tcPr>
            <w:tcW w:w="660" w:type="dxa"/>
            <w:tcBorders>
              <w:top w:val="nil"/>
              <w:left w:val="nil"/>
              <w:bottom w:val="nil"/>
              <w:right w:val="nil"/>
            </w:tcBorders>
            <w:shd w:val="clear" w:color="auto" w:fill="auto"/>
            <w:tcMar>
              <w:top w:w="19" w:type="dxa"/>
              <w:left w:w="19" w:type="dxa"/>
              <w:bottom w:w="19" w:type="dxa"/>
              <w:right w:w="19" w:type="dxa"/>
            </w:tcMar>
            <w:vAlign w:val="center"/>
          </w:tcPr>
          <w:p w14:paraId="2926369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c>
          <w:tcPr>
            <w:tcW w:w="3255" w:type="dxa"/>
            <w:tcBorders>
              <w:top w:val="nil"/>
              <w:left w:val="nil"/>
              <w:bottom w:val="nil"/>
              <w:right w:val="nil"/>
            </w:tcBorders>
            <w:shd w:val="clear" w:color="auto" w:fill="auto"/>
            <w:tcMar>
              <w:top w:w="19" w:type="dxa"/>
              <w:left w:w="19" w:type="dxa"/>
              <w:bottom w:w="19" w:type="dxa"/>
              <w:right w:w="19" w:type="dxa"/>
            </w:tcMar>
            <w:vAlign w:val="center"/>
          </w:tcPr>
          <w:p w14:paraId="3A08685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Medina</w:t>
            </w:r>
          </w:p>
        </w:tc>
        <w:tc>
          <w:tcPr>
            <w:tcW w:w="2985" w:type="dxa"/>
            <w:tcBorders>
              <w:top w:val="nil"/>
              <w:left w:val="nil"/>
              <w:bottom w:val="nil"/>
              <w:right w:val="nil"/>
            </w:tcBorders>
            <w:shd w:val="clear" w:color="auto" w:fill="auto"/>
            <w:tcMar>
              <w:top w:w="19" w:type="dxa"/>
              <w:left w:w="19" w:type="dxa"/>
              <w:bottom w:w="19" w:type="dxa"/>
              <w:right w:w="19" w:type="dxa"/>
            </w:tcMar>
            <w:vAlign w:val="center"/>
          </w:tcPr>
          <w:p w14:paraId="6F96A6C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Masculinidades, Poder</w:t>
            </w:r>
          </w:p>
        </w:tc>
        <w:tc>
          <w:tcPr>
            <w:tcW w:w="1560" w:type="dxa"/>
            <w:tcBorders>
              <w:top w:val="nil"/>
              <w:left w:val="nil"/>
              <w:bottom w:val="nil"/>
              <w:right w:val="nil"/>
            </w:tcBorders>
            <w:shd w:val="clear" w:color="auto" w:fill="auto"/>
            <w:tcMar>
              <w:top w:w="19" w:type="dxa"/>
              <w:left w:w="19" w:type="dxa"/>
              <w:bottom w:w="19" w:type="dxa"/>
              <w:right w:w="19" w:type="dxa"/>
            </w:tcMar>
            <w:vAlign w:val="center"/>
          </w:tcPr>
          <w:p w14:paraId="0188A80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3BA3FF63" w14:textId="77777777">
        <w:trPr>
          <w:trHeight w:val="239"/>
        </w:trPr>
        <w:tc>
          <w:tcPr>
            <w:tcW w:w="555" w:type="dxa"/>
            <w:tcBorders>
              <w:top w:val="nil"/>
              <w:left w:val="nil"/>
              <w:right w:val="nil"/>
            </w:tcBorders>
            <w:shd w:val="clear" w:color="auto" w:fill="BFBFBF"/>
            <w:tcMar>
              <w:top w:w="19" w:type="dxa"/>
              <w:left w:w="19" w:type="dxa"/>
              <w:bottom w:w="19" w:type="dxa"/>
              <w:right w:w="19" w:type="dxa"/>
            </w:tcMar>
            <w:vAlign w:val="center"/>
          </w:tcPr>
          <w:p w14:paraId="56F7934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tc>
        <w:tc>
          <w:tcPr>
            <w:tcW w:w="660" w:type="dxa"/>
            <w:tcBorders>
              <w:top w:val="nil"/>
              <w:left w:val="nil"/>
              <w:right w:val="nil"/>
            </w:tcBorders>
            <w:shd w:val="clear" w:color="auto" w:fill="BFBFBF"/>
            <w:tcMar>
              <w:top w:w="19" w:type="dxa"/>
              <w:left w:w="19" w:type="dxa"/>
              <w:bottom w:w="19" w:type="dxa"/>
              <w:right w:w="19" w:type="dxa"/>
            </w:tcMar>
            <w:vAlign w:val="center"/>
          </w:tcPr>
          <w:p w14:paraId="72D9C57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w:t>
            </w:r>
          </w:p>
        </w:tc>
        <w:tc>
          <w:tcPr>
            <w:tcW w:w="3255" w:type="dxa"/>
            <w:tcBorders>
              <w:top w:val="nil"/>
              <w:left w:val="nil"/>
              <w:right w:val="nil"/>
            </w:tcBorders>
            <w:shd w:val="clear" w:color="auto" w:fill="BFBFBF"/>
            <w:tcMar>
              <w:top w:w="19" w:type="dxa"/>
              <w:left w:w="19" w:type="dxa"/>
              <w:bottom w:w="19" w:type="dxa"/>
              <w:right w:w="19" w:type="dxa"/>
            </w:tcMar>
            <w:vAlign w:val="center"/>
          </w:tcPr>
          <w:p w14:paraId="2779225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Diaz-Loving, Sánchez &amp; Aragón</w:t>
            </w:r>
          </w:p>
        </w:tc>
        <w:tc>
          <w:tcPr>
            <w:tcW w:w="2985" w:type="dxa"/>
            <w:tcBorders>
              <w:top w:val="nil"/>
              <w:left w:val="nil"/>
              <w:right w:val="nil"/>
            </w:tcBorders>
            <w:shd w:val="clear" w:color="auto" w:fill="BFBFBF"/>
            <w:tcMar>
              <w:top w:w="19" w:type="dxa"/>
              <w:left w:w="19" w:type="dxa"/>
              <w:bottom w:w="19" w:type="dxa"/>
              <w:right w:w="19" w:type="dxa"/>
            </w:tcMar>
            <w:vAlign w:val="center"/>
          </w:tcPr>
          <w:p w14:paraId="6D2697B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 Feminilidade</w:t>
            </w:r>
          </w:p>
        </w:tc>
        <w:tc>
          <w:tcPr>
            <w:tcW w:w="1560" w:type="dxa"/>
            <w:tcBorders>
              <w:top w:val="nil"/>
              <w:left w:val="nil"/>
              <w:right w:val="nil"/>
            </w:tcBorders>
            <w:shd w:val="clear" w:color="auto" w:fill="BFBFBF"/>
            <w:tcMar>
              <w:top w:w="19" w:type="dxa"/>
              <w:left w:w="19" w:type="dxa"/>
              <w:bottom w:w="19" w:type="dxa"/>
              <w:right w:w="19" w:type="dxa"/>
            </w:tcMar>
            <w:vAlign w:val="center"/>
          </w:tcPr>
          <w:p w14:paraId="7C96AE2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1610C38A" w14:textId="77777777">
        <w:trPr>
          <w:trHeight w:val="239"/>
        </w:trPr>
        <w:tc>
          <w:tcPr>
            <w:tcW w:w="555" w:type="dxa"/>
            <w:vMerge w:val="restart"/>
            <w:tcBorders>
              <w:top w:val="nil"/>
              <w:left w:val="nil"/>
              <w:right w:val="nil"/>
            </w:tcBorders>
            <w:tcMar>
              <w:top w:w="19" w:type="dxa"/>
              <w:left w:w="19" w:type="dxa"/>
              <w:bottom w:w="19" w:type="dxa"/>
              <w:right w:w="19" w:type="dxa"/>
            </w:tcMar>
            <w:vAlign w:val="center"/>
          </w:tcPr>
          <w:p w14:paraId="1D893E2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vMerge w:val="restart"/>
            <w:tcBorders>
              <w:top w:val="nil"/>
              <w:left w:val="nil"/>
              <w:right w:val="nil"/>
            </w:tcBorders>
            <w:tcMar>
              <w:top w:w="19" w:type="dxa"/>
              <w:left w:w="19" w:type="dxa"/>
              <w:bottom w:w="19" w:type="dxa"/>
              <w:right w:w="19" w:type="dxa"/>
            </w:tcMar>
            <w:vAlign w:val="center"/>
          </w:tcPr>
          <w:p w14:paraId="35211E3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w:t>
            </w:r>
          </w:p>
        </w:tc>
        <w:tc>
          <w:tcPr>
            <w:tcW w:w="3255" w:type="dxa"/>
            <w:tcBorders>
              <w:top w:val="nil"/>
              <w:left w:val="nil"/>
              <w:right w:val="nil"/>
            </w:tcBorders>
            <w:tcMar>
              <w:top w:w="19" w:type="dxa"/>
              <w:left w:w="19" w:type="dxa"/>
              <w:bottom w:w="19" w:type="dxa"/>
              <w:right w:w="19" w:type="dxa"/>
            </w:tcMar>
            <w:vAlign w:val="center"/>
          </w:tcPr>
          <w:p w14:paraId="52907CC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García-Campos</w:t>
            </w:r>
          </w:p>
        </w:tc>
        <w:tc>
          <w:tcPr>
            <w:tcW w:w="2985" w:type="dxa"/>
            <w:tcBorders>
              <w:top w:val="nil"/>
              <w:left w:val="nil"/>
              <w:right w:val="nil"/>
            </w:tcBorders>
            <w:tcMar>
              <w:top w:w="19" w:type="dxa"/>
              <w:left w:w="19" w:type="dxa"/>
              <w:bottom w:w="19" w:type="dxa"/>
              <w:right w:w="19" w:type="dxa"/>
            </w:tcMar>
            <w:vAlign w:val="center"/>
          </w:tcPr>
          <w:p w14:paraId="0C1051A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Masculinidades, Papéis sexuais</w:t>
            </w:r>
          </w:p>
        </w:tc>
        <w:tc>
          <w:tcPr>
            <w:tcW w:w="1560" w:type="dxa"/>
            <w:tcBorders>
              <w:top w:val="nil"/>
              <w:left w:val="nil"/>
              <w:right w:val="nil"/>
            </w:tcBorders>
            <w:tcMar>
              <w:top w:w="19" w:type="dxa"/>
              <w:left w:w="19" w:type="dxa"/>
              <w:bottom w:w="19" w:type="dxa"/>
              <w:right w:w="19" w:type="dxa"/>
            </w:tcMar>
            <w:vAlign w:val="center"/>
          </w:tcPr>
          <w:p w14:paraId="6919990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68A7898F" w14:textId="77777777">
        <w:trPr>
          <w:trHeight w:val="239"/>
        </w:trPr>
        <w:tc>
          <w:tcPr>
            <w:tcW w:w="555" w:type="dxa"/>
            <w:vMerge/>
            <w:tcBorders>
              <w:top w:val="nil"/>
              <w:left w:val="nil"/>
              <w:right w:val="nil"/>
            </w:tcBorders>
            <w:tcMar>
              <w:top w:w="19" w:type="dxa"/>
              <w:left w:w="19" w:type="dxa"/>
              <w:bottom w:w="19" w:type="dxa"/>
              <w:right w:w="19" w:type="dxa"/>
            </w:tcMar>
            <w:vAlign w:val="center"/>
          </w:tcPr>
          <w:p w14:paraId="1C2A53BC"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vMerge/>
            <w:tcBorders>
              <w:top w:val="nil"/>
              <w:left w:val="nil"/>
              <w:right w:val="nil"/>
            </w:tcBorders>
            <w:tcMar>
              <w:top w:w="19" w:type="dxa"/>
              <w:left w:w="19" w:type="dxa"/>
              <w:bottom w:w="19" w:type="dxa"/>
              <w:right w:w="19" w:type="dxa"/>
            </w:tcMar>
            <w:vAlign w:val="center"/>
          </w:tcPr>
          <w:p w14:paraId="1EDB1B88" w14:textId="77777777" w:rsidR="007E74C0" w:rsidRDefault="007E74C0">
            <w:pPr>
              <w:spacing w:line="240" w:lineRule="auto"/>
              <w:jc w:val="center"/>
              <w:rPr>
                <w:rFonts w:ascii="Times New Roman" w:eastAsia="Times New Roman" w:hAnsi="Times New Roman" w:cs="Times New Roman"/>
                <w:sz w:val="20"/>
                <w:szCs w:val="20"/>
              </w:rPr>
            </w:pPr>
          </w:p>
        </w:tc>
        <w:tc>
          <w:tcPr>
            <w:tcW w:w="3255" w:type="dxa"/>
            <w:tcBorders>
              <w:top w:val="nil"/>
              <w:left w:val="nil"/>
              <w:right w:val="nil"/>
            </w:tcBorders>
            <w:tcMar>
              <w:top w:w="19" w:type="dxa"/>
              <w:left w:w="19" w:type="dxa"/>
              <w:bottom w:w="19" w:type="dxa"/>
              <w:right w:w="19" w:type="dxa"/>
            </w:tcMar>
            <w:vAlign w:val="center"/>
          </w:tcPr>
          <w:p w14:paraId="56BBE7C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Cardoso</w:t>
            </w:r>
          </w:p>
        </w:tc>
        <w:tc>
          <w:tcPr>
            <w:tcW w:w="2985" w:type="dxa"/>
            <w:tcBorders>
              <w:top w:val="nil"/>
              <w:left w:val="nil"/>
              <w:right w:val="nil"/>
            </w:tcBorders>
            <w:tcMar>
              <w:top w:w="19" w:type="dxa"/>
              <w:left w:w="19" w:type="dxa"/>
              <w:bottom w:w="19" w:type="dxa"/>
              <w:right w:w="19" w:type="dxa"/>
            </w:tcMar>
            <w:vAlign w:val="center"/>
          </w:tcPr>
          <w:p w14:paraId="01B7A00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sexual, Motricidade</w:t>
            </w:r>
          </w:p>
        </w:tc>
        <w:tc>
          <w:tcPr>
            <w:tcW w:w="1560" w:type="dxa"/>
            <w:tcBorders>
              <w:top w:val="nil"/>
              <w:left w:val="nil"/>
              <w:right w:val="nil"/>
            </w:tcBorders>
            <w:tcMar>
              <w:top w:w="19" w:type="dxa"/>
              <w:left w:w="19" w:type="dxa"/>
              <w:bottom w:w="19" w:type="dxa"/>
              <w:right w:w="19" w:type="dxa"/>
            </w:tcMar>
            <w:vAlign w:val="center"/>
          </w:tcPr>
          <w:p w14:paraId="7C83D5A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7AD3215" w14:textId="77777777">
        <w:trPr>
          <w:trHeight w:val="239"/>
        </w:trPr>
        <w:tc>
          <w:tcPr>
            <w:tcW w:w="555" w:type="dxa"/>
            <w:vMerge/>
            <w:tcBorders>
              <w:top w:val="nil"/>
              <w:left w:val="nil"/>
              <w:right w:val="nil"/>
            </w:tcBorders>
            <w:tcMar>
              <w:top w:w="19" w:type="dxa"/>
              <w:left w:w="19" w:type="dxa"/>
              <w:bottom w:w="19" w:type="dxa"/>
              <w:right w:w="19" w:type="dxa"/>
            </w:tcMar>
            <w:vAlign w:val="center"/>
          </w:tcPr>
          <w:p w14:paraId="7E551E78"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top w:val="nil"/>
              <w:left w:val="nil"/>
              <w:right w:val="nil"/>
            </w:tcBorders>
            <w:tcMar>
              <w:top w:w="19" w:type="dxa"/>
              <w:left w:w="19" w:type="dxa"/>
              <w:bottom w:w="19" w:type="dxa"/>
              <w:right w:w="19" w:type="dxa"/>
            </w:tcMar>
            <w:vAlign w:val="center"/>
          </w:tcPr>
          <w:p w14:paraId="227ED48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3255" w:type="dxa"/>
            <w:tcBorders>
              <w:top w:val="nil"/>
              <w:left w:val="nil"/>
              <w:right w:val="nil"/>
            </w:tcBorders>
            <w:tcMar>
              <w:top w:w="19" w:type="dxa"/>
              <w:left w:w="19" w:type="dxa"/>
              <w:bottom w:w="19" w:type="dxa"/>
              <w:right w:w="19" w:type="dxa"/>
            </w:tcMar>
            <w:vAlign w:val="center"/>
          </w:tcPr>
          <w:p w14:paraId="76AC57D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La Rubia</w:t>
            </w:r>
          </w:p>
        </w:tc>
        <w:tc>
          <w:tcPr>
            <w:tcW w:w="2985" w:type="dxa"/>
            <w:tcBorders>
              <w:top w:val="nil"/>
              <w:left w:val="nil"/>
              <w:right w:val="nil"/>
            </w:tcBorders>
            <w:tcMar>
              <w:top w:w="19" w:type="dxa"/>
              <w:left w:w="19" w:type="dxa"/>
              <w:bottom w:w="19" w:type="dxa"/>
              <w:right w:w="19" w:type="dxa"/>
            </w:tcMar>
            <w:vAlign w:val="center"/>
          </w:tcPr>
          <w:p w14:paraId="4CB1FB2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(satisfação sexual)</w:t>
            </w:r>
          </w:p>
        </w:tc>
        <w:tc>
          <w:tcPr>
            <w:tcW w:w="1560" w:type="dxa"/>
            <w:tcBorders>
              <w:top w:val="nil"/>
              <w:left w:val="nil"/>
              <w:right w:val="nil"/>
            </w:tcBorders>
            <w:tcMar>
              <w:top w:w="19" w:type="dxa"/>
              <w:left w:w="19" w:type="dxa"/>
              <w:bottom w:w="19" w:type="dxa"/>
              <w:right w:w="19" w:type="dxa"/>
            </w:tcMar>
            <w:vAlign w:val="center"/>
          </w:tcPr>
          <w:p w14:paraId="62FC64A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09BF5E1D" w14:textId="77777777">
        <w:trPr>
          <w:trHeight w:val="239"/>
        </w:trPr>
        <w:tc>
          <w:tcPr>
            <w:tcW w:w="555" w:type="dxa"/>
            <w:vMerge w:val="restart"/>
            <w:tcBorders>
              <w:left w:val="nil"/>
              <w:bottom w:val="nil"/>
              <w:right w:val="nil"/>
            </w:tcBorders>
            <w:shd w:val="clear" w:color="auto" w:fill="BFBFBF"/>
            <w:tcMar>
              <w:top w:w="19" w:type="dxa"/>
              <w:left w:w="19" w:type="dxa"/>
              <w:bottom w:w="19" w:type="dxa"/>
              <w:right w:w="19" w:type="dxa"/>
            </w:tcMar>
            <w:vAlign w:val="center"/>
          </w:tcPr>
          <w:p w14:paraId="1A670EF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2011</w:t>
            </w:r>
          </w:p>
        </w:tc>
        <w:tc>
          <w:tcPr>
            <w:tcW w:w="660" w:type="dxa"/>
            <w:vMerge w:val="restart"/>
            <w:tcBorders>
              <w:left w:val="nil"/>
              <w:bottom w:val="nil"/>
              <w:right w:val="nil"/>
            </w:tcBorders>
            <w:shd w:val="clear" w:color="auto" w:fill="BFBFBF"/>
            <w:tcMar>
              <w:top w:w="19" w:type="dxa"/>
              <w:left w:w="19" w:type="dxa"/>
              <w:bottom w:w="19" w:type="dxa"/>
              <w:right w:w="19" w:type="dxa"/>
            </w:tcMar>
            <w:vAlign w:val="center"/>
          </w:tcPr>
          <w:p w14:paraId="7EB5200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w:t>
            </w:r>
          </w:p>
        </w:tc>
        <w:tc>
          <w:tcPr>
            <w:tcW w:w="3255" w:type="dxa"/>
            <w:tcBorders>
              <w:left w:val="nil"/>
              <w:bottom w:val="nil"/>
              <w:right w:val="nil"/>
            </w:tcBorders>
            <w:shd w:val="clear" w:color="auto" w:fill="BFBFBF"/>
            <w:tcMar>
              <w:top w:w="19" w:type="dxa"/>
              <w:left w:w="19" w:type="dxa"/>
              <w:bottom w:w="19" w:type="dxa"/>
              <w:right w:w="19" w:type="dxa"/>
            </w:tcMar>
            <w:vAlign w:val="center"/>
          </w:tcPr>
          <w:p w14:paraId="059B46C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Rodríguez &amp; Alfonso</w:t>
            </w:r>
          </w:p>
        </w:tc>
        <w:tc>
          <w:tcPr>
            <w:tcW w:w="2985" w:type="dxa"/>
            <w:tcBorders>
              <w:left w:val="nil"/>
              <w:bottom w:val="nil"/>
              <w:right w:val="nil"/>
            </w:tcBorders>
            <w:shd w:val="clear" w:color="auto" w:fill="BFBFBF"/>
            <w:tcMar>
              <w:top w:w="19" w:type="dxa"/>
              <w:left w:w="19" w:type="dxa"/>
              <w:bottom w:w="19" w:type="dxa"/>
              <w:right w:w="19" w:type="dxa"/>
            </w:tcMar>
            <w:vAlign w:val="center"/>
          </w:tcPr>
          <w:p w14:paraId="30F7E33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Sexualidade, Papéis de gênero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30D580E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594A2D2E" w14:textId="77777777">
        <w:trPr>
          <w:trHeight w:val="239"/>
        </w:trPr>
        <w:tc>
          <w:tcPr>
            <w:tcW w:w="555" w:type="dxa"/>
            <w:vMerge/>
            <w:tcBorders>
              <w:left w:val="nil"/>
              <w:bottom w:val="nil"/>
              <w:right w:val="nil"/>
            </w:tcBorders>
            <w:shd w:val="clear" w:color="auto" w:fill="BFBFBF"/>
            <w:tcMar>
              <w:top w:w="19" w:type="dxa"/>
              <w:left w:w="19" w:type="dxa"/>
              <w:bottom w:w="19" w:type="dxa"/>
              <w:right w:w="19" w:type="dxa"/>
            </w:tcMar>
            <w:vAlign w:val="center"/>
          </w:tcPr>
          <w:p w14:paraId="0D8A2E7E"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vMerge/>
            <w:tcBorders>
              <w:left w:val="nil"/>
              <w:bottom w:val="nil"/>
              <w:right w:val="nil"/>
            </w:tcBorders>
            <w:shd w:val="clear" w:color="auto" w:fill="BFBFBF"/>
            <w:tcMar>
              <w:top w:w="19" w:type="dxa"/>
              <w:left w:w="19" w:type="dxa"/>
              <w:bottom w:w="19" w:type="dxa"/>
              <w:right w:w="19" w:type="dxa"/>
            </w:tcMar>
            <w:vAlign w:val="center"/>
          </w:tcPr>
          <w:p w14:paraId="092654D8" w14:textId="77777777" w:rsidR="007E74C0" w:rsidRDefault="007E74C0">
            <w:pPr>
              <w:spacing w:line="240" w:lineRule="auto"/>
              <w:jc w:val="center"/>
              <w:rPr>
                <w:rFonts w:ascii="Times New Roman" w:eastAsia="Times New Roman" w:hAnsi="Times New Roman" w:cs="Times New Roman"/>
                <w:sz w:val="20"/>
                <w:szCs w:val="20"/>
              </w:rPr>
            </w:pPr>
          </w:p>
        </w:tc>
        <w:tc>
          <w:tcPr>
            <w:tcW w:w="3255" w:type="dxa"/>
            <w:tcBorders>
              <w:left w:val="nil"/>
              <w:bottom w:val="nil"/>
              <w:right w:val="nil"/>
            </w:tcBorders>
            <w:shd w:val="clear" w:color="auto" w:fill="BFBFBF"/>
            <w:tcMar>
              <w:top w:w="19" w:type="dxa"/>
              <w:left w:w="19" w:type="dxa"/>
              <w:bottom w:w="19" w:type="dxa"/>
              <w:right w:w="19" w:type="dxa"/>
            </w:tcMar>
            <w:vAlign w:val="center"/>
          </w:tcPr>
          <w:p w14:paraId="1E91975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Rubia</w:t>
            </w:r>
          </w:p>
        </w:tc>
        <w:tc>
          <w:tcPr>
            <w:tcW w:w="2985" w:type="dxa"/>
            <w:tcBorders>
              <w:left w:val="nil"/>
              <w:bottom w:val="nil"/>
              <w:right w:val="nil"/>
            </w:tcBorders>
            <w:shd w:val="clear" w:color="auto" w:fill="BFBFBF"/>
            <w:tcMar>
              <w:top w:w="19" w:type="dxa"/>
              <w:left w:w="19" w:type="dxa"/>
              <w:bottom w:w="19" w:type="dxa"/>
              <w:right w:w="19" w:type="dxa"/>
            </w:tcMar>
            <w:vAlign w:val="center"/>
          </w:tcPr>
          <w:p w14:paraId="5268D42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(masturbação)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1A9ECDC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7E7268DF" w14:textId="77777777">
        <w:trPr>
          <w:trHeight w:val="239"/>
        </w:trPr>
        <w:tc>
          <w:tcPr>
            <w:tcW w:w="555" w:type="dxa"/>
            <w:vMerge/>
            <w:tcBorders>
              <w:left w:val="nil"/>
              <w:bottom w:val="nil"/>
              <w:right w:val="nil"/>
            </w:tcBorders>
            <w:tcMar>
              <w:top w:w="19" w:type="dxa"/>
              <w:left w:w="19" w:type="dxa"/>
              <w:bottom w:w="19" w:type="dxa"/>
              <w:right w:w="19" w:type="dxa"/>
            </w:tcMar>
            <w:vAlign w:val="center"/>
          </w:tcPr>
          <w:p w14:paraId="0DB41348"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left w:val="nil"/>
              <w:bottom w:val="nil"/>
              <w:right w:val="nil"/>
            </w:tcBorders>
            <w:shd w:val="clear" w:color="auto" w:fill="BFBFBF"/>
            <w:tcMar>
              <w:top w:w="19" w:type="dxa"/>
              <w:left w:w="19" w:type="dxa"/>
              <w:bottom w:w="19" w:type="dxa"/>
              <w:right w:w="19" w:type="dxa"/>
            </w:tcMar>
            <w:vAlign w:val="center"/>
          </w:tcPr>
          <w:p w14:paraId="5054754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3255" w:type="dxa"/>
            <w:tcBorders>
              <w:left w:val="nil"/>
              <w:bottom w:val="nil"/>
              <w:right w:val="nil"/>
            </w:tcBorders>
            <w:shd w:val="clear" w:color="auto" w:fill="BFBFBF"/>
            <w:tcMar>
              <w:top w:w="19" w:type="dxa"/>
              <w:left w:w="19" w:type="dxa"/>
              <w:bottom w:w="19" w:type="dxa"/>
              <w:right w:w="19" w:type="dxa"/>
            </w:tcMar>
            <w:vAlign w:val="center"/>
          </w:tcPr>
          <w:p w14:paraId="53238FD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Alvarado, Borjas e Ortega</w:t>
            </w:r>
          </w:p>
        </w:tc>
        <w:tc>
          <w:tcPr>
            <w:tcW w:w="2985" w:type="dxa"/>
            <w:tcBorders>
              <w:left w:val="nil"/>
              <w:bottom w:val="nil"/>
              <w:right w:val="nil"/>
            </w:tcBorders>
            <w:shd w:val="clear" w:color="auto" w:fill="BFBFBF"/>
            <w:tcMar>
              <w:top w:w="19" w:type="dxa"/>
              <w:left w:w="19" w:type="dxa"/>
              <w:bottom w:w="19" w:type="dxa"/>
              <w:right w:w="19" w:type="dxa"/>
            </w:tcMar>
            <w:vAlign w:val="center"/>
          </w:tcPr>
          <w:p w14:paraId="1650FDC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(satisfação sexual)</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3C254FC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777D86A4" w14:textId="77777777">
        <w:trPr>
          <w:trHeight w:val="239"/>
        </w:trPr>
        <w:tc>
          <w:tcPr>
            <w:tcW w:w="555" w:type="dxa"/>
            <w:vMerge/>
            <w:tcBorders>
              <w:left w:val="nil"/>
              <w:bottom w:val="nil"/>
              <w:right w:val="nil"/>
            </w:tcBorders>
            <w:tcMar>
              <w:top w:w="19" w:type="dxa"/>
              <w:left w:w="19" w:type="dxa"/>
              <w:bottom w:w="19" w:type="dxa"/>
              <w:right w:w="19" w:type="dxa"/>
            </w:tcMar>
            <w:vAlign w:val="center"/>
          </w:tcPr>
          <w:p w14:paraId="062E1C37"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left w:val="nil"/>
              <w:bottom w:val="nil"/>
              <w:right w:val="nil"/>
            </w:tcBorders>
            <w:shd w:val="clear" w:color="auto" w:fill="BFBFBF"/>
            <w:tcMar>
              <w:top w:w="19" w:type="dxa"/>
              <w:left w:w="19" w:type="dxa"/>
              <w:bottom w:w="19" w:type="dxa"/>
              <w:right w:w="19" w:type="dxa"/>
            </w:tcMar>
            <w:vAlign w:val="center"/>
          </w:tcPr>
          <w:p w14:paraId="31FD1E5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45(3)</w:t>
            </w:r>
          </w:p>
        </w:tc>
        <w:tc>
          <w:tcPr>
            <w:tcW w:w="3255" w:type="dxa"/>
            <w:tcBorders>
              <w:left w:val="nil"/>
              <w:bottom w:val="nil"/>
              <w:right w:val="nil"/>
            </w:tcBorders>
            <w:shd w:val="clear" w:color="auto" w:fill="BFBFBF"/>
            <w:tcMar>
              <w:top w:w="19" w:type="dxa"/>
              <w:left w:w="19" w:type="dxa"/>
              <w:bottom w:w="19" w:type="dxa"/>
              <w:right w:w="19" w:type="dxa"/>
            </w:tcMar>
            <w:vAlign w:val="center"/>
          </w:tcPr>
          <w:p w14:paraId="5682619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Rodríguez e Loving</w:t>
            </w:r>
          </w:p>
        </w:tc>
        <w:tc>
          <w:tcPr>
            <w:tcW w:w="2985" w:type="dxa"/>
            <w:tcBorders>
              <w:left w:val="nil"/>
              <w:bottom w:val="nil"/>
              <w:right w:val="nil"/>
            </w:tcBorders>
            <w:shd w:val="clear" w:color="auto" w:fill="BFBFBF"/>
            <w:tcMar>
              <w:top w:w="19" w:type="dxa"/>
              <w:left w:w="19" w:type="dxa"/>
              <w:bottom w:w="19" w:type="dxa"/>
              <w:right w:w="19" w:type="dxa"/>
            </w:tcMar>
            <w:vAlign w:val="center"/>
          </w:tcPr>
          <w:p w14:paraId="62E8056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(motivação sexual)</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7A24F95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6654951E" w14:textId="77777777">
        <w:trPr>
          <w:trHeight w:val="239"/>
        </w:trPr>
        <w:tc>
          <w:tcPr>
            <w:tcW w:w="555" w:type="dxa"/>
            <w:tcBorders>
              <w:left w:val="nil"/>
              <w:bottom w:val="single" w:sz="12" w:space="0" w:color="000000"/>
              <w:right w:val="nil"/>
            </w:tcBorders>
            <w:tcMar>
              <w:top w:w="19" w:type="dxa"/>
              <w:left w:w="19" w:type="dxa"/>
              <w:bottom w:w="19" w:type="dxa"/>
              <w:right w:w="19" w:type="dxa"/>
            </w:tcMar>
            <w:vAlign w:val="center"/>
          </w:tcPr>
          <w:p w14:paraId="25A3494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660" w:type="dxa"/>
            <w:tcBorders>
              <w:left w:val="nil"/>
              <w:bottom w:val="single" w:sz="12" w:space="0" w:color="000000"/>
              <w:right w:val="nil"/>
            </w:tcBorders>
            <w:tcMar>
              <w:top w:w="19" w:type="dxa"/>
              <w:left w:w="19" w:type="dxa"/>
              <w:bottom w:w="19" w:type="dxa"/>
              <w:right w:w="19" w:type="dxa"/>
            </w:tcMar>
            <w:vAlign w:val="center"/>
          </w:tcPr>
          <w:p w14:paraId="043EDA7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50(2)</w:t>
            </w:r>
          </w:p>
        </w:tc>
        <w:tc>
          <w:tcPr>
            <w:tcW w:w="3255" w:type="dxa"/>
            <w:tcBorders>
              <w:left w:val="nil"/>
              <w:bottom w:val="single" w:sz="12" w:space="0" w:color="000000"/>
              <w:right w:val="nil"/>
            </w:tcBorders>
            <w:tcMar>
              <w:top w:w="19" w:type="dxa"/>
              <w:left w:w="19" w:type="dxa"/>
              <w:bottom w:w="19" w:type="dxa"/>
              <w:right w:w="19" w:type="dxa"/>
            </w:tcMar>
            <w:vAlign w:val="center"/>
          </w:tcPr>
          <w:p w14:paraId="7A5017D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Gutiérrez</w:t>
            </w:r>
          </w:p>
        </w:tc>
        <w:tc>
          <w:tcPr>
            <w:tcW w:w="2985" w:type="dxa"/>
            <w:tcBorders>
              <w:left w:val="nil"/>
              <w:bottom w:val="single" w:sz="12" w:space="0" w:color="000000"/>
              <w:right w:val="nil"/>
            </w:tcBorders>
            <w:tcMar>
              <w:top w:w="19" w:type="dxa"/>
              <w:left w:w="19" w:type="dxa"/>
              <w:bottom w:w="19" w:type="dxa"/>
              <w:right w:w="19" w:type="dxa"/>
            </w:tcMar>
            <w:vAlign w:val="center"/>
          </w:tcPr>
          <w:p w14:paraId="6DAF82A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Sexualidades, Homens transexuais</w:t>
            </w:r>
          </w:p>
        </w:tc>
        <w:tc>
          <w:tcPr>
            <w:tcW w:w="1560" w:type="dxa"/>
            <w:tcBorders>
              <w:left w:val="nil"/>
              <w:bottom w:val="single" w:sz="12" w:space="0" w:color="000000"/>
              <w:right w:val="nil"/>
            </w:tcBorders>
            <w:tcMar>
              <w:top w:w="19" w:type="dxa"/>
              <w:left w:w="19" w:type="dxa"/>
              <w:bottom w:w="19" w:type="dxa"/>
              <w:right w:w="19" w:type="dxa"/>
            </w:tcMar>
            <w:vAlign w:val="center"/>
          </w:tcPr>
          <w:p w14:paraId="0134EC2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bl>
    <w:p w14:paraId="55E990E4" w14:textId="77777777" w:rsidR="007E74C0" w:rsidRDefault="007E74C0">
      <w:pPr>
        <w:spacing w:line="240" w:lineRule="auto"/>
        <w:jc w:val="both"/>
        <w:rPr>
          <w:rFonts w:ascii="Times New Roman" w:eastAsia="Times New Roman" w:hAnsi="Times New Roman" w:cs="Times New Roman"/>
          <w:sz w:val="24"/>
          <w:szCs w:val="24"/>
        </w:rPr>
      </w:pPr>
    </w:p>
    <w:p w14:paraId="7C685CD5"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esses dados, portanto, o primeiro assunto deste subtema (masculinidades) surge a partir dos anos 1990 na amostra, com um estudo teórico</w:t>
      </w:r>
      <w:r>
        <w:rPr>
          <w:rFonts w:ascii="Times New Roman" w:eastAsia="Times New Roman" w:hAnsi="Times New Roman" w:cs="Times New Roman"/>
          <w:sz w:val="24"/>
          <w:szCs w:val="24"/>
          <w:highlight w:val="white"/>
        </w:rPr>
        <w:t xml:space="preserve"> preocupado também com o modo com que as relações de gênero envolvem relações de poder nos grupos com homens (IJP</w:t>
      </w:r>
      <w:r>
        <w:rPr>
          <w:rFonts w:ascii="Times New Roman" w:eastAsia="Times New Roman" w:hAnsi="Times New Roman" w:cs="Times New Roman"/>
          <w:sz w:val="24"/>
          <w:szCs w:val="24"/>
          <w:highlight w:val="white"/>
        </w:rPr>
        <w:t>, 1992).</w:t>
      </w:r>
      <w:r>
        <w:rPr>
          <w:rFonts w:ascii="Times New Roman" w:eastAsia="Times New Roman" w:hAnsi="Times New Roman" w:cs="Times New Roman"/>
          <w:sz w:val="24"/>
          <w:szCs w:val="24"/>
        </w:rPr>
        <w:t xml:space="preserve"> Esse achado está consoante à literatura, notadamente Medrado e Lyra (2008) e Souza </w:t>
      </w:r>
      <w:r>
        <w:rPr>
          <w:rFonts w:ascii="Times New Roman" w:eastAsia="Times New Roman" w:hAnsi="Times New Roman" w:cs="Times New Roman"/>
          <w:sz w:val="24"/>
          <w:szCs w:val="24"/>
        </w:rPr>
        <w:lastRenderedPageBreak/>
        <w:t>(2009), no que tange ao aumento da produção no período, bem como Medrado e Lyra (2012) quanto à influência dos movimentos feministas e LGBTT+ nessa produção.</w:t>
      </w:r>
    </w:p>
    <w:p w14:paraId="4ABE47B2"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ger</w:t>
      </w:r>
      <w:r>
        <w:rPr>
          <w:rFonts w:ascii="Times New Roman" w:eastAsia="Times New Roman" w:hAnsi="Times New Roman" w:cs="Times New Roman"/>
          <w:sz w:val="24"/>
          <w:szCs w:val="24"/>
        </w:rPr>
        <w:t xml:space="preserve">al, esses estudos sobre masculinidades ainda não se dissociam de todo daqueles sobre papéis sexuais vistos no subtema 1. Assim, no início dos anos 2000, comparece um artigo em busca de instrumento etnopsicologicamente válido dos atributos de masculinidade </w:t>
      </w:r>
      <w:r>
        <w:rPr>
          <w:rFonts w:ascii="Times New Roman" w:eastAsia="Times New Roman" w:hAnsi="Times New Roman" w:cs="Times New Roman"/>
          <w:sz w:val="24"/>
          <w:szCs w:val="24"/>
        </w:rPr>
        <w:t>e feminilidade do povo mexicano (IJP, 2004), além de um estudo da influência de variáveis sociodemográficas na expressão dos papéis sexuais no México (IJP, 2008).</w:t>
      </w:r>
    </w:p>
    <w:p w14:paraId="00D15C4C"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Quanto às práticas sexuais, </w:t>
      </w:r>
      <w:r>
        <w:rPr>
          <w:rFonts w:ascii="Times New Roman" w:eastAsia="Times New Roman" w:hAnsi="Times New Roman" w:cs="Times New Roman"/>
          <w:sz w:val="24"/>
          <w:szCs w:val="24"/>
          <w:highlight w:val="white"/>
        </w:rPr>
        <w:t>lembramos que a revisão contou os descritores sexo e sexua em pra</w:t>
      </w:r>
      <w:r>
        <w:rPr>
          <w:rFonts w:ascii="Times New Roman" w:eastAsia="Times New Roman" w:hAnsi="Times New Roman" w:cs="Times New Roman"/>
          <w:sz w:val="24"/>
          <w:szCs w:val="24"/>
          <w:highlight w:val="white"/>
        </w:rPr>
        <w:t>ticamente todas as décadas, sobretudo a partir dos anos 2000, como indicam os outros artigos da tabela. O último (IJP, 2016) investigou os sentidos da sexualidade de homens trans para além dos processos patologizantes, sendo pioneiro nessa área no Chile.</w:t>
      </w:r>
    </w:p>
    <w:p w14:paraId="7ACE80E9" w14:textId="77777777" w:rsidR="007E74C0" w:rsidRDefault="007E74C0">
      <w:pPr>
        <w:spacing w:line="240" w:lineRule="auto"/>
        <w:jc w:val="both"/>
        <w:rPr>
          <w:rFonts w:ascii="Times New Roman" w:eastAsia="Times New Roman" w:hAnsi="Times New Roman" w:cs="Times New Roman"/>
          <w:sz w:val="24"/>
          <w:szCs w:val="24"/>
          <w:highlight w:val="white"/>
        </w:rPr>
      </w:pPr>
    </w:p>
    <w:p w14:paraId="5F34586A"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 xml:space="preserve">4.1.4 </w:t>
      </w:r>
      <w:r>
        <w:rPr>
          <w:rFonts w:ascii="Times New Roman" w:eastAsia="Times New Roman" w:hAnsi="Times New Roman" w:cs="Times New Roman"/>
          <w:b/>
          <w:i/>
          <w:sz w:val="24"/>
          <w:szCs w:val="24"/>
          <w:highlight w:val="white"/>
        </w:rPr>
        <w:t>Violências e Resistências</w:t>
      </w:r>
      <w:r>
        <w:rPr>
          <w:rFonts w:ascii="Times New Roman" w:eastAsia="Times New Roman" w:hAnsi="Times New Roman" w:cs="Times New Roman"/>
          <w:sz w:val="24"/>
          <w:szCs w:val="24"/>
          <w:highlight w:val="white"/>
        </w:rPr>
        <w:t>. Existe uma ligação nefasta entre violência e questões de gênero e sexualidades, uma vez que aquela desqualifica as identidades de gênero e de orientação sexual, enquanto lutas por direitos denunciam e questionam padrões het</w:t>
      </w:r>
      <w:r>
        <w:rPr>
          <w:rFonts w:ascii="Times New Roman" w:eastAsia="Times New Roman" w:hAnsi="Times New Roman" w:cs="Times New Roman"/>
          <w:sz w:val="24"/>
          <w:szCs w:val="24"/>
          <w:highlight w:val="white"/>
        </w:rPr>
        <w:t>eronormativos (Paula, Porto, &amp; Carvalho, 2019). Relacionados a esses assuntos, os sete artigos desse subtema abordam diferentes grupos sociais em relação a conceitos de violências, relações de gênero e de poder (Saffioti, 2001; Strey, 2004), como listado n</w:t>
      </w:r>
      <w:r>
        <w:rPr>
          <w:rFonts w:ascii="Times New Roman" w:eastAsia="Times New Roman" w:hAnsi="Times New Roman" w:cs="Times New Roman"/>
          <w:sz w:val="24"/>
          <w:szCs w:val="24"/>
          <w:highlight w:val="white"/>
        </w:rPr>
        <w:t>a Tabela 4.</w:t>
      </w:r>
    </w:p>
    <w:p w14:paraId="7630C3EE" w14:textId="77777777" w:rsidR="007E74C0" w:rsidRDefault="007E74C0">
      <w:pPr>
        <w:spacing w:line="240" w:lineRule="auto"/>
        <w:jc w:val="both"/>
        <w:rPr>
          <w:rFonts w:ascii="Times New Roman" w:eastAsia="Times New Roman" w:hAnsi="Times New Roman" w:cs="Times New Roman"/>
          <w:sz w:val="24"/>
          <w:szCs w:val="24"/>
          <w:highlight w:val="white"/>
        </w:rPr>
      </w:pPr>
    </w:p>
    <w:p w14:paraId="47D9711B"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4. Quadro de artigos - Subtema 4 (Tema 1)</w:t>
      </w:r>
    </w:p>
    <w:tbl>
      <w:tblPr>
        <w:tblStyle w:val="a2"/>
        <w:tblW w:w="90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3825"/>
        <w:gridCol w:w="2445"/>
        <w:gridCol w:w="1560"/>
      </w:tblGrid>
      <w:tr w:rsidR="007E74C0" w14:paraId="6C103EAD" w14:textId="77777777">
        <w:trPr>
          <w:trHeight w:val="460"/>
        </w:trPr>
        <w:tc>
          <w:tcPr>
            <w:tcW w:w="1215" w:type="dxa"/>
            <w:gridSpan w:val="2"/>
            <w:tcBorders>
              <w:top w:val="single" w:sz="12" w:space="0" w:color="000000"/>
              <w:bottom w:val="single" w:sz="6" w:space="0" w:color="000000"/>
            </w:tcBorders>
          </w:tcPr>
          <w:p w14:paraId="7BD4E528"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825" w:type="dxa"/>
            <w:vMerge w:val="restart"/>
            <w:tcBorders>
              <w:top w:val="single" w:sz="12" w:space="0" w:color="000000"/>
              <w:bottom w:val="single" w:sz="8" w:space="0" w:color="000000"/>
            </w:tcBorders>
            <w:vAlign w:val="center"/>
          </w:tcPr>
          <w:p w14:paraId="3168334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05832B0B"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44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14170417"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5204979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6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153815EF"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23AE2D6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3179CACA"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46415B86"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5460F41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82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6807949" w14:textId="77777777" w:rsidR="007E74C0" w:rsidRDefault="007E74C0">
            <w:pPr>
              <w:spacing w:line="240" w:lineRule="auto"/>
              <w:jc w:val="center"/>
              <w:rPr>
                <w:rFonts w:ascii="Times New Roman" w:eastAsia="Times New Roman" w:hAnsi="Times New Roman" w:cs="Times New Roman"/>
                <w:sz w:val="20"/>
                <w:szCs w:val="20"/>
              </w:rPr>
            </w:pPr>
          </w:p>
        </w:tc>
        <w:tc>
          <w:tcPr>
            <w:tcW w:w="244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9B9AD14" w14:textId="77777777" w:rsidR="007E74C0" w:rsidRDefault="007E74C0">
            <w:pPr>
              <w:spacing w:line="240" w:lineRule="auto"/>
              <w:jc w:val="center"/>
              <w:rPr>
                <w:rFonts w:ascii="Times New Roman" w:eastAsia="Times New Roman" w:hAnsi="Times New Roman" w:cs="Times New Roman"/>
                <w:sz w:val="20"/>
                <w:szCs w:val="20"/>
              </w:rPr>
            </w:pPr>
          </w:p>
        </w:tc>
        <w:tc>
          <w:tcPr>
            <w:tcW w:w="1560"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53319DA6" w14:textId="77777777" w:rsidR="007E74C0" w:rsidRDefault="007E74C0">
            <w:pPr>
              <w:spacing w:line="240" w:lineRule="auto"/>
              <w:jc w:val="center"/>
              <w:rPr>
                <w:rFonts w:ascii="Times New Roman" w:eastAsia="Times New Roman" w:hAnsi="Times New Roman" w:cs="Times New Roman"/>
                <w:sz w:val="20"/>
                <w:szCs w:val="20"/>
              </w:rPr>
            </w:pPr>
          </w:p>
        </w:tc>
      </w:tr>
      <w:tr w:rsidR="007E74C0" w14:paraId="57C2B69D" w14:textId="77777777">
        <w:trPr>
          <w:trHeight w:val="239"/>
        </w:trPr>
        <w:tc>
          <w:tcPr>
            <w:tcW w:w="555" w:type="dxa"/>
            <w:tcBorders>
              <w:top w:val="nil"/>
              <w:left w:val="nil"/>
              <w:bottom w:val="nil"/>
              <w:right w:val="nil"/>
            </w:tcBorders>
            <w:shd w:val="clear" w:color="auto" w:fill="auto"/>
            <w:tcMar>
              <w:top w:w="19" w:type="dxa"/>
              <w:left w:w="19" w:type="dxa"/>
              <w:bottom w:w="19" w:type="dxa"/>
              <w:right w:w="19" w:type="dxa"/>
            </w:tcMar>
            <w:vAlign w:val="center"/>
          </w:tcPr>
          <w:p w14:paraId="286566E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2003</w:t>
            </w:r>
          </w:p>
        </w:tc>
        <w:tc>
          <w:tcPr>
            <w:tcW w:w="660" w:type="dxa"/>
            <w:tcBorders>
              <w:top w:val="nil"/>
              <w:left w:val="nil"/>
              <w:bottom w:val="nil"/>
              <w:right w:val="nil"/>
            </w:tcBorders>
            <w:shd w:val="clear" w:color="auto" w:fill="auto"/>
            <w:tcMar>
              <w:top w:w="19" w:type="dxa"/>
              <w:left w:w="19" w:type="dxa"/>
              <w:bottom w:w="19" w:type="dxa"/>
              <w:right w:w="19" w:type="dxa"/>
            </w:tcMar>
            <w:vAlign w:val="center"/>
          </w:tcPr>
          <w:p w14:paraId="552A46C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w:t>
            </w:r>
          </w:p>
        </w:tc>
        <w:tc>
          <w:tcPr>
            <w:tcW w:w="3825" w:type="dxa"/>
            <w:tcBorders>
              <w:top w:val="nil"/>
              <w:left w:val="nil"/>
              <w:bottom w:val="nil"/>
              <w:right w:val="nil"/>
            </w:tcBorders>
            <w:shd w:val="clear" w:color="auto" w:fill="auto"/>
            <w:tcMar>
              <w:top w:w="19" w:type="dxa"/>
              <w:left w:w="19" w:type="dxa"/>
              <w:bottom w:w="19" w:type="dxa"/>
              <w:right w:w="19" w:type="dxa"/>
            </w:tcMar>
            <w:vAlign w:val="center"/>
          </w:tcPr>
          <w:p w14:paraId="51E9E80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Larrañaga &amp; Gutiérrez</w:t>
            </w:r>
          </w:p>
        </w:tc>
        <w:tc>
          <w:tcPr>
            <w:tcW w:w="2445" w:type="dxa"/>
            <w:tcBorders>
              <w:top w:val="nil"/>
              <w:left w:val="nil"/>
              <w:bottom w:val="nil"/>
              <w:right w:val="nil"/>
            </w:tcBorders>
            <w:shd w:val="clear" w:color="auto" w:fill="auto"/>
            <w:tcMar>
              <w:top w:w="19" w:type="dxa"/>
              <w:left w:w="19" w:type="dxa"/>
              <w:bottom w:w="19" w:type="dxa"/>
              <w:right w:w="19" w:type="dxa"/>
            </w:tcMar>
            <w:vAlign w:val="center"/>
          </w:tcPr>
          <w:p w14:paraId="1576528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(Abuso infantil)</w:t>
            </w:r>
          </w:p>
        </w:tc>
        <w:tc>
          <w:tcPr>
            <w:tcW w:w="1560" w:type="dxa"/>
            <w:tcBorders>
              <w:top w:val="nil"/>
              <w:left w:val="nil"/>
              <w:bottom w:val="nil"/>
              <w:right w:val="nil"/>
            </w:tcBorders>
            <w:shd w:val="clear" w:color="auto" w:fill="auto"/>
            <w:tcMar>
              <w:top w:w="19" w:type="dxa"/>
              <w:left w:w="19" w:type="dxa"/>
              <w:bottom w:w="19" w:type="dxa"/>
              <w:right w:w="19" w:type="dxa"/>
            </w:tcMar>
            <w:vAlign w:val="center"/>
          </w:tcPr>
          <w:p w14:paraId="774972B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r w:rsidR="007E74C0" w14:paraId="0AE83023" w14:textId="77777777">
        <w:trPr>
          <w:trHeight w:val="239"/>
        </w:trPr>
        <w:tc>
          <w:tcPr>
            <w:tcW w:w="555" w:type="dxa"/>
            <w:tcBorders>
              <w:top w:val="nil"/>
              <w:left w:val="nil"/>
              <w:bottom w:val="nil"/>
              <w:right w:val="nil"/>
            </w:tcBorders>
            <w:shd w:val="clear" w:color="auto" w:fill="BFBFBF"/>
            <w:tcMar>
              <w:top w:w="19" w:type="dxa"/>
              <w:left w:w="19" w:type="dxa"/>
              <w:bottom w:w="19" w:type="dxa"/>
              <w:right w:w="19" w:type="dxa"/>
            </w:tcMar>
            <w:vAlign w:val="center"/>
          </w:tcPr>
          <w:p w14:paraId="63E480A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tc>
        <w:tc>
          <w:tcPr>
            <w:tcW w:w="660" w:type="dxa"/>
            <w:tcBorders>
              <w:top w:val="nil"/>
              <w:left w:val="nil"/>
              <w:bottom w:val="nil"/>
              <w:right w:val="nil"/>
            </w:tcBorders>
            <w:shd w:val="clear" w:color="auto" w:fill="BFBFBF"/>
            <w:tcMar>
              <w:top w:w="19" w:type="dxa"/>
              <w:left w:w="19" w:type="dxa"/>
              <w:bottom w:w="19" w:type="dxa"/>
              <w:right w:w="19" w:type="dxa"/>
            </w:tcMar>
            <w:vAlign w:val="center"/>
          </w:tcPr>
          <w:p w14:paraId="502925F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3825" w:type="dxa"/>
            <w:tcBorders>
              <w:top w:val="nil"/>
              <w:left w:val="nil"/>
              <w:bottom w:val="nil"/>
              <w:right w:val="nil"/>
            </w:tcBorders>
            <w:shd w:val="clear" w:color="auto" w:fill="BFBFBF"/>
            <w:tcMar>
              <w:top w:w="19" w:type="dxa"/>
              <w:left w:w="19" w:type="dxa"/>
              <w:bottom w:w="19" w:type="dxa"/>
              <w:right w:w="19" w:type="dxa"/>
            </w:tcMar>
            <w:vAlign w:val="center"/>
          </w:tcPr>
          <w:p w14:paraId="55A1782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Souza, Pryor, Ribeiro, Mello e Camino</w:t>
            </w:r>
          </w:p>
        </w:tc>
        <w:tc>
          <w:tcPr>
            <w:tcW w:w="2445" w:type="dxa"/>
            <w:tcBorders>
              <w:top w:val="nil"/>
              <w:left w:val="nil"/>
              <w:bottom w:val="nil"/>
              <w:right w:val="nil"/>
            </w:tcBorders>
            <w:shd w:val="clear" w:color="auto" w:fill="BFBFBF"/>
            <w:tcMar>
              <w:top w:w="19" w:type="dxa"/>
              <w:left w:w="19" w:type="dxa"/>
              <w:bottom w:w="19" w:type="dxa"/>
              <w:right w:w="19" w:type="dxa"/>
            </w:tcMar>
            <w:vAlign w:val="center"/>
          </w:tcPr>
          <w:p w14:paraId="2E8A3AD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(Assédio sexual)</w:t>
            </w:r>
          </w:p>
        </w:tc>
        <w:tc>
          <w:tcPr>
            <w:tcW w:w="1560" w:type="dxa"/>
            <w:tcBorders>
              <w:top w:val="nil"/>
              <w:left w:val="nil"/>
              <w:bottom w:val="nil"/>
              <w:right w:val="nil"/>
            </w:tcBorders>
            <w:shd w:val="clear" w:color="auto" w:fill="BFBFBF"/>
            <w:tcMar>
              <w:top w:w="19" w:type="dxa"/>
              <w:left w:w="19" w:type="dxa"/>
              <w:bottom w:w="19" w:type="dxa"/>
              <w:right w:w="19" w:type="dxa"/>
            </w:tcMar>
            <w:vAlign w:val="center"/>
          </w:tcPr>
          <w:p w14:paraId="0800346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EUA, Brasil</w:t>
            </w:r>
          </w:p>
        </w:tc>
      </w:tr>
      <w:tr w:rsidR="007E74C0" w14:paraId="4983696A" w14:textId="77777777">
        <w:trPr>
          <w:trHeight w:val="239"/>
        </w:trPr>
        <w:tc>
          <w:tcPr>
            <w:tcW w:w="555" w:type="dxa"/>
            <w:tcBorders>
              <w:top w:val="nil"/>
              <w:left w:val="nil"/>
              <w:bottom w:val="nil"/>
              <w:right w:val="nil"/>
            </w:tcBorders>
            <w:shd w:val="clear" w:color="auto" w:fill="auto"/>
            <w:tcMar>
              <w:top w:w="19" w:type="dxa"/>
              <w:left w:w="19" w:type="dxa"/>
              <w:bottom w:w="19" w:type="dxa"/>
              <w:right w:w="19" w:type="dxa"/>
            </w:tcMar>
            <w:vAlign w:val="center"/>
          </w:tcPr>
          <w:p w14:paraId="088B6FD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660" w:type="dxa"/>
            <w:tcBorders>
              <w:top w:val="nil"/>
              <w:left w:val="nil"/>
              <w:bottom w:val="nil"/>
              <w:right w:val="nil"/>
            </w:tcBorders>
            <w:shd w:val="clear" w:color="auto" w:fill="auto"/>
            <w:tcMar>
              <w:top w:w="19" w:type="dxa"/>
              <w:left w:w="19" w:type="dxa"/>
              <w:bottom w:w="19" w:type="dxa"/>
              <w:right w:w="19" w:type="dxa"/>
            </w:tcMar>
            <w:vAlign w:val="center"/>
          </w:tcPr>
          <w:p w14:paraId="684DEBE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p>
        </w:tc>
        <w:tc>
          <w:tcPr>
            <w:tcW w:w="3825" w:type="dxa"/>
            <w:tcBorders>
              <w:top w:val="nil"/>
              <w:left w:val="nil"/>
              <w:bottom w:val="nil"/>
              <w:right w:val="nil"/>
            </w:tcBorders>
            <w:shd w:val="clear" w:color="auto" w:fill="auto"/>
            <w:tcMar>
              <w:top w:w="19" w:type="dxa"/>
              <w:left w:w="19" w:type="dxa"/>
              <w:bottom w:w="19" w:type="dxa"/>
              <w:right w:w="19" w:type="dxa"/>
            </w:tcMar>
            <w:vAlign w:val="center"/>
          </w:tcPr>
          <w:p w14:paraId="10611A7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Gianordoli-Nascimento, Trindade &amp; Santos</w:t>
            </w:r>
          </w:p>
        </w:tc>
        <w:tc>
          <w:tcPr>
            <w:tcW w:w="2445" w:type="dxa"/>
            <w:tcBorders>
              <w:top w:val="nil"/>
              <w:left w:val="nil"/>
              <w:bottom w:val="nil"/>
              <w:right w:val="nil"/>
            </w:tcBorders>
            <w:shd w:val="clear" w:color="auto" w:fill="auto"/>
            <w:tcMar>
              <w:top w:w="19" w:type="dxa"/>
              <w:left w:w="19" w:type="dxa"/>
              <w:bottom w:w="19" w:type="dxa"/>
              <w:right w:w="19" w:type="dxa"/>
            </w:tcMar>
            <w:vAlign w:val="center"/>
          </w:tcPr>
          <w:p w14:paraId="7840737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(Mulheres)</w:t>
            </w:r>
          </w:p>
        </w:tc>
        <w:tc>
          <w:tcPr>
            <w:tcW w:w="1560" w:type="dxa"/>
            <w:tcBorders>
              <w:top w:val="nil"/>
              <w:left w:val="nil"/>
              <w:bottom w:val="nil"/>
              <w:right w:val="nil"/>
            </w:tcBorders>
            <w:shd w:val="clear" w:color="auto" w:fill="auto"/>
            <w:tcMar>
              <w:top w:w="19" w:type="dxa"/>
              <w:left w:w="19" w:type="dxa"/>
              <w:bottom w:w="19" w:type="dxa"/>
              <w:right w:w="19" w:type="dxa"/>
            </w:tcMar>
            <w:vAlign w:val="center"/>
          </w:tcPr>
          <w:p w14:paraId="5B9A4CD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2A72A755" w14:textId="77777777">
        <w:trPr>
          <w:trHeight w:val="239"/>
        </w:trPr>
        <w:tc>
          <w:tcPr>
            <w:tcW w:w="555" w:type="dxa"/>
            <w:tcBorders>
              <w:top w:val="nil"/>
              <w:left w:val="nil"/>
              <w:bottom w:val="nil"/>
              <w:right w:val="nil"/>
            </w:tcBorders>
            <w:shd w:val="clear" w:color="auto" w:fill="BFBFBF"/>
            <w:tcMar>
              <w:top w:w="19" w:type="dxa"/>
              <w:left w:w="19" w:type="dxa"/>
              <w:bottom w:w="19" w:type="dxa"/>
              <w:right w:w="19" w:type="dxa"/>
            </w:tcMar>
            <w:vAlign w:val="center"/>
          </w:tcPr>
          <w:p w14:paraId="516FEB0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nil"/>
              <w:left w:val="nil"/>
              <w:bottom w:val="nil"/>
              <w:right w:val="nil"/>
            </w:tcBorders>
            <w:shd w:val="clear" w:color="auto" w:fill="BFBFBF"/>
            <w:tcMar>
              <w:top w:w="19" w:type="dxa"/>
              <w:left w:w="19" w:type="dxa"/>
              <w:bottom w:w="19" w:type="dxa"/>
              <w:right w:w="19" w:type="dxa"/>
            </w:tcMar>
            <w:vAlign w:val="center"/>
          </w:tcPr>
          <w:p w14:paraId="4D97B45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3825" w:type="dxa"/>
            <w:tcBorders>
              <w:top w:val="nil"/>
              <w:left w:val="nil"/>
              <w:bottom w:val="nil"/>
              <w:right w:val="nil"/>
            </w:tcBorders>
            <w:shd w:val="clear" w:color="auto" w:fill="BFBFBF"/>
            <w:tcMar>
              <w:top w:w="19" w:type="dxa"/>
              <w:left w:w="19" w:type="dxa"/>
              <w:bottom w:w="19" w:type="dxa"/>
              <w:right w:w="19" w:type="dxa"/>
            </w:tcMar>
            <w:vAlign w:val="center"/>
          </w:tcPr>
          <w:p w14:paraId="4FED8CA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Machado e Prado</w:t>
            </w:r>
          </w:p>
        </w:tc>
        <w:tc>
          <w:tcPr>
            <w:tcW w:w="2445" w:type="dxa"/>
            <w:tcBorders>
              <w:top w:val="nil"/>
              <w:left w:val="nil"/>
              <w:bottom w:val="nil"/>
              <w:right w:val="nil"/>
            </w:tcBorders>
            <w:shd w:val="clear" w:color="auto" w:fill="BFBFBF"/>
            <w:tcMar>
              <w:top w:w="19" w:type="dxa"/>
              <w:left w:w="19" w:type="dxa"/>
              <w:bottom w:w="19" w:type="dxa"/>
              <w:right w:w="19" w:type="dxa"/>
            </w:tcMar>
            <w:vAlign w:val="center"/>
          </w:tcPr>
          <w:p w14:paraId="6739947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(LGBT+)</w:t>
            </w:r>
          </w:p>
        </w:tc>
        <w:tc>
          <w:tcPr>
            <w:tcW w:w="1560" w:type="dxa"/>
            <w:tcBorders>
              <w:top w:val="nil"/>
              <w:left w:val="nil"/>
              <w:bottom w:val="nil"/>
              <w:right w:val="nil"/>
            </w:tcBorders>
            <w:shd w:val="clear" w:color="auto" w:fill="BFBFBF"/>
            <w:tcMar>
              <w:top w:w="19" w:type="dxa"/>
              <w:left w:w="19" w:type="dxa"/>
              <w:bottom w:w="19" w:type="dxa"/>
              <w:right w:w="19" w:type="dxa"/>
            </w:tcMar>
            <w:vAlign w:val="center"/>
          </w:tcPr>
          <w:p w14:paraId="27029DF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5D58A17" w14:textId="77777777">
        <w:trPr>
          <w:trHeight w:val="239"/>
        </w:trPr>
        <w:tc>
          <w:tcPr>
            <w:tcW w:w="555" w:type="dxa"/>
            <w:vMerge w:val="restart"/>
            <w:tcBorders>
              <w:top w:val="nil"/>
              <w:left w:val="nil"/>
              <w:right w:val="nil"/>
            </w:tcBorders>
            <w:tcMar>
              <w:top w:w="19" w:type="dxa"/>
              <w:left w:w="19" w:type="dxa"/>
              <w:bottom w:w="19" w:type="dxa"/>
              <w:right w:w="19" w:type="dxa"/>
            </w:tcMar>
            <w:vAlign w:val="center"/>
          </w:tcPr>
          <w:p w14:paraId="0B8A2DD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tcBorders>
              <w:top w:val="nil"/>
              <w:left w:val="nil"/>
              <w:right w:val="nil"/>
            </w:tcBorders>
            <w:tcMar>
              <w:top w:w="19" w:type="dxa"/>
              <w:left w:w="19" w:type="dxa"/>
              <w:bottom w:w="19" w:type="dxa"/>
              <w:right w:w="19" w:type="dxa"/>
            </w:tcMar>
            <w:vAlign w:val="center"/>
          </w:tcPr>
          <w:p w14:paraId="4F0E43C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825" w:type="dxa"/>
            <w:tcBorders>
              <w:top w:val="nil"/>
              <w:left w:val="nil"/>
              <w:right w:val="nil"/>
            </w:tcBorders>
            <w:tcMar>
              <w:top w:w="19" w:type="dxa"/>
              <w:left w:w="19" w:type="dxa"/>
              <w:bottom w:w="19" w:type="dxa"/>
              <w:right w:w="19" w:type="dxa"/>
            </w:tcMar>
            <w:vAlign w:val="center"/>
          </w:tcPr>
          <w:p w14:paraId="714B615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Sanfelice &amp;</w:t>
            </w:r>
            <w:r>
              <w:rPr>
                <w:rFonts w:ascii="Times New Roman" w:eastAsia="Times New Roman" w:hAnsi="Times New Roman" w:cs="Times New Roman"/>
                <w:sz w:val="20"/>
                <w:szCs w:val="20"/>
              </w:rPr>
              <w:t xml:space="preserve"> De Antoni</w:t>
            </w:r>
          </w:p>
        </w:tc>
        <w:tc>
          <w:tcPr>
            <w:tcW w:w="2445" w:type="dxa"/>
            <w:tcBorders>
              <w:top w:val="nil"/>
              <w:left w:val="nil"/>
              <w:right w:val="nil"/>
            </w:tcBorders>
            <w:tcMar>
              <w:top w:w="19" w:type="dxa"/>
              <w:left w:w="19" w:type="dxa"/>
              <w:bottom w:w="19" w:type="dxa"/>
              <w:right w:w="19" w:type="dxa"/>
            </w:tcMar>
            <w:vAlign w:val="center"/>
          </w:tcPr>
          <w:p w14:paraId="73E13E7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(Abuso infantil)</w:t>
            </w:r>
          </w:p>
        </w:tc>
        <w:tc>
          <w:tcPr>
            <w:tcW w:w="1560" w:type="dxa"/>
            <w:tcBorders>
              <w:top w:val="nil"/>
              <w:left w:val="nil"/>
              <w:right w:val="nil"/>
            </w:tcBorders>
            <w:tcMar>
              <w:top w:w="19" w:type="dxa"/>
              <w:left w:w="19" w:type="dxa"/>
              <w:bottom w:w="19" w:type="dxa"/>
              <w:right w:w="19" w:type="dxa"/>
            </w:tcMar>
            <w:vAlign w:val="center"/>
          </w:tcPr>
          <w:p w14:paraId="23260D3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7340CB25" w14:textId="77777777">
        <w:trPr>
          <w:trHeight w:val="239"/>
        </w:trPr>
        <w:tc>
          <w:tcPr>
            <w:tcW w:w="555" w:type="dxa"/>
            <w:vMerge/>
            <w:tcBorders>
              <w:top w:val="nil"/>
              <w:left w:val="nil"/>
              <w:right w:val="nil"/>
            </w:tcBorders>
            <w:tcMar>
              <w:top w:w="19" w:type="dxa"/>
              <w:left w:w="19" w:type="dxa"/>
              <w:bottom w:w="19" w:type="dxa"/>
              <w:right w:w="19" w:type="dxa"/>
            </w:tcMar>
            <w:vAlign w:val="center"/>
          </w:tcPr>
          <w:p w14:paraId="6C1F540B"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top w:val="nil"/>
              <w:left w:val="nil"/>
              <w:right w:val="nil"/>
            </w:tcBorders>
            <w:tcMar>
              <w:top w:w="19" w:type="dxa"/>
              <w:left w:w="19" w:type="dxa"/>
              <w:bottom w:w="19" w:type="dxa"/>
              <w:right w:w="19" w:type="dxa"/>
            </w:tcMar>
            <w:vAlign w:val="center"/>
          </w:tcPr>
          <w:p w14:paraId="08E812F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825" w:type="dxa"/>
            <w:tcBorders>
              <w:top w:val="nil"/>
              <w:left w:val="nil"/>
              <w:right w:val="nil"/>
            </w:tcBorders>
            <w:tcMar>
              <w:top w:w="19" w:type="dxa"/>
              <w:left w:w="19" w:type="dxa"/>
              <w:bottom w:w="19" w:type="dxa"/>
              <w:right w:w="19" w:type="dxa"/>
            </w:tcMar>
            <w:vAlign w:val="center"/>
          </w:tcPr>
          <w:p w14:paraId="4A2CA05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Romero, Pick, Corria &amp; Givaudan</w:t>
            </w:r>
          </w:p>
        </w:tc>
        <w:tc>
          <w:tcPr>
            <w:tcW w:w="2445" w:type="dxa"/>
            <w:tcBorders>
              <w:top w:val="nil"/>
              <w:left w:val="nil"/>
              <w:right w:val="nil"/>
            </w:tcBorders>
            <w:tcMar>
              <w:top w:w="19" w:type="dxa"/>
              <w:left w:w="19" w:type="dxa"/>
              <w:bottom w:w="19" w:type="dxa"/>
              <w:right w:w="19" w:type="dxa"/>
            </w:tcMar>
            <w:vAlign w:val="center"/>
          </w:tcPr>
          <w:p w14:paraId="2D10FBA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(Prevenção)</w:t>
            </w:r>
          </w:p>
        </w:tc>
        <w:tc>
          <w:tcPr>
            <w:tcW w:w="1560" w:type="dxa"/>
            <w:tcBorders>
              <w:top w:val="nil"/>
              <w:left w:val="nil"/>
              <w:right w:val="nil"/>
            </w:tcBorders>
            <w:tcMar>
              <w:top w:w="19" w:type="dxa"/>
              <w:left w:w="19" w:type="dxa"/>
              <w:bottom w:w="19" w:type="dxa"/>
              <w:right w:w="19" w:type="dxa"/>
            </w:tcMar>
            <w:vAlign w:val="center"/>
          </w:tcPr>
          <w:p w14:paraId="7F9431A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06DE182A" w14:textId="77777777">
        <w:trPr>
          <w:trHeight w:val="239"/>
        </w:trPr>
        <w:tc>
          <w:tcPr>
            <w:tcW w:w="555" w:type="dxa"/>
            <w:tcBorders>
              <w:left w:val="nil"/>
              <w:bottom w:val="single" w:sz="12" w:space="0" w:color="000000"/>
              <w:right w:val="nil"/>
            </w:tcBorders>
            <w:shd w:val="clear" w:color="auto" w:fill="BFBFBF"/>
            <w:tcMar>
              <w:top w:w="19" w:type="dxa"/>
              <w:left w:w="19" w:type="dxa"/>
              <w:bottom w:w="19" w:type="dxa"/>
              <w:right w:w="19" w:type="dxa"/>
            </w:tcMar>
            <w:vAlign w:val="center"/>
          </w:tcPr>
          <w:p w14:paraId="17BE4CB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660" w:type="dxa"/>
            <w:tcBorders>
              <w:left w:val="nil"/>
              <w:bottom w:val="single" w:sz="12" w:space="0" w:color="000000"/>
              <w:right w:val="nil"/>
            </w:tcBorders>
            <w:shd w:val="clear" w:color="auto" w:fill="BFBFBF"/>
            <w:tcMar>
              <w:top w:w="19" w:type="dxa"/>
              <w:left w:w="19" w:type="dxa"/>
              <w:bottom w:w="19" w:type="dxa"/>
              <w:right w:w="19" w:type="dxa"/>
            </w:tcMar>
            <w:vAlign w:val="center"/>
          </w:tcPr>
          <w:p w14:paraId="7A92EA1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3825" w:type="dxa"/>
            <w:tcBorders>
              <w:left w:val="nil"/>
              <w:bottom w:val="single" w:sz="12" w:space="0" w:color="000000"/>
              <w:right w:val="nil"/>
            </w:tcBorders>
            <w:shd w:val="clear" w:color="auto" w:fill="BFBFBF"/>
            <w:tcMar>
              <w:top w:w="19" w:type="dxa"/>
              <w:left w:w="19" w:type="dxa"/>
              <w:bottom w:w="19" w:type="dxa"/>
              <w:right w:w="19" w:type="dxa"/>
            </w:tcMar>
            <w:vAlign w:val="center"/>
          </w:tcPr>
          <w:p w14:paraId="712A6E3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Lenta, Longo &amp; Zaldúa</w:t>
            </w:r>
          </w:p>
        </w:tc>
        <w:tc>
          <w:tcPr>
            <w:tcW w:w="2445" w:type="dxa"/>
            <w:tcBorders>
              <w:left w:val="nil"/>
              <w:bottom w:val="single" w:sz="12" w:space="0" w:color="000000"/>
              <w:right w:val="nil"/>
            </w:tcBorders>
            <w:shd w:val="clear" w:color="auto" w:fill="BFBFBF"/>
            <w:tcMar>
              <w:top w:w="19" w:type="dxa"/>
              <w:left w:w="19" w:type="dxa"/>
              <w:bottom w:w="19" w:type="dxa"/>
              <w:right w:w="19" w:type="dxa"/>
            </w:tcMar>
            <w:vAlign w:val="center"/>
          </w:tcPr>
          <w:p w14:paraId="03D3C88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(Mulheres)</w:t>
            </w:r>
          </w:p>
        </w:tc>
        <w:tc>
          <w:tcPr>
            <w:tcW w:w="1560" w:type="dxa"/>
            <w:tcBorders>
              <w:left w:val="nil"/>
              <w:bottom w:val="single" w:sz="12" w:space="0" w:color="000000"/>
              <w:right w:val="nil"/>
            </w:tcBorders>
            <w:shd w:val="clear" w:color="auto" w:fill="BFBFBF"/>
            <w:tcMar>
              <w:top w:w="19" w:type="dxa"/>
              <w:left w:w="19" w:type="dxa"/>
              <w:bottom w:w="19" w:type="dxa"/>
              <w:right w:w="19" w:type="dxa"/>
            </w:tcMar>
            <w:vAlign w:val="center"/>
          </w:tcPr>
          <w:p w14:paraId="6EC140C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bl>
    <w:p w14:paraId="1151B40A" w14:textId="77777777" w:rsidR="007E74C0" w:rsidRDefault="007E74C0">
      <w:pPr>
        <w:spacing w:line="240" w:lineRule="auto"/>
        <w:jc w:val="both"/>
        <w:rPr>
          <w:rFonts w:ascii="Times New Roman" w:eastAsia="Times New Roman" w:hAnsi="Times New Roman" w:cs="Times New Roman"/>
          <w:sz w:val="24"/>
          <w:szCs w:val="24"/>
        </w:rPr>
      </w:pPr>
    </w:p>
    <w:p w14:paraId="0674A0A1"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Notamos que poder </w:t>
      </w:r>
      <w:r>
        <w:rPr>
          <w:rFonts w:ascii="Times New Roman" w:eastAsia="Times New Roman" w:hAnsi="Times New Roman" w:cs="Times New Roman"/>
          <w:sz w:val="24"/>
          <w:szCs w:val="24"/>
        </w:rPr>
        <w:t>não é posse, e sim um exercício cujas relações “funcionam como rede de dispositivos ou mecanismos a que nada ou ninguém escapa, a que não existe exterior possível, limites ou fronteiros” (Foucault, 2001, p. xiv). Dessa forma, na imanência dessas relações t</w:t>
      </w:r>
      <w:r>
        <w:rPr>
          <w:rFonts w:ascii="Times New Roman" w:eastAsia="Times New Roman" w:hAnsi="Times New Roman" w:cs="Times New Roman"/>
          <w:sz w:val="24"/>
          <w:szCs w:val="24"/>
        </w:rPr>
        <w:t>ambém seriam produzidos processos de resistência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(Foucault, 2001).</w:t>
      </w:r>
    </w:p>
    <w:p w14:paraId="4342EE6B"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Acerca das violências, portanto, temos, por exemplo: um artigo sobre o abuso sexual na infância entre universitários chilenos (IJP, 2003); um artigo com estudo de casos múltiplos sobre perc</w:t>
      </w:r>
      <w:r>
        <w:rPr>
          <w:rFonts w:ascii="Times New Roman" w:eastAsia="Times New Roman" w:hAnsi="Times New Roman" w:cs="Times New Roman"/>
          <w:sz w:val="24"/>
          <w:szCs w:val="24"/>
          <w:highlight w:val="white"/>
        </w:rPr>
        <w:t>epções de abusadores sexuais de criança (privados de liberdade) acerca da própria sexualidade (IJP, 2010); uma pesquisa-ação sobre violências de gênero contra mulheres no trabalho (IJP, 2019). Este último fala também de resistências, uma vez que foi estuda</w:t>
      </w:r>
      <w:r>
        <w:rPr>
          <w:rFonts w:ascii="Times New Roman" w:eastAsia="Times New Roman" w:hAnsi="Times New Roman" w:cs="Times New Roman"/>
          <w:sz w:val="24"/>
          <w:szCs w:val="24"/>
          <w:highlight w:val="white"/>
        </w:rPr>
        <w:t xml:space="preserve">da ainda a participação social e as estratégias de enfrentamento a essas violências no trabalho. </w:t>
      </w:r>
    </w:p>
    <w:p w14:paraId="79C165F8"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Quanto às resistências, ainda dois artigos enfocaram Movimentos sociais e relações de gênero. Do primeiro participaram mulheres da oposição política ao regime</w:t>
      </w:r>
      <w:r>
        <w:rPr>
          <w:rFonts w:ascii="Times New Roman" w:eastAsia="Times New Roman" w:hAnsi="Times New Roman" w:cs="Times New Roman"/>
          <w:sz w:val="24"/>
          <w:szCs w:val="24"/>
          <w:highlight w:val="white"/>
        </w:rPr>
        <w:t xml:space="preserve"> militar no Brasil (1964 a 1985) com entrevistas sobre aspectos psicossociais nos processos identitários das suas relações de gênero e militância contra esse regime (IJP, 2007). No segundo, esses aspectos foram investigados enquanto impedimentos e possibil</w:t>
      </w:r>
      <w:r>
        <w:rPr>
          <w:rFonts w:ascii="Times New Roman" w:eastAsia="Times New Roman" w:hAnsi="Times New Roman" w:cs="Times New Roman"/>
          <w:sz w:val="24"/>
          <w:szCs w:val="24"/>
          <w:highlight w:val="white"/>
        </w:rPr>
        <w:t>idades para a participação política</w:t>
      </w:r>
      <w:r>
        <w:t xml:space="preserve"> </w:t>
      </w:r>
      <w:r>
        <w:rPr>
          <w:rFonts w:ascii="Times New Roman" w:eastAsia="Times New Roman" w:hAnsi="Times New Roman" w:cs="Times New Roman"/>
          <w:sz w:val="24"/>
          <w:szCs w:val="24"/>
          <w:highlight w:val="white"/>
        </w:rPr>
        <w:t xml:space="preserve">no movimento GLBT de Belo Horizonte, capital do Estado brasileiro Minas Gerais (IJP, 2008). </w:t>
      </w:r>
    </w:p>
    <w:p w14:paraId="0B71D8E7"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Nesse subtema, enfim, houve uma grande presença de trabalhos sobre a violência de gênero contra crianças, adolescentes e mulher</w:t>
      </w:r>
      <w:r>
        <w:rPr>
          <w:rFonts w:ascii="Times New Roman" w:eastAsia="Times New Roman" w:hAnsi="Times New Roman" w:cs="Times New Roman"/>
          <w:sz w:val="24"/>
          <w:szCs w:val="24"/>
          <w:highlight w:val="white"/>
        </w:rPr>
        <w:t>es, mas poucos artigos que escapassem a uma perspectiva heteronormativa e binária da análise, considerando outras formas de violência de gênero. As discussões sobre esses assuntos apareceram ainda em outros Temas.</w:t>
      </w:r>
    </w:p>
    <w:p w14:paraId="299AC87F" w14:textId="77777777" w:rsidR="007E74C0" w:rsidRDefault="007E74C0">
      <w:pPr>
        <w:spacing w:line="240" w:lineRule="auto"/>
        <w:jc w:val="both"/>
        <w:rPr>
          <w:rFonts w:ascii="Times New Roman" w:eastAsia="Times New Roman" w:hAnsi="Times New Roman" w:cs="Times New Roman"/>
          <w:sz w:val="24"/>
          <w:szCs w:val="24"/>
          <w:highlight w:val="white"/>
        </w:rPr>
      </w:pPr>
    </w:p>
    <w:p w14:paraId="320A7AEB"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4.2 Tema 2</w:t>
      </w:r>
      <w:r>
        <w:rPr>
          <w:rFonts w:ascii="Times New Roman" w:eastAsia="Times New Roman" w:hAnsi="Times New Roman" w:cs="Times New Roman"/>
          <w:b/>
          <w:sz w:val="24"/>
          <w:szCs w:val="24"/>
          <w:highlight w:val="white"/>
        </w:rPr>
        <w:t>. Gênero e sexualidades: olhare</w:t>
      </w:r>
      <w:r>
        <w:rPr>
          <w:rFonts w:ascii="Times New Roman" w:eastAsia="Times New Roman" w:hAnsi="Times New Roman" w:cs="Times New Roman"/>
          <w:b/>
          <w:sz w:val="24"/>
          <w:szCs w:val="24"/>
          <w:highlight w:val="white"/>
        </w:rPr>
        <w:t>s sob a perspectiva da saúde</w:t>
      </w:r>
    </w:p>
    <w:p w14:paraId="571A477C" w14:textId="77777777" w:rsidR="007E74C0" w:rsidRDefault="007E74C0">
      <w:pPr>
        <w:spacing w:line="240" w:lineRule="auto"/>
        <w:ind w:firstLine="700"/>
        <w:jc w:val="both"/>
        <w:rPr>
          <w:rFonts w:ascii="Times New Roman" w:eastAsia="Times New Roman" w:hAnsi="Times New Roman" w:cs="Times New Roman"/>
          <w:sz w:val="24"/>
          <w:szCs w:val="24"/>
        </w:rPr>
      </w:pPr>
    </w:p>
    <w:p w14:paraId="26355024" w14:textId="77777777" w:rsidR="007E74C0" w:rsidRDefault="00EA0911">
      <w:pPr>
        <w:spacing w:line="24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Gênero e sexualidades são aspectos da vida humana interligados ao conceito de saúde, sujeitos a normas e olhares de diferentes instituições e de diferentes áreas que compõem esse campo de saber, como a psicologia. </w:t>
      </w:r>
      <w:r>
        <w:rPr>
          <w:rFonts w:ascii="Times New Roman" w:eastAsia="Times New Roman" w:hAnsi="Times New Roman" w:cs="Times New Roman"/>
          <w:sz w:val="24"/>
          <w:szCs w:val="24"/>
          <w:highlight w:val="white"/>
        </w:rPr>
        <w:t>Para analisa</w:t>
      </w:r>
      <w:r>
        <w:rPr>
          <w:rFonts w:ascii="Times New Roman" w:eastAsia="Times New Roman" w:hAnsi="Times New Roman" w:cs="Times New Roman"/>
          <w:sz w:val="24"/>
          <w:szCs w:val="24"/>
          <w:highlight w:val="white"/>
        </w:rPr>
        <w:t xml:space="preserve">r esse tema, utilizamos o conceito de “saúde” da OMS para “saúde sexual” que não apenas o associa a princípios biológicos e fisiológicos, à classificação de doenças e ao tratamento de sintomas, físicos ou mentais. Para a organização, trata-se de </w:t>
      </w:r>
      <w:r>
        <w:rPr>
          <w:rFonts w:ascii="Times New Roman" w:eastAsia="Times New Roman" w:hAnsi="Times New Roman" w:cs="Times New Roman"/>
          <w:sz w:val="24"/>
          <w:szCs w:val="24"/>
        </w:rPr>
        <w:t xml:space="preserve">“. . . um </w:t>
      </w:r>
      <w:r>
        <w:rPr>
          <w:rFonts w:ascii="Times New Roman" w:eastAsia="Times New Roman" w:hAnsi="Times New Roman" w:cs="Times New Roman"/>
          <w:sz w:val="24"/>
          <w:szCs w:val="24"/>
        </w:rPr>
        <w:t>estado de bem-estar físico, emocional, mental e social em relação à sexualidade; não é apenas a ausência de doença, disfunção ou enfermidade” (OMS, 2006, p. 5).</w:t>
      </w:r>
      <w:r>
        <w:rPr>
          <w:rFonts w:ascii="Times New Roman" w:eastAsia="Times New Roman" w:hAnsi="Times New Roman" w:cs="Times New Roman"/>
          <w:sz w:val="24"/>
          <w:szCs w:val="24"/>
          <w:vertAlign w:val="superscript"/>
        </w:rPr>
        <w:footnoteReference w:id="4"/>
      </w:r>
    </w:p>
    <w:p w14:paraId="665044BA"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sentido, foram reunidos 25 artigos da Revista para a presente análise, agrupados em dois subtemas: a) Saúde mental, patologização e diagnósticos de gênero; b) Saúde sexual e (não) reprodutiva: produção de saberes e subjetividades.</w:t>
      </w:r>
    </w:p>
    <w:p w14:paraId="306970A2" w14:textId="77777777" w:rsidR="007E74C0" w:rsidRDefault="007E74C0">
      <w:pPr>
        <w:spacing w:line="240" w:lineRule="auto"/>
        <w:jc w:val="both"/>
        <w:rPr>
          <w:rFonts w:ascii="Times New Roman" w:eastAsia="Times New Roman" w:hAnsi="Times New Roman" w:cs="Times New Roman"/>
          <w:sz w:val="24"/>
          <w:szCs w:val="24"/>
          <w:highlight w:val="white"/>
        </w:rPr>
      </w:pPr>
    </w:p>
    <w:p w14:paraId="5812C141"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4.2.1 S</w:t>
      </w:r>
      <w:r>
        <w:rPr>
          <w:rFonts w:ascii="Times New Roman" w:eastAsia="Times New Roman" w:hAnsi="Times New Roman" w:cs="Times New Roman"/>
          <w:b/>
          <w:i/>
          <w:sz w:val="24"/>
          <w:szCs w:val="24"/>
          <w:highlight w:val="white"/>
        </w:rPr>
        <w:t>aúde mental</w:t>
      </w:r>
      <w:r>
        <w:rPr>
          <w:rFonts w:ascii="Times New Roman" w:eastAsia="Times New Roman" w:hAnsi="Times New Roman" w:cs="Times New Roman"/>
          <w:b/>
          <w:i/>
          <w:sz w:val="24"/>
          <w:szCs w:val="24"/>
          <w:highlight w:val="white"/>
        </w:rPr>
        <w:t xml:space="preserve">, patologização e diagnósticos de gênero. </w:t>
      </w:r>
      <w:r>
        <w:rPr>
          <w:rFonts w:ascii="Times New Roman" w:eastAsia="Times New Roman" w:hAnsi="Times New Roman" w:cs="Times New Roman"/>
          <w:sz w:val="24"/>
          <w:szCs w:val="24"/>
          <w:highlight w:val="white"/>
        </w:rPr>
        <w:t>Esse subtema contemplou sete artigos, nos quais, no geral,  transtornos mentais são avaliados à luz de questões de gênero, e que fatores culturais e sociais são contemplados em algumas análises. Entretanto, é neces</w:t>
      </w:r>
      <w:r>
        <w:rPr>
          <w:rFonts w:ascii="Times New Roman" w:eastAsia="Times New Roman" w:hAnsi="Times New Roman" w:cs="Times New Roman"/>
          <w:sz w:val="24"/>
          <w:szCs w:val="24"/>
          <w:highlight w:val="white"/>
        </w:rPr>
        <w:t>sária uma crítica com vistas a subverter a lógica dos diagnósticos, ainda persistente nesses saberes.</w:t>
      </w:r>
    </w:p>
    <w:p w14:paraId="628CC29D" w14:textId="77777777" w:rsidR="007E74C0" w:rsidRDefault="007E74C0">
      <w:pPr>
        <w:spacing w:line="240" w:lineRule="auto"/>
        <w:jc w:val="both"/>
        <w:rPr>
          <w:rFonts w:ascii="Times New Roman" w:eastAsia="Times New Roman" w:hAnsi="Times New Roman" w:cs="Times New Roman"/>
          <w:sz w:val="24"/>
          <w:szCs w:val="24"/>
          <w:highlight w:val="white"/>
        </w:rPr>
      </w:pPr>
    </w:p>
    <w:p w14:paraId="4D12DF5F"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5. Quadro de artigos - Subtema 1 (Tema 2)</w:t>
      </w:r>
    </w:p>
    <w:tbl>
      <w:tblPr>
        <w:tblStyle w:val="a3"/>
        <w:tblW w:w="89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3810"/>
        <w:gridCol w:w="2400"/>
        <w:gridCol w:w="1485"/>
      </w:tblGrid>
      <w:tr w:rsidR="007E74C0" w14:paraId="19C61AF4" w14:textId="77777777">
        <w:trPr>
          <w:trHeight w:val="460"/>
        </w:trPr>
        <w:tc>
          <w:tcPr>
            <w:tcW w:w="1215" w:type="dxa"/>
            <w:gridSpan w:val="2"/>
            <w:tcBorders>
              <w:top w:val="single" w:sz="12" w:space="0" w:color="000000"/>
              <w:bottom w:val="single" w:sz="6" w:space="0" w:color="000000"/>
            </w:tcBorders>
          </w:tcPr>
          <w:p w14:paraId="68100D49"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810" w:type="dxa"/>
            <w:vMerge w:val="restart"/>
            <w:tcBorders>
              <w:top w:val="single" w:sz="12" w:space="0" w:color="000000"/>
              <w:bottom w:val="single" w:sz="12" w:space="0" w:color="000000"/>
            </w:tcBorders>
            <w:vAlign w:val="center"/>
          </w:tcPr>
          <w:p w14:paraId="4ADA9830"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3F0D4E24"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400" w:type="dxa"/>
            <w:vMerge w:val="restart"/>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7C7B99B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2CC4C4C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485" w:type="dxa"/>
            <w:vMerge w:val="restart"/>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13BD718A"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65B988E8"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1FC67C37" w14:textId="77777777">
        <w:trPr>
          <w:trHeight w:val="460"/>
        </w:trPr>
        <w:tc>
          <w:tcPr>
            <w:tcW w:w="555" w:type="dxa"/>
            <w:tcBorders>
              <w:top w:val="single" w:sz="6" w:space="0" w:color="000000"/>
              <w:bottom w:val="single" w:sz="12" w:space="0" w:color="000000"/>
            </w:tcBorders>
            <w:shd w:val="clear" w:color="auto" w:fill="auto"/>
            <w:tcMar>
              <w:top w:w="100" w:type="dxa"/>
              <w:left w:w="100" w:type="dxa"/>
              <w:bottom w:w="100" w:type="dxa"/>
              <w:right w:w="100" w:type="dxa"/>
            </w:tcMar>
          </w:tcPr>
          <w:p w14:paraId="6004C0FB"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single" w:sz="6" w:space="0" w:color="000000"/>
              <w:bottom w:val="single" w:sz="12" w:space="0" w:color="000000"/>
            </w:tcBorders>
            <w:shd w:val="clear" w:color="auto" w:fill="auto"/>
            <w:tcMar>
              <w:top w:w="100" w:type="dxa"/>
              <w:left w:w="100" w:type="dxa"/>
              <w:bottom w:w="100" w:type="dxa"/>
              <w:right w:w="100" w:type="dxa"/>
            </w:tcMar>
          </w:tcPr>
          <w:p w14:paraId="316C3BD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810" w:type="dxa"/>
            <w:vMerge/>
            <w:tcBorders>
              <w:top w:val="single" w:sz="12" w:space="0" w:color="000000"/>
              <w:bottom w:val="single" w:sz="12" w:space="0" w:color="000000"/>
            </w:tcBorders>
            <w:vAlign w:val="center"/>
          </w:tcPr>
          <w:p w14:paraId="203FAA94" w14:textId="77777777" w:rsidR="007E74C0" w:rsidRDefault="007E74C0">
            <w:pPr>
              <w:widowControl w:val="0"/>
              <w:rPr>
                <w:rFonts w:ascii="Times New Roman" w:eastAsia="Times New Roman" w:hAnsi="Times New Roman" w:cs="Times New Roman"/>
                <w:sz w:val="20"/>
                <w:szCs w:val="20"/>
              </w:rPr>
            </w:pPr>
          </w:p>
        </w:tc>
        <w:tc>
          <w:tcPr>
            <w:tcW w:w="2400" w:type="dxa"/>
            <w:vMerge/>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457FA796" w14:textId="77777777" w:rsidR="007E74C0" w:rsidRDefault="007E74C0">
            <w:pPr>
              <w:widowControl w:val="0"/>
              <w:rPr>
                <w:rFonts w:ascii="Times New Roman" w:eastAsia="Times New Roman" w:hAnsi="Times New Roman" w:cs="Times New Roman"/>
                <w:sz w:val="20"/>
                <w:szCs w:val="20"/>
              </w:rPr>
            </w:pPr>
          </w:p>
        </w:tc>
        <w:tc>
          <w:tcPr>
            <w:tcW w:w="1485" w:type="dxa"/>
            <w:vMerge/>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4D4D0BB2" w14:textId="77777777" w:rsidR="007E74C0" w:rsidRDefault="007E74C0">
            <w:pPr>
              <w:widowControl w:val="0"/>
              <w:rPr>
                <w:rFonts w:ascii="Times New Roman" w:eastAsia="Times New Roman" w:hAnsi="Times New Roman" w:cs="Times New Roman"/>
                <w:sz w:val="20"/>
                <w:szCs w:val="20"/>
              </w:rPr>
            </w:pPr>
          </w:p>
        </w:tc>
      </w:tr>
      <w:tr w:rsidR="007E74C0" w14:paraId="1CA6CEB1" w14:textId="77777777">
        <w:trPr>
          <w:trHeight w:val="239"/>
        </w:trPr>
        <w:tc>
          <w:tcPr>
            <w:tcW w:w="555" w:type="dxa"/>
            <w:tcBorders>
              <w:top w:val="single" w:sz="12" w:space="0" w:color="000000"/>
              <w:left w:val="single" w:sz="7" w:space="0" w:color="FFFFFF"/>
              <w:bottom w:val="single" w:sz="7" w:space="0" w:color="FFFFFF"/>
              <w:right w:val="single" w:sz="7" w:space="0" w:color="FFFFFF"/>
            </w:tcBorders>
            <w:tcMar>
              <w:top w:w="40" w:type="dxa"/>
              <w:left w:w="40" w:type="dxa"/>
              <w:bottom w:w="40" w:type="dxa"/>
              <w:right w:w="40" w:type="dxa"/>
            </w:tcMar>
            <w:vAlign w:val="center"/>
          </w:tcPr>
          <w:p w14:paraId="1C980793"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single" w:sz="12" w:space="0" w:color="000000"/>
              <w:left w:val="single" w:sz="7" w:space="0" w:color="FFFFFF"/>
              <w:bottom w:val="single" w:sz="7" w:space="0" w:color="FFFFFF"/>
              <w:right w:val="single" w:sz="7" w:space="0" w:color="FFFFFF"/>
            </w:tcBorders>
            <w:tcMar>
              <w:top w:w="40" w:type="dxa"/>
              <w:left w:w="40" w:type="dxa"/>
              <w:bottom w:w="40" w:type="dxa"/>
              <w:right w:w="40" w:type="dxa"/>
            </w:tcMar>
            <w:vAlign w:val="center"/>
          </w:tcPr>
          <w:p w14:paraId="0F6751B8"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3810" w:type="dxa"/>
            <w:tcBorders>
              <w:top w:val="single" w:sz="12" w:space="0" w:color="000000"/>
              <w:left w:val="single" w:sz="7" w:space="0" w:color="FFFFFF"/>
              <w:bottom w:val="single" w:sz="7" w:space="0" w:color="FFFFFF"/>
              <w:right w:val="single" w:sz="7" w:space="0" w:color="FFFFFF"/>
            </w:tcBorders>
            <w:tcMar>
              <w:top w:w="40" w:type="dxa"/>
              <w:left w:w="40" w:type="dxa"/>
              <w:bottom w:w="40" w:type="dxa"/>
              <w:right w:w="40" w:type="dxa"/>
            </w:tcMar>
            <w:vAlign w:val="center"/>
          </w:tcPr>
          <w:p w14:paraId="09B6C5FB"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Borges e Dell’Aglio</w:t>
            </w:r>
          </w:p>
        </w:tc>
        <w:tc>
          <w:tcPr>
            <w:tcW w:w="2400" w:type="dxa"/>
            <w:tcBorders>
              <w:top w:val="single" w:sz="12" w:space="0" w:color="000000"/>
              <w:left w:val="single" w:sz="7" w:space="0" w:color="FFFFFF"/>
              <w:bottom w:val="nil"/>
              <w:right w:val="nil"/>
            </w:tcBorders>
            <w:tcMar>
              <w:top w:w="19" w:type="dxa"/>
              <w:left w:w="19" w:type="dxa"/>
              <w:bottom w:w="19" w:type="dxa"/>
              <w:right w:w="19" w:type="dxa"/>
            </w:tcMar>
            <w:vAlign w:val="center"/>
          </w:tcPr>
          <w:p w14:paraId="43D5E24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infantil (indicadores de risco)</w:t>
            </w:r>
          </w:p>
        </w:tc>
        <w:tc>
          <w:tcPr>
            <w:tcW w:w="1485" w:type="dxa"/>
            <w:tcBorders>
              <w:top w:val="single" w:sz="12" w:space="0" w:color="000000"/>
              <w:left w:val="nil"/>
              <w:bottom w:val="nil"/>
              <w:right w:val="nil"/>
            </w:tcBorders>
            <w:tcMar>
              <w:top w:w="19" w:type="dxa"/>
              <w:left w:w="19" w:type="dxa"/>
              <w:bottom w:w="19" w:type="dxa"/>
              <w:right w:w="19" w:type="dxa"/>
            </w:tcMar>
            <w:vAlign w:val="center"/>
          </w:tcPr>
          <w:p w14:paraId="7F55E10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402B901" w14:textId="77777777">
        <w:trPr>
          <w:trHeight w:val="239"/>
        </w:trPr>
        <w:tc>
          <w:tcPr>
            <w:tcW w:w="555" w:type="dxa"/>
            <w:tcBorders>
              <w:top w:val="single" w:sz="7" w:space="0" w:color="FFFFFF"/>
              <w:left w:val="single" w:sz="7" w:space="0" w:color="FFFFFF"/>
              <w:bottom w:val="single" w:sz="7" w:space="0" w:color="FFFFFF"/>
              <w:right w:val="single" w:sz="7" w:space="0" w:color="FFFFFF"/>
            </w:tcBorders>
            <w:shd w:val="clear" w:color="auto" w:fill="CCCCCC"/>
            <w:tcMar>
              <w:top w:w="40" w:type="dxa"/>
              <w:left w:w="40" w:type="dxa"/>
              <w:bottom w:w="40" w:type="dxa"/>
              <w:right w:w="40" w:type="dxa"/>
            </w:tcMar>
            <w:vAlign w:val="center"/>
          </w:tcPr>
          <w:p w14:paraId="46542D99"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660" w:type="dxa"/>
            <w:tcBorders>
              <w:top w:val="single" w:sz="7" w:space="0" w:color="FFFFFF"/>
              <w:left w:val="single" w:sz="7" w:space="0" w:color="FFFFFF"/>
              <w:bottom w:val="single" w:sz="7" w:space="0" w:color="FFFFFF"/>
              <w:right w:val="single" w:sz="7" w:space="0" w:color="FFFFFF"/>
            </w:tcBorders>
            <w:shd w:val="clear" w:color="auto" w:fill="CCCCCC"/>
            <w:tcMar>
              <w:top w:w="40" w:type="dxa"/>
              <w:left w:w="40" w:type="dxa"/>
              <w:bottom w:w="40" w:type="dxa"/>
              <w:right w:w="40" w:type="dxa"/>
            </w:tcMar>
            <w:vAlign w:val="center"/>
          </w:tcPr>
          <w:p w14:paraId="2666237F"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3810" w:type="dxa"/>
            <w:tcBorders>
              <w:top w:val="single" w:sz="7" w:space="0" w:color="FFFFFF"/>
              <w:left w:val="single" w:sz="7" w:space="0" w:color="FFFFFF"/>
              <w:bottom w:val="single" w:sz="7" w:space="0" w:color="FFFFFF"/>
              <w:right w:val="single" w:sz="7" w:space="0" w:color="FFFFFF"/>
            </w:tcBorders>
            <w:shd w:val="clear" w:color="auto" w:fill="CCCCCC"/>
            <w:tcMar>
              <w:top w:w="40" w:type="dxa"/>
              <w:left w:w="40" w:type="dxa"/>
              <w:bottom w:w="40" w:type="dxa"/>
              <w:right w:w="40" w:type="dxa"/>
            </w:tcMar>
            <w:vAlign w:val="center"/>
          </w:tcPr>
          <w:p w14:paraId="376C7B9B"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Narvaz e Oliveira</w:t>
            </w:r>
          </w:p>
        </w:tc>
        <w:tc>
          <w:tcPr>
            <w:tcW w:w="2400" w:type="dxa"/>
            <w:tcBorders>
              <w:top w:val="nil"/>
              <w:left w:val="single" w:sz="7" w:space="0" w:color="FFFFFF"/>
              <w:bottom w:val="nil"/>
              <w:right w:val="nil"/>
            </w:tcBorders>
            <w:shd w:val="clear" w:color="auto" w:fill="CCCCCC"/>
            <w:tcMar>
              <w:top w:w="19" w:type="dxa"/>
              <w:left w:w="19" w:type="dxa"/>
              <w:bottom w:w="19" w:type="dxa"/>
              <w:right w:w="19" w:type="dxa"/>
            </w:tcMar>
            <w:vAlign w:val="center"/>
          </w:tcPr>
          <w:p w14:paraId="57CEB33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(transtornos alimentares)</w:t>
            </w:r>
          </w:p>
        </w:tc>
        <w:tc>
          <w:tcPr>
            <w:tcW w:w="1485" w:type="dxa"/>
            <w:tcBorders>
              <w:top w:val="nil"/>
              <w:left w:val="nil"/>
              <w:right w:val="nil"/>
            </w:tcBorders>
            <w:shd w:val="clear" w:color="auto" w:fill="CCCCCC"/>
            <w:tcMar>
              <w:top w:w="19" w:type="dxa"/>
              <w:left w:w="19" w:type="dxa"/>
              <w:bottom w:w="19" w:type="dxa"/>
              <w:right w:w="19" w:type="dxa"/>
            </w:tcMar>
            <w:vAlign w:val="center"/>
          </w:tcPr>
          <w:p w14:paraId="2FBD160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4F3EFCCB" w14:textId="77777777">
        <w:trPr>
          <w:trHeight w:val="280"/>
        </w:trPr>
        <w:tc>
          <w:tcPr>
            <w:tcW w:w="555" w:type="dxa"/>
            <w:vMerge w:val="restart"/>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77800026"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vMerge w:val="restart"/>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0492B921"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810"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0BD4DC44"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 Nieves e Borreo</w:t>
            </w:r>
          </w:p>
        </w:tc>
        <w:tc>
          <w:tcPr>
            <w:tcW w:w="2400" w:type="dxa"/>
            <w:tcBorders>
              <w:top w:val="nil"/>
              <w:left w:val="single" w:sz="7" w:space="0" w:color="FFFFFF"/>
              <w:bottom w:val="nil"/>
              <w:right w:val="nil"/>
            </w:tcBorders>
            <w:tcMar>
              <w:top w:w="19" w:type="dxa"/>
              <w:left w:w="19" w:type="dxa"/>
              <w:bottom w:w="19" w:type="dxa"/>
              <w:right w:w="19" w:type="dxa"/>
            </w:tcMar>
            <w:vAlign w:val="center"/>
          </w:tcPr>
          <w:p w14:paraId="0012D5C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Transtornos alimentares (masculinidades)</w:t>
            </w:r>
          </w:p>
        </w:tc>
        <w:tc>
          <w:tcPr>
            <w:tcW w:w="1485" w:type="dxa"/>
            <w:tcBorders>
              <w:top w:val="nil"/>
              <w:left w:val="nil"/>
              <w:right w:val="nil"/>
            </w:tcBorders>
            <w:tcMar>
              <w:top w:w="19" w:type="dxa"/>
              <w:left w:w="19" w:type="dxa"/>
              <w:bottom w:w="19" w:type="dxa"/>
              <w:right w:w="19" w:type="dxa"/>
            </w:tcMar>
            <w:vAlign w:val="center"/>
          </w:tcPr>
          <w:p w14:paraId="6DA0DCAE" w14:textId="77777777" w:rsidR="007E74C0" w:rsidRDefault="00EA0911">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Porto Rico</w:t>
            </w:r>
          </w:p>
        </w:tc>
      </w:tr>
      <w:tr w:rsidR="007E74C0" w14:paraId="783BEAF9" w14:textId="77777777">
        <w:trPr>
          <w:trHeight w:val="280"/>
        </w:trPr>
        <w:tc>
          <w:tcPr>
            <w:tcW w:w="555" w:type="dxa"/>
            <w:vMerge/>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3E74C97E" w14:textId="77777777" w:rsidR="007E74C0" w:rsidRDefault="007E74C0">
            <w:pPr>
              <w:widowControl w:val="0"/>
              <w:spacing w:line="240" w:lineRule="auto"/>
              <w:rPr>
                <w:rFonts w:ascii="Times New Roman" w:eastAsia="Times New Roman" w:hAnsi="Times New Roman" w:cs="Times New Roman"/>
                <w:sz w:val="20"/>
                <w:szCs w:val="20"/>
              </w:rPr>
            </w:pPr>
          </w:p>
        </w:tc>
        <w:tc>
          <w:tcPr>
            <w:tcW w:w="660" w:type="dxa"/>
            <w:vMerge/>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2162C722"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3810"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657E2D74"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la Rubia</w:t>
            </w:r>
          </w:p>
        </w:tc>
        <w:tc>
          <w:tcPr>
            <w:tcW w:w="2400" w:type="dxa"/>
            <w:tcBorders>
              <w:top w:val="nil"/>
              <w:left w:val="single" w:sz="7" w:space="0" w:color="FFFFFF"/>
              <w:bottom w:val="nil"/>
              <w:right w:val="nil"/>
            </w:tcBorders>
            <w:tcMar>
              <w:top w:w="19" w:type="dxa"/>
              <w:left w:w="19" w:type="dxa"/>
              <w:bottom w:w="19" w:type="dxa"/>
              <w:right w:w="19" w:type="dxa"/>
            </w:tcMar>
            <w:vAlign w:val="center"/>
          </w:tcPr>
          <w:p w14:paraId="34A2ADA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(fantasias)</w:t>
            </w:r>
          </w:p>
        </w:tc>
        <w:tc>
          <w:tcPr>
            <w:tcW w:w="1485" w:type="dxa"/>
            <w:tcBorders>
              <w:top w:val="nil"/>
              <w:left w:val="nil"/>
              <w:right w:val="nil"/>
            </w:tcBorders>
            <w:tcMar>
              <w:top w:w="19" w:type="dxa"/>
              <w:left w:w="19" w:type="dxa"/>
              <w:bottom w:w="19" w:type="dxa"/>
              <w:right w:w="19" w:type="dxa"/>
            </w:tcMar>
            <w:vAlign w:val="center"/>
          </w:tcPr>
          <w:p w14:paraId="5FEBE84E" w14:textId="77777777" w:rsidR="007E74C0" w:rsidRDefault="00EA0911">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México</w:t>
            </w:r>
          </w:p>
        </w:tc>
      </w:tr>
      <w:tr w:rsidR="007E74C0" w14:paraId="3C456949" w14:textId="77777777">
        <w:trPr>
          <w:trHeight w:val="239"/>
        </w:trPr>
        <w:tc>
          <w:tcPr>
            <w:tcW w:w="555" w:type="dxa"/>
            <w:tcBorders>
              <w:top w:val="single" w:sz="7" w:space="0" w:color="FFFFFF"/>
              <w:left w:val="single" w:sz="7" w:space="0" w:color="FFFFFF"/>
              <w:bottom w:val="single" w:sz="7" w:space="0" w:color="FFFFFF"/>
              <w:right w:val="single" w:sz="7" w:space="0" w:color="FFFFFF"/>
            </w:tcBorders>
            <w:shd w:val="clear" w:color="auto" w:fill="BFBFBF"/>
            <w:tcMar>
              <w:top w:w="40" w:type="dxa"/>
              <w:left w:w="40" w:type="dxa"/>
              <w:bottom w:w="40" w:type="dxa"/>
              <w:right w:w="40" w:type="dxa"/>
            </w:tcMar>
            <w:vAlign w:val="center"/>
          </w:tcPr>
          <w:p w14:paraId="2DB24F37"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tc>
        <w:tc>
          <w:tcPr>
            <w:tcW w:w="660" w:type="dxa"/>
            <w:tcBorders>
              <w:top w:val="single" w:sz="7" w:space="0" w:color="FFFFFF"/>
              <w:left w:val="single" w:sz="7" w:space="0" w:color="FFFFFF"/>
              <w:bottom w:val="single" w:sz="7" w:space="0" w:color="FFFFFF"/>
              <w:right w:val="single" w:sz="7" w:space="0" w:color="FFFFFF"/>
            </w:tcBorders>
            <w:shd w:val="clear" w:color="auto" w:fill="BFBFBF"/>
            <w:tcMar>
              <w:top w:w="40" w:type="dxa"/>
              <w:left w:w="40" w:type="dxa"/>
              <w:bottom w:w="40" w:type="dxa"/>
              <w:right w:w="40" w:type="dxa"/>
            </w:tcMar>
            <w:vAlign w:val="center"/>
          </w:tcPr>
          <w:p w14:paraId="2C95B518"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w:t>
            </w:r>
          </w:p>
        </w:tc>
        <w:tc>
          <w:tcPr>
            <w:tcW w:w="3810" w:type="dxa"/>
            <w:tcBorders>
              <w:top w:val="single" w:sz="7" w:space="0" w:color="FFFFFF"/>
              <w:left w:val="single" w:sz="7" w:space="0" w:color="FFFFFF"/>
              <w:bottom w:val="single" w:sz="7" w:space="0" w:color="FFFFFF"/>
              <w:right w:val="single" w:sz="7" w:space="0" w:color="FFFFFF"/>
            </w:tcBorders>
            <w:shd w:val="clear" w:color="auto" w:fill="BFBFBF"/>
            <w:tcMar>
              <w:top w:w="40" w:type="dxa"/>
              <w:left w:w="40" w:type="dxa"/>
              <w:bottom w:w="40" w:type="dxa"/>
              <w:right w:w="40" w:type="dxa"/>
            </w:tcMar>
            <w:vAlign w:val="center"/>
          </w:tcPr>
          <w:p w14:paraId="06511178"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Raffaelli, Andrade,  Poppe, Sanchez-Armass, Vidal e Garcia</w:t>
            </w:r>
          </w:p>
        </w:tc>
        <w:tc>
          <w:tcPr>
            <w:tcW w:w="2400" w:type="dxa"/>
            <w:tcBorders>
              <w:top w:val="nil"/>
              <w:left w:val="single" w:sz="7" w:space="0" w:color="FFFFFF"/>
              <w:bottom w:val="nil"/>
              <w:right w:val="nil"/>
            </w:tcBorders>
            <w:shd w:val="clear" w:color="auto" w:fill="BFBFBF"/>
            <w:tcMar>
              <w:top w:w="19" w:type="dxa"/>
              <w:left w:w="19" w:type="dxa"/>
              <w:bottom w:w="19" w:type="dxa"/>
              <w:right w:w="19" w:type="dxa"/>
            </w:tcMar>
            <w:vAlign w:val="center"/>
          </w:tcPr>
          <w:p w14:paraId="6F17E17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85" w:type="dxa"/>
            <w:tcBorders>
              <w:left w:val="nil"/>
              <w:bottom w:val="nil"/>
              <w:right w:val="nil"/>
            </w:tcBorders>
            <w:shd w:val="clear" w:color="auto" w:fill="BFBFBF"/>
            <w:tcMar>
              <w:top w:w="19" w:type="dxa"/>
              <w:left w:w="19" w:type="dxa"/>
              <w:bottom w:w="19" w:type="dxa"/>
              <w:right w:w="19" w:type="dxa"/>
            </w:tcMar>
            <w:vAlign w:val="center"/>
          </w:tcPr>
          <w:p w14:paraId="023166E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6129C3DA" w14:textId="77777777">
        <w:trPr>
          <w:trHeight w:val="239"/>
        </w:trPr>
        <w:tc>
          <w:tcPr>
            <w:tcW w:w="555"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4DE4E64B"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c>
          <w:tcPr>
            <w:tcW w:w="660"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6163B4BE"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w:t>
            </w:r>
          </w:p>
        </w:tc>
        <w:tc>
          <w:tcPr>
            <w:tcW w:w="3810"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4919D3A2"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Vuyk</w:t>
            </w:r>
          </w:p>
        </w:tc>
        <w:tc>
          <w:tcPr>
            <w:tcW w:w="2400" w:type="dxa"/>
            <w:tcBorders>
              <w:top w:val="nil"/>
              <w:left w:val="single" w:sz="7" w:space="0" w:color="FFFFFF"/>
              <w:bottom w:val="nil"/>
              <w:right w:val="nil"/>
            </w:tcBorders>
            <w:tcMar>
              <w:top w:w="19" w:type="dxa"/>
              <w:left w:w="19" w:type="dxa"/>
              <w:bottom w:w="19" w:type="dxa"/>
              <w:right w:w="19" w:type="dxa"/>
            </w:tcMar>
            <w:vAlign w:val="center"/>
          </w:tcPr>
          <w:p w14:paraId="7ED8DC4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85" w:type="dxa"/>
            <w:tcBorders>
              <w:left w:val="nil"/>
              <w:bottom w:val="nil"/>
              <w:right w:val="nil"/>
            </w:tcBorders>
            <w:tcMar>
              <w:top w:w="19" w:type="dxa"/>
              <w:left w:w="19" w:type="dxa"/>
              <w:bottom w:w="19" w:type="dxa"/>
              <w:right w:w="19" w:type="dxa"/>
            </w:tcMar>
            <w:vAlign w:val="center"/>
          </w:tcPr>
          <w:p w14:paraId="60881F6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Paraguai</w:t>
            </w:r>
          </w:p>
        </w:tc>
      </w:tr>
      <w:tr w:rsidR="007E74C0" w14:paraId="1F492D2C" w14:textId="77777777">
        <w:trPr>
          <w:trHeight w:val="239"/>
        </w:trPr>
        <w:tc>
          <w:tcPr>
            <w:tcW w:w="555" w:type="dxa"/>
            <w:tcBorders>
              <w:top w:val="single" w:sz="7" w:space="0" w:color="FFFFFF"/>
              <w:left w:val="single" w:sz="7" w:space="0" w:color="FFFFFF"/>
              <w:bottom w:val="single" w:sz="12" w:space="0" w:color="000000"/>
              <w:right w:val="single" w:sz="7" w:space="0" w:color="FFFFFF"/>
            </w:tcBorders>
            <w:shd w:val="clear" w:color="auto" w:fill="BFBFBF"/>
            <w:tcMar>
              <w:top w:w="40" w:type="dxa"/>
              <w:left w:w="40" w:type="dxa"/>
              <w:bottom w:w="40" w:type="dxa"/>
              <w:right w:w="40" w:type="dxa"/>
            </w:tcMar>
            <w:vAlign w:val="center"/>
          </w:tcPr>
          <w:p w14:paraId="1A4B71B1"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660" w:type="dxa"/>
            <w:tcBorders>
              <w:top w:val="single" w:sz="7" w:space="0" w:color="FFFFFF"/>
              <w:left w:val="single" w:sz="7" w:space="0" w:color="FFFFFF"/>
              <w:bottom w:val="single" w:sz="12" w:space="0" w:color="000000"/>
              <w:right w:val="single" w:sz="7" w:space="0" w:color="FFFFFF"/>
            </w:tcBorders>
            <w:shd w:val="clear" w:color="auto" w:fill="BFBFBF"/>
            <w:tcMar>
              <w:top w:w="40" w:type="dxa"/>
              <w:left w:w="40" w:type="dxa"/>
              <w:bottom w:w="40" w:type="dxa"/>
              <w:right w:w="40" w:type="dxa"/>
            </w:tcMar>
            <w:vAlign w:val="center"/>
          </w:tcPr>
          <w:p w14:paraId="5B555191"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w:t>
            </w:r>
          </w:p>
        </w:tc>
        <w:tc>
          <w:tcPr>
            <w:tcW w:w="3810" w:type="dxa"/>
            <w:tcBorders>
              <w:top w:val="single" w:sz="7" w:space="0" w:color="FFFFFF"/>
              <w:left w:val="single" w:sz="7" w:space="0" w:color="FFFFFF"/>
              <w:bottom w:val="single" w:sz="12" w:space="0" w:color="000000"/>
              <w:right w:val="single" w:sz="7" w:space="0" w:color="FFFFFF"/>
            </w:tcBorders>
            <w:shd w:val="clear" w:color="auto" w:fill="BFBFBF"/>
            <w:tcMar>
              <w:top w:w="40" w:type="dxa"/>
              <w:left w:w="40" w:type="dxa"/>
              <w:bottom w:w="40" w:type="dxa"/>
              <w:right w:w="40" w:type="dxa"/>
            </w:tcMar>
            <w:vAlign w:val="center"/>
          </w:tcPr>
          <w:p w14:paraId="7326FF5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Cruz, Ortiz, Hernández-Martínez  e Sánchez</w:t>
            </w:r>
          </w:p>
        </w:tc>
        <w:tc>
          <w:tcPr>
            <w:tcW w:w="2400" w:type="dxa"/>
            <w:tcBorders>
              <w:top w:val="nil"/>
              <w:left w:val="single" w:sz="7" w:space="0" w:color="FFFFFF"/>
              <w:bottom w:val="single" w:sz="12" w:space="0" w:color="000000"/>
              <w:right w:val="nil"/>
            </w:tcBorders>
            <w:shd w:val="clear" w:color="auto" w:fill="BFBFBF"/>
            <w:tcMar>
              <w:top w:w="19" w:type="dxa"/>
              <w:left w:w="19" w:type="dxa"/>
              <w:bottom w:w="19" w:type="dxa"/>
              <w:right w:w="19" w:type="dxa"/>
            </w:tcMar>
            <w:vAlign w:val="center"/>
          </w:tcPr>
          <w:p w14:paraId="3A1E9A6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85" w:type="dxa"/>
            <w:tcBorders>
              <w:left w:val="nil"/>
              <w:bottom w:val="single" w:sz="12" w:space="0" w:color="000000"/>
              <w:right w:val="nil"/>
            </w:tcBorders>
            <w:shd w:val="clear" w:color="auto" w:fill="BFBFBF"/>
            <w:tcMar>
              <w:top w:w="19" w:type="dxa"/>
              <w:left w:w="19" w:type="dxa"/>
              <w:bottom w:w="19" w:type="dxa"/>
              <w:right w:w="19" w:type="dxa"/>
            </w:tcMar>
            <w:vAlign w:val="center"/>
          </w:tcPr>
          <w:p w14:paraId="431532C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bl>
    <w:p w14:paraId="5556ABA7" w14:textId="77777777" w:rsidR="007E74C0" w:rsidRDefault="007E74C0">
      <w:pPr>
        <w:spacing w:line="240" w:lineRule="auto"/>
        <w:ind w:firstLine="720"/>
        <w:jc w:val="both"/>
        <w:rPr>
          <w:rFonts w:ascii="Times New Roman" w:eastAsia="Times New Roman" w:hAnsi="Times New Roman" w:cs="Times New Roman"/>
          <w:sz w:val="24"/>
          <w:szCs w:val="24"/>
          <w:highlight w:val="white"/>
        </w:rPr>
      </w:pPr>
    </w:p>
    <w:p w14:paraId="7904081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 literatura, temos a hipótese de que a expressão do adoecer em determinados corpos pode resultar de produções sociais, culturais e morais diversas, inclusive dos “fenômenos psicológicos” (</w:t>
      </w:r>
      <w:r>
        <w:rPr>
          <w:rFonts w:ascii="Times New Roman" w:eastAsia="Times New Roman" w:hAnsi="Times New Roman" w:cs="Times New Roman"/>
          <w:sz w:val="24"/>
          <w:szCs w:val="24"/>
        </w:rPr>
        <w:t>Medeiros, Bernardes &amp; Guareschi</w:t>
      </w:r>
      <w:r>
        <w:rPr>
          <w:rFonts w:ascii="Times New Roman" w:eastAsia="Times New Roman" w:hAnsi="Times New Roman" w:cs="Times New Roman"/>
          <w:sz w:val="24"/>
          <w:szCs w:val="24"/>
          <w:highlight w:val="white"/>
        </w:rPr>
        <w:t>, 2005, p. 268), que tanto concer</w:t>
      </w:r>
      <w:r>
        <w:rPr>
          <w:rFonts w:ascii="Times New Roman" w:eastAsia="Times New Roman" w:hAnsi="Times New Roman" w:cs="Times New Roman"/>
          <w:sz w:val="24"/>
          <w:szCs w:val="24"/>
          <w:highlight w:val="white"/>
        </w:rPr>
        <w:t xml:space="preserve">nem a psicologia e o espaço da saúde em geral. Nesse subtema, os artigos selecionados abordam </w:t>
      </w:r>
      <w:r>
        <w:rPr>
          <w:rFonts w:ascii="Times New Roman" w:eastAsia="Times New Roman" w:hAnsi="Times New Roman" w:cs="Times New Roman"/>
          <w:sz w:val="24"/>
          <w:szCs w:val="24"/>
          <w:highlight w:val="white"/>
        </w:rPr>
        <w:lastRenderedPageBreak/>
        <w:t>diversas “doenças mentais”, tema sobre o qual deve-se cuidar para não reincidir, através da medicalização, em novas formas de controle social dos fenômenos humano</w:t>
      </w:r>
      <w:r>
        <w:rPr>
          <w:rFonts w:ascii="Times New Roman" w:eastAsia="Times New Roman" w:hAnsi="Times New Roman" w:cs="Times New Roman"/>
          <w:sz w:val="24"/>
          <w:szCs w:val="24"/>
          <w:highlight w:val="white"/>
        </w:rPr>
        <w:t xml:space="preserve">s existenciais, ou seja; não apenas neurofisiológicos (Campos &amp; Zanello, 2016; Zanello &amp; Bukowitz, 2011). </w:t>
      </w:r>
    </w:p>
    <w:p w14:paraId="2AB88107"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sentido, surgem, na amostra, dois artigos sobre abuso sexual infantil no Brasil. O primeiro afirma que esse abuso impacta no desenvolvimento in</w:t>
      </w:r>
      <w:r>
        <w:rPr>
          <w:rFonts w:ascii="Times New Roman" w:eastAsia="Times New Roman" w:hAnsi="Times New Roman" w:cs="Times New Roman"/>
          <w:sz w:val="24"/>
          <w:szCs w:val="24"/>
          <w:highlight w:val="white"/>
        </w:rPr>
        <w:t>fantil e acarreta sintomas emocionais e comportamentais colaterais em meninas,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tais como o Transtorno de Estresse Pós-Traumático (IJP, 2008). O segundo, por uma revisão de literatura, conclui que esse abuso seria um fator de risco para transtornos alimenta</w:t>
      </w:r>
      <w:r>
        <w:rPr>
          <w:rFonts w:ascii="Times New Roman" w:eastAsia="Times New Roman" w:hAnsi="Times New Roman" w:cs="Times New Roman"/>
          <w:sz w:val="24"/>
          <w:szCs w:val="24"/>
          <w:highlight w:val="white"/>
        </w:rPr>
        <w:t>res, notando que a correlação destes com o gênero seria multifatorial, envolvendo questões estéticas e sociais (IJP, 2009).</w:t>
      </w:r>
    </w:p>
    <w:p w14:paraId="033AB573" w14:textId="77777777" w:rsidR="007E74C0" w:rsidRDefault="00EA0911">
      <w:pPr>
        <w:spacing w:line="240" w:lineRule="auto"/>
        <w:ind w:firstLine="70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Posto que os achados desses artigos reiteram a maior ocorrência da depressão entre mulheres, destacamos que esta diferente forma de </w:t>
      </w:r>
      <w:r>
        <w:rPr>
          <w:rFonts w:ascii="Times New Roman" w:eastAsia="Times New Roman" w:hAnsi="Times New Roman" w:cs="Times New Roman"/>
          <w:sz w:val="24"/>
          <w:szCs w:val="24"/>
          <w:highlight w:val="white"/>
        </w:rPr>
        <w:t xml:space="preserve">adoecer possui vínculo com as relações de poder instituídas nos corpos, de modo que  “. . . seus comportamentos e sentimentos deveriam ser compreendidos mais como respostas plausíveis, quando contextualizados, do que como sintomas psiquiátricos” (Campos &amp; </w:t>
      </w:r>
      <w:r>
        <w:rPr>
          <w:rFonts w:ascii="Times New Roman" w:eastAsia="Times New Roman" w:hAnsi="Times New Roman" w:cs="Times New Roman"/>
          <w:sz w:val="24"/>
          <w:szCs w:val="24"/>
          <w:highlight w:val="white"/>
        </w:rPr>
        <w:t>Zanello, 2016, p. 113). O saber psiquiátrico acaba, por vezes, a considerar o sintoma e o diagnóstico das experiências vividas e sentidas como se fossem inerentes, neste caso, ao ser mulher, e não uma produção normativa nos seus corpos à margem da represen</w:t>
      </w:r>
      <w:r>
        <w:rPr>
          <w:rFonts w:ascii="Times New Roman" w:eastAsia="Times New Roman" w:hAnsi="Times New Roman" w:cs="Times New Roman"/>
          <w:sz w:val="24"/>
          <w:szCs w:val="24"/>
          <w:highlight w:val="white"/>
        </w:rPr>
        <w:t>tatividade social e econômica (Campos &amp; Zanello, 2016; Zanello &amp; Bukowitz, 2011)</w:t>
      </w:r>
    </w:p>
    <w:p w14:paraId="7E4FB053"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seguida, emerge outra pesquisa sobre transtornos alimentares; desta vez, com foco nos corpos masculinos em Porto Rico (IJP, 2010). Considerando a masculinidade hegemônica r</w:t>
      </w:r>
      <w:r>
        <w:rPr>
          <w:rFonts w:ascii="Times New Roman" w:eastAsia="Times New Roman" w:hAnsi="Times New Roman" w:cs="Times New Roman"/>
          <w:sz w:val="24"/>
          <w:szCs w:val="24"/>
          <w:highlight w:val="white"/>
        </w:rPr>
        <w:t>esultante de relações de poder que servem ao patriarcado, esse estudo vê o sofrimento desses corpos refletido no aumento desses transtornos, sobretudo entre homossexuais, para os quais as cobranças sociais por certo tipo físico seriam um fator adicional de</w:t>
      </w:r>
      <w:r>
        <w:rPr>
          <w:rFonts w:ascii="Times New Roman" w:eastAsia="Times New Roman" w:hAnsi="Times New Roman" w:cs="Times New Roman"/>
          <w:sz w:val="24"/>
          <w:szCs w:val="24"/>
          <w:highlight w:val="white"/>
        </w:rPr>
        <w:t xml:space="preserve"> risco.</w:t>
      </w:r>
    </w:p>
    <w:p w14:paraId="522C5F28"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Novamente sobre abusos sexuais, um estudo realizado no México, embora não tenha encontrado correlação estatisticamente significativa entre esses abusos e as fantasias sexuais, indica que seus conteúdos relativos à promiscuidade, sadomasoquismo e ho</w:t>
      </w:r>
      <w:r>
        <w:rPr>
          <w:rFonts w:ascii="Times New Roman" w:eastAsia="Times New Roman" w:hAnsi="Times New Roman" w:cs="Times New Roman"/>
          <w:sz w:val="24"/>
          <w:szCs w:val="24"/>
        </w:rPr>
        <w:t>mossexualidade seriam maiores em vítimas femininas de abuso sexual (IJP, 2010). Lembramos, entretanto, que esses dados carecem de maior contextualização antes de serem afirmados como indícios de propensão a doenças mentais, que compõem um campo</w:t>
      </w:r>
      <w:r>
        <w:rPr>
          <w:rFonts w:ascii="Times New Roman" w:eastAsia="Times New Roman" w:hAnsi="Times New Roman" w:cs="Times New Roman"/>
          <w:sz w:val="24"/>
          <w:szCs w:val="24"/>
          <w:highlight w:val="white"/>
        </w:rPr>
        <w:t xml:space="preserve"> produzido e</w:t>
      </w:r>
      <w:r>
        <w:rPr>
          <w:rFonts w:ascii="Times New Roman" w:eastAsia="Times New Roman" w:hAnsi="Times New Roman" w:cs="Times New Roman"/>
          <w:sz w:val="24"/>
          <w:szCs w:val="24"/>
          <w:highlight w:val="white"/>
        </w:rPr>
        <w:t xml:space="preserve"> não descoberto na saúde, com significativo caráter de controle social e moral (Foucault, 1982).</w:t>
      </w:r>
    </w:p>
    <w:p w14:paraId="0B4B6DCE"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Quanto à depressão, artigo sobre estudantes superdotados no Paraguai não identificou distinção na percepção de perfeccionismo, que seria alto para ambos os gên</w:t>
      </w:r>
      <w:r>
        <w:rPr>
          <w:rFonts w:ascii="Times New Roman" w:eastAsia="Times New Roman" w:hAnsi="Times New Roman" w:cs="Times New Roman"/>
          <w:sz w:val="24"/>
          <w:szCs w:val="24"/>
          <w:highlight w:val="white"/>
        </w:rPr>
        <w:t>eros, mas sim no escore de depressão, maior entre meninas (IJP, 2015). Com público mais amplo, dois estudos feitos no México coadunam com achados segundo os quais mulheres teriam duas vezes mais quadro depressivo do que homens, identificando diferentes pre</w:t>
      </w:r>
      <w:r>
        <w:rPr>
          <w:rFonts w:ascii="Times New Roman" w:eastAsia="Times New Roman" w:hAnsi="Times New Roman" w:cs="Times New Roman"/>
          <w:sz w:val="24"/>
          <w:szCs w:val="24"/>
          <w:highlight w:val="white"/>
        </w:rPr>
        <w:t>ditores para essas ocorrências (bebidas alcoólicas para homens; pensamento ruminativo e o tabagismo para mulheres) e fazendo referências a fatores sociais e culturais e a necessidade de se compreender o processo de socialização por gênero nas análises (IJP</w:t>
      </w:r>
      <w:r>
        <w:rPr>
          <w:rFonts w:ascii="Times New Roman" w:eastAsia="Times New Roman" w:hAnsi="Times New Roman" w:cs="Times New Roman"/>
          <w:sz w:val="24"/>
          <w:szCs w:val="24"/>
          <w:highlight w:val="white"/>
        </w:rPr>
        <w:t xml:space="preserve">, 2013; IJP, 2017). </w:t>
      </w:r>
    </w:p>
    <w:p w14:paraId="67C03D5E"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As diferenças com que mulheres e homens</w:t>
      </w:r>
      <w:r>
        <w:rPr>
          <w:rFonts w:ascii="Times New Roman" w:eastAsia="Times New Roman" w:hAnsi="Times New Roman" w:cs="Times New Roman"/>
          <w:sz w:val="24"/>
          <w:szCs w:val="24"/>
        </w:rPr>
        <w:t xml:space="preserve"> experienciam a existência subjetiva e sofrimentos são, certo modo, investigadas na Revista. No geral, contudo, essas diferenças costumam ser </w:t>
      </w:r>
      <w:r>
        <w:rPr>
          <w:rFonts w:ascii="Times New Roman" w:eastAsia="Times New Roman" w:hAnsi="Times New Roman" w:cs="Times New Roman"/>
          <w:sz w:val="24"/>
          <w:szCs w:val="24"/>
          <w:highlight w:val="white"/>
        </w:rPr>
        <w:t>invisibilizadas no processo diagnóstico</w:t>
      </w:r>
      <w:r>
        <w:rPr>
          <w:rFonts w:ascii="Times New Roman" w:eastAsia="Times New Roman" w:hAnsi="Times New Roman" w:cs="Times New Roman"/>
          <w:sz w:val="24"/>
          <w:szCs w:val="24"/>
        </w:rPr>
        <w:t xml:space="preserve"> e na prática clínica cotidiana (Campos &amp; Zanello, 2016; </w:t>
      </w:r>
      <w:r>
        <w:rPr>
          <w:rFonts w:ascii="Times New Roman" w:eastAsia="Times New Roman" w:hAnsi="Times New Roman" w:cs="Times New Roman"/>
          <w:sz w:val="24"/>
          <w:szCs w:val="24"/>
          <w:highlight w:val="white"/>
        </w:rPr>
        <w:t xml:space="preserve">Souza, 2012; </w:t>
      </w:r>
      <w:r>
        <w:rPr>
          <w:rFonts w:ascii="Times New Roman" w:eastAsia="Times New Roman" w:hAnsi="Times New Roman" w:cs="Times New Roman"/>
          <w:sz w:val="24"/>
          <w:szCs w:val="24"/>
        </w:rPr>
        <w:t xml:space="preserve">Zanello &amp; Bukowitz, 2011). </w:t>
      </w:r>
      <w:r>
        <w:rPr>
          <w:rFonts w:ascii="Times New Roman" w:eastAsia="Times New Roman" w:hAnsi="Times New Roman" w:cs="Times New Roman"/>
          <w:sz w:val="24"/>
          <w:szCs w:val="24"/>
          <w:highlight w:val="white"/>
        </w:rPr>
        <w:t>Além das marcas da invisibilidade histórica e marginal dos corpos femininos, denunciadas por movimentos feministas e LGBTT+, são corpos historicamente sujeitos</w:t>
      </w:r>
      <w:r>
        <w:rPr>
          <w:rFonts w:ascii="Times New Roman" w:eastAsia="Times New Roman" w:hAnsi="Times New Roman" w:cs="Times New Roman"/>
          <w:sz w:val="24"/>
          <w:szCs w:val="24"/>
          <w:highlight w:val="white"/>
        </w:rPr>
        <w:t xml:space="preserve"> a violências, assim como corpos não-normativos, sendo esta outra faceta de controle e manutenção do poder masculino em sociedades patriarcais e heteronormativas (Gomes, Murta, Facchini &amp; Meneghel, 2018).</w:t>
      </w:r>
    </w:p>
    <w:p w14:paraId="54FF2E91"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falta de uma compreensão mais ampla da saúde pode</w:t>
      </w:r>
      <w:r>
        <w:rPr>
          <w:rFonts w:ascii="Times New Roman" w:eastAsia="Times New Roman" w:hAnsi="Times New Roman" w:cs="Times New Roman"/>
          <w:sz w:val="24"/>
          <w:szCs w:val="24"/>
          <w:highlight w:val="white"/>
        </w:rPr>
        <w:t xml:space="preserve"> colaborar para a construção de um normal e um desvio/patológico na saúde como padrões que, todavia, são engendrados por aspectos sociais e culturais e que, por conseguinte, podem se alterar no tempo (Souza, 2012; Zanello &amp; Bukowitz, 2011). Pensar o sofrim</w:t>
      </w:r>
      <w:r>
        <w:rPr>
          <w:rFonts w:ascii="Times New Roman" w:eastAsia="Times New Roman" w:hAnsi="Times New Roman" w:cs="Times New Roman"/>
          <w:sz w:val="24"/>
          <w:szCs w:val="24"/>
          <w:highlight w:val="white"/>
        </w:rPr>
        <w:t xml:space="preserve">ento psíquico nos impele a extrapolar o viés do </w:t>
      </w:r>
      <w:r>
        <w:rPr>
          <w:rFonts w:ascii="Times New Roman" w:eastAsia="Times New Roman" w:hAnsi="Times New Roman" w:cs="Times New Roman"/>
          <w:sz w:val="24"/>
          <w:szCs w:val="24"/>
          <w:highlight w:val="white"/>
        </w:rPr>
        <w:lastRenderedPageBreak/>
        <w:t>discurso biomédico e exige reflexões com foco nos fatores sócio-político-econômico-culturais que nos constituem, como as relações de gênero, como se verá no próximo subtema.</w:t>
      </w:r>
    </w:p>
    <w:p w14:paraId="5CAA4E56" w14:textId="77777777" w:rsidR="007E74C0" w:rsidRDefault="007E74C0">
      <w:pPr>
        <w:spacing w:line="240" w:lineRule="auto"/>
        <w:ind w:firstLine="720"/>
        <w:jc w:val="both"/>
        <w:rPr>
          <w:rFonts w:ascii="Times New Roman" w:eastAsia="Times New Roman" w:hAnsi="Times New Roman" w:cs="Times New Roman"/>
          <w:sz w:val="24"/>
          <w:szCs w:val="24"/>
          <w:highlight w:val="white"/>
        </w:rPr>
      </w:pPr>
    </w:p>
    <w:p w14:paraId="0C8C1508"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4.2.2 Saúde sexual e (não) reprod</w:t>
      </w:r>
      <w:r>
        <w:rPr>
          <w:rFonts w:ascii="Times New Roman" w:eastAsia="Times New Roman" w:hAnsi="Times New Roman" w:cs="Times New Roman"/>
          <w:b/>
          <w:i/>
          <w:sz w:val="24"/>
          <w:szCs w:val="24"/>
          <w:highlight w:val="white"/>
        </w:rPr>
        <w:t xml:space="preserve">utiva: produção de saberes e subjetividades. </w:t>
      </w:r>
      <w:r>
        <w:rPr>
          <w:rFonts w:ascii="Times New Roman" w:eastAsia="Times New Roman" w:hAnsi="Times New Roman" w:cs="Times New Roman"/>
          <w:sz w:val="24"/>
          <w:szCs w:val="24"/>
          <w:highlight w:val="white"/>
        </w:rPr>
        <w:t>A partir da epidemia de HIV/AIDS nos anos 1980, houve um salto na produção em Saúde relativa a esse vírus em específico, como se infere, por exemplo, da Tabela 5.</w:t>
      </w:r>
    </w:p>
    <w:p w14:paraId="750F9AEF"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72B7CA84"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5. Quadro de artigos - Subtema 2 (Tema 2)</w:t>
      </w:r>
    </w:p>
    <w:tbl>
      <w:tblPr>
        <w:tblStyle w:val="a4"/>
        <w:tblW w:w="9135" w:type="dxa"/>
        <w:tblInd w:w="-100" w:type="dxa"/>
        <w:tblLayout w:type="fixed"/>
        <w:tblLook w:val="0600" w:firstRow="0" w:lastRow="0" w:firstColumn="0" w:lastColumn="0" w:noHBand="1" w:noVBand="1"/>
      </w:tblPr>
      <w:tblGrid>
        <w:gridCol w:w="555"/>
        <w:gridCol w:w="660"/>
        <w:gridCol w:w="3135"/>
        <w:gridCol w:w="3225"/>
        <w:gridCol w:w="1560"/>
      </w:tblGrid>
      <w:tr w:rsidR="007E74C0" w14:paraId="1453D4F8" w14:textId="77777777">
        <w:trPr>
          <w:trHeight w:val="460"/>
        </w:trPr>
        <w:tc>
          <w:tcPr>
            <w:tcW w:w="1215" w:type="dxa"/>
            <w:gridSpan w:val="2"/>
            <w:tcBorders>
              <w:top w:val="single" w:sz="12" w:space="0" w:color="000000"/>
              <w:bottom w:val="single" w:sz="6" w:space="0" w:color="000000"/>
            </w:tcBorders>
          </w:tcPr>
          <w:p w14:paraId="0FE1285C"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135" w:type="dxa"/>
            <w:vMerge w:val="restart"/>
            <w:tcBorders>
              <w:top w:val="single" w:sz="12" w:space="0" w:color="000000"/>
              <w:bottom w:val="nil"/>
            </w:tcBorders>
            <w:vAlign w:val="center"/>
          </w:tcPr>
          <w:p w14:paraId="4BD6156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6EFF20C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3225" w:type="dxa"/>
            <w:vMerge w:val="restart"/>
            <w:tcBorders>
              <w:top w:val="single" w:sz="12" w:space="0" w:color="000000"/>
              <w:left w:val="nil"/>
              <w:bottom w:val="nil"/>
            </w:tcBorders>
            <w:shd w:val="clear" w:color="auto" w:fill="auto"/>
            <w:tcMar>
              <w:top w:w="100" w:type="dxa"/>
              <w:left w:w="100" w:type="dxa"/>
              <w:bottom w:w="100" w:type="dxa"/>
              <w:right w:w="100" w:type="dxa"/>
            </w:tcMar>
            <w:vAlign w:val="center"/>
          </w:tcPr>
          <w:p w14:paraId="4C993368"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2C55F0C7"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60" w:type="dxa"/>
            <w:vMerge w:val="restart"/>
            <w:tcBorders>
              <w:top w:val="single" w:sz="12" w:space="0" w:color="000000"/>
              <w:left w:val="nil"/>
              <w:bottom w:val="nil"/>
            </w:tcBorders>
            <w:shd w:val="clear" w:color="auto" w:fill="auto"/>
            <w:tcMar>
              <w:top w:w="100" w:type="dxa"/>
              <w:left w:w="100" w:type="dxa"/>
              <w:bottom w:w="100" w:type="dxa"/>
              <w:right w:w="100" w:type="dxa"/>
            </w:tcMar>
            <w:vAlign w:val="center"/>
          </w:tcPr>
          <w:p w14:paraId="7802CD8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1E934F3F"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6703EBA9"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6F1DE098"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single" w:sz="6" w:space="0" w:color="000000"/>
              <w:left w:val="nil"/>
              <w:bottom w:val="single" w:sz="12" w:space="0" w:color="000000"/>
              <w:right w:val="nil"/>
            </w:tcBorders>
            <w:shd w:val="clear" w:color="auto" w:fill="auto"/>
            <w:tcMar>
              <w:top w:w="100" w:type="dxa"/>
              <w:left w:w="100" w:type="dxa"/>
              <w:bottom w:w="100" w:type="dxa"/>
              <w:right w:w="100" w:type="dxa"/>
            </w:tcMar>
          </w:tcPr>
          <w:p w14:paraId="683E116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135" w:type="dxa"/>
            <w:vMerge/>
            <w:tcBorders>
              <w:top w:val="nil"/>
              <w:bottom w:val="single" w:sz="12" w:space="0" w:color="000000"/>
            </w:tcBorders>
            <w:vAlign w:val="center"/>
          </w:tcPr>
          <w:p w14:paraId="302E1201" w14:textId="77777777" w:rsidR="007E74C0" w:rsidRDefault="007E74C0">
            <w:pPr>
              <w:widowControl w:val="0"/>
              <w:rPr>
                <w:rFonts w:ascii="Times New Roman" w:eastAsia="Times New Roman" w:hAnsi="Times New Roman" w:cs="Times New Roman"/>
                <w:sz w:val="20"/>
                <w:szCs w:val="20"/>
              </w:rPr>
            </w:pPr>
          </w:p>
        </w:tc>
        <w:tc>
          <w:tcPr>
            <w:tcW w:w="3225" w:type="dxa"/>
            <w:vMerge/>
            <w:tcBorders>
              <w:top w:val="nil"/>
              <w:left w:val="nil"/>
              <w:bottom w:val="single" w:sz="12" w:space="0" w:color="000000"/>
            </w:tcBorders>
            <w:shd w:val="clear" w:color="auto" w:fill="auto"/>
            <w:tcMar>
              <w:top w:w="100" w:type="dxa"/>
              <w:left w:w="100" w:type="dxa"/>
              <w:bottom w:w="100" w:type="dxa"/>
              <w:right w:w="100" w:type="dxa"/>
            </w:tcMar>
            <w:vAlign w:val="center"/>
          </w:tcPr>
          <w:p w14:paraId="727580AF" w14:textId="77777777" w:rsidR="007E74C0" w:rsidRDefault="007E74C0">
            <w:pPr>
              <w:widowControl w:val="0"/>
              <w:rPr>
                <w:rFonts w:ascii="Times New Roman" w:eastAsia="Times New Roman" w:hAnsi="Times New Roman" w:cs="Times New Roman"/>
                <w:sz w:val="20"/>
                <w:szCs w:val="20"/>
              </w:rPr>
            </w:pPr>
          </w:p>
        </w:tc>
        <w:tc>
          <w:tcPr>
            <w:tcW w:w="1560" w:type="dxa"/>
            <w:vMerge/>
            <w:tcBorders>
              <w:top w:val="nil"/>
              <w:left w:val="nil"/>
              <w:bottom w:val="single" w:sz="12" w:space="0" w:color="000000"/>
            </w:tcBorders>
            <w:shd w:val="clear" w:color="auto" w:fill="auto"/>
            <w:tcMar>
              <w:top w:w="100" w:type="dxa"/>
              <w:left w:w="100" w:type="dxa"/>
              <w:bottom w:w="100" w:type="dxa"/>
              <w:right w:w="100" w:type="dxa"/>
            </w:tcMar>
            <w:vAlign w:val="center"/>
          </w:tcPr>
          <w:p w14:paraId="20D6AEFD" w14:textId="77777777" w:rsidR="007E74C0" w:rsidRDefault="007E74C0">
            <w:pPr>
              <w:widowControl w:val="0"/>
              <w:rPr>
                <w:rFonts w:ascii="Times New Roman" w:eastAsia="Times New Roman" w:hAnsi="Times New Roman" w:cs="Times New Roman"/>
                <w:sz w:val="20"/>
                <w:szCs w:val="20"/>
              </w:rPr>
            </w:pPr>
          </w:p>
        </w:tc>
      </w:tr>
      <w:tr w:rsidR="007E74C0" w14:paraId="53A54EF5" w14:textId="77777777">
        <w:trPr>
          <w:trHeight w:val="239"/>
        </w:trPr>
        <w:tc>
          <w:tcPr>
            <w:tcW w:w="555" w:type="dxa"/>
            <w:tcBorders>
              <w:top w:val="single" w:sz="12" w:space="0" w:color="000000"/>
              <w:left w:val="nil"/>
              <w:bottom w:val="nil"/>
              <w:right w:val="nil"/>
            </w:tcBorders>
            <w:tcMar>
              <w:top w:w="40" w:type="dxa"/>
              <w:left w:w="40" w:type="dxa"/>
              <w:bottom w:w="40" w:type="dxa"/>
              <w:right w:w="40" w:type="dxa"/>
            </w:tcMar>
            <w:vAlign w:val="center"/>
          </w:tcPr>
          <w:p w14:paraId="1C74A4BD"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660" w:type="dxa"/>
            <w:tcBorders>
              <w:top w:val="single" w:sz="12" w:space="0" w:color="000000"/>
              <w:left w:val="nil"/>
              <w:bottom w:val="nil"/>
              <w:right w:val="nil"/>
            </w:tcBorders>
            <w:tcMar>
              <w:top w:w="40" w:type="dxa"/>
              <w:left w:w="40" w:type="dxa"/>
              <w:bottom w:w="40" w:type="dxa"/>
              <w:right w:w="40" w:type="dxa"/>
            </w:tcMar>
            <w:vAlign w:val="center"/>
          </w:tcPr>
          <w:p w14:paraId="41E0A12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w:t>
            </w:r>
          </w:p>
        </w:tc>
        <w:tc>
          <w:tcPr>
            <w:tcW w:w="3135" w:type="dxa"/>
            <w:tcBorders>
              <w:top w:val="single" w:sz="12" w:space="0" w:color="000000"/>
              <w:left w:val="nil"/>
              <w:bottom w:val="nil"/>
              <w:right w:val="nil"/>
            </w:tcBorders>
            <w:tcMar>
              <w:top w:w="40" w:type="dxa"/>
              <w:left w:w="40" w:type="dxa"/>
              <w:bottom w:w="40" w:type="dxa"/>
              <w:right w:w="40" w:type="dxa"/>
            </w:tcMar>
            <w:vAlign w:val="center"/>
          </w:tcPr>
          <w:p w14:paraId="6194363A"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Fishbein</w:t>
            </w:r>
          </w:p>
        </w:tc>
        <w:tc>
          <w:tcPr>
            <w:tcW w:w="3225" w:type="dxa"/>
            <w:tcBorders>
              <w:top w:val="single" w:sz="12" w:space="0" w:color="000000"/>
              <w:left w:val="nil"/>
              <w:bottom w:val="nil"/>
              <w:right w:val="nil"/>
            </w:tcBorders>
            <w:tcMar>
              <w:top w:w="19" w:type="dxa"/>
              <w:left w:w="19" w:type="dxa"/>
              <w:bottom w:w="19" w:type="dxa"/>
              <w:right w:w="19" w:type="dxa"/>
            </w:tcMar>
            <w:vAlign w:val="center"/>
          </w:tcPr>
          <w:p w14:paraId="0DF14B1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(teoria comportamental)</w:t>
            </w:r>
          </w:p>
        </w:tc>
        <w:tc>
          <w:tcPr>
            <w:tcW w:w="1560" w:type="dxa"/>
            <w:tcBorders>
              <w:top w:val="single" w:sz="12" w:space="0" w:color="000000"/>
              <w:left w:val="nil"/>
              <w:bottom w:val="nil"/>
              <w:right w:val="nil"/>
            </w:tcBorders>
            <w:tcMar>
              <w:top w:w="19" w:type="dxa"/>
              <w:left w:w="19" w:type="dxa"/>
              <w:bottom w:w="19" w:type="dxa"/>
              <w:right w:w="19" w:type="dxa"/>
            </w:tcMar>
            <w:vAlign w:val="center"/>
          </w:tcPr>
          <w:p w14:paraId="7CDA095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 EUA</w:t>
            </w:r>
          </w:p>
        </w:tc>
      </w:tr>
      <w:tr w:rsidR="007E74C0" w14:paraId="4B1AADAD"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07D2ECB1"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41CEF40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3B7587F1"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Diaz-Loving e Martinez</w:t>
            </w:r>
          </w:p>
        </w:tc>
        <w:tc>
          <w:tcPr>
            <w:tcW w:w="3225" w:type="dxa"/>
            <w:tcBorders>
              <w:top w:val="nil"/>
              <w:left w:val="nil"/>
              <w:right w:val="nil"/>
            </w:tcBorders>
            <w:shd w:val="clear" w:color="auto" w:fill="BFBFBF"/>
            <w:tcMar>
              <w:top w:w="19" w:type="dxa"/>
              <w:left w:w="19" w:type="dxa"/>
              <w:bottom w:w="19" w:type="dxa"/>
              <w:right w:w="19" w:type="dxa"/>
            </w:tcMar>
            <w:vAlign w:val="center"/>
          </w:tcPr>
          <w:p w14:paraId="26ECEDA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(grupos de risco)</w:t>
            </w:r>
          </w:p>
        </w:tc>
        <w:tc>
          <w:tcPr>
            <w:tcW w:w="1560" w:type="dxa"/>
            <w:tcBorders>
              <w:top w:val="nil"/>
              <w:left w:val="nil"/>
              <w:right w:val="nil"/>
            </w:tcBorders>
            <w:shd w:val="clear" w:color="auto" w:fill="BFBFBF"/>
            <w:tcMar>
              <w:top w:w="19" w:type="dxa"/>
              <w:left w:w="19" w:type="dxa"/>
              <w:bottom w:w="19" w:type="dxa"/>
              <w:right w:w="19" w:type="dxa"/>
            </w:tcMar>
            <w:vAlign w:val="center"/>
          </w:tcPr>
          <w:p w14:paraId="6A654BD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65A36934"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59859F6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660" w:type="dxa"/>
            <w:tcBorders>
              <w:top w:val="nil"/>
              <w:left w:val="nil"/>
              <w:bottom w:val="nil"/>
              <w:right w:val="nil"/>
            </w:tcBorders>
            <w:tcMar>
              <w:top w:w="40" w:type="dxa"/>
              <w:left w:w="40" w:type="dxa"/>
              <w:bottom w:w="40" w:type="dxa"/>
              <w:right w:w="40" w:type="dxa"/>
            </w:tcMar>
            <w:vAlign w:val="center"/>
          </w:tcPr>
          <w:p w14:paraId="76407520"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w:t>
            </w:r>
          </w:p>
        </w:tc>
        <w:tc>
          <w:tcPr>
            <w:tcW w:w="3135" w:type="dxa"/>
            <w:tcBorders>
              <w:top w:val="nil"/>
              <w:left w:val="nil"/>
              <w:bottom w:val="nil"/>
              <w:right w:val="nil"/>
            </w:tcBorders>
            <w:tcMar>
              <w:top w:w="40" w:type="dxa"/>
              <w:left w:w="40" w:type="dxa"/>
              <w:bottom w:w="40" w:type="dxa"/>
              <w:right w:w="40" w:type="dxa"/>
            </w:tcMar>
            <w:vAlign w:val="center"/>
          </w:tcPr>
          <w:p w14:paraId="21DA3680"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Organista, Organista, Alba G. e Morán</w:t>
            </w:r>
          </w:p>
        </w:tc>
        <w:tc>
          <w:tcPr>
            <w:tcW w:w="3225" w:type="dxa"/>
            <w:tcBorders>
              <w:top w:val="nil"/>
              <w:left w:val="nil"/>
              <w:right w:val="nil"/>
            </w:tcBorders>
            <w:tcMar>
              <w:top w:w="19" w:type="dxa"/>
              <w:left w:w="19" w:type="dxa"/>
              <w:bottom w:w="19" w:type="dxa"/>
              <w:right w:w="19" w:type="dxa"/>
            </w:tcMar>
            <w:vAlign w:val="center"/>
          </w:tcPr>
          <w:p w14:paraId="4B69994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w:t>
            </w:r>
          </w:p>
        </w:tc>
        <w:tc>
          <w:tcPr>
            <w:tcW w:w="1560" w:type="dxa"/>
            <w:tcBorders>
              <w:top w:val="nil"/>
              <w:left w:val="nil"/>
              <w:right w:val="nil"/>
            </w:tcBorders>
            <w:tcMar>
              <w:top w:w="19" w:type="dxa"/>
              <w:left w:w="19" w:type="dxa"/>
              <w:bottom w:w="19" w:type="dxa"/>
              <w:right w:w="19" w:type="dxa"/>
            </w:tcMar>
            <w:vAlign w:val="center"/>
          </w:tcPr>
          <w:p w14:paraId="2D2AFFC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México, EUA</w:t>
            </w:r>
          </w:p>
        </w:tc>
      </w:tr>
      <w:tr w:rsidR="007E74C0" w14:paraId="4DF09877"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4907F00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508FBA8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34F35DD4"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w:t>
            </w:r>
          </w:p>
        </w:tc>
        <w:tc>
          <w:tcPr>
            <w:tcW w:w="3225" w:type="dxa"/>
            <w:tcBorders>
              <w:top w:val="nil"/>
              <w:left w:val="nil"/>
              <w:right w:val="nil"/>
            </w:tcBorders>
            <w:shd w:val="clear" w:color="auto" w:fill="BFBFBF"/>
            <w:tcMar>
              <w:top w:w="19" w:type="dxa"/>
              <w:left w:w="19" w:type="dxa"/>
              <w:bottom w:w="19" w:type="dxa"/>
              <w:right w:w="19" w:type="dxa"/>
            </w:tcMar>
            <w:vAlign w:val="center"/>
          </w:tcPr>
          <w:p w14:paraId="77635BD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 homossexualidade)</w:t>
            </w:r>
          </w:p>
        </w:tc>
        <w:tc>
          <w:tcPr>
            <w:tcW w:w="1560" w:type="dxa"/>
            <w:tcBorders>
              <w:top w:val="nil"/>
              <w:left w:val="nil"/>
              <w:right w:val="nil"/>
            </w:tcBorders>
            <w:shd w:val="clear" w:color="auto" w:fill="BFBFBF"/>
            <w:tcMar>
              <w:top w:w="19" w:type="dxa"/>
              <w:left w:w="19" w:type="dxa"/>
              <w:bottom w:w="19" w:type="dxa"/>
              <w:right w:w="19" w:type="dxa"/>
            </w:tcMar>
            <w:vAlign w:val="center"/>
          </w:tcPr>
          <w:p w14:paraId="39C822E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3F6CBDD0" w14:textId="77777777">
        <w:trPr>
          <w:trHeight w:val="280"/>
        </w:trPr>
        <w:tc>
          <w:tcPr>
            <w:tcW w:w="555" w:type="dxa"/>
            <w:vMerge w:val="restart"/>
            <w:tcBorders>
              <w:top w:val="nil"/>
              <w:left w:val="nil"/>
              <w:bottom w:val="nil"/>
              <w:right w:val="nil"/>
            </w:tcBorders>
            <w:tcMar>
              <w:top w:w="40" w:type="dxa"/>
              <w:left w:w="40" w:type="dxa"/>
              <w:bottom w:w="40" w:type="dxa"/>
              <w:right w:w="40" w:type="dxa"/>
            </w:tcMar>
            <w:vAlign w:val="center"/>
          </w:tcPr>
          <w:p w14:paraId="2215FA2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2001</w:t>
            </w:r>
          </w:p>
        </w:tc>
        <w:tc>
          <w:tcPr>
            <w:tcW w:w="660" w:type="dxa"/>
            <w:vMerge w:val="restart"/>
            <w:tcBorders>
              <w:top w:val="nil"/>
              <w:left w:val="nil"/>
              <w:bottom w:val="nil"/>
              <w:right w:val="nil"/>
            </w:tcBorders>
            <w:tcMar>
              <w:top w:w="40" w:type="dxa"/>
              <w:left w:w="40" w:type="dxa"/>
              <w:bottom w:w="40" w:type="dxa"/>
              <w:right w:w="40" w:type="dxa"/>
            </w:tcMar>
            <w:vAlign w:val="center"/>
          </w:tcPr>
          <w:p w14:paraId="402B6E3C"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35(2)</w:t>
            </w:r>
          </w:p>
        </w:tc>
        <w:tc>
          <w:tcPr>
            <w:tcW w:w="3135" w:type="dxa"/>
            <w:tcBorders>
              <w:top w:val="nil"/>
              <w:left w:val="nil"/>
              <w:bottom w:val="nil"/>
              <w:right w:val="nil"/>
            </w:tcBorders>
            <w:tcMar>
              <w:top w:w="40" w:type="dxa"/>
              <w:left w:w="40" w:type="dxa"/>
              <w:bottom w:w="40" w:type="dxa"/>
              <w:right w:w="40" w:type="dxa"/>
            </w:tcMar>
            <w:vAlign w:val="center"/>
          </w:tcPr>
          <w:p w14:paraId="5D30BE20"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Ayala e Díaz</w:t>
            </w:r>
          </w:p>
        </w:tc>
        <w:tc>
          <w:tcPr>
            <w:tcW w:w="3225" w:type="dxa"/>
            <w:tcBorders>
              <w:left w:val="nil"/>
              <w:bottom w:val="nil"/>
              <w:right w:val="nil"/>
            </w:tcBorders>
            <w:tcMar>
              <w:top w:w="19" w:type="dxa"/>
              <w:left w:w="19" w:type="dxa"/>
              <w:bottom w:w="19" w:type="dxa"/>
              <w:right w:w="19" w:type="dxa"/>
            </w:tcMar>
            <w:vAlign w:val="center"/>
          </w:tcPr>
          <w:p w14:paraId="31FAB2A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(preconceito, homossexualidade)</w:t>
            </w:r>
          </w:p>
        </w:tc>
        <w:tc>
          <w:tcPr>
            <w:tcW w:w="1560" w:type="dxa"/>
            <w:tcBorders>
              <w:left w:val="nil"/>
              <w:bottom w:val="nil"/>
              <w:right w:val="nil"/>
            </w:tcBorders>
            <w:tcMar>
              <w:top w:w="19" w:type="dxa"/>
              <w:left w:w="19" w:type="dxa"/>
              <w:bottom w:w="19" w:type="dxa"/>
              <w:right w:w="19" w:type="dxa"/>
            </w:tcMar>
            <w:vAlign w:val="center"/>
          </w:tcPr>
          <w:p w14:paraId="79A4B97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4DF871C3" w14:textId="77777777">
        <w:trPr>
          <w:trHeight w:val="280"/>
        </w:trPr>
        <w:tc>
          <w:tcPr>
            <w:tcW w:w="555" w:type="dxa"/>
            <w:vMerge/>
            <w:tcBorders>
              <w:top w:val="nil"/>
              <w:left w:val="nil"/>
              <w:bottom w:val="nil"/>
              <w:right w:val="nil"/>
            </w:tcBorders>
            <w:tcMar>
              <w:top w:w="40" w:type="dxa"/>
              <w:left w:w="40" w:type="dxa"/>
              <w:bottom w:w="40" w:type="dxa"/>
              <w:right w:w="40" w:type="dxa"/>
            </w:tcMar>
            <w:vAlign w:val="center"/>
          </w:tcPr>
          <w:p w14:paraId="49BAA077"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vMerge/>
            <w:tcBorders>
              <w:top w:val="nil"/>
              <w:left w:val="nil"/>
              <w:bottom w:val="nil"/>
              <w:right w:val="nil"/>
            </w:tcBorders>
            <w:tcMar>
              <w:top w:w="40" w:type="dxa"/>
              <w:left w:w="40" w:type="dxa"/>
              <w:bottom w:w="40" w:type="dxa"/>
              <w:right w:w="40" w:type="dxa"/>
            </w:tcMar>
            <w:vAlign w:val="center"/>
          </w:tcPr>
          <w:p w14:paraId="17AACF26"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3135" w:type="dxa"/>
            <w:tcBorders>
              <w:top w:val="nil"/>
              <w:left w:val="nil"/>
              <w:bottom w:val="nil"/>
              <w:right w:val="nil"/>
            </w:tcBorders>
            <w:tcMar>
              <w:top w:w="40" w:type="dxa"/>
              <w:left w:w="40" w:type="dxa"/>
              <w:bottom w:w="40" w:type="dxa"/>
              <w:right w:w="40" w:type="dxa"/>
            </w:tcMar>
            <w:vAlign w:val="center"/>
          </w:tcPr>
          <w:p w14:paraId="0ED9971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León</w:t>
            </w:r>
          </w:p>
        </w:tc>
        <w:tc>
          <w:tcPr>
            <w:tcW w:w="3225" w:type="dxa"/>
            <w:tcBorders>
              <w:left w:val="nil"/>
              <w:bottom w:val="nil"/>
              <w:right w:val="nil"/>
            </w:tcBorders>
            <w:tcMar>
              <w:top w:w="19" w:type="dxa"/>
              <w:left w:w="19" w:type="dxa"/>
              <w:bottom w:w="19" w:type="dxa"/>
              <w:right w:w="19" w:type="dxa"/>
            </w:tcMar>
            <w:vAlign w:val="center"/>
          </w:tcPr>
          <w:p w14:paraId="4C85D5E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 políticas)</w:t>
            </w:r>
          </w:p>
        </w:tc>
        <w:tc>
          <w:tcPr>
            <w:tcW w:w="1560" w:type="dxa"/>
            <w:tcBorders>
              <w:left w:val="nil"/>
              <w:bottom w:val="nil"/>
              <w:right w:val="nil"/>
            </w:tcBorders>
            <w:tcMar>
              <w:top w:w="19" w:type="dxa"/>
              <w:left w:w="19" w:type="dxa"/>
              <w:bottom w:w="19" w:type="dxa"/>
              <w:right w:w="19" w:type="dxa"/>
            </w:tcMar>
            <w:vAlign w:val="center"/>
          </w:tcPr>
          <w:p w14:paraId="456BA72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 EUA</w:t>
            </w:r>
          </w:p>
        </w:tc>
      </w:tr>
      <w:tr w:rsidR="007E74C0" w14:paraId="2C23A83A" w14:textId="77777777">
        <w:trPr>
          <w:trHeight w:val="280"/>
        </w:trPr>
        <w:tc>
          <w:tcPr>
            <w:tcW w:w="555"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4F31239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660"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2B2EA12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36E964C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Pecheny, Manzelli e Jones</w:t>
            </w:r>
          </w:p>
        </w:tc>
        <w:tc>
          <w:tcPr>
            <w:tcW w:w="3225" w:type="dxa"/>
            <w:tcBorders>
              <w:top w:val="nil"/>
              <w:left w:val="nil"/>
              <w:right w:val="nil"/>
            </w:tcBorders>
            <w:shd w:val="clear" w:color="auto" w:fill="BFBFBF"/>
            <w:tcMar>
              <w:top w:w="19" w:type="dxa"/>
              <w:left w:w="19" w:type="dxa"/>
              <w:bottom w:w="19" w:type="dxa"/>
              <w:right w:w="19" w:type="dxa"/>
            </w:tcMar>
            <w:vAlign w:val="center"/>
          </w:tcPr>
          <w:p w14:paraId="32CD148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(discriminação)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0099ECF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r w:rsidR="007E74C0" w14:paraId="664EAB21"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6EF98845"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vMerge/>
            <w:tcBorders>
              <w:top w:val="nil"/>
              <w:left w:val="nil"/>
              <w:bottom w:val="nil"/>
              <w:right w:val="nil"/>
            </w:tcBorders>
            <w:shd w:val="clear" w:color="auto" w:fill="BFBFBF"/>
            <w:tcMar>
              <w:top w:w="40" w:type="dxa"/>
              <w:left w:w="40" w:type="dxa"/>
              <w:bottom w:w="40" w:type="dxa"/>
              <w:right w:w="40" w:type="dxa"/>
            </w:tcMar>
            <w:vAlign w:val="center"/>
          </w:tcPr>
          <w:p w14:paraId="75EDA42E"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38C06A87"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Arregui</w:t>
            </w:r>
          </w:p>
        </w:tc>
        <w:tc>
          <w:tcPr>
            <w:tcW w:w="3225" w:type="dxa"/>
            <w:tcBorders>
              <w:left w:val="nil"/>
              <w:bottom w:val="nil"/>
              <w:right w:val="nil"/>
            </w:tcBorders>
            <w:shd w:val="clear" w:color="auto" w:fill="BFBFBF"/>
            <w:tcMar>
              <w:top w:w="19" w:type="dxa"/>
              <w:left w:w="19" w:type="dxa"/>
              <w:bottom w:w="19" w:type="dxa"/>
              <w:right w:w="19" w:type="dxa"/>
            </w:tcMar>
            <w:vAlign w:val="center"/>
          </w:tcPr>
          <w:p w14:paraId="48C3939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(discriminação)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1201B37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Rep. Dominicana</w:t>
            </w:r>
          </w:p>
        </w:tc>
      </w:tr>
      <w:tr w:rsidR="007E74C0" w14:paraId="5E4229A7"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7307F517"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135266F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5B451C6C"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Câmara, Sarriera e Carlotto</w:t>
            </w:r>
          </w:p>
        </w:tc>
        <w:tc>
          <w:tcPr>
            <w:tcW w:w="3225" w:type="dxa"/>
            <w:tcBorders>
              <w:top w:val="nil"/>
              <w:left w:val="nil"/>
              <w:right w:val="nil"/>
            </w:tcBorders>
            <w:shd w:val="clear" w:color="auto" w:fill="BFBFBF"/>
            <w:tcMar>
              <w:top w:w="19" w:type="dxa"/>
              <w:left w:w="19" w:type="dxa"/>
              <w:bottom w:w="19" w:type="dxa"/>
              <w:right w:w="19" w:type="dxa"/>
            </w:tcMar>
            <w:vAlign w:val="center"/>
          </w:tcPr>
          <w:p w14:paraId="05603D6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(conduta de risco)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581FFD3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4D36D102"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2B44E37B"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nil"/>
              <w:left w:val="nil"/>
              <w:bottom w:val="nil"/>
              <w:right w:val="nil"/>
            </w:tcBorders>
            <w:tcMar>
              <w:top w:w="40" w:type="dxa"/>
              <w:left w:w="40" w:type="dxa"/>
              <w:bottom w:w="40" w:type="dxa"/>
              <w:right w:w="40" w:type="dxa"/>
            </w:tcMar>
            <w:vAlign w:val="center"/>
          </w:tcPr>
          <w:p w14:paraId="0CD7AA2C"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3135" w:type="dxa"/>
            <w:tcBorders>
              <w:top w:val="nil"/>
              <w:left w:val="nil"/>
              <w:bottom w:val="nil"/>
              <w:right w:val="nil"/>
            </w:tcBorders>
            <w:tcMar>
              <w:top w:w="40" w:type="dxa"/>
              <w:left w:w="40" w:type="dxa"/>
              <w:bottom w:w="40" w:type="dxa"/>
              <w:right w:w="40" w:type="dxa"/>
            </w:tcMar>
            <w:vAlign w:val="center"/>
          </w:tcPr>
          <w:p w14:paraId="48A80E3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Torres e Faria</w:t>
            </w:r>
          </w:p>
        </w:tc>
        <w:tc>
          <w:tcPr>
            <w:tcW w:w="3225" w:type="dxa"/>
            <w:tcBorders>
              <w:top w:val="nil"/>
              <w:left w:val="nil"/>
              <w:right w:val="nil"/>
            </w:tcBorders>
            <w:tcMar>
              <w:top w:w="19" w:type="dxa"/>
              <w:left w:w="19" w:type="dxa"/>
              <w:bottom w:w="19" w:type="dxa"/>
              <w:right w:w="19" w:type="dxa"/>
            </w:tcMar>
            <w:vAlign w:val="center"/>
          </w:tcPr>
          <w:p w14:paraId="7235F83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(homossexualidade)</w:t>
            </w:r>
          </w:p>
        </w:tc>
        <w:tc>
          <w:tcPr>
            <w:tcW w:w="1560" w:type="dxa"/>
            <w:tcBorders>
              <w:left w:val="nil"/>
              <w:bottom w:val="nil"/>
              <w:right w:val="nil"/>
            </w:tcBorders>
            <w:tcMar>
              <w:top w:w="19" w:type="dxa"/>
              <w:left w:w="19" w:type="dxa"/>
              <w:bottom w:w="19" w:type="dxa"/>
              <w:right w:w="19" w:type="dxa"/>
            </w:tcMar>
            <w:vAlign w:val="center"/>
          </w:tcPr>
          <w:p w14:paraId="1B815F6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4467B434"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4AFD0F9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694C1A3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27960A8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Pérez-Jiménez, Santiago-Rivas e Serrano-García</w:t>
            </w:r>
          </w:p>
        </w:tc>
        <w:tc>
          <w:tcPr>
            <w:tcW w:w="3225" w:type="dxa"/>
            <w:tcBorders>
              <w:left w:val="nil"/>
              <w:bottom w:val="nil"/>
              <w:right w:val="nil"/>
            </w:tcBorders>
            <w:shd w:val="clear" w:color="auto" w:fill="BFBFBF"/>
            <w:tcMar>
              <w:top w:w="19" w:type="dxa"/>
              <w:left w:w="19" w:type="dxa"/>
              <w:bottom w:w="19" w:type="dxa"/>
              <w:right w:w="19" w:type="dxa"/>
            </w:tcMar>
            <w:vAlign w:val="center"/>
          </w:tcPr>
          <w:p w14:paraId="421E4AB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DSTs (prevenção, heterosexualidade)</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1F24088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743F246F" w14:textId="77777777">
        <w:trPr>
          <w:trHeight w:val="280"/>
        </w:trPr>
        <w:tc>
          <w:tcPr>
            <w:tcW w:w="555" w:type="dxa"/>
            <w:vMerge w:val="restart"/>
            <w:tcBorders>
              <w:top w:val="nil"/>
              <w:left w:val="nil"/>
              <w:bottom w:val="nil"/>
              <w:right w:val="nil"/>
            </w:tcBorders>
            <w:tcMar>
              <w:top w:w="40" w:type="dxa"/>
              <w:left w:w="40" w:type="dxa"/>
              <w:bottom w:w="40" w:type="dxa"/>
              <w:right w:w="40" w:type="dxa"/>
            </w:tcMar>
            <w:vAlign w:val="center"/>
          </w:tcPr>
          <w:p w14:paraId="5978F93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vMerge w:val="restart"/>
            <w:tcBorders>
              <w:top w:val="nil"/>
              <w:left w:val="nil"/>
              <w:bottom w:val="nil"/>
              <w:right w:val="nil"/>
            </w:tcBorders>
            <w:tcMar>
              <w:top w:w="40" w:type="dxa"/>
              <w:left w:w="40" w:type="dxa"/>
              <w:bottom w:w="40" w:type="dxa"/>
              <w:right w:w="40" w:type="dxa"/>
            </w:tcMar>
            <w:vAlign w:val="center"/>
          </w:tcPr>
          <w:p w14:paraId="10FDBA61"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135" w:type="dxa"/>
            <w:tcBorders>
              <w:top w:val="nil"/>
              <w:left w:val="nil"/>
              <w:bottom w:val="nil"/>
              <w:right w:val="nil"/>
            </w:tcBorders>
            <w:tcMar>
              <w:top w:w="40" w:type="dxa"/>
              <w:left w:w="40" w:type="dxa"/>
              <w:bottom w:w="40" w:type="dxa"/>
              <w:right w:w="40" w:type="dxa"/>
            </w:tcMar>
            <w:vAlign w:val="center"/>
          </w:tcPr>
          <w:p w14:paraId="70E3D754"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Hernández-Hernández e Perez-Jimenez</w:t>
            </w:r>
          </w:p>
        </w:tc>
        <w:tc>
          <w:tcPr>
            <w:tcW w:w="3225" w:type="dxa"/>
            <w:tcBorders>
              <w:left w:val="nil"/>
              <w:bottom w:val="nil"/>
              <w:right w:val="nil"/>
            </w:tcBorders>
            <w:tcMar>
              <w:top w:w="19" w:type="dxa"/>
              <w:left w:w="19" w:type="dxa"/>
              <w:bottom w:w="19" w:type="dxa"/>
              <w:right w:w="19" w:type="dxa"/>
            </w:tcMar>
            <w:vAlign w:val="center"/>
          </w:tcPr>
          <w:p w14:paraId="6FC8A54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(heterossexualidade)</w:t>
            </w:r>
          </w:p>
        </w:tc>
        <w:tc>
          <w:tcPr>
            <w:tcW w:w="1560" w:type="dxa"/>
            <w:tcBorders>
              <w:left w:val="nil"/>
              <w:bottom w:val="nil"/>
              <w:right w:val="nil"/>
            </w:tcBorders>
            <w:tcMar>
              <w:top w:w="19" w:type="dxa"/>
              <w:left w:w="19" w:type="dxa"/>
              <w:bottom w:w="19" w:type="dxa"/>
              <w:right w:w="19" w:type="dxa"/>
            </w:tcMar>
            <w:vAlign w:val="center"/>
          </w:tcPr>
          <w:p w14:paraId="7F79870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6B1C4E0E" w14:textId="77777777">
        <w:trPr>
          <w:trHeight w:val="280"/>
        </w:trPr>
        <w:tc>
          <w:tcPr>
            <w:tcW w:w="555" w:type="dxa"/>
            <w:vMerge/>
            <w:tcBorders>
              <w:top w:val="nil"/>
              <w:left w:val="nil"/>
              <w:bottom w:val="nil"/>
              <w:right w:val="nil"/>
            </w:tcBorders>
            <w:tcMar>
              <w:top w:w="40" w:type="dxa"/>
              <w:left w:w="40" w:type="dxa"/>
              <w:bottom w:w="40" w:type="dxa"/>
              <w:right w:w="40" w:type="dxa"/>
            </w:tcMar>
            <w:vAlign w:val="center"/>
          </w:tcPr>
          <w:p w14:paraId="3565BC5F"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vMerge/>
            <w:tcBorders>
              <w:top w:val="nil"/>
              <w:left w:val="nil"/>
              <w:bottom w:val="nil"/>
              <w:right w:val="nil"/>
            </w:tcBorders>
            <w:tcMar>
              <w:top w:w="40" w:type="dxa"/>
              <w:left w:w="40" w:type="dxa"/>
              <w:bottom w:w="40" w:type="dxa"/>
              <w:right w:w="40" w:type="dxa"/>
            </w:tcMar>
            <w:vAlign w:val="center"/>
          </w:tcPr>
          <w:p w14:paraId="1AF860B4"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3135" w:type="dxa"/>
            <w:tcBorders>
              <w:top w:val="nil"/>
              <w:left w:val="nil"/>
              <w:bottom w:val="nil"/>
              <w:right w:val="nil"/>
            </w:tcBorders>
            <w:tcMar>
              <w:top w:w="40" w:type="dxa"/>
              <w:left w:w="40" w:type="dxa"/>
              <w:bottom w:w="40" w:type="dxa"/>
              <w:right w:w="40" w:type="dxa"/>
            </w:tcMar>
            <w:vAlign w:val="center"/>
          </w:tcPr>
          <w:p w14:paraId="45A2AB3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Haack, Silva, Prati e Boeckel</w:t>
            </w:r>
          </w:p>
        </w:tc>
        <w:tc>
          <w:tcPr>
            <w:tcW w:w="3225" w:type="dxa"/>
            <w:tcBorders>
              <w:left w:val="nil"/>
              <w:bottom w:val="nil"/>
              <w:right w:val="nil"/>
            </w:tcBorders>
            <w:tcMar>
              <w:top w:w="19" w:type="dxa"/>
              <w:left w:w="19" w:type="dxa"/>
              <w:bottom w:w="19" w:type="dxa"/>
              <w:right w:w="19" w:type="dxa"/>
            </w:tcMar>
            <w:vAlign w:val="center"/>
          </w:tcPr>
          <w:p w14:paraId="0C8F1DF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DST/AIDS (adolescência, prevenção)</w:t>
            </w:r>
          </w:p>
        </w:tc>
        <w:tc>
          <w:tcPr>
            <w:tcW w:w="1560" w:type="dxa"/>
            <w:tcBorders>
              <w:left w:val="nil"/>
              <w:bottom w:val="nil"/>
              <w:right w:val="nil"/>
            </w:tcBorders>
            <w:tcMar>
              <w:top w:w="19" w:type="dxa"/>
              <w:left w:w="19" w:type="dxa"/>
              <w:bottom w:w="19" w:type="dxa"/>
              <w:right w:w="19" w:type="dxa"/>
            </w:tcMar>
            <w:vAlign w:val="center"/>
          </w:tcPr>
          <w:p w14:paraId="697C92E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EE5699E" w14:textId="77777777">
        <w:trPr>
          <w:trHeight w:val="280"/>
        </w:trPr>
        <w:tc>
          <w:tcPr>
            <w:tcW w:w="555" w:type="dxa"/>
            <w:vMerge/>
            <w:tcBorders>
              <w:top w:val="nil"/>
              <w:left w:val="nil"/>
              <w:bottom w:val="nil"/>
              <w:right w:val="nil"/>
            </w:tcBorders>
            <w:tcMar>
              <w:top w:w="40" w:type="dxa"/>
              <w:left w:w="40" w:type="dxa"/>
              <w:bottom w:w="40" w:type="dxa"/>
              <w:right w:w="40" w:type="dxa"/>
            </w:tcMar>
            <w:vAlign w:val="center"/>
          </w:tcPr>
          <w:p w14:paraId="37EB5A62"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tcBorders>
              <w:top w:val="nil"/>
              <w:left w:val="nil"/>
              <w:bottom w:val="nil"/>
              <w:right w:val="nil"/>
            </w:tcBorders>
            <w:tcMar>
              <w:top w:w="40" w:type="dxa"/>
              <w:left w:w="40" w:type="dxa"/>
              <w:bottom w:w="40" w:type="dxa"/>
              <w:right w:w="40" w:type="dxa"/>
            </w:tcMar>
            <w:vAlign w:val="center"/>
          </w:tcPr>
          <w:p w14:paraId="5AF73FA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135" w:type="dxa"/>
            <w:tcBorders>
              <w:top w:val="nil"/>
              <w:left w:val="nil"/>
              <w:bottom w:val="nil"/>
              <w:right w:val="nil"/>
            </w:tcBorders>
            <w:tcMar>
              <w:top w:w="40" w:type="dxa"/>
              <w:left w:w="40" w:type="dxa"/>
              <w:bottom w:w="40" w:type="dxa"/>
              <w:right w:w="40" w:type="dxa"/>
            </w:tcMar>
            <w:vAlign w:val="center"/>
          </w:tcPr>
          <w:p w14:paraId="5A51287B"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Cerqueira-Santos, Calvetti, Rocha, Moura, Barbosa e Hermel</w:t>
            </w:r>
          </w:p>
        </w:tc>
        <w:tc>
          <w:tcPr>
            <w:tcW w:w="3225" w:type="dxa"/>
            <w:tcBorders>
              <w:top w:val="nil"/>
              <w:left w:val="nil"/>
              <w:right w:val="nil"/>
            </w:tcBorders>
            <w:tcMar>
              <w:top w:w="19" w:type="dxa"/>
              <w:left w:w="19" w:type="dxa"/>
              <w:bottom w:w="19" w:type="dxa"/>
              <w:right w:w="19" w:type="dxa"/>
            </w:tcMar>
            <w:vAlign w:val="center"/>
          </w:tcPr>
          <w:p w14:paraId="768ACF7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(LGBTfobia, tratamento)</w:t>
            </w:r>
          </w:p>
        </w:tc>
        <w:tc>
          <w:tcPr>
            <w:tcW w:w="1560" w:type="dxa"/>
            <w:tcBorders>
              <w:left w:val="nil"/>
              <w:bottom w:val="nil"/>
              <w:right w:val="nil"/>
            </w:tcBorders>
            <w:tcMar>
              <w:top w:w="19" w:type="dxa"/>
              <w:left w:w="19" w:type="dxa"/>
              <w:bottom w:w="19" w:type="dxa"/>
              <w:right w:w="19" w:type="dxa"/>
            </w:tcMar>
            <w:vAlign w:val="center"/>
          </w:tcPr>
          <w:p w14:paraId="4646382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7ECA67AD"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12119B62"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2012</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4882AEE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587DC05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Vázquez-Rivera, Nazario-Serrano e Sayers-Montalvo</w:t>
            </w:r>
          </w:p>
        </w:tc>
        <w:tc>
          <w:tcPr>
            <w:tcW w:w="3225" w:type="dxa"/>
            <w:tcBorders>
              <w:top w:val="nil"/>
              <w:left w:val="nil"/>
              <w:right w:val="nil"/>
            </w:tcBorders>
            <w:shd w:val="clear" w:color="auto" w:fill="BFBFBF"/>
            <w:tcMar>
              <w:top w:w="19" w:type="dxa"/>
              <w:left w:w="19" w:type="dxa"/>
              <w:bottom w:w="19" w:type="dxa"/>
              <w:right w:w="19" w:type="dxa"/>
            </w:tcMar>
            <w:vAlign w:val="center"/>
          </w:tcPr>
          <w:p w14:paraId="6B49C32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(LGBT, atendimento clínico)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07D12D7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4625E5D4"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35F84731"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660" w:type="dxa"/>
            <w:tcBorders>
              <w:top w:val="nil"/>
              <w:left w:val="nil"/>
              <w:bottom w:val="nil"/>
              <w:right w:val="nil"/>
            </w:tcBorders>
            <w:tcMar>
              <w:top w:w="40" w:type="dxa"/>
              <w:left w:w="40" w:type="dxa"/>
              <w:bottom w:w="40" w:type="dxa"/>
              <w:right w:w="40" w:type="dxa"/>
            </w:tcMar>
            <w:vAlign w:val="center"/>
          </w:tcPr>
          <w:p w14:paraId="10CFF9A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50(2)</w:t>
            </w:r>
          </w:p>
        </w:tc>
        <w:tc>
          <w:tcPr>
            <w:tcW w:w="3135" w:type="dxa"/>
            <w:tcBorders>
              <w:top w:val="nil"/>
              <w:left w:val="nil"/>
              <w:bottom w:val="nil"/>
              <w:right w:val="nil"/>
            </w:tcBorders>
            <w:tcMar>
              <w:top w:w="40" w:type="dxa"/>
              <w:left w:w="40" w:type="dxa"/>
              <w:bottom w:w="40" w:type="dxa"/>
              <w:right w:w="40" w:type="dxa"/>
            </w:tcMar>
            <w:vAlign w:val="center"/>
          </w:tcPr>
          <w:p w14:paraId="15A8F66D"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Cueto e Leon</w:t>
            </w:r>
          </w:p>
        </w:tc>
        <w:tc>
          <w:tcPr>
            <w:tcW w:w="3225" w:type="dxa"/>
            <w:tcBorders>
              <w:top w:val="nil"/>
              <w:left w:val="nil"/>
              <w:right w:val="nil"/>
            </w:tcBorders>
            <w:tcMar>
              <w:top w:w="19" w:type="dxa"/>
              <w:left w:w="19" w:type="dxa"/>
              <w:bottom w:w="19" w:type="dxa"/>
              <w:right w:w="19" w:type="dxa"/>
            </w:tcMar>
            <w:vAlign w:val="center"/>
          </w:tcPr>
          <w:p w14:paraId="0E02720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(comportamento, adolescência)</w:t>
            </w:r>
          </w:p>
        </w:tc>
        <w:tc>
          <w:tcPr>
            <w:tcW w:w="1560" w:type="dxa"/>
            <w:tcBorders>
              <w:left w:val="nil"/>
              <w:bottom w:val="nil"/>
              <w:right w:val="nil"/>
            </w:tcBorders>
            <w:tcMar>
              <w:top w:w="19" w:type="dxa"/>
              <w:left w:w="19" w:type="dxa"/>
              <w:bottom w:w="19" w:type="dxa"/>
              <w:right w:w="19" w:type="dxa"/>
            </w:tcMar>
            <w:vAlign w:val="center"/>
          </w:tcPr>
          <w:p w14:paraId="0EDCC2B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Peru</w:t>
            </w:r>
          </w:p>
        </w:tc>
      </w:tr>
      <w:tr w:rsidR="007E74C0" w14:paraId="4C1BADDB"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36EED49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035DEE1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45837DE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Robles e Espinel</w:t>
            </w:r>
          </w:p>
        </w:tc>
        <w:tc>
          <w:tcPr>
            <w:tcW w:w="3225" w:type="dxa"/>
            <w:tcBorders>
              <w:top w:val="nil"/>
              <w:left w:val="nil"/>
              <w:right w:val="nil"/>
            </w:tcBorders>
            <w:shd w:val="clear" w:color="auto" w:fill="BFBFBF"/>
            <w:tcMar>
              <w:top w:w="19" w:type="dxa"/>
              <w:left w:w="19" w:type="dxa"/>
              <w:bottom w:w="19" w:type="dxa"/>
              <w:right w:w="19" w:type="dxa"/>
            </w:tcMar>
            <w:vAlign w:val="center"/>
          </w:tcPr>
          <w:p w14:paraId="60831FA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(comportamento, adolescência)</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21621DB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Equador</w:t>
            </w:r>
          </w:p>
        </w:tc>
      </w:tr>
      <w:tr w:rsidR="007E74C0" w14:paraId="5F3B31FD" w14:textId="77777777">
        <w:trPr>
          <w:trHeight w:val="239"/>
        </w:trPr>
        <w:tc>
          <w:tcPr>
            <w:tcW w:w="555" w:type="dxa"/>
            <w:tcBorders>
              <w:top w:val="nil"/>
              <w:left w:val="nil"/>
              <w:bottom w:val="single" w:sz="12" w:space="0" w:color="000000"/>
              <w:right w:val="nil"/>
            </w:tcBorders>
            <w:tcMar>
              <w:top w:w="40" w:type="dxa"/>
              <w:left w:w="40" w:type="dxa"/>
              <w:bottom w:w="40" w:type="dxa"/>
              <w:right w:w="40" w:type="dxa"/>
            </w:tcMar>
            <w:vAlign w:val="center"/>
          </w:tcPr>
          <w:p w14:paraId="5CE98E5D"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660" w:type="dxa"/>
            <w:tcBorders>
              <w:top w:val="nil"/>
              <w:left w:val="nil"/>
              <w:bottom w:val="single" w:sz="12" w:space="0" w:color="000000"/>
              <w:right w:val="nil"/>
            </w:tcBorders>
            <w:tcMar>
              <w:top w:w="40" w:type="dxa"/>
              <w:left w:w="40" w:type="dxa"/>
              <w:bottom w:w="40" w:type="dxa"/>
              <w:right w:w="40" w:type="dxa"/>
            </w:tcMar>
            <w:vAlign w:val="center"/>
          </w:tcPr>
          <w:p w14:paraId="07075D8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52(3)</w:t>
            </w:r>
          </w:p>
        </w:tc>
        <w:tc>
          <w:tcPr>
            <w:tcW w:w="3135" w:type="dxa"/>
            <w:tcBorders>
              <w:top w:val="nil"/>
              <w:left w:val="nil"/>
              <w:bottom w:val="single" w:sz="12" w:space="0" w:color="000000"/>
              <w:right w:val="nil"/>
            </w:tcBorders>
            <w:tcMar>
              <w:top w:w="40" w:type="dxa"/>
              <w:left w:w="40" w:type="dxa"/>
              <w:bottom w:w="40" w:type="dxa"/>
              <w:right w:w="40" w:type="dxa"/>
            </w:tcMar>
            <w:vAlign w:val="center"/>
          </w:tcPr>
          <w:p w14:paraId="409BD26B"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Fonte-Boa, Queiroz, Santos e Pereira</w:t>
            </w:r>
          </w:p>
        </w:tc>
        <w:tc>
          <w:tcPr>
            <w:tcW w:w="3225" w:type="dxa"/>
            <w:tcBorders>
              <w:left w:val="nil"/>
              <w:bottom w:val="single" w:sz="12" w:space="0" w:color="000000"/>
              <w:right w:val="nil"/>
            </w:tcBorders>
            <w:tcMar>
              <w:top w:w="19" w:type="dxa"/>
              <w:left w:w="19" w:type="dxa"/>
              <w:bottom w:w="19" w:type="dxa"/>
              <w:right w:w="19" w:type="dxa"/>
            </w:tcMar>
            <w:vAlign w:val="center"/>
          </w:tcPr>
          <w:p w14:paraId="34E42C9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(relacionamento, cuidado)</w:t>
            </w:r>
          </w:p>
        </w:tc>
        <w:tc>
          <w:tcPr>
            <w:tcW w:w="1560" w:type="dxa"/>
            <w:tcBorders>
              <w:left w:val="nil"/>
              <w:bottom w:val="single" w:sz="12" w:space="0" w:color="000000"/>
              <w:right w:val="nil"/>
            </w:tcBorders>
            <w:tcMar>
              <w:top w:w="19" w:type="dxa"/>
              <w:left w:w="19" w:type="dxa"/>
              <w:bottom w:w="19" w:type="dxa"/>
              <w:right w:w="19" w:type="dxa"/>
            </w:tcMar>
            <w:vAlign w:val="center"/>
          </w:tcPr>
          <w:p w14:paraId="308E540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bl>
    <w:p w14:paraId="7CF9AABF"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11185A8D"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Nos anos 1990, surge uma primeira publicação sobre esse tema na Revista (IJP, 1990). Cinco anos se passam antes que outro artigo seja publicado sobre o mesmo tema na amostra. Mais alguns estudos, com foco na prevenção, foram publicados nessa década (IJP, 1</w:t>
      </w:r>
      <w:r>
        <w:rPr>
          <w:rFonts w:ascii="Times New Roman" w:eastAsia="Times New Roman" w:hAnsi="Times New Roman" w:cs="Times New Roman"/>
          <w:sz w:val="24"/>
          <w:szCs w:val="24"/>
          <w:highlight w:val="white"/>
        </w:rPr>
        <w:t>997).</w:t>
      </w:r>
    </w:p>
    <w:p w14:paraId="6E567BC2"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 década seguinte, a Revista publica uma edição especial composta por oito artigos, uma pesquisa estudantil e uma resenha voltados sobre a temática da AIDS (IJP, 2001, vol. 35 n° 2). Dois desses trabalhos passaram nos critérios desta revisão: um com a com</w:t>
      </w:r>
      <w:r>
        <w:rPr>
          <w:rFonts w:ascii="Times New Roman" w:eastAsia="Times New Roman" w:hAnsi="Times New Roman" w:cs="Times New Roman"/>
          <w:sz w:val="24"/>
          <w:szCs w:val="24"/>
          <w:highlight w:val="white"/>
        </w:rPr>
        <w:t xml:space="preserve">unidade latina e </w:t>
      </w:r>
      <w:r>
        <w:rPr>
          <w:rFonts w:ascii="Times New Roman" w:eastAsia="Times New Roman" w:hAnsi="Times New Roman" w:cs="Times New Roman"/>
          <w:i/>
          <w:sz w:val="24"/>
          <w:szCs w:val="24"/>
          <w:highlight w:val="white"/>
        </w:rPr>
        <w:t xml:space="preserve">gay </w:t>
      </w:r>
      <w:r>
        <w:rPr>
          <w:rFonts w:ascii="Times New Roman" w:eastAsia="Times New Roman" w:hAnsi="Times New Roman" w:cs="Times New Roman"/>
          <w:sz w:val="24"/>
          <w:szCs w:val="24"/>
          <w:highlight w:val="white"/>
        </w:rPr>
        <w:t xml:space="preserve">e o outro com mulheres de Porto Rico, ambos os grupos radicados nos EUA (IJP, 2001) </w:t>
      </w:r>
      <w:r>
        <w:rPr>
          <w:rFonts w:ascii="Times New Roman" w:eastAsia="Times New Roman" w:hAnsi="Times New Roman" w:cs="Times New Roman"/>
          <w:sz w:val="24"/>
          <w:szCs w:val="24"/>
          <w:highlight w:val="white"/>
        </w:rPr>
        <w:lastRenderedPageBreak/>
        <w:t>e considerados “de risco”. Preconceito e estigma contra soropositivos (mulheres, LGBTT+ e imigrantes, em especial) também foram relatados em artigos da</w:t>
      </w:r>
      <w:r>
        <w:rPr>
          <w:rFonts w:ascii="Times New Roman" w:eastAsia="Times New Roman" w:hAnsi="Times New Roman" w:cs="Times New Roman"/>
          <w:sz w:val="24"/>
          <w:szCs w:val="24"/>
          <w:highlight w:val="white"/>
        </w:rPr>
        <w:t xml:space="preserve"> Revista (IJP, 2007; IJP, 2008).</w:t>
      </w:r>
    </w:p>
    <w:p w14:paraId="06D6A596"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Nesse sentido, Negreiros, Gomes, Colaço e Ximenes (2018) pontuam que as análises à época consideravam que a categoria risco se referia a questões de ordem sexual, enquanto “vulnerabilidade” corresponderia a “práticas desvia</w:t>
      </w:r>
      <w:r>
        <w:rPr>
          <w:rFonts w:ascii="Times New Roman" w:eastAsia="Times New Roman" w:hAnsi="Times New Roman" w:cs="Times New Roman"/>
          <w:sz w:val="24"/>
          <w:szCs w:val="24"/>
        </w:rPr>
        <w:t>ntes” e certos tipos de violência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p. 28). Seu estudo, para além de alertar para os limites dessas correlações, adverte que tais categorias não representam a totalidade e abrangên</w:t>
      </w:r>
      <w:r>
        <w:rPr>
          <w:rFonts w:ascii="Times New Roman" w:eastAsia="Times New Roman" w:hAnsi="Times New Roman" w:cs="Times New Roman"/>
          <w:sz w:val="24"/>
          <w:szCs w:val="24"/>
          <w:highlight w:val="white"/>
        </w:rPr>
        <w:t>cia das diversas categorias sociais, como “jovens”, em seus respect</w:t>
      </w:r>
      <w:r>
        <w:rPr>
          <w:rFonts w:ascii="Times New Roman" w:eastAsia="Times New Roman" w:hAnsi="Times New Roman" w:cs="Times New Roman"/>
          <w:sz w:val="24"/>
          <w:szCs w:val="24"/>
          <w:highlight w:val="white"/>
        </w:rPr>
        <w:t>ivos contextos (</w:t>
      </w:r>
      <w:r>
        <w:rPr>
          <w:rFonts w:ascii="Times New Roman" w:eastAsia="Times New Roman" w:hAnsi="Times New Roman" w:cs="Times New Roman"/>
          <w:sz w:val="24"/>
          <w:szCs w:val="24"/>
        </w:rPr>
        <w:t>Negreiros, Gomes, Colaço &amp; Ximenes, 2018)</w:t>
      </w:r>
      <w:r>
        <w:rPr>
          <w:rFonts w:ascii="Times New Roman" w:eastAsia="Times New Roman" w:hAnsi="Times New Roman" w:cs="Times New Roman"/>
          <w:sz w:val="24"/>
          <w:szCs w:val="24"/>
          <w:highlight w:val="white"/>
        </w:rPr>
        <w:t>.</w:t>
      </w:r>
    </w:p>
    <w:p w14:paraId="739B1261"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Quase dez anos após a edição especial, novos estudos da Revista olham, então, menos para as pessoas soropositivas e mais para o papel das políticas públicas de saúde e o impacto negativo da interve</w:t>
      </w:r>
      <w:r>
        <w:rPr>
          <w:rFonts w:ascii="Times New Roman" w:eastAsia="Times New Roman" w:hAnsi="Times New Roman" w:cs="Times New Roman"/>
          <w:sz w:val="24"/>
          <w:szCs w:val="24"/>
          <w:highlight w:val="white"/>
        </w:rPr>
        <w:t xml:space="preserve">nção de profissionais de saúde na vida dessas pessoas, em especial grupos minoritários como mulheres, LGBTT+ e imigrantes. Foram destacados, ainda, o preconceito, o estigma, a marginalização e a exposição a vulnerabilidades diversas dessas pessoas. </w:t>
      </w:r>
    </w:p>
    <w:p w14:paraId="1F1CF77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res</w:t>
      </w:r>
      <w:r>
        <w:rPr>
          <w:rFonts w:ascii="Times New Roman" w:eastAsia="Times New Roman" w:hAnsi="Times New Roman" w:cs="Times New Roman"/>
          <w:sz w:val="24"/>
          <w:szCs w:val="24"/>
          <w:highlight w:val="white"/>
        </w:rPr>
        <w:t>ultados dessas pesquisas, no geral mistos, indicam que em alguns países, as políticas implementadas teriam exacerbado o preconceito e a discriminação dos indivíduos, grupos e comunidades com o espectro da epidemia (IJP, 2010; IJP, 2012). Muitos desses estu</w:t>
      </w:r>
      <w:r>
        <w:rPr>
          <w:rFonts w:ascii="Times New Roman" w:eastAsia="Times New Roman" w:hAnsi="Times New Roman" w:cs="Times New Roman"/>
          <w:sz w:val="24"/>
          <w:szCs w:val="24"/>
          <w:highlight w:val="white"/>
        </w:rPr>
        <w:t xml:space="preserve">dos já indicavam a necessidade de garantir espaços de tratamento humanizado e sigilo, além de uma melhor formação para os profissionais de saúde lidarem com esse público. </w:t>
      </w:r>
    </w:p>
    <w:p w14:paraId="354F781D"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Quanto à comunidade LGBTT+, essas políticas deveriam garantir ainda serviços de acom</w:t>
      </w:r>
      <w:r>
        <w:rPr>
          <w:rFonts w:ascii="Times New Roman" w:eastAsia="Times New Roman" w:hAnsi="Times New Roman" w:cs="Times New Roman"/>
          <w:sz w:val="24"/>
          <w:szCs w:val="24"/>
          <w:highlight w:val="white"/>
        </w:rPr>
        <w:t xml:space="preserve">panhamento e prevenção com foco nas especificidades de suas práticas sexuais, que </w:t>
      </w:r>
      <w:r>
        <w:rPr>
          <w:rFonts w:ascii="Times New Roman" w:eastAsia="Times New Roman" w:hAnsi="Times New Roman" w:cs="Times New Roman"/>
          <w:sz w:val="24"/>
          <w:szCs w:val="24"/>
        </w:rPr>
        <w:t>fogem ao padrão cisheteronormativo da saúde (no geral, estabelecido para fins reprodutivos), e instigam usos dos poderes biomédicos em “espaços absolutamente outros” (Foucaul</w:t>
      </w:r>
      <w:r>
        <w:rPr>
          <w:rFonts w:ascii="Times New Roman" w:eastAsia="Times New Roman" w:hAnsi="Times New Roman" w:cs="Times New Roman"/>
          <w:sz w:val="24"/>
          <w:szCs w:val="24"/>
        </w:rPr>
        <w:t>t, 2009, p. 20-21). A</w:t>
      </w:r>
      <w:r>
        <w:rPr>
          <w:rFonts w:ascii="Times New Roman" w:eastAsia="Times New Roman" w:hAnsi="Times New Roman" w:cs="Times New Roman"/>
          <w:sz w:val="24"/>
          <w:szCs w:val="24"/>
          <w:highlight w:val="white"/>
        </w:rPr>
        <w:t xml:space="preserve"> cada país/território, portanto, caberia pensar estratégias e programas acolhedores, contínuos e com aporte material e financeiro para implantar apoio, intervenção e orientação em saúde, principalmente na área de sexualidades, que cons</w:t>
      </w:r>
      <w:r>
        <w:rPr>
          <w:rFonts w:ascii="Times New Roman" w:eastAsia="Times New Roman" w:hAnsi="Times New Roman" w:cs="Times New Roman"/>
          <w:sz w:val="24"/>
          <w:szCs w:val="24"/>
          <w:highlight w:val="white"/>
        </w:rPr>
        <w:t>idere as especificidades sociais, culturais e políticas de cada comunidade, bem como suas subjetividades, em que comparecem múltiplos fatores não-totalizáveis ou centralizáveis no indivíduo (Guattari &amp; Rolnik, 1996).</w:t>
      </w:r>
    </w:p>
    <w:p w14:paraId="44BFB41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Acerca da replicação de programas, muit</w:t>
      </w:r>
      <w:r>
        <w:rPr>
          <w:rFonts w:ascii="Times New Roman" w:eastAsia="Times New Roman" w:hAnsi="Times New Roman" w:cs="Times New Roman"/>
          <w:sz w:val="24"/>
          <w:szCs w:val="24"/>
          <w:highlight w:val="white"/>
        </w:rPr>
        <w:t>as vezes importados, que não consideram as especificidades locais, observamos apenas que podem não atingir positivamente a população latino-americana e suas múltiplas realidades. No geral, poderá ser necessário, além desses programas, que se adotem polític</w:t>
      </w:r>
      <w:r>
        <w:rPr>
          <w:rFonts w:ascii="Times New Roman" w:eastAsia="Times New Roman" w:hAnsi="Times New Roman" w:cs="Times New Roman"/>
          <w:sz w:val="24"/>
          <w:szCs w:val="24"/>
          <w:highlight w:val="white"/>
        </w:rPr>
        <w:t>as de valorização da saúde sexual, integral e (re)produtiva dessas pessoas, incorporando aspectos socioeconômicos, culturais e subjetivos locais, o que poderá ser alcançado ainda com a colaboração e participação ativa dos próprios profissionais das diversa</w:t>
      </w:r>
      <w:r>
        <w:rPr>
          <w:rFonts w:ascii="Times New Roman" w:eastAsia="Times New Roman" w:hAnsi="Times New Roman" w:cs="Times New Roman"/>
          <w:sz w:val="24"/>
          <w:szCs w:val="24"/>
          <w:highlight w:val="white"/>
        </w:rPr>
        <w:t>s áreas da Saúde.</w:t>
      </w:r>
    </w:p>
    <w:p w14:paraId="096DDCF6"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Pelos artigos elencados, notamos que muitas dessas políticas já estão sendo buscadas </w:t>
      </w:r>
      <w:r>
        <w:rPr>
          <w:rFonts w:ascii="Times New Roman" w:eastAsia="Times New Roman" w:hAnsi="Times New Roman" w:cs="Times New Roman"/>
          <w:sz w:val="24"/>
          <w:szCs w:val="24"/>
        </w:rPr>
        <w:t>nesses próprios países, com maior ou menor “clareza conceitual” (Alquati Bisol &amp; Tapia, 2012), acerca de risco e vulnerabilidade, entre outros conceitos.</w:t>
      </w:r>
      <w:r>
        <w:rPr>
          <w:rFonts w:ascii="Times New Roman" w:eastAsia="Times New Roman" w:hAnsi="Times New Roman" w:cs="Times New Roman"/>
          <w:sz w:val="24"/>
          <w:szCs w:val="24"/>
        </w:rPr>
        <w:t xml:space="preserve"> No entanto, notamos com pesar a escassez da expressão saúde sexual adotada pela OMS nos artigos da amostra. No próximo Tema, serão revistos estudos que abordam a instituição “família” nas sociedades latino-americanas atuais, e veremos muitas questões já l</w:t>
      </w:r>
      <w:r>
        <w:rPr>
          <w:rFonts w:ascii="Times New Roman" w:eastAsia="Times New Roman" w:hAnsi="Times New Roman" w:cs="Times New Roman"/>
          <w:sz w:val="24"/>
          <w:szCs w:val="24"/>
        </w:rPr>
        <w:t>evantadas anteriormente.</w:t>
      </w:r>
    </w:p>
    <w:p w14:paraId="56C278B9" w14:textId="77777777" w:rsidR="007E74C0" w:rsidRDefault="00EA091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4.3 Tema 3: “Família, instituição de (re)produção de rel</w:t>
      </w:r>
      <w:r>
        <w:rPr>
          <w:rFonts w:ascii="Times New Roman" w:eastAsia="Times New Roman" w:hAnsi="Times New Roman" w:cs="Times New Roman"/>
          <w:b/>
          <w:sz w:val="24"/>
          <w:szCs w:val="24"/>
        </w:rPr>
        <w:t xml:space="preserve">ações de gênero” </w:t>
      </w:r>
    </w:p>
    <w:p w14:paraId="7D9E2340"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presente, partimos do entendimento de família como uma instituição social, espaço </w:t>
      </w:r>
      <w:r>
        <w:rPr>
          <w:rFonts w:ascii="Times New Roman" w:eastAsia="Times New Roman" w:hAnsi="Times New Roman" w:cs="Times New Roman"/>
          <w:sz w:val="24"/>
          <w:szCs w:val="24"/>
          <w:highlight w:val="white"/>
        </w:rPr>
        <w:t>privilegiado de produção de subjetividades, necessário para manutenção e</w:t>
      </w:r>
      <w:r>
        <w:rPr>
          <w:rFonts w:ascii="Times New Roman" w:eastAsia="Times New Roman" w:hAnsi="Times New Roman" w:cs="Times New Roman"/>
          <w:sz w:val="24"/>
          <w:szCs w:val="24"/>
          <w:highlight w:val="white"/>
        </w:rPr>
        <w:t xml:space="preserve"> organização das sociedades no geral. Nos últimos anos, vem passando por constantes alterações, observáveis nas relações sociais, cujos modelos estão interligados a con</w:t>
      </w:r>
      <w:r>
        <w:rPr>
          <w:rFonts w:ascii="Times New Roman" w:eastAsia="Times New Roman" w:hAnsi="Times New Roman" w:cs="Times New Roman"/>
          <w:sz w:val="24"/>
          <w:szCs w:val="24"/>
        </w:rPr>
        <w:t>textos específicos e norteados por princípios sociais, culturais, políticos e econômicos</w:t>
      </w:r>
      <w:r>
        <w:rPr>
          <w:rFonts w:ascii="Times New Roman" w:eastAsia="Times New Roman" w:hAnsi="Times New Roman" w:cs="Times New Roman"/>
          <w:sz w:val="24"/>
          <w:szCs w:val="24"/>
        </w:rPr>
        <w:t xml:space="preserve"> (Coutinho &amp; Menandro, 2009; Lindinger, 2014; Roudinesco, 2003). Compreendemos que mudanças são gradativas e que o rompimento histórico, cultural e estrutural ocorre de modo concomitante às forças de manutenção do </w:t>
      </w:r>
      <w:r>
        <w:rPr>
          <w:rFonts w:ascii="Times New Roman" w:eastAsia="Times New Roman" w:hAnsi="Times New Roman" w:cs="Times New Roman"/>
          <w:i/>
          <w:sz w:val="24"/>
          <w:szCs w:val="24"/>
        </w:rPr>
        <w:t xml:space="preserve">status </w:t>
      </w:r>
      <w:r>
        <w:rPr>
          <w:rFonts w:ascii="Times New Roman" w:eastAsia="Times New Roman" w:hAnsi="Times New Roman" w:cs="Times New Roman"/>
          <w:i/>
          <w:sz w:val="24"/>
          <w:szCs w:val="24"/>
        </w:rPr>
        <w:lastRenderedPageBreak/>
        <w:t>quo</w:t>
      </w:r>
      <w:r>
        <w:rPr>
          <w:rFonts w:ascii="Times New Roman" w:eastAsia="Times New Roman" w:hAnsi="Times New Roman" w:cs="Times New Roman"/>
          <w:sz w:val="24"/>
          <w:szCs w:val="24"/>
        </w:rPr>
        <w:t xml:space="preserve">, dinâmica a que o saber </w:t>
      </w:r>
      <w:r>
        <w:rPr>
          <w:rFonts w:ascii="Times New Roman" w:eastAsia="Times New Roman" w:hAnsi="Times New Roman" w:cs="Times New Roman"/>
          <w:i/>
          <w:sz w:val="24"/>
          <w:szCs w:val="24"/>
        </w:rPr>
        <w:t xml:space="preserve">psi </w:t>
      </w:r>
      <w:r>
        <w:rPr>
          <w:rFonts w:ascii="Times New Roman" w:eastAsia="Times New Roman" w:hAnsi="Times New Roman" w:cs="Times New Roman"/>
          <w:sz w:val="24"/>
          <w:szCs w:val="24"/>
        </w:rPr>
        <w:t>pre</w:t>
      </w:r>
      <w:r>
        <w:rPr>
          <w:rFonts w:ascii="Times New Roman" w:eastAsia="Times New Roman" w:hAnsi="Times New Roman" w:cs="Times New Roman"/>
          <w:sz w:val="24"/>
          <w:szCs w:val="24"/>
        </w:rPr>
        <w:t>cisa estar atento para não ser mais um espaço de reprodução de falas hegemônicas e excludentes.</w:t>
      </w:r>
    </w:p>
    <w:p w14:paraId="36BB4A7B"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etimologia de família (do latim, </w:t>
      </w:r>
      <w:r>
        <w:rPr>
          <w:rFonts w:ascii="Times New Roman" w:eastAsia="Times New Roman" w:hAnsi="Times New Roman" w:cs="Times New Roman"/>
          <w:i/>
          <w:sz w:val="24"/>
          <w:szCs w:val="24"/>
        </w:rPr>
        <w:t>famulus</w:t>
      </w:r>
      <w:r>
        <w:rPr>
          <w:rFonts w:ascii="Times New Roman" w:eastAsia="Times New Roman" w:hAnsi="Times New Roman" w:cs="Times New Roman"/>
          <w:sz w:val="24"/>
          <w:szCs w:val="24"/>
        </w:rPr>
        <w:t>, ou ‘escravo doméstico’) remete à relação de poder patriarcal, ainda muito arraigada nas sociedades ocidentais, bem c</w:t>
      </w:r>
      <w:r>
        <w:rPr>
          <w:rFonts w:ascii="Times New Roman" w:eastAsia="Times New Roman" w:hAnsi="Times New Roman" w:cs="Times New Roman"/>
          <w:sz w:val="24"/>
          <w:szCs w:val="24"/>
        </w:rPr>
        <w:t xml:space="preserve">omo à relação com a religião, particularmente na América Latina, onde </w:t>
      </w:r>
      <w:r>
        <w:rPr>
          <w:rFonts w:ascii="Times New Roman" w:eastAsia="Times New Roman" w:hAnsi="Times New Roman" w:cs="Times New Roman"/>
          <w:sz w:val="24"/>
          <w:szCs w:val="24"/>
          <w:highlight w:val="white"/>
        </w:rPr>
        <w:t xml:space="preserve">por muito tempo teve a formalização e constituição embasadas pelo casamento religioso, </w:t>
      </w:r>
      <w:r>
        <w:rPr>
          <w:rFonts w:ascii="Times New Roman" w:eastAsia="Times New Roman" w:hAnsi="Times New Roman" w:cs="Times New Roman"/>
          <w:sz w:val="24"/>
          <w:szCs w:val="24"/>
        </w:rPr>
        <w:t xml:space="preserve">sendo que essas marcas ainda norteiam este espaço de interação (Zilles, 2002). </w:t>
      </w:r>
      <w:r>
        <w:rPr>
          <w:rFonts w:ascii="Times New Roman" w:eastAsia="Times New Roman" w:hAnsi="Times New Roman" w:cs="Times New Roman"/>
          <w:sz w:val="24"/>
          <w:szCs w:val="24"/>
          <w:highlight w:val="white"/>
        </w:rPr>
        <w:t xml:space="preserve">Com as resistências </w:t>
      </w:r>
      <w:r>
        <w:rPr>
          <w:rFonts w:ascii="Times New Roman" w:eastAsia="Times New Roman" w:hAnsi="Times New Roman" w:cs="Times New Roman"/>
          <w:sz w:val="24"/>
          <w:szCs w:val="24"/>
          <w:highlight w:val="white"/>
        </w:rPr>
        <w:t xml:space="preserve">jurídicos-sociais do século XIX pela laicização de Estados e pelo casamento civil, a família foi paulatinamente se adequando às realidades das vidas das pessoas, sendo então compreendida a partir da multiplicidade de possibilidades de arranjos, formais ou </w:t>
      </w:r>
      <w:r>
        <w:rPr>
          <w:rFonts w:ascii="Times New Roman" w:eastAsia="Times New Roman" w:hAnsi="Times New Roman" w:cs="Times New Roman"/>
          <w:sz w:val="24"/>
          <w:szCs w:val="24"/>
          <w:highlight w:val="white"/>
        </w:rPr>
        <w:t>não, ao lado das conquistas recentes que fogem à concepção heteronormativa nas origens desta instituição soci</w:t>
      </w:r>
      <w:r>
        <w:rPr>
          <w:rFonts w:ascii="Times New Roman" w:eastAsia="Times New Roman" w:hAnsi="Times New Roman" w:cs="Times New Roman"/>
          <w:sz w:val="24"/>
          <w:szCs w:val="24"/>
        </w:rPr>
        <w:t>al (Oliven, 2019).</w:t>
      </w:r>
    </w:p>
    <w:p w14:paraId="4A2530D1"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no século XX, Silva (2016) aponta que as questões de gênero e sexualidades foram objeto de vigilância na ditadura civil</w:t>
      </w:r>
      <w:r>
        <w:rPr>
          <w:rFonts w:ascii="Times New Roman" w:eastAsia="Times New Roman" w:hAnsi="Times New Roman" w:cs="Times New Roman"/>
          <w:sz w:val="24"/>
          <w:szCs w:val="24"/>
        </w:rPr>
        <w:t>-militar brasileira e que “homens e mulheres que não se enquadravam na posição de gênero dominante foram censurados, vigiados, denunciados e punidos moralmente por expressarem uma feminilidade e masculinidade considerada subversiva” (p. 78). Assim como o e</w:t>
      </w:r>
      <w:r>
        <w:rPr>
          <w:rFonts w:ascii="Times New Roman" w:eastAsia="Times New Roman" w:hAnsi="Times New Roman" w:cs="Times New Roman"/>
          <w:sz w:val="24"/>
          <w:szCs w:val="24"/>
        </w:rPr>
        <w:t>studo das famílias demonstrava ser um viés de produção de conhecimento para fins na manutenção da estrutura político-social-ideológica da época, a repressão desses regimes ditatoriais na América Latina certamente impactou na produção científica de então, s</w:t>
      </w:r>
      <w:r>
        <w:rPr>
          <w:rFonts w:ascii="Times New Roman" w:eastAsia="Times New Roman" w:hAnsi="Times New Roman" w:cs="Times New Roman"/>
          <w:sz w:val="24"/>
          <w:szCs w:val="24"/>
        </w:rPr>
        <w:t xml:space="preserve">eja pela censura dos debates, seja pela perseguição à produção dos saberes relativos a essas temáticas que escapavam aos modos hegemônicos da repressão. Nesse sentido, por vezes, em nome das subjetividades dominantes: </w:t>
      </w:r>
    </w:p>
    <w:p w14:paraId="0FCE9D7E" w14:textId="77777777" w:rsidR="007E74C0" w:rsidRDefault="00EA0911">
      <w:pPr>
        <w:shd w:val="clear" w:color="auto" w:fill="FFFFFF"/>
        <w:spacing w:before="240" w:line="24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liberdade sexual, o controle de natalidade, ‘a dissolução’ dos casamentos, a instituição do divórcio, ‘o sexo sem freios’, a emancipação intelectual, profissional e sexual da mulher, o ‘crepúsculo do macho’, a socialização dos serviços domésticos necessi</w:t>
      </w:r>
      <w:r>
        <w:rPr>
          <w:rFonts w:ascii="Times New Roman" w:eastAsia="Times New Roman" w:hAnsi="Times New Roman" w:cs="Times New Roman"/>
          <w:sz w:val="24"/>
          <w:szCs w:val="24"/>
        </w:rPr>
        <w:t>tam ser disciplinados, normatizados. É em cima de tais questões que o especialista ‘psi’ entra e detém seu monopólio</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com sua providencial neutralidade, simplesmente ‘verifica o desejo do seu cliente’. ‘A família torna-se consumidora ávida de tudo o que</w:t>
      </w:r>
      <w:r>
        <w:rPr>
          <w:rFonts w:ascii="Times New Roman" w:eastAsia="Times New Roman" w:hAnsi="Times New Roman" w:cs="Times New Roman"/>
          <w:sz w:val="24"/>
          <w:szCs w:val="24"/>
        </w:rPr>
        <w:t xml:space="preserve"> pode ajudá-la a ‘realizar-se’. (Coimbra, 1995, p. 36-37) </w:t>
      </w:r>
    </w:p>
    <w:p w14:paraId="047C9CE8" w14:textId="77777777" w:rsidR="007E74C0" w:rsidRDefault="007E74C0">
      <w:pPr>
        <w:spacing w:line="240" w:lineRule="auto"/>
        <w:ind w:firstLine="720"/>
        <w:jc w:val="both"/>
        <w:rPr>
          <w:rFonts w:ascii="Times New Roman" w:eastAsia="Times New Roman" w:hAnsi="Times New Roman" w:cs="Times New Roman"/>
          <w:sz w:val="24"/>
          <w:szCs w:val="24"/>
        </w:rPr>
      </w:pPr>
    </w:p>
    <w:p w14:paraId="3B9C1140"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seguir, neste Tema, estão reunidos estudos das relações instituídas nas estruturas familiares. Nesses vinte artigos da Revista, o foco na família tradicional ainda predomina</w:t>
      </w:r>
      <w:r>
        <w:rPr>
          <w:rFonts w:ascii="Times New Roman" w:eastAsia="Times New Roman" w:hAnsi="Times New Roman" w:cs="Times New Roman"/>
          <w:sz w:val="24"/>
          <w:szCs w:val="24"/>
          <w:highlight w:val="white"/>
        </w:rPr>
        <w:t>, no que poderemos id</w:t>
      </w:r>
      <w:r>
        <w:rPr>
          <w:rFonts w:ascii="Times New Roman" w:eastAsia="Times New Roman" w:hAnsi="Times New Roman" w:cs="Times New Roman"/>
          <w:sz w:val="24"/>
          <w:szCs w:val="24"/>
          <w:highlight w:val="white"/>
        </w:rPr>
        <w:t>entificar, tendo por base as discussões aqui trazidas, formas de controle dos corpos por usos apenas dos conceitos de gênero e sexualidades legitimados por discursos científicos. Notamos que o estudo dessa instituição pela Psicologia trouxe para si um espa</w:t>
      </w:r>
      <w:r>
        <w:rPr>
          <w:rFonts w:ascii="Times New Roman" w:eastAsia="Times New Roman" w:hAnsi="Times New Roman" w:cs="Times New Roman"/>
          <w:sz w:val="24"/>
          <w:szCs w:val="24"/>
          <w:highlight w:val="white"/>
        </w:rPr>
        <w:t xml:space="preserve">ço de saber </w:t>
      </w:r>
      <w:r>
        <w:rPr>
          <w:rFonts w:ascii="Times New Roman" w:eastAsia="Times New Roman" w:hAnsi="Times New Roman" w:cs="Times New Roman"/>
          <w:sz w:val="24"/>
          <w:szCs w:val="24"/>
        </w:rPr>
        <w:t xml:space="preserve">que, por vezes, colaborou com o </w:t>
      </w:r>
      <w:r>
        <w:rPr>
          <w:rFonts w:ascii="Times New Roman" w:eastAsia="Times New Roman" w:hAnsi="Times New Roman" w:cs="Times New Roman"/>
          <w:i/>
          <w:sz w:val="24"/>
          <w:szCs w:val="24"/>
        </w:rPr>
        <w:t>status quo</w:t>
      </w:r>
      <w:r>
        <w:rPr>
          <w:rFonts w:ascii="Times New Roman" w:eastAsia="Times New Roman" w:hAnsi="Times New Roman" w:cs="Times New Roman"/>
          <w:sz w:val="24"/>
          <w:szCs w:val="24"/>
        </w:rPr>
        <w:t xml:space="preserve"> de cada época (Silva, 2016).</w:t>
      </w:r>
    </w:p>
    <w:p w14:paraId="6D4E9B17" w14:textId="77777777" w:rsidR="007E74C0" w:rsidRDefault="007E74C0">
      <w:pPr>
        <w:spacing w:line="240" w:lineRule="auto"/>
        <w:jc w:val="both"/>
        <w:rPr>
          <w:rFonts w:ascii="Times New Roman" w:eastAsia="Times New Roman" w:hAnsi="Times New Roman" w:cs="Times New Roman"/>
          <w:sz w:val="24"/>
          <w:szCs w:val="24"/>
          <w:highlight w:val="white"/>
        </w:rPr>
      </w:pPr>
    </w:p>
    <w:p w14:paraId="7BA0AF32"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4.3.1 Representações sociais de família. </w:t>
      </w:r>
      <w:r>
        <w:rPr>
          <w:rFonts w:ascii="Times New Roman" w:eastAsia="Times New Roman" w:hAnsi="Times New Roman" w:cs="Times New Roman"/>
          <w:sz w:val="24"/>
          <w:szCs w:val="24"/>
          <w:highlight w:val="white"/>
        </w:rPr>
        <w:t>Esse subtema agrupa sete estudos que discorreram, entre outros, sobre papéis de gênero e sexualidades no âmbito das famílias (Tabela 6).</w:t>
      </w:r>
    </w:p>
    <w:p w14:paraId="5E6E1C74" w14:textId="77777777" w:rsidR="007E74C0" w:rsidRDefault="007E74C0">
      <w:pPr>
        <w:spacing w:line="240" w:lineRule="auto"/>
        <w:jc w:val="both"/>
        <w:rPr>
          <w:rFonts w:ascii="Times New Roman" w:eastAsia="Times New Roman" w:hAnsi="Times New Roman" w:cs="Times New Roman"/>
          <w:sz w:val="24"/>
          <w:szCs w:val="24"/>
          <w:highlight w:val="white"/>
        </w:rPr>
      </w:pPr>
    </w:p>
    <w:p w14:paraId="414681C1"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6. Quadro de artigos - Subtema 1 (Tema 3)</w:t>
      </w:r>
    </w:p>
    <w:tbl>
      <w:tblPr>
        <w:tblStyle w:val="a5"/>
        <w:tblW w:w="9150" w:type="dxa"/>
        <w:tblInd w:w="-100" w:type="dxa"/>
        <w:tblLayout w:type="fixed"/>
        <w:tblLook w:val="0600" w:firstRow="0" w:lastRow="0" w:firstColumn="0" w:lastColumn="0" w:noHBand="1" w:noVBand="1"/>
      </w:tblPr>
      <w:tblGrid>
        <w:gridCol w:w="555"/>
        <w:gridCol w:w="660"/>
        <w:gridCol w:w="3330"/>
        <w:gridCol w:w="3105"/>
        <w:gridCol w:w="1500"/>
      </w:tblGrid>
      <w:tr w:rsidR="007E74C0" w14:paraId="2B25BBBC" w14:textId="77777777">
        <w:trPr>
          <w:trHeight w:val="460"/>
        </w:trPr>
        <w:tc>
          <w:tcPr>
            <w:tcW w:w="1215" w:type="dxa"/>
            <w:gridSpan w:val="2"/>
            <w:tcBorders>
              <w:top w:val="single" w:sz="12" w:space="0" w:color="000000"/>
              <w:bottom w:val="single" w:sz="6" w:space="0" w:color="000000"/>
            </w:tcBorders>
          </w:tcPr>
          <w:p w14:paraId="48ECAD5E"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330" w:type="dxa"/>
            <w:vMerge w:val="restart"/>
            <w:tcBorders>
              <w:top w:val="single" w:sz="12" w:space="0" w:color="000000"/>
              <w:bottom w:val="nil"/>
            </w:tcBorders>
            <w:vAlign w:val="center"/>
          </w:tcPr>
          <w:p w14:paraId="3AC3CA5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0436214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3105" w:type="dxa"/>
            <w:vMerge w:val="restart"/>
            <w:tcBorders>
              <w:top w:val="single" w:sz="12" w:space="0" w:color="000000"/>
              <w:left w:val="nil"/>
              <w:bottom w:val="nil"/>
            </w:tcBorders>
            <w:shd w:val="clear" w:color="auto" w:fill="auto"/>
            <w:tcMar>
              <w:top w:w="100" w:type="dxa"/>
              <w:left w:w="100" w:type="dxa"/>
              <w:bottom w:w="100" w:type="dxa"/>
              <w:right w:w="100" w:type="dxa"/>
            </w:tcMar>
            <w:vAlign w:val="center"/>
          </w:tcPr>
          <w:p w14:paraId="2BA6968D"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Conceito(s)</w:t>
            </w:r>
          </w:p>
          <w:p w14:paraId="30EA7431"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00" w:type="dxa"/>
            <w:vMerge w:val="restart"/>
            <w:tcBorders>
              <w:top w:val="single" w:sz="12" w:space="0" w:color="000000"/>
              <w:left w:val="nil"/>
              <w:bottom w:val="nil"/>
            </w:tcBorders>
            <w:shd w:val="clear" w:color="auto" w:fill="auto"/>
            <w:tcMar>
              <w:top w:w="100" w:type="dxa"/>
              <w:left w:w="100" w:type="dxa"/>
              <w:bottom w:w="100" w:type="dxa"/>
              <w:right w:w="100" w:type="dxa"/>
            </w:tcMar>
            <w:vAlign w:val="center"/>
          </w:tcPr>
          <w:p w14:paraId="2D7854E4"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7C5D878A"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r>
              <w:rPr>
                <w:rFonts w:ascii="Times New Roman" w:eastAsia="Times New Roman" w:hAnsi="Times New Roman" w:cs="Times New Roman"/>
                <w:b/>
                <w:sz w:val="20"/>
                <w:szCs w:val="20"/>
              </w:rPr>
              <w:t>)</w:t>
            </w:r>
          </w:p>
        </w:tc>
      </w:tr>
      <w:tr w:rsidR="007E74C0" w14:paraId="05C4497F"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619FE5D9"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single" w:sz="6" w:space="0" w:color="000000"/>
              <w:left w:val="nil"/>
              <w:bottom w:val="single" w:sz="12" w:space="0" w:color="000000"/>
              <w:right w:val="nil"/>
            </w:tcBorders>
            <w:shd w:val="clear" w:color="auto" w:fill="auto"/>
            <w:tcMar>
              <w:top w:w="100" w:type="dxa"/>
              <w:left w:w="100" w:type="dxa"/>
              <w:bottom w:w="100" w:type="dxa"/>
              <w:right w:w="100" w:type="dxa"/>
            </w:tcMar>
          </w:tcPr>
          <w:p w14:paraId="4E41ABC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330" w:type="dxa"/>
            <w:vMerge/>
            <w:tcBorders>
              <w:top w:val="nil"/>
              <w:bottom w:val="single" w:sz="12" w:space="0" w:color="000000"/>
            </w:tcBorders>
            <w:vAlign w:val="center"/>
          </w:tcPr>
          <w:p w14:paraId="48677AA9" w14:textId="77777777" w:rsidR="007E74C0" w:rsidRDefault="007E74C0">
            <w:pPr>
              <w:widowControl w:val="0"/>
              <w:rPr>
                <w:rFonts w:ascii="Times New Roman" w:eastAsia="Times New Roman" w:hAnsi="Times New Roman" w:cs="Times New Roman"/>
                <w:sz w:val="20"/>
                <w:szCs w:val="20"/>
              </w:rPr>
            </w:pPr>
          </w:p>
        </w:tc>
        <w:tc>
          <w:tcPr>
            <w:tcW w:w="3105" w:type="dxa"/>
            <w:vMerge/>
            <w:tcBorders>
              <w:top w:val="nil"/>
              <w:left w:val="nil"/>
              <w:bottom w:val="single" w:sz="12" w:space="0" w:color="000000"/>
            </w:tcBorders>
            <w:shd w:val="clear" w:color="auto" w:fill="auto"/>
            <w:tcMar>
              <w:top w:w="100" w:type="dxa"/>
              <w:left w:w="100" w:type="dxa"/>
              <w:bottom w:w="100" w:type="dxa"/>
              <w:right w:w="100" w:type="dxa"/>
            </w:tcMar>
            <w:vAlign w:val="center"/>
          </w:tcPr>
          <w:p w14:paraId="44D973EB" w14:textId="77777777" w:rsidR="007E74C0" w:rsidRDefault="007E74C0">
            <w:pPr>
              <w:widowControl w:val="0"/>
              <w:rPr>
                <w:rFonts w:ascii="Times New Roman" w:eastAsia="Times New Roman" w:hAnsi="Times New Roman" w:cs="Times New Roman"/>
                <w:sz w:val="20"/>
                <w:szCs w:val="20"/>
              </w:rPr>
            </w:pPr>
          </w:p>
        </w:tc>
        <w:tc>
          <w:tcPr>
            <w:tcW w:w="1500" w:type="dxa"/>
            <w:vMerge/>
            <w:tcBorders>
              <w:top w:val="nil"/>
              <w:left w:val="nil"/>
              <w:bottom w:val="single" w:sz="12" w:space="0" w:color="000000"/>
            </w:tcBorders>
            <w:shd w:val="clear" w:color="auto" w:fill="auto"/>
            <w:tcMar>
              <w:top w:w="100" w:type="dxa"/>
              <w:left w:w="100" w:type="dxa"/>
              <w:bottom w:w="100" w:type="dxa"/>
              <w:right w:w="100" w:type="dxa"/>
            </w:tcMar>
            <w:vAlign w:val="center"/>
          </w:tcPr>
          <w:p w14:paraId="6540E5FF" w14:textId="77777777" w:rsidR="007E74C0" w:rsidRDefault="007E74C0">
            <w:pPr>
              <w:widowControl w:val="0"/>
              <w:rPr>
                <w:rFonts w:ascii="Times New Roman" w:eastAsia="Times New Roman" w:hAnsi="Times New Roman" w:cs="Times New Roman"/>
                <w:sz w:val="20"/>
                <w:szCs w:val="20"/>
              </w:rPr>
            </w:pPr>
          </w:p>
        </w:tc>
      </w:tr>
      <w:tr w:rsidR="007E74C0" w14:paraId="5F3EDDC3" w14:textId="77777777">
        <w:trPr>
          <w:trHeight w:val="239"/>
        </w:trPr>
        <w:tc>
          <w:tcPr>
            <w:tcW w:w="555" w:type="dxa"/>
            <w:tcBorders>
              <w:top w:val="single" w:sz="12" w:space="0" w:color="000000"/>
              <w:left w:val="nil"/>
              <w:bottom w:val="nil"/>
              <w:right w:val="nil"/>
            </w:tcBorders>
            <w:tcMar>
              <w:top w:w="40" w:type="dxa"/>
              <w:left w:w="40" w:type="dxa"/>
              <w:bottom w:w="40" w:type="dxa"/>
              <w:right w:w="40" w:type="dxa"/>
            </w:tcMar>
            <w:vAlign w:val="center"/>
          </w:tcPr>
          <w:p w14:paraId="5644492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660" w:type="dxa"/>
            <w:tcBorders>
              <w:top w:val="single" w:sz="12" w:space="0" w:color="000000"/>
              <w:left w:val="nil"/>
              <w:bottom w:val="nil"/>
              <w:right w:val="nil"/>
            </w:tcBorders>
            <w:tcMar>
              <w:top w:w="40" w:type="dxa"/>
              <w:left w:w="40" w:type="dxa"/>
              <w:bottom w:w="40" w:type="dxa"/>
              <w:right w:w="40" w:type="dxa"/>
            </w:tcMar>
            <w:vAlign w:val="center"/>
          </w:tcPr>
          <w:p w14:paraId="14B749F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w:t>
            </w:r>
          </w:p>
        </w:tc>
        <w:tc>
          <w:tcPr>
            <w:tcW w:w="3330" w:type="dxa"/>
            <w:tcBorders>
              <w:top w:val="single" w:sz="12" w:space="0" w:color="000000"/>
              <w:left w:val="nil"/>
              <w:bottom w:val="nil"/>
              <w:right w:val="nil"/>
            </w:tcBorders>
            <w:tcMar>
              <w:top w:w="40" w:type="dxa"/>
              <w:left w:w="40" w:type="dxa"/>
              <w:bottom w:w="40" w:type="dxa"/>
              <w:right w:w="40" w:type="dxa"/>
            </w:tcMar>
            <w:vAlign w:val="center"/>
          </w:tcPr>
          <w:p w14:paraId="569D58AE"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Toneli, Lodetti, Lucca, Gomes e Araújo</w:t>
            </w:r>
          </w:p>
        </w:tc>
        <w:tc>
          <w:tcPr>
            <w:tcW w:w="3105" w:type="dxa"/>
            <w:tcBorders>
              <w:top w:val="single" w:sz="12" w:space="0" w:color="000000"/>
              <w:left w:val="nil"/>
              <w:bottom w:val="nil"/>
              <w:right w:val="nil"/>
            </w:tcBorders>
            <w:tcMar>
              <w:top w:w="40" w:type="dxa"/>
              <w:left w:w="40" w:type="dxa"/>
              <w:bottom w:w="40" w:type="dxa"/>
              <w:right w:w="40" w:type="dxa"/>
            </w:tcMar>
            <w:vAlign w:val="center"/>
          </w:tcPr>
          <w:p w14:paraId="6D5FDDC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(paternidade,  gênero)</w:t>
            </w:r>
          </w:p>
        </w:tc>
        <w:tc>
          <w:tcPr>
            <w:tcW w:w="1500" w:type="dxa"/>
            <w:tcBorders>
              <w:top w:val="single" w:sz="12" w:space="0" w:color="000000"/>
              <w:left w:val="nil"/>
              <w:bottom w:val="nil"/>
              <w:right w:val="nil"/>
            </w:tcBorders>
            <w:tcMar>
              <w:top w:w="40" w:type="dxa"/>
              <w:left w:w="40" w:type="dxa"/>
              <w:bottom w:w="40" w:type="dxa"/>
              <w:right w:w="40" w:type="dxa"/>
            </w:tcMar>
            <w:vAlign w:val="center"/>
          </w:tcPr>
          <w:p w14:paraId="11CC21F1"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1503775E" w14:textId="77777777">
        <w:trPr>
          <w:trHeight w:val="280"/>
        </w:trPr>
        <w:tc>
          <w:tcPr>
            <w:tcW w:w="555"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09CE590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4C3B586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3330" w:type="dxa"/>
            <w:tcBorders>
              <w:top w:val="nil"/>
              <w:left w:val="nil"/>
              <w:bottom w:val="nil"/>
              <w:right w:val="nil"/>
            </w:tcBorders>
            <w:shd w:val="clear" w:color="auto" w:fill="BFBFBF"/>
            <w:tcMar>
              <w:top w:w="40" w:type="dxa"/>
              <w:left w:w="40" w:type="dxa"/>
              <w:bottom w:w="40" w:type="dxa"/>
              <w:right w:w="40" w:type="dxa"/>
            </w:tcMar>
            <w:vAlign w:val="center"/>
          </w:tcPr>
          <w:p w14:paraId="1BBB845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Aizpurúa, Jablonski e Féres-Carneiro</w:t>
            </w:r>
          </w:p>
        </w:tc>
        <w:tc>
          <w:tcPr>
            <w:tcW w:w="3105" w:type="dxa"/>
            <w:tcBorders>
              <w:top w:val="nil"/>
              <w:left w:val="nil"/>
              <w:bottom w:val="nil"/>
              <w:right w:val="nil"/>
            </w:tcBorders>
            <w:shd w:val="clear" w:color="auto" w:fill="BFBFBF"/>
            <w:tcMar>
              <w:top w:w="40" w:type="dxa"/>
              <w:left w:w="40" w:type="dxa"/>
              <w:bottom w:w="40" w:type="dxa"/>
              <w:right w:w="40" w:type="dxa"/>
            </w:tcMar>
            <w:vAlign w:val="center"/>
          </w:tcPr>
          <w:p w14:paraId="03CFFEE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(processo histórico)</w:t>
            </w:r>
          </w:p>
        </w:tc>
        <w:tc>
          <w:tcPr>
            <w:tcW w:w="1500" w:type="dxa"/>
            <w:tcBorders>
              <w:top w:val="nil"/>
              <w:left w:val="nil"/>
              <w:bottom w:val="nil"/>
              <w:right w:val="nil"/>
            </w:tcBorders>
            <w:shd w:val="clear" w:color="auto" w:fill="BFBFBF"/>
            <w:tcMar>
              <w:top w:w="40" w:type="dxa"/>
              <w:left w:w="40" w:type="dxa"/>
              <w:bottom w:w="40" w:type="dxa"/>
              <w:right w:w="40" w:type="dxa"/>
            </w:tcMar>
            <w:vAlign w:val="center"/>
          </w:tcPr>
          <w:p w14:paraId="5D72B7D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 Argentina</w:t>
            </w:r>
          </w:p>
        </w:tc>
      </w:tr>
      <w:tr w:rsidR="007E74C0" w14:paraId="36123F65"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410716D5" w14:textId="77777777" w:rsidR="007E74C0" w:rsidRDefault="007E74C0">
            <w:pPr>
              <w:widowControl w:val="0"/>
              <w:spacing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4803C05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p>
        </w:tc>
        <w:tc>
          <w:tcPr>
            <w:tcW w:w="3330" w:type="dxa"/>
            <w:tcBorders>
              <w:top w:val="nil"/>
              <w:left w:val="nil"/>
              <w:bottom w:val="nil"/>
              <w:right w:val="nil"/>
            </w:tcBorders>
            <w:shd w:val="clear" w:color="auto" w:fill="BFBFBF"/>
            <w:tcMar>
              <w:top w:w="40" w:type="dxa"/>
              <w:left w:w="40" w:type="dxa"/>
              <w:bottom w:w="40" w:type="dxa"/>
              <w:right w:w="40" w:type="dxa"/>
            </w:tcMar>
            <w:vAlign w:val="center"/>
          </w:tcPr>
          <w:p w14:paraId="52F7D1EE"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Medina, López-Fuentes, Valdez e Jiménez</w:t>
            </w:r>
          </w:p>
        </w:tc>
        <w:tc>
          <w:tcPr>
            <w:tcW w:w="3105" w:type="dxa"/>
            <w:tcBorders>
              <w:top w:val="nil"/>
              <w:left w:val="nil"/>
              <w:bottom w:val="nil"/>
              <w:right w:val="nil"/>
            </w:tcBorders>
            <w:shd w:val="clear" w:color="auto" w:fill="BFBFBF"/>
            <w:tcMar>
              <w:top w:w="40" w:type="dxa"/>
              <w:left w:w="40" w:type="dxa"/>
              <w:bottom w:w="40" w:type="dxa"/>
              <w:right w:w="40" w:type="dxa"/>
            </w:tcMar>
            <w:vAlign w:val="center"/>
          </w:tcPr>
          <w:p w14:paraId="083D7400"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(escolha do par e estereótipo de gênero)</w:t>
            </w:r>
          </w:p>
        </w:tc>
        <w:tc>
          <w:tcPr>
            <w:tcW w:w="1500" w:type="dxa"/>
            <w:tcBorders>
              <w:top w:val="nil"/>
              <w:left w:val="nil"/>
              <w:bottom w:val="nil"/>
              <w:right w:val="nil"/>
            </w:tcBorders>
            <w:shd w:val="clear" w:color="auto" w:fill="BFBFBF"/>
            <w:tcMar>
              <w:top w:w="40" w:type="dxa"/>
              <w:left w:w="40" w:type="dxa"/>
              <w:bottom w:w="40" w:type="dxa"/>
              <w:right w:w="40" w:type="dxa"/>
            </w:tcMar>
            <w:vAlign w:val="center"/>
          </w:tcPr>
          <w:p w14:paraId="3897E3FD"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1B699EDA"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7516E16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nil"/>
              <w:left w:val="nil"/>
              <w:bottom w:val="nil"/>
              <w:right w:val="nil"/>
            </w:tcBorders>
            <w:tcMar>
              <w:top w:w="40" w:type="dxa"/>
              <w:left w:w="40" w:type="dxa"/>
              <w:bottom w:w="40" w:type="dxa"/>
              <w:right w:w="40" w:type="dxa"/>
            </w:tcMar>
            <w:vAlign w:val="center"/>
          </w:tcPr>
          <w:p w14:paraId="09D212D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w:t>
            </w:r>
          </w:p>
        </w:tc>
        <w:tc>
          <w:tcPr>
            <w:tcW w:w="3330" w:type="dxa"/>
            <w:tcBorders>
              <w:top w:val="nil"/>
              <w:left w:val="nil"/>
              <w:bottom w:val="nil"/>
              <w:right w:val="nil"/>
            </w:tcBorders>
            <w:tcMar>
              <w:top w:w="40" w:type="dxa"/>
              <w:left w:w="40" w:type="dxa"/>
              <w:bottom w:w="40" w:type="dxa"/>
              <w:right w:w="40" w:type="dxa"/>
            </w:tcMar>
            <w:vAlign w:val="center"/>
          </w:tcPr>
          <w:p w14:paraId="5B29CDF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Hennigen e Guareschi</w:t>
            </w:r>
          </w:p>
        </w:tc>
        <w:tc>
          <w:tcPr>
            <w:tcW w:w="3105" w:type="dxa"/>
            <w:tcBorders>
              <w:top w:val="nil"/>
              <w:left w:val="nil"/>
              <w:bottom w:val="nil"/>
              <w:right w:val="nil"/>
            </w:tcBorders>
            <w:tcMar>
              <w:top w:w="40" w:type="dxa"/>
              <w:left w:w="40" w:type="dxa"/>
              <w:bottom w:w="40" w:type="dxa"/>
              <w:right w:w="40" w:type="dxa"/>
            </w:tcMar>
            <w:vAlign w:val="center"/>
          </w:tcPr>
          <w:p w14:paraId="6DD08E3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(estereótipo, parentalidade)</w:t>
            </w:r>
          </w:p>
        </w:tc>
        <w:tc>
          <w:tcPr>
            <w:tcW w:w="1500" w:type="dxa"/>
            <w:tcBorders>
              <w:top w:val="nil"/>
              <w:left w:val="nil"/>
              <w:bottom w:val="nil"/>
              <w:right w:val="nil"/>
            </w:tcBorders>
            <w:tcMar>
              <w:top w:w="40" w:type="dxa"/>
              <w:left w:w="40" w:type="dxa"/>
              <w:bottom w:w="40" w:type="dxa"/>
              <w:right w:w="40" w:type="dxa"/>
            </w:tcMar>
            <w:vAlign w:val="center"/>
          </w:tcPr>
          <w:p w14:paraId="74EBF6D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45F1BA7A"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3DFFD7B4"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1B02EB4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3330" w:type="dxa"/>
            <w:tcBorders>
              <w:top w:val="nil"/>
              <w:left w:val="nil"/>
              <w:bottom w:val="nil"/>
              <w:right w:val="nil"/>
            </w:tcBorders>
            <w:shd w:val="clear" w:color="auto" w:fill="BFBFBF"/>
            <w:tcMar>
              <w:top w:w="40" w:type="dxa"/>
              <w:left w:w="40" w:type="dxa"/>
              <w:bottom w:w="40" w:type="dxa"/>
              <w:right w:w="40" w:type="dxa"/>
            </w:tcMar>
            <w:vAlign w:val="center"/>
          </w:tcPr>
          <w:p w14:paraId="5A0A042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Toro e Padilla-Díaz</w:t>
            </w:r>
          </w:p>
        </w:tc>
        <w:tc>
          <w:tcPr>
            <w:tcW w:w="3105" w:type="dxa"/>
            <w:tcBorders>
              <w:top w:val="nil"/>
              <w:left w:val="nil"/>
              <w:bottom w:val="nil"/>
              <w:right w:val="nil"/>
            </w:tcBorders>
            <w:shd w:val="clear" w:color="auto" w:fill="BFBFBF"/>
            <w:tcMar>
              <w:top w:w="40" w:type="dxa"/>
              <w:left w:w="40" w:type="dxa"/>
              <w:bottom w:w="40" w:type="dxa"/>
              <w:right w:w="40" w:type="dxa"/>
            </w:tcMar>
            <w:vAlign w:val="center"/>
          </w:tcPr>
          <w:p w14:paraId="4D4E067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(práticas de equidade)</w:t>
            </w:r>
          </w:p>
        </w:tc>
        <w:tc>
          <w:tcPr>
            <w:tcW w:w="1500" w:type="dxa"/>
            <w:tcBorders>
              <w:top w:val="nil"/>
              <w:left w:val="nil"/>
              <w:bottom w:val="nil"/>
              <w:right w:val="nil"/>
            </w:tcBorders>
            <w:shd w:val="clear" w:color="auto" w:fill="BFBFBF"/>
            <w:tcMar>
              <w:top w:w="40" w:type="dxa"/>
              <w:left w:w="40" w:type="dxa"/>
              <w:bottom w:w="40" w:type="dxa"/>
              <w:right w:w="40" w:type="dxa"/>
            </w:tcMar>
            <w:vAlign w:val="center"/>
          </w:tcPr>
          <w:p w14:paraId="455AC2D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70F6CF80"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658BA44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tcBorders>
              <w:top w:val="nil"/>
              <w:left w:val="nil"/>
              <w:bottom w:val="nil"/>
              <w:right w:val="nil"/>
            </w:tcBorders>
            <w:tcMar>
              <w:top w:w="40" w:type="dxa"/>
              <w:left w:w="40" w:type="dxa"/>
              <w:bottom w:w="40" w:type="dxa"/>
              <w:right w:w="40" w:type="dxa"/>
            </w:tcMar>
            <w:vAlign w:val="center"/>
          </w:tcPr>
          <w:p w14:paraId="3929F5FC"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330" w:type="dxa"/>
            <w:tcBorders>
              <w:top w:val="nil"/>
              <w:left w:val="nil"/>
              <w:bottom w:val="nil"/>
              <w:right w:val="nil"/>
            </w:tcBorders>
            <w:tcMar>
              <w:top w:w="40" w:type="dxa"/>
              <w:left w:w="40" w:type="dxa"/>
              <w:bottom w:w="40" w:type="dxa"/>
              <w:right w:w="40" w:type="dxa"/>
            </w:tcMar>
            <w:vAlign w:val="center"/>
          </w:tcPr>
          <w:p w14:paraId="19CE953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Díaz-Marroquín, Rodríguez-Ortega e Flores-Angeles</w:t>
            </w:r>
          </w:p>
        </w:tc>
        <w:tc>
          <w:tcPr>
            <w:tcW w:w="3105" w:type="dxa"/>
            <w:tcBorders>
              <w:top w:val="nil"/>
              <w:left w:val="nil"/>
              <w:bottom w:val="nil"/>
              <w:right w:val="nil"/>
            </w:tcBorders>
            <w:tcMar>
              <w:top w:w="40" w:type="dxa"/>
              <w:left w:w="40" w:type="dxa"/>
              <w:bottom w:w="40" w:type="dxa"/>
              <w:right w:w="40" w:type="dxa"/>
            </w:tcMar>
            <w:vAlign w:val="center"/>
          </w:tcPr>
          <w:p w14:paraId="25405D6B"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Terapia familiar (gênero, poder)</w:t>
            </w:r>
          </w:p>
          <w:p w14:paraId="314C88F2" w14:textId="77777777" w:rsidR="007E74C0" w:rsidRDefault="007E74C0">
            <w:pPr>
              <w:widowControl w:val="0"/>
              <w:rPr>
                <w:rFonts w:ascii="Times New Roman" w:eastAsia="Times New Roman" w:hAnsi="Times New Roman" w:cs="Times New Roman"/>
                <w:sz w:val="20"/>
                <w:szCs w:val="20"/>
              </w:rPr>
            </w:pPr>
          </w:p>
        </w:tc>
        <w:tc>
          <w:tcPr>
            <w:tcW w:w="1500" w:type="dxa"/>
            <w:tcBorders>
              <w:top w:val="nil"/>
              <w:left w:val="nil"/>
              <w:bottom w:val="nil"/>
              <w:right w:val="nil"/>
            </w:tcBorders>
            <w:tcMar>
              <w:top w:w="40" w:type="dxa"/>
              <w:left w:w="40" w:type="dxa"/>
              <w:bottom w:w="40" w:type="dxa"/>
              <w:right w:w="40" w:type="dxa"/>
            </w:tcMar>
            <w:vAlign w:val="center"/>
          </w:tcPr>
          <w:p w14:paraId="602E72CB"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3409E6C6" w14:textId="77777777">
        <w:trPr>
          <w:trHeight w:val="239"/>
        </w:trPr>
        <w:tc>
          <w:tcPr>
            <w:tcW w:w="555"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4783681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2012</w:t>
            </w:r>
          </w:p>
        </w:tc>
        <w:tc>
          <w:tcPr>
            <w:tcW w:w="66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173C5D1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46(2)</w:t>
            </w:r>
          </w:p>
        </w:tc>
        <w:tc>
          <w:tcPr>
            <w:tcW w:w="333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01CB4FEA"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Levandowski; Barth, Munhós, Rödde e Wendland</w:t>
            </w:r>
          </w:p>
        </w:tc>
        <w:tc>
          <w:tcPr>
            <w:tcW w:w="3105"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6FC56559" w14:textId="77777777" w:rsidR="007E74C0" w:rsidRDefault="00EA0911">
            <w:pPr>
              <w:widowControl w:val="0"/>
              <w:rPr>
                <w:rFonts w:ascii="Times New Roman" w:eastAsia="Times New Roman" w:hAnsi="Times New Roman" w:cs="Times New Roman"/>
                <w:strike/>
                <w:sz w:val="20"/>
                <w:szCs w:val="20"/>
              </w:rPr>
            </w:pPr>
            <w:r>
              <w:rPr>
                <w:rFonts w:ascii="Times New Roman" w:eastAsia="Times New Roman" w:hAnsi="Times New Roman" w:cs="Times New Roman"/>
                <w:sz w:val="20"/>
                <w:szCs w:val="20"/>
              </w:rPr>
              <w:t>Apoio familiar (gravidez na adolescência)</w:t>
            </w:r>
          </w:p>
        </w:tc>
        <w:tc>
          <w:tcPr>
            <w:tcW w:w="150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02CE010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642FC430" w14:textId="77777777">
        <w:trPr>
          <w:trHeight w:val="239"/>
        </w:trPr>
        <w:tc>
          <w:tcPr>
            <w:tcW w:w="555" w:type="dxa"/>
            <w:tcBorders>
              <w:top w:val="single" w:sz="12" w:space="0" w:color="000000"/>
              <w:left w:val="nil"/>
              <w:bottom w:val="nil"/>
              <w:right w:val="nil"/>
            </w:tcBorders>
            <w:tcMar>
              <w:top w:w="19" w:type="dxa"/>
              <w:left w:w="19" w:type="dxa"/>
              <w:bottom w:w="19" w:type="dxa"/>
              <w:right w:w="19" w:type="dxa"/>
            </w:tcMar>
            <w:vAlign w:val="center"/>
          </w:tcPr>
          <w:p w14:paraId="7AE6F81F"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top w:val="single" w:sz="12" w:space="0" w:color="000000"/>
              <w:left w:val="nil"/>
              <w:bottom w:val="nil"/>
              <w:right w:val="nil"/>
            </w:tcBorders>
            <w:tcMar>
              <w:top w:w="19" w:type="dxa"/>
              <w:left w:w="19" w:type="dxa"/>
              <w:bottom w:w="19" w:type="dxa"/>
              <w:right w:w="19" w:type="dxa"/>
            </w:tcMar>
            <w:vAlign w:val="center"/>
          </w:tcPr>
          <w:p w14:paraId="09C9A4F7" w14:textId="77777777" w:rsidR="007E74C0" w:rsidRDefault="007E74C0">
            <w:pPr>
              <w:spacing w:line="240" w:lineRule="auto"/>
              <w:jc w:val="center"/>
              <w:rPr>
                <w:rFonts w:ascii="Times New Roman" w:eastAsia="Times New Roman" w:hAnsi="Times New Roman" w:cs="Times New Roman"/>
                <w:sz w:val="20"/>
                <w:szCs w:val="20"/>
              </w:rPr>
            </w:pPr>
          </w:p>
        </w:tc>
        <w:tc>
          <w:tcPr>
            <w:tcW w:w="3330" w:type="dxa"/>
            <w:tcBorders>
              <w:top w:val="single" w:sz="12" w:space="0" w:color="000000"/>
              <w:left w:val="nil"/>
              <w:bottom w:val="nil"/>
              <w:right w:val="nil"/>
            </w:tcBorders>
            <w:tcMar>
              <w:top w:w="19" w:type="dxa"/>
              <w:left w:w="19" w:type="dxa"/>
              <w:bottom w:w="19" w:type="dxa"/>
              <w:right w:w="19" w:type="dxa"/>
            </w:tcMar>
            <w:vAlign w:val="center"/>
          </w:tcPr>
          <w:p w14:paraId="17CA5A32" w14:textId="77777777" w:rsidR="007E74C0" w:rsidRDefault="007E74C0">
            <w:pPr>
              <w:spacing w:line="240" w:lineRule="auto"/>
              <w:jc w:val="center"/>
              <w:rPr>
                <w:rFonts w:ascii="Times New Roman" w:eastAsia="Times New Roman" w:hAnsi="Times New Roman" w:cs="Times New Roman"/>
                <w:sz w:val="20"/>
                <w:szCs w:val="20"/>
              </w:rPr>
            </w:pPr>
          </w:p>
        </w:tc>
        <w:tc>
          <w:tcPr>
            <w:tcW w:w="3105" w:type="dxa"/>
            <w:tcBorders>
              <w:top w:val="single" w:sz="12" w:space="0" w:color="000000"/>
              <w:left w:val="nil"/>
              <w:bottom w:val="nil"/>
              <w:right w:val="nil"/>
            </w:tcBorders>
            <w:tcMar>
              <w:top w:w="19" w:type="dxa"/>
              <w:left w:w="19" w:type="dxa"/>
              <w:bottom w:w="19" w:type="dxa"/>
              <w:right w:w="19" w:type="dxa"/>
            </w:tcMar>
            <w:vAlign w:val="center"/>
          </w:tcPr>
          <w:p w14:paraId="48F2E80F" w14:textId="77777777" w:rsidR="007E74C0" w:rsidRDefault="007E74C0">
            <w:pPr>
              <w:spacing w:line="240" w:lineRule="auto"/>
              <w:jc w:val="center"/>
              <w:rPr>
                <w:rFonts w:ascii="Times New Roman" w:eastAsia="Times New Roman" w:hAnsi="Times New Roman" w:cs="Times New Roman"/>
                <w:sz w:val="20"/>
                <w:szCs w:val="20"/>
              </w:rPr>
            </w:pPr>
          </w:p>
        </w:tc>
        <w:tc>
          <w:tcPr>
            <w:tcW w:w="1500" w:type="dxa"/>
            <w:tcBorders>
              <w:top w:val="single" w:sz="12" w:space="0" w:color="000000"/>
              <w:left w:val="nil"/>
              <w:bottom w:val="nil"/>
              <w:right w:val="nil"/>
            </w:tcBorders>
            <w:tcMar>
              <w:top w:w="19" w:type="dxa"/>
              <w:left w:w="19" w:type="dxa"/>
              <w:bottom w:w="19" w:type="dxa"/>
              <w:right w:w="19" w:type="dxa"/>
            </w:tcMar>
            <w:vAlign w:val="center"/>
          </w:tcPr>
          <w:p w14:paraId="29BD749F" w14:textId="77777777" w:rsidR="007E74C0" w:rsidRDefault="007E74C0">
            <w:pPr>
              <w:spacing w:line="240" w:lineRule="auto"/>
              <w:jc w:val="center"/>
              <w:rPr>
                <w:rFonts w:ascii="Times New Roman" w:eastAsia="Times New Roman" w:hAnsi="Times New Roman" w:cs="Times New Roman"/>
                <w:sz w:val="20"/>
                <w:szCs w:val="20"/>
              </w:rPr>
            </w:pPr>
          </w:p>
        </w:tc>
      </w:tr>
    </w:tbl>
    <w:p w14:paraId="178649C5"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escolha de par romântico e ajuste diádico, que compareceu no Tema 1, reaparece novamente, dessa vez considerando a existência dos filhos para a participação na pesquisa, que investigou a desejabilidade social e engrandecimento conjugal em casais heteross</w:t>
      </w:r>
      <w:r>
        <w:rPr>
          <w:rFonts w:ascii="Times New Roman" w:eastAsia="Times New Roman" w:hAnsi="Times New Roman" w:cs="Times New Roman"/>
          <w:sz w:val="24"/>
          <w:szCs w:val="24"/>
          <w:highlight w:val="white"/>
        </w:rPr>
        <w:t>exuais no México (IJP, 2007). Neste estudo, emergiram padrões heteronormativos estereotipados, como homens no papel de provedores de estabilidade material e afetiva e a satisfação e frequência sexual enquanto fatores de reforço natural de vínculo entre cas</w:t>
      </w:r>
      <w:r>
        <w:rPr>
          <w:rFonts w:ascii="Times New Roman" w:eastAsia="Times New Roman" w:hAnsi="Times New Roman" w:cs="Times New Roman"/>
          <w:sz w:val="24"/>
          <w:szCs w:val="24"/>
          <w:highlight w:val="white"/>
        </w:rPr>
        <w:t xml:space="preserve">ais, em especial para os homens para quem haveria maior liberdade sexual na cultura latina, enquanto as mulheres emergem como potencialmente “boas” para gerar filhos e desempenhar cuidado. </w:t>
      </w:r>
    </w:p>
    <w:p w14:paraId="15C8C65D"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 modo geral, os outros estudos do subtema </w:t>
      </w:r>
      <w:r>
        <w:rPr>
          <w:rFonts w:ascii="Times New Roman" w:eastAsia="Times New Roman" w:hAnsi="Times New Roman" w:cs="Times New Roman"/>
          <w:sz w:val="24"/>
          <w:szCs w:val="24"/>
          <w:highlight w:val="white"/>
        </w:rPr>
        <w:t>focaram as relações fa</w:t>
      </w:r>
      <w:r>
        <w:rPr>
          <w:rFonts w:ascii="Times New Roman" w:eastAsia="Times New Roman" w:hAnsi="Times New Roman" w:cs="Times New Roman"/>
          <w:sz w:val="24"/>
          <w:szCs w:val="24"/>
          <w:highlight w:val="white"/>
        </w:rPr>
        <w:t>miliares e papéis sociais (feminino e masculino), indicando mudanças significativas nas relações familiares e conjugais em consequência da inserção das mulheres no mercado de trabalho, por demandas estruturais e macroeconômicas e aumento da escolaridade fe</w:t>
      </w:r>
      <w:r>
        <w:rPr>
          <w:rFonts w:ascii="Times New Roman" w:eastAsia="Times New Roman" w:hAnsi="Times New Roman" w:cs="Times New Roman"/>
          <w:sz w:val="24"/>
          <w:szCs w:val="24"/>
          <w:highlight w:val="white"/>
        </w:rPr>
        <w:t xml:space="preserve">minina </w:t>
      </w:r>
      <w:r>
        <w:rPr>
          <w:rFonts w:ascii="Times New Roman" w:eastAsia="Times New Roman" w:hAnsi="Times New Roman" w:cs="Times New Roman"/>
          <w:sz w:val="24"/>
          <w:szCs w:val="24"/>
        </w:rPr>
        <w:t>(IJP, 2010; IJP, 2008; IJP, 2006)</w:t>
      </w:r>
      <w:r>
        <w:rPr>
          <w:rFonts w:ascii="Times New Roman" w:eastAsia="Times New Roman" w:hAnsi="Times New Roman" w:cs="Times New Roman"/>
          <w:sz w:val="24"/>
          <w:szCs w:val="24"/>
          <w:highlight w:val="white"/>
        </w:rPr>
        <w:t>. Essas mudanças perpassariam a busca por relações equânimes, sobretudo nos cuidados com filhos, promovendo espaços para o exercício da paternidade, co-participação nos afazeres domésticos e menor tolerância (das mul</w:t>
      </w:r>
      <w:r>
        <w:rPr>
          <w:rFonts w:ascii="Times New Roman" w:eastAsia="Times New Roman" w:hAnsi="Times New Roman" w:cs="Times New Roman"/>
          <w:sz w:val="24"/>
          <w:szCs w:val="24"/>
          <w:highlight w:val="white"/>
        </w:rPr>
        <w:t>heres) com relacionamentos desfavoráveis. A organização das famílias também se teria alterado, com aumento significativo de casamentos informais, embora os artigos não se refiram, em regra, a famílias e casais com diferentes orientações sexuais e a arranjo</w:t>
      </w:r>
      <w:r>
        <w:rPr>
          <w:rFonts w:ascii="Times New Roman" w:eastAsia="Times New Roman" w:hAnsi="Times New Roman" w:cs="Times New Roman"/>
          <w:sz w:val="24"/>
          <w:szCs w:val="24"/>
          <w:highlight w:val="white"/>
        </w:rPr>
        <w:t xml:space="preserve">s familiares que fujam da cisheteronormatividade. </w:t>
      </w:r>
    </w:p>
    <w:p w14:paraId="526E8F50"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 modo específico, destacamos um artigo sobre a representação de pai e mãe em mídias no Brasil, em que foi analisado o discurso do que é ser homem e mulher, assim como analisar as concepções de gênero, ne</w:t>
      </w:r>
      <w:r>
        <w:rPr>
          <w:rFonts w:ascii="Times New Roman" w:eastAsia="Times New Roman" w:hAnsi="Times New Roman" w:cs="Times New Roman"/>
          <w:sz w:val="24"/>
          <w:szCs w:val="24"/>
          <w:highlight w:val="white"/>
        </w:rPr>
        <w:t>ssa sociedade. Identificaram concepções do feminino e masculino associadas à sexualidade, sensualidade, bem como uma relação intrínseca entre feminilidade e maternidade, abordando as relações de poder presentes nessas concepções (IJP, 2008). Essas relações</w:t>
      </w:r>
      <w:r>
        <w:rPr>
          <w:rFonts w:ascii="Times New Roman" w:eastAsia="Times New Roman" w:hAnsi="Times New Roman" w:cs="Times New Roman"/>
          <w:sz w:val="24"/>
          <w:szCs w:val="24"/>
          <w:highlight w:val="white"/>
        </w:rPr>
        <w:t xml:space="preserve"> de poder são exemplificadas por um estudo de caso por meio de terapia familiar feminista, em que identificaram dificuldades de um casal mexicano em ressignificar as relações de poder, após o homem se aposentar, dada a sensação de inadequação ao universo d</w:t>
      </w:r>
      <w:r>
        <w:rPr>
          <w:rFonts w:ascii="Times New Roman" w:eastAsia="Times New Roman" w:hAnsi="Times New Roman" w:cs="Times New Roman"/>
          <w:sz w:val="24"/>
          <w:szCs w:val="24"/>
          <w:highlight w:val="white"/>
        </w:rPr>
        <w:t xml:space="preserve">oméstico dessa figura masculina (IJP, 2010). </w:t>
      </w:r>
    </w:p>
    <w:p w14:paraId="767CCC5F"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década anterior, enfim, outro estudo realizado no eixo Brasil-Argentina reafirmou a visão das mulheres como figuras importantes nas mudanças sociais (IJP, 2007), destacando mudanças na família, notadamente n</w:t>
      </w:r>
      <w:r>
        <w:rPr>
          <w:rFonts w:ascii="Times New Roman" w:eastAsia="Times New Roman" w:hAnsi="Times New Roman" w:cs="Times New Roman"/>
          <w:sz w:val="24"/>
          <w:szCs w:val="24"/>
        </w:rPr>
        <w:t xml:space="preserve">as maternidades e maternagens, como se verá adiante. </w:t>
      </w:r>
    </w:p>
    <w:p w14:paraId="2CB95053" w14:textId="77777777" w:rsidR="007E74C0" w:rsidRDefault="007E74C0">
      <w:pPr>
        <w:spacing w:line="240" w:lineRule="auto"/>
        <w:jc w:val="both"/>
        <w:rPr>
          <w:rFonts w:ascii="Times New Roman" w:eastAsia="Times New Roman" w:hAnsi="Times New Roman" w:cs="Times New Roman"/>
          <w:sz w:val="24"/>
          <w:szCs w:val="24"/>
        </w:rPr>
      </w:pPr>
    </w:p>
    <w:p w14:paraId="5C4B44B6" w14:textId="77777777" w:rsidR="007E74C0" w:rsidRDefault="00EA0911">
      <w:pPr>
        <w:spacing w:line="240" w:lineRule="auto"/>
        <w:jc w:val="both"/>
        <w:rPr>
          <w:rFonts w:ascii="Times New Roman" w:eastAsia="Times New Roman" w:hAnsi="Times New Roman" w:cs="Times New Roman"/>
          <w:color w:val="1C4587"/>
          <w:sz w:val="24"/>
          <w:szCs w:val="24"/>
        </w:rPr>
      </w:pPr>
      <w:r>
        <w:rPr>
          <w:rFonts w:ascii="Times New Roman" w:eastAsia="Times New Roman" w:hAnsi="Times New Roman" w:cs="Times New Roman"/>
          <w:b/>
          <w:sz w:val="24"/>
          <w:szCs w:val="24"/>
        </w:rPr>
        <w:t xml:space="preserve">4.3.2 </w:t>
      </w:r>
      <w:r>
        <w:rPr>
          <w:rFonts w:ascii="Times New Roman" w:eastAsia="Times New Roman" w:hAnsi="Times New Roman" w:cs="Times New Roman"/>
          <w:b/>
          <w:i/>
          <w:sz w:val="24"/>
          <w:szCs w:val="24"/>
        </w:rPr>
        <w:t>Maternidades e maternagens</w:t>
      </w:r>
      <w:r>
        <w:rPr>
          <w:rFonts w:ascii="Times New Roman" w:eastAsia="Times New Roman" w:hAnsi="Times New Roman" w:cs="Times New Roman"/>
          <w:sz w:val="24"/>
          <w:szCs w:val="24"/>
        </w:rPr>
        <w:t>. Nesse subtema, há nove artigos abordaram o papel da mulher que gesta e que se torna mãe como responsável pelo desenvolvimento e a constituição de personalidade dos fil</w:t>
      </w:r>
      <w:r>
        <w:rPr>
          <w:rFonts w:ascii="Times New Roman" w:eastAsia="Times New Roman" w:hAnsi="Times New Roman" w:cs="Times New Roman"/>
          <w:sz w:val="24"/>
          <w:szCs w:val="24"/>
        </w:rPr>
        <w:t>hos, com critérios de análise sócio-econômicos-culturais (Tabela 7).</w:t>
      </w:r>
    </w:p>
    <w:p w14:paraId="4E97DBAC"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32D3425B"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7. Quadro de artigos - Subtema 2 (Tema 3)</w:t>
      </w:r>
    </w:p>
    <w:tbl>
      <w:tblPr>
        <w:tblStyle w:val="a6"/>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780"/>
        <w:gridCol w:w="2730"/>
        <w:gridCol w:w="3450"/>
        <w:gridCol w:w="1515"/>
      </w:tblGrid>
      <w:tr w:rsidR="007E74C0" w14:paraId="142411C0" w14:textId="77777777">
        <w:trPr>
          <w:trHeight w:val="460"/>
        </w:trPr>
        <w:tc>
          <w:tcPr>
            <w:tcW w:w="1335" w:type="dxa"/>
            <w:gridSpan w:val="2"/>
            <w:tcBorders>
              <w:top w:val="single" w:sz="12" w:space="0" w:color="000000"/>
              <w:bottom w:val="single" w:sz="6" w:space="0" w:color="000000"/>
            </w:tcBorders>
          </w:tcPr>
          <w:p w14:paraId="6DA573F9"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2730" w:type="dxa"/>
            <w:vMerge w:val="restart"/>
            <w:tcBorders>
              <w:top w:val="single" w:sz="12" w:space="0" w:color="000000"/>
              <w:bottom w:val="single" w:sz="8" w:space="0" w:color="000000"/>
            </w:tcBorders>
            <w:vAlign w:val="center"/>
          </w:tcPr>
          <w:p w14:paraId="7F5F0C44"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7C6693CC"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345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640E62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Conceito(s)</w:t>
            </w:r>
          </w:p>
          <w:p w14:paraId="02C964EC"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1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331588D"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171ED02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67D7BB17"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46C9BDB2"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Ano</w:t>
            </w:r>
          </w:p>
        </w:tc>
        <w:tc>
          <w:tcPr>
            <w:tcW w:w="780" w:type="dxa"/>
            <w:tcBorders>
              <w:top w:val="nil"/>
              <w:left w:val="nil"/>
              <w:bottom w:val="single" w:sz="12" w:space="0" w:color="000000"/>
              <w:right w:val="nil"/>
            </w:tcBorders>
            <w:shd w:val="clear" w:color="auto" w:fill="auto"/>
            <w:tcMar>
              <w:top w:w="100" w:type="dxa"/>
              <w:left w:w="100" w:type="dxa"/>
              <w:bottom w:w="100" w:type="dxa"/>
              <w:right w:w="100" w:type="dxa"/>
            </w:tcMar>
          </w:tcPr>
          <w:p w14:paraId="447F403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2730" w:type="dxa"/>
            <w:vMerge/>
            <w:tcBorders>
              <w:top w:val="single" w:sz="12" w:space="0" w:color="000000"/>
              <w:bottom w:val="single" w:sz="12" w:space="0" w:color="000000"/>
            </w:tcBorders>
            <w:vAlign w:val="center"/>
          </w:tcPr>
          <w:p w14:paraId="60CFF4A5" w14:textId="77777777" w:rsidR="007E74C0" w:rsidRDefault="007E74C0">
            <w:pPr>
              <w:widowControl w:val="0"/>
              <w:rPr>
                <w:rFonts w:ascii="Times New Roman" w:eastAsia="Times New Roman" w:hAnsi="Times New Roman" w:cs="Times New Roman"/>
                <w:sz w:val="20"/>
                <w:szCs w:val="20"/>
              </w:rPr>
            </w:pPr>
          </w:p>
        </w:tc>
        <w:tc>
          <w:tcPr>
            <w:tcW w:w="3450" w:type="dxa"/>
            <w:vMerge/>
            <w:tcBorders>
              <w:top w:val="single" w:sz="12" w:space="0" w:color="000000"/>
              <w:left w:val="nil"/>
              <w:bottom w:val="single" w:sz="12" w:space="0" w:color="000000"/>
            </w:tcBorders>
            <w:shd w:val="clear" w:color="auto" w:fill="auto"/>
            <w:tcMar>
              <w:top w:w="100" w:type="dxa"/>
              <w:left w:w="100" w:type="dxa"/>
              <w:bottom w:w="100" w:type="dxa"/>
              <w:right w:w="100" w:type="dxa"/>
            </w:tcMar>
            <w:vAlign w:val="center"/>
          </w:tcPr>
          <w:p w14:paraId="24E93649" w14:textId="77777777" w:rsidR="007E74C0" w:rsidRDefault="007E74C0">
            <w:pPr>
              <w:widowControl w:val="0"/>
              <w:rPr>
                <w:rFonts w:ascii="Times New Roman" w:eastAsia="Times New Roman" w:hAnsi="Times New Roman" w:cs="Times New Roman"/>
                <w:sz w:val="20"/>
                <w:szCs w:val="20"/>
              </w:rPr>
            </w:pPr>
          </w:p>
        </w:tc>
        <w:tc>
          <w:tcPr>
            <w:tcW w:w="1515" w:type="dxa"/>
            <w:vMerge/>
            <w:tcBorders>
              <w:top w:val="single" w:sz="12" w:space="0" w:color="000000"/>
              <w:left w:val="nil"/>
              <w:bottom w:val="single" w:sz="12" w:space="0" w:color="000000"/>
            </w:tcBorders>
            <w:shd w:val="clear" w:color="auto" w:fill="auto"/>
            <w:tcMar>
              <w:top w:w="100" w:type="dxa"/>
              <w:left w:w="100" w:type="dxa"/>
              <w:bottom w:w="100" w:type="dxa"/>
              <w:right w:w="100" w:type="dxa"/>
            </w:tcMar>
            <w:vAlign w:val="center"/>
          </w:tcPr>
          <w:p w14:paraId="21D447EB" w14:textId="77777777" w:rsidR="007E74C0" w:rsidRDefault="007E74C0">
            <w:pPr>
              <w:widowControl w:val="0"/>
              <w:rPr>
                <w:rFonts w:ascii="Times New Roman" w:eastAsia="Times New Roman" w:hAnsi="Times New Roman" w:cs="Times New Roman"/>
                <w:sz w:val="20"/>
                <w:szCs w:val="20"/>
              </w:rPr>
            </w:pPr>
          </w:p>
        </w:tc>
      </w:tr>
      <w:tr w:rsidR="007E74C0" w14:paraId="210DA541" w14:textId="77777777">
        <w:trPr>
          <w:trHeight w:val="198"/>
        </w:trPr>
        <w:tc>
          <w:tcPr>
            <w:tcW w:w="555" w:type="dxa"/>
            <w:tcBorders>
              <w:top w:val="single" w:sz="12" w:space="0" w:color="000000"/>
              <w:left w:val="nil"/>
              <w:bottom w:val="nil"/>
              <w:right w:val="nil"/>
            </w:tcBorders>
            <w:tcMar>
              <w:top w:w="40" w:type="dxa"/>
              <w:left w:w="40" w:type="dxa"/>
              <w:bottom w:w="40" w:type="dxa"/>
              <w:right w:w="40" w:type="dxa"/>
            </w:tcMar>
            <w:vAlign w:val="center"/>
          </w:tcPr>
          <w:p w14:paraId="5A314E73"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1976</w:t>
            </w:r>
          </w:p>
        </w:tc>
        <w:tc>
          <w:tcPr>
            <w:tcW w:w="780" w:type="dxa"/>
            <w:tcBorders>
              <w:top w:val="single" w:sz="12" w:space="0" w:color="000000"/>
              <w:left w:val="nil"/>
              <w:bottom w:val="nil"/>
              <w:right w:val="nil"/>
            </w:tcBorders>
            <w:tcMar>
              <w:top w:w="40" w:type="dxa"/>
              <w:left w:w="40" w:type="dxa"/>
              <w:bottom w:w="40" w:type="dxa"/>
              <w:right w:w="40" w:type="dxa"/>
            </w:tcMar>
            <w:vAlign w:val="center"/>
          </w:tcPr>
          <w:p w14:paraId="309B7D9A"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(1,2)</w:t>
            </w:r>
          </w:p>
        </w:tc>
        <w:tc>
          <w:tcPr>
            <w:tcW w:w="2730" w:type="dxa"/>
            <w:tcBorders>
              <w:top w:val="single" w:sz="12" w:space="0" w:color="000000"/>
              <w:left w:val="nil"/>
              <w:bottom w:val="nil"/>
              <w:right w:val="nil"/>
            </w:tcBorders>
            <w:tcMar>
              <w:top w:w="40" w:type="dxa"/>
              <w:left w:w="40" w:type="dxa"/>
              <w:bottom w:w="40" w:type="dxa"/>
              <w:right w:w="40" w:type="dxa"/>
            </w:tcMar>
            <w:vAlign w:val="center"/>
          </w:tcPr>
          <w:p w14:paraId="582E3F0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Santos e Garcia</w:t>
            </w:r>
          </w:p>
        </w:tc>
        <w:tc>
          <w:tcPr>
            <w:tcW w:w="3450" w:type="dxa"/>
            <w:tcBorders>
              <w:top w:val="single" w:sz="12" w:space="0" w:color="000000"/>
              <w:left w:val="nil"/>
              <w:bottom w:val="nil"/>
              <w:right w:val="nil"/>
            </w:tcBorders>
            <w:tcMar>
              <w:top w:w="40" w:type="dxa"/>
              <w:left w:w="40" w:type="dxa"/>
              <w:bottom w:w="40" w:type="dxa"/>
              <w:right w:w="40" w:type="dxa"/>
            </w:tcMar>
            <w:vAlign w:val="center"/>
          </w:tcPr>
          <w:p w14:paraId="0134F7B1"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(atitudes, diferenças)</w:t>
            </w:r>
          </w:p>
        </w:tc>
        <w:tc>
          <w:tcPr>
            <w:tcW w:w="1515" w:type="dxa"/>
            <w:tcBorders>
              <w:top w:val="single" w:sz="12" w:space="0" w:color="000000"/>
              <w:left w:val="nil"/>
              <w:bottom w:val="nil"/>
              <w:right w:val="nil"/>
            </w:tcBorders>
            <w:tcMar>
              <w:top w:w="40" w:type="dxa"/>
              <w:left w:w="40" w:type="dxa"/>
              <w:bottom w:w="40" w:type="dxa"/>
              <w:right w:w="40" w:type="dxa"/>
            </w:tcMar>
            <w:vAlign w:val="center"/>
          </w:tcPr>
          <w:p w14:paraId="680EF659"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309AD6E0"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2389634A"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1989</w:t>
            </w:r>
          </w:p>
        </w:tc>
        <w:tc>
          <w:tcPr>
            <w:tcW w:w="780" w:type="dxa"/>
            <w:tcBorders>
              <w:top w:val="nil"/>
              <w:left w:val="nil"/>
              <w:bottom w:val="nil"/>
              <w:right w:val="nil"/>
            </w:tcBorders>
            <w:shd w:val="clear" w:color="auto" w:fill="BFBFBF"/>
            <w:tcMar>
              <w:top w:w="40" w:type="dxa"/>
              <w:left w:w="40" w:type="dxa"/>
              <w:bottom w:w="40" w:type="dxa"/>
              <w:right w:w="40" w:type="dxa"/>
            </w:tcMar>
            <w:vAlign w:val="center"/>
          </w:tcPr>
          <w:p w14:paraId="68B2DBF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23(1,2)</w:t>
            </w: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30AD2A2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Irizarry e Pacheco</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7E38214A"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(desenvolvimento, gerações)</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4A621A61"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68DA9333"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3F322ED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780" w:type="dxa"/>
            <w:tcBorders>
              <w:top w:val="nil"/>
              <w:left w:val="nil"/>
              <w:bottom w:val="nil"/>
              <w:right w:val="nil"/>
            </w:tcBorders>
            <w:tcMar>
              <w:top w:w="40" w:type="dxa"/>
              <w:left w:w="40" w:type="dxa"/>
              <w:bottom w:w="40" w:type="dxa"/>
              <w:right w:w="40" w:type="dxa"/>
            </w:tcMar>
            <w:vAlign w:val="center"/>
          </w:tcPr>
          <w:p w14:paraId="033B8AF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(1)</w:t>
            </w:r>
          </w:p>
        </w:tc>
        <w:tc>
          <w:tcPr>
            <w:tcW w:w="2730" w:type="dxa"/>
            <w:tcBorders>
              <w:top w:val="nil"/>
              <w:left w:val="nil"/>
              <w:bottom w:val="nil"/>
              <w:right w:val="nil"/>
            </w:tcBorders>
            <w:tcMar>
              <w:top w:w="40" w:type="dxa"/>
              <w:left w:w="40" w:type="dxa"/>
              <w:bottom w:w="40" w:type="dxa"/>
              <w:right w:w="40" w:type="dxa"/>
            </w:tcMar>
            <w:vAlign w:val="center"/>
          </w:tcPr>
          <w:p w14:paraId="1E4E89DC"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Pascual, Schulthess, Galperin e Bomstein</w:t>
            </w:r>
          </w:p>
        </w:tc>
        <w:tc>
          <w:tcPr>
            <w:tcW w:w="3450" w:type="dxa"/>
            <w:tcBorders>
              <w:top w:val="nil"/>
              <w:left w:val="nil"/>
              <w:bottom w:val="nil"/>
              <w:right w:val="nil"/>
            </w:tcBorders>
            <w:tcMar>
              <w:top w:w="40" w:type="dxa"/>
              <w:left w:w="40" w:type="dxa"/>
              <w:bottom w:w="40" w:type="dxa"/>
              <w:right w:w="40" w:type="dxa"/>
            </w:tcMar>
            <w:vAlign w:val="center"/>
          </w:tcPr>
          <w:p w14:paraId="460B80E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(parentalidade)</w:t>
            </w:r>
          </w:p>
        </w:tc>
        <w:tc>
          <w:tcPr>
            <w:tcW w:w="1515" w:type="dxa"/>
            <w:tcBorders>
              <w:top w:val="nil"/>
              <w:left w:val="nil"/>
              <w:bottom w:val="nil"/>
              <w:right w:val="nil"/>
            </w:tcBorders>
            <w:tcMar>
              <w:top w:w="40" w:type="dxa"/>
              <w:left w:w="40" w:type="dxa"/>
              <w:bottom w:w="40" w:type="dxa"/>
              <w:right w:w="40" w:type="dxa"/>
            </w:tcMar>
            <w:vAlign w:val="center"/>
          </w:tcPr>
          <w:p w14:paraId="425C454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r w:rsidR="007E74C0" w14:paraId="032A5F7E" w14:textId="77777777">
        <w:trPr>
          <w:trHeight w:val="280"/>
        </w:trPr>
        <w:tc>
          <w:tcPr>
            <w:tcW w:w="555"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244E06A3"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780"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60615F6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1295B123"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Clark, Su, Kaciroti</w:t>
            </w:r>
            <w:r>
              <w:rPr>
                <w:rFonts w:ascii="Times New Roman" w:eastAsia="Times New Roman" w:hAnsi="Times New Roman" w:cs="Times New Roman"/>
                <w:sz w:val="20"/>
                <w:szCs w:val="20"/>
              </w:rPr>
              <w:t>, Castillo, Millan, Rule e Lozoff</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13B94078" w14:textId="77777777" w:rsidR="007E74C0" w:rsidRDefault="00EA0911">
            <w:pPr>
              <w:widowControl w:val="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Maternidade (depressão)</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44EAEA4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r w:rsidR="007E74C0" w14:paraId="22D15952"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0B9E1302" w14:textId="77777777" w:rsidR="007E74C0" w:rsidRDefault="007E74C0">
            <w:pPr>
              <w:widowControl w:val="0"/>
              <w:spacing w:line="240" w:lineRule="auto"/>
              <w:rPr>
                <w:rFonts w:ascii="Times New Roman" w:eastAsia="Times New Roman" w:hAnsi="Times New Roman" w:cs="Times New Roman"/>
                <w:sz w:val="20"/>
                <w:szCs w:val="20"/>
              </w:rPr>
            </w:pPr>
          </w:p>
        </w:tc>
        <w:tc>
          <w:tcPr>
            <w:tcW w:w="780" w:type="dxa"/>
            <w:vMerge/>
            <w:tcBorders>
              <w:top w:val="nil"/>
              <w:left w:val="nil"/>
              <w:bottom w:val="nil"/>
              <w:right w:val="nil"/>
            </w:tcBorders>
            <w:shd w:val="clear" w:color="auto" w:fill="BFBFBF"/>
            <w:tcMar>
              <w:top w:w="40" w:type="dxa"/>
              <w:left w:w="40" w:type="dxa"/>
              <w:bottom w:w="40" w:type="dxa"/>
              <w:right w:w="40" w:type="dxa"/>
            </w:tcMar>
            <w:vAlign w:val="center"/>
          </w:tcPr>
          <w:p w14:paraId="4A4BE9FA"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5D5BF9C5"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Wendland,  Maggi e Wolff</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2C89E2F1"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(influência cultural)</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40D4125D"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22821E7C"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545C68F8" w14:textId="77777777" w:rsidR="007E74C0" w:rsidRDefault="007E74C0">
            <w:pPr>
              <w:widowControl w:val="0"/>
              <w:spacing w:line="240" w:lineRule="auto"/>
              <w:rPr>
                <w:rFonts w:ascii="Times New Roman" w:eastAsia="Times New Roman" w:hAnsi="Times New Roman" w:cs="Times New Roman"/>
                <w:sz w:val="20"/>
                <w:szCs w:val="20"/>
              </w:rPr>
            </w:pPr>
          </w:p>
        </w:tc>
        <w:tc>
          <w:tcPr>
            <w:tcW w:w="780" w:type="dxa"/>
            <w:vMerge/>
            <w:tcBorders>
              <w:top w:val="nil"/>
              <w:left w:val="nil"/>
              <w:bottom w:val="nil"/>
              <w:right w:val="nil"/>
            </w:tcBorders>
            <w:shd w:val="clear" w:color="auto" w:fill="BFBFBF"/>
            <w:tcMar>
              <w:top w:w="40" w:type="dxa"/>
              <w:left w:w="40" w:type="dxa"/>
              <w:bottom w:w="40" w:type="dxa"/>
              <w:right w:w="40" w:type="dxa"/>
            </w:tcMar>
            <w:vAlign w:val="center"/>
          </w:tcPr>
          <w:p w14:paraId="7833C530"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7520AD2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Moreira e Nardi</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019EE45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(trabalho)</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47ABBD1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ECA7C20"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74D8350A" w14:textId="77777777" w:rsidR="007E74C0" w:rsidRDefault="007E74C0">
            <w:pPr>
              <w:widowControl w:val="0"/>
              <w:spacing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BFBFBF"/>
            <w:tcMar>
              <w:top w:w="40" w:type="dxa"/>
              <w:left w:w="40" w:type="dxa"/>
              <w:bottom w:w="40" w:type="dxa"/>
              <w:right w:w="40" w:type="dxa"/>
            </w:tcMar>
            <w:vAlign w:val="center"/>
          </w:tcPr>
          <w:p w14:paraId="2577B11A"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44(3)</w:t>
            </w: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7BD1FEA5"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Bolsoni-Silva e Marturano</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4222F5BB"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(comportamento)</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5239CF1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5B9F0D89"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09089824"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780" w:type="dxa"/>
            <w:tcBorders>
              <w:top w:val="nil"/>
              <w:left w:val="nil"/>
              <w:bottom w:val="nil"/>
              <w:right w:val="nil"/>
            </w:tcBorders>
            <w:tcMar>
              <w:top w:w="40" w:type="dxa"/>
              <w:left w:w="40" w:type="dxa"/>
              <w:bottom w:w="40" w:type="dxa"/>
              <w:right w:w="40" w:type="dxa"/>
            </w:tcMar>
            <w:vAlign w:val="center"/>
          </w:tcPr>
          <w:p w14:paraId="29C15F9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w:t>
            </w:r>
          </w:p>
        </w:tc>
        <w:tc>
          <w:tcPr>
            <w:tcW w:w="2730" w:type="dxa"/>
            <w:tcBorders>
              <w:top w:val="nil"/>
              <w:left w:val="nil"/>
              <w:bottom w:val="nil"/>
              <w:right w:val="nil"/>
            </w:tcBorders>
            <w:tcMar>
              <w:top w:w="40" w:type="dxa"/>
              <w:left w:w="40" w:type="dxa"/>
              <w:bottom w:w="40" w:type="dxa"/>
              <w:right w:w="40" w:type="dxa"/>
            </w:tcMar>
            <w:vAlign w:val="center"/>
          </w:tcPr>
          <w:p w14:paraId="7A7DEF43"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Barragán, Romero, Campos e Espinoza-Romo</w:t>
            </w:r>
          </w:p>
        </w:tc>
        <w:tc>
          <w:tcPr>
            <w:tcW w:w="3450" w:type="dxa"/>
            <w:tcBorders>
              <w:top w:val="nil"/>
              <w:left w:val="nil"/>
              <w:bottom w:val="nil"/>
              <w:right w:val="nil"/>
            </w:tcBorders>
            <w:tcMar>
              <w:top w:w="40" w:type="dxa"/>
              <w:left w:w="40" w:type="dxa"/>
              <w:bottom w:w="40" w:type="dxa"/>
              <w:right w:w="40" w:type="dxa"/>
            </w:tcMar>
            <w:vAlign w:val="center"/>
          </w:tcPr>
          <w:p w14:paraId="4C50C664"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Parentalidade (estereótipo, gravidez adolescente)</w:t>
            </w:r>
          </w:p>
        </w:tc>
        <w:tc>
          <w:tcPr>
            <w:tcW w:w="1515" w:type="dxa"/>
            <w:tcBorders>
              <w:top w:val="nil"/>
              <w:left w:val="nil"/>
              <w:bottom w:val="nil"/>
              <w:right w:val="nil"/>
            </w:tcBorders>
            <w:tcMar>
              <w:top w:w="40" w:type="dxa"/>
              <w:left w:w="40" w:type="dxa"/>
              <w:bottom w:w="40" w:type="dxa"/>
              <w:right w:w="40" w:type="dxa"/>
            </w:tcMar>
            <w:vAlign w:val="center"/>
          </w:tcPr>
          <w:p w14:paraId="51D7B74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1E6DA4EC" w14:textId="77777777">
        <w:trPr>
          <w:trHeight w:val="239"/>
        </w:trPr>
        <w:tc>
          <w:tcPr>
            <w:tcW w:w="555"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7FD72C70"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78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7CD0C590"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273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70380F55"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Brito</w:t>
            </w:r>
          </w:p>
        </w:tc>
        <w:tc>
          <w:tcPr>
            <w:tcW w:w="345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31B130FB"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(infertilidade e gênero)</w:t>
            </w:r>
          </w:p>
        </w:tc>
        <w:tc>
          <w:tcPr>
            <w:tcW w:w="1515"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75B0E5D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EUA, México</w:t>
            </w:r>
          </w:p>
        </w:tc>
      </w:tr>
    </w:tbl>
    <w:p w14:paraId="6F5CC07B"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54512B37"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Maternidade e papel materno são conceitos marcados por mudanças sociais, políticas, culturais e econômicas agregadas ao protagonismo feminino na luta por direitos e alterações na estrutura familiar (Badinter, 1985; Correia, 1998; Moura &amp; Araújo, 2004; Rese</w:t>
      </w:r>
      <w:r>
        <w:rPr>
          <w:rFonts w:ascii="Times New Roman" w:eastAsia="Times New Roman" w:hAnsi="Times New Roman" w:cs="Times New Roman"/>
          <w:sz w:val="24"/>
          <w:szCs w:val="24"/>
        </w:rPr>
        <w:t>nde, 2017). A maternidade para a sociedade do final do século XVIII, era considerada como desejo natural da mulher em ser mãe, aquela que gerava, à ela cabia o papel materno e as práticas de maternagem, que correspondem aos investimentos psíquico e cuidado</w:t>
      </w:r>
      <w:r>
        <w:rPr>
          <w:rFonts w:ascii="Times New Roman" w:eastAsia="Times New Roman" w:hAnsi="Times New Roman" w:cs="Times New Roman"/>
          <w:sz w:val="24"/>
          <w:szCs w:val="24"/>
        </w:rPr>
        <w:t>s necessários para o desenvolvimento dos filhos (Moura &amp; Araújo, 2004; Stellin, Monteiro, Albuquerque &amp; Marques, 2011). Existia uma imagem da mãe ideal e docilizada, ratificada por profissionais da área da saúde (dentre eles da Psicologia), pelo Estado e p</w:t>
      </w:r>
      <w:r>
        <w:rPr>
          <w:rFonts w:ascii="Times New Roman" w:eastAsia="Times New Roman" w:hAnsi="Times New Roman" w:cs="Times New Roman"/>
          <w:sz w:val="24"/>
          <w:szCs w:val="24"/>
        </w:rPr>
        <w:t xml:space="preserve">ela sociedade (Badinter, 1985). </w:t>
      </w:r>
    </w:p>
    <w:p w14:paraId="48F3B2A0"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Notamos n</w:t>
      </w:r>
      <w:r>
        <w:rPr>
          <w:rFonts w:ascii="Times New Roman" w:eastAsia="Times New Roman" w:hAnsi="Times New Roman" w:cs="Times New Roman"/>
          <w:sz w:val="24"/>
          <w:szCs w:val="24"/>
        </w:rPr>
        <w:t>esse subtema</w:t>
      </w:r>
      <w:r>
        <w:rPr>
          <w:rFonts w:ascii="Times New Roman" w:eastAsia="Times New Roman" w:hAnsi="Times New Roman" w:cs="Times New Roman"/>
          <w:sz w:val="24"/>
          <w:szCs w:val="24"/>
          <w:highlight w:val="white"/>
        </w:rPr>
        <w:t>, como no anterior, que se fala de famílias majoritariamente como pertencentes às representações cisheteronormativas, sendo privilegiado o estudo sobre</w:t>
      </w:r>
      <w:r>
        <w:rPr>
          <w:rFonts w:ascii="Times New Roman" w:eastAsia="Times New Roman" w:hAnsi="Times New Roman" w:cs="Times New Roman"/>
          <w:sz w:val="24"/>
          <w:szCs w:val="24"/>
        </w:rPr>
        <w:t xml:space="preserve"> a relação entre o exercício da maternidade e o imp</w:t>
      </w:r>
      <w:r>
        <w:rPr>
          <w:rFonts w:ascii="Times New Roman" w:eastAsia="Times New Roman" w:hAnsi="Times New Roman" w:cs="Times New Roman"/>
          <w:sz w:val="24"/>
          <w:szCs w:val="24"/>
        </w:rPr>
        <w:t xml:space="preserve">acto no desenvolvimento dos filhos. </w:t>
      </w:r>
      <w:r>
        <w:rPr>
          <w:rFonts w:ascii="Times New Roman" w:eastAsia="Times New Roman" w:hAnsi="Times New Roman" w:cs="Times New Roman"/>
          <w:sz w:val="24"/>
          <w:szCs w:val="24"/>
          <w:highlight w:val="white"/>
        </w:rPr>
        <w:t>Por exemplo, em estudo nos anos 1990 na Argentina, foram analisadas as dimensões social, didática e disciplinar da percepção de mães em relação aos cuidados com os filhos, com os quais elas se percebem afetuosas, e em re</w:t>
      </w:r>
      <w:r>
        <w:rPr>
          <w:rFonts w:ascii="Times New Roman" w:eastAsia="Times New Roman" w:hAnsi="Times New Roman" w:cs="Times New Roman"/>
          <w:sz w:val="24"/>
          <w:szCs w:val="24"/>
          <w:highlight w:val="white"/>
        </w:rPr>
        <w:t xml:space="preserve">lação aos maridos, sendo estes na região urbana mais vistos como afetuosos se comparados à sua percepção na região rural (IJP, 1995). </w:t>
      </w:r>
    </w:p>
    <w:p w14:paraId="48186F34"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Na década seguinte, pesquisadores chilenos concluíram que mães deprimidas seriam mais críticas aos filhos, impactando seu</w:t>
      </w:r>
      <w:r>
        <w:rPr>
          <w:rFonts w:ascii="Times New Roman" w:eastAsia="Times New Roman" w:hAnsi="Times New Roman" w:cs="Times New Roman"/>
          <w:sz w:val="24"/>
          <w:szCs w:val="24"/>
        </w:rPr>
        <w:t xml:space="preserve"> desenvolvimento, sobretudo na primeira infância, no mesmo ano em que houve três artigos sobre as relações maternas no Brasil (IJP, 2010)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Dentre eles, destacamos um sobre </w:t>
      </w:r>
      <w:r>
        <w:rPr>
          <w:rFonts w:ascii="Times New Roman" w:eastAsia="Times New Roman" w:hAnsi="Times New Roman" w:cs="Times New Roman"/>
          <w:sz w:val="24"/>
          <w:szCs w:val="24"/>
          <w:highlight w:val="white"/>
        </w:rPr>
        <w:t>a relação de trabalho e maternidade no processo de subjetivação de mulheres em difer</w:t>
      </w:r>
      <w:r>
        <w:rPr>
          <w:rFonts w:ascii="Times New Roman" w:eastAsia="Times New Roman" w:hAnsi="Times New Roman" w:cs="Times New Roman"/>
          <w:sz w:val="24"/>
          <w:szCs w:val="24"/>
          <w:highlight w:val="white"/>
        </w:rPr>
        <w:t>entes contextos, no que foi dada a importância a se transpor a discussão da responsabilidade do cuidado do filho como exclusivo e natural das mulheres para o debate de paternidade e trabalho, pois caberia principalmente aos pais compartilhar a responsabili</w:t>
      </w:r>
      <w:r>
        <w:rPr>
          <w:rFonts w:ascii="Times New Roman" w:eastAsia="Times New Roman" w:hAnsi="Times New Roman" w:cs="Times New Roman"/>
          <w:sz w:val="24"/>
          <w:szCs w:val="24"/>
          <w:highlight w:val="white"/>
        </w:rPr>
        <w:t xml:space="preserve">dade com os filhos, e não às outras mulheres da rede de apoio familiar.  </w:t>
      </w:r>
    </w:p>
    <w:p w14:paraId="6C6EF7E1" w14:textId="77777777" w:rsidR="007E74C0" w:rsidRDefault="00EA0911">
      <w:pPr>
        <w:spacing w:line="240" w:lineRule="auto"/>
        <w:ind w:firstLine="720"/>
        <w:jc w:val="both"/>
        <w:rPr>
          <w:rFonts w:ascii="Times New Roman" w:eastAsia="Times New Roman" w:hAnsi="Times New Roman" w:cs="Times New Roman"/>
          <w:sz w:val="24"/>
          <w:szCs w:val="24"/>
        </w:rPr>
      </w:pPr>
      <w:bookmarkStart w:id="3" w:name="_gjdgxs" w:colFirst="0" w:colLast="0"/>
      <w:bookmarkEnd w:id="3"/>
      <w:r>
        <w:rPr>
          <w:rFonts w:ascii="Times New Roman" w:eastAsia="Times New Roman" w:hAnsi="Times New Roman" w:cs="Times New Roman"/>
          <w:sz w:val="24"/>
          <w:szCs w:val="24"/>
          <w:highlight w:val="white"/>
        </w:rPr>
        <w:t>A linha de pensamento dos artigos deste subtema revelou-se semelhante, sendo avaliadas estratégias de regulação do comportamento infantil/desenvolvimento infantil, partindo-se da int</w:t>
      </w:r>
      <w:r>
        <w:rPr>
          <w:rFonts w:ascii="Times New Roman" w:eastAsia="Times New Roman" w:hAnsi="Times New Roman" w:cs="Times New Roman"/>
          <w:sz w:val="24"/>
          <w:szCs w:val="24"/>
          <w:highlight w:val="white"/>
        </w:rPr>
        <w:t>eração mãe-filho, por vezes avaliando ainda a percepção das mães acerca do papel dos pais, visibilizando a sua pre</w:t>
      </w:r>
      <w:r>
        <w:rPr>
          <w:rFonts w:ascii="Times New Roman" w:eastAsia="Times New Roman" w:hAnsi="Times New Roman" w:cs="Times New Roman"/>
          <w:sz w:val="24"/>
          <w:szCs w:val="24"/>
        </w:rPr>
        <w:t>sença no cuidado com os filhos. A importância dos fatores culturais nessas relações familiares foi marcada desde os anos 1970 (IJP, 1976), sen</w:t>
      </w:r>
      <w:r>
        <w:rPr>
          <w:rFonts w:ascii="Times New Roman" w:eastAsia="Times New Roman" w:hAnsi="Times New Roman" w:cs="Times New Roman"/>
          <w:sz w:val="24"/>
          <w:szCs w:val="24"/>
        </w:rPr>
        <w:t xml:space="preserve">do que nos anos 1980 o impacto de diferenças geracionais nos cuidados dos filhos é ressaltado por um artigo com participantes de Porto Rico (IJP, 1989), indicando mudanças na percepção do </w:t>
      </w:r>
      <w:r>
        <w:rPr>
          <w:rFonts w:ascii="Times New Roman" w:eastAsia="Times New Roman" w:hAnsi="Times New Roman" w:cs="Times New Roman"/>
          <w:sz w:val="24"/>
          <w:szCs w:val="24"/>
        </w:rPr>
        <w:lastRenderedPageBreak/>
        <w:t>exercício da maternidade e do que seria o melhor para o desenvolvime</w:t>
      </w:r>
      <w:r>
        <w:rPr>
          <w:rFonts w:ascii="Times New Roman" w:eastAsia="Times New Roman" w:hAnsi="Times New Roman" w:cs="Times New Roman"/>
          <w:sz w:val="24"/>
          <w:szCs w:val="24"/>
        </w:rPr>
        <w:t>nto dos filhos, mesmo com a influência de fatores culturais e tradicionais no exercício das relações parentais.</w:t>
      </w:r>
    </w:p>
    <w:p w14:paraId="78285258"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fim da década passada, emerge a questão da (não) reprodução dos corpos de mulheres mexicanas nos EUA, com histórico de infertilidade, em cujos discursos havia uma cobrança social por engravidar e receio da não-plenitude do ser mulher, mesmo com apoio do</w:t>
      </w:r>
      <w:r>
        <w:rPr>
          <w:rFonts w:ascii="Times New Roman" w:eastAsia="Times New Roman" w:hAnsi="Times New Roman" w:cs="Times New Roman"/>
          <w:sz w:val="24"/>
          <w:szCs w:val="24"/>
          <w:highlight w:val="white"/>
        </w:rPr>
        <w:t>s companheiros/maridos, caso não engravidassem (IJP, 2018). Questionamos, nesse ínterim, o fato de que certos estudos marcam o familismo e o marianismo como centrais para as culturas latino-americanas (na presente revisão, para as sociedades mexicana e bra</w:t>
      </w:r>
      <w:r>
        <w:rPr>
          <w:rFonts w:ascii="Times New Roman" w:eastAsia="Times New Roman" w:hAnsi="Times New Roman" w:cs="Times New Roman"/>
          <w:sz w:val="24"/>
          <w:szCs w:val="24"/>
          <w:highlight w:val="white"/>
        </w:rPr>
        <w:t>sileira), o que pode, por vezes, apagar as diversidades culturais dessas mesmas sociedades.</w:t>
      </w:r>
    </w:p>
    <w:p w14:paraId="3DEBF17B" w14:textId="77777777" w:rsidR="007E74C0" w:rsidRDefault="007E74C0">
      <w:pPr>
        <w:spacing w:line="240" w:lineRule="auto"/>
        <w:jc w:val="both"/>
        <w:rPr>
          <w:rFonts w:ascii="Times New Roman" w:eastAsia="Times New Roman" w:hAnsi="Times New Roman" w:cs="Times New Roman"/>
          <w:color w:val="1C4587"/>
          <w:sz w:val="24"/>
          <w:szCs w:val="24"/>
        </w:rPr>
      </w:pPr>
    </w:p>
    <w:p w14:paraId="1F9BCABC"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 xml:space="preserve">4.3.3 </w:t>
      </w:r>
      <w:r>
        <w:rPr>
          <w:rFonts w:ascii="Times New Roman" w:eastAsia="Times New Roman" w:hAnsi="Times New Roman" w:cs="Times New Roman"/>
          <w:b/>
          <w:i/>
          <w:sz w:val="24"/>
          <w:szCs w:val="24"/>
          <w:highlight w:val="white"/>
        </w:rPr>
        <w:t>Violências e famílias</w:t>
      </w:r>
      <w:r>
        <w:rPr>
          <w:rFonts w:ascii="Times New Roman" w:eastAsia="Times New Roman" w:hAnsi="Times New Roman" w:cs="Times New Roman"/>
          <w:sz w:val="24"/>
          <w:szCs w:val="24"/>
        </w:rPr>
        <w:t>. Os quatro artigos desse subtema estudaram efeitos das lutas das mulheres no padrão de família patriarcal e nos usos dos corpos que, ap</w:t>
      </w:r>
      <w:r>
        <w:rPr>
          <w:rFonts w:ascii="Times New Roman" w:eastAsia="Times New Roman" w:hAnsi="Times New Roman" w:cs="Times New Roman"/>
          <w:sz w:val="24"/>
          <w:szCs w:val="24"/>
        </w:rPr>
        <w:t>esar das conquistas, continuam assujeitados historicamente a diferentes violências, tal como a</w:t>
      </w:r>
      <w:r>
        <w:rPr>
          <w:rFonts w:ascii="Times New Roman" w:eastAsia="Times New Roman" w:hAnsi="Times New Roman" w:cs="Times New Roman"/>
          <w:sz w:val="24"/>
          <w:szCs w:val="24"/>
          <w:highlight w:val="white"/>
        </w:rPr>
        <w:t xml:space="preserve"> física, psicológica e sexual, aqui abordadas sob diferentes perspectivas no espaço institucional família.</w:t>
      </w:r>
    </w:p>
    <w:p w14:paraId="36BD59FA" w14:textId="77777777" w:rsidR="007E74C0" w:rsidRDefault="00EA0911">
      <w:pPr>
        <w:spacing w:line="240" w:lineRule="auto"/>
        <w:ind w:firstLine="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Para este estudo, violência doméstica e familiar compre</w:t>
      </w:r>
      <w:r>
        <w:rPr>
          <w:rFonts w:ascii="Times New Roman" w:eastAsia="Times New Roman" w:hAnsi="Times New Roman" w:cs="Times New Roman"/>
          <w:sz w:val="24"/>
          <w:szCs w:val="24"/>
          <w:highlight w:val="white"/>
        </w:rPr>
        <w:t xml:space="preserve">ende violência de gênero,  por ação ou conduta, em espaço doméstico ou não, advindo de relação interpessoal, podendo ou não ocorrer de parceiros íntimos (CIDH, 1994). Para os fins desta revisão, por vezes, iremos considerar violência doméstica e violência </w:t>
      </w:r>
      <w:r>
        <w:rPr>
          <w:rFonts w:ascii="Times New Roman" w:eastAsia="Times New Roman" w:hAnsi="Times New Roman" w:cs="Times New Roman"/>
          <w:sz w:val="24"/>
          <w:szCs w:val="24"/>
          <w:highlight w:val="white"/>
        </w:rPr>
        <w:t>entre parceiros íntimos equivalentes (Tabela 8)</w:t>
      </w:r>
      <w:r>
        <w:rPr>
          <w:rFonts w:ascii="Times New Roman" w:eastAsia="Times New Roman" w:hAnsi="Times New Roman" w:cs="Times New Roman"/>
          <w:i/>
          <w:sz w:val="24"/>
          <w:szCs w:val="24"/>
          <w:highlight w:val="white"/>
        </w:rPr>
        <w:t>.</w:t>
      </w:r>
    </w:p>
    <w:p w14:paraId="193190D5" w14:textId="77777777" w:rsidR="007E74C0" w:rsidRDefault="007E74C0">
      <w:pPr>
        <w:spacing w:line="240" w:lineRule="auto"/>
        <w:jc w:val="both"/>
        <w:rPr>
          <w:rFonts w:ascii="Times New Roman" w:eastAsia="Times New Roman" w:hAnsi="Times New Roman" w:cs="Times New Roman"/>
          <w:sz w:val="24"/>
          <w:szCs w:val="24"/>
        </w:rPr>
      </w:pPr>
    </w:p>
    <w:p w14:paraId="1D8DFA05" w14:textId="77777777" w:rsidR="007E74C0" w:rsidRDefault="00EA0911">
      <w:pPr>
        <w:spacing w:line="240" w:lineRule="auto"/>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8. Quadro de artigos - Subtema 3 (Tema 3)</w:t>
      </w:r>
    </w:p>
    <w:tbl>
      <w:tblPr>
        <w:tblStyle w:val="a7"/>
        <w:tblW w:w="90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3135"/>
        <w:gridCol w:w="2910"/>
        <w:gridCol w:w="1800"/>
      </w:tblGrid>
      <w:tr w:rsidR="007E74C0" w14:paraId="09AC5B67" w14:textId="77777777">
        <w:trPr>
          <w:trHeight w:val="460"/>
        </w:trPr>
        <w:tc>
          <w:tcPr>
            <w:tcW w:w="1215" w:type="dxa"/>
            <w:gridSpan w:val="2"/>
            <w:tcBorders>
              <w:top w:val="single" w:sz="12" w:space="0" w:color="000000"/>
              <w:bottom w:val="single" w:sz="6" w:space="0" w:color="000000"/>
            </w:tcBorders>
          </w:tcPr>
          <w:p w14:paraId="6ABD65F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135" w:type="dxa"/>
            <w:vMerge w:val="restart"/>
            <w:tcBorders>
              <w:top w:val="single" w:sz="12" w:space="0" w:color="000000"/>
              <w:bottom w:val="single" w:sz="8" w:space="0" w:color="000000"/>
            </w:tcBorders>
            <w:vAlign w:val="center"/>
          </w:tcPr>
          <w:p w14:paraId="7EFD6787"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5A79AC17"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91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8CBC68D"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Conceito(s)</w:t>
            </w:r>
          </w:p>
          <w:p w14:paraId="0C8CBAAF"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80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DE28C8A"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4736501E"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24863736"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343B435A"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6093B1B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135" w:type="dxa"/>
            <w:vMerge/>
            <w:tcBorders>
              <w:top w:val="single" w:sz="12" w:space="0" w:color="000000"/>
              <w:bottom w:val="single" w:sz="12" w:space="0" w:color="000000"/>
            </w:tcBorders>
            <w:vAlign w:val="center"/>
          </w:tcPr>
          <w:p w14:paraId="1D162B34" w14:textId="77777777" w:rsidR="007E74C0" w:rsidRDefault="007E74C0">
            <w:pPr>
              <w:widowControl w:val="0"/>
              <w:rPr>
                <w:rFonts w:ascii="Times New Roman" w:eastAsia="Times New Roman" w:hAnsi="Times New Roman" w:cs="Times New Roman"/>
                <w:sz w:val="20"/>
                <w:szCs w:val="20"/>
              </w:rPr>
            </w:pPr>
          </w:p>
        </w:tc>
        <w:tc>
          <w:tcPr>
            <w:tcW w:w="2910" w:type="dxa"/>
            <w:vMerge/>
            <w:tcBorders>
              <w:top w:val="single" w:sz="12" w:space="0" w:color="000000"/>
              <w:left w:val="nil"/>
              <w:bottom w:val="single" w:sz="12" w:space="0" w:color="000000"/>
            </w:tcBorders>
            <w:shd w:val="clear" w:color="auto" w:fill="auto"/>
            <w:tcMar>
              <w:top w:w="100" w:type="dxa"/>
              <w:left w:w="100" w:type="dxa"/>
              <w:bottom w:w="100" w:type="dxa"/>
              <w:right w:w="100" w:type="dxa"/>
            </w:tcMar>
            <w:vAlign w:val="center"/>
          </w:tcPr>
          <w:p w14:paraId="76841C50" w14:textId="77777777" w:rsidR="007E74C0" w:rsidRDefault="007E74C0">
            <w:pPr>
              <w:widowControl w:val="0"/>
              <w:rPr>
                <w:rFonts w:ascii="Times New Roman" w:eastAsia="Times New Roman" w:hAnsi="Times New Roman" w:cs="Times New Roman"/>
                <w:sz w:val="20"/>
                <w:szCs w:val="20"/>
              </w:rPr>
            </w:pPr>
          </w:p>
        </w:tc>
        <w:tc>
          <w:tcPr>
            <w:tcW w:w="1800" w:type="dxa"/>
            <w:vMerge/>
            <w:tcBorders>
              <w:top w:val="single" w:sz="12" w:space="0" w:color="000000"/>
              <w:left w:val="nil"/>
              <w:bottom w:val="single" w:sz="12" w:space="0" w:color="000000"/>
            </w:tcBorders>
            <w:shd w:val="clear" w:color="auto" w:fill="auto"/>
            <w:tcMar>
              <w:top w:w="100" w:type="dxa"/>
              <w:left w:w="100" w:type="dxa"/>
              <w:bottom w:w="100" w:type="dxa"/>
              <w:right w:w="100" w:type="dxa"/>
            </w:tcMar>
            <w:vAlign w:val="center"/>
          </w:tcPr>
          <w:p w14:paraId="453F32A1" w14:textId="77777777" w:rsidR="007E74C0" w:rsidRDefault="007E74C0">
            <w:pPr>
              <w:widowControl w:val="0"/>
              <w:rPr>
                <w:rFonts w:ascii="Times New Roman" w:eastAsia="Times New Roman" w:hAnsi="Times New Roman" w:cs="Times New Roman"/>
                <w:sz w:val="20"/>
                <w:szCs w:val="20"/>
              </w:rPr>
            </w:pPr>
          </w:p>
        </w:tc>
      </w:tr>
      <w:tr w:rsidR="007E74C0" w14:paraId="3284DB3E" w14:textId="77777777">
        <w:trPr>
          <w:trHeight w:val="198"/>
        </w:trPr>
        <w:tc>
          <w:tcPr>
            <w:tcW w:w="555" w:type="dxa"/>
            <w:tcBorders>
              <w:top w:val="single" w:sz="12" w:space="0" w:color="000000"/>
              <w:left w:val="nil"/>
              <w:bottom w:val="nil"/>
              <w:right w:val="nil"/>
            </w:tcBorders>
            <w:tcMar>
              <w:top w:w="40" w:type="dxa"/>
              <w:left w:w="40" w:type="dxa"/>
              <w:bottom w:w="40" w:type="dxa"/>
              <w:right w:w="40" w:type="dxa"/>
            </w:tcMar>
            <w:vAlign w:val="center"/>
          </w:tcPr>
          <w:p w14:paraId="4C00DB9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1994</w:t>
            </w:r>
          </w:p>
        </w:tc>
        <w:tc>
          <w:tcPr>
            <w:tcW w:w="660" w:type="dxa"/>
            <w:tcBorders>
              <w:top w:val="single" w:sz="12" w:space="0" w:color="000000"/>
              <w:left w:val="nil"/>
              <w:bottom w:val="nil"/>
              <w:right w:val="nil"/>
            </w:tcBorders>
            <w:tcMar>
              <w:top w:w="40" w:type="dxa"/>
              <w:left w:w="40" w:type="dxa"/>
              <w:bottom w:w="40" w:type="dxa"/>
              <w:right w:w="40" w:type="dxa"/>
            </w:tcMar>
            <w:vAlign w:val="center"/>
          </w:tcPr>
          <w:p w14:paraId="57F5534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3135" w:type="dxa"/>
            <w:tcBorders>
              <w:top w:val="single" w:sz="12" w:space="0" w:color="000000"/>
              <w:left w:val="nil"/>
              <w:bottom w:val="nil"/>
              <w:right w:val="nil"/>
            </w:tcBorders>
            <w:tcMar>
              <w:top w:w="40" w:type="dxa"/>
              <w:left w:w="40" w:type="dxa"/>
              <w:bottom w:w="40" w:type="dxa"/>
              <w:right w:w="40" w:type="dxa"/>
            </w:tcMar>
            <w:vAlign w:val="center"/>
          </w:tcPr>
          <w:p w14:paraId="7988845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Flores-Ortiz, Esteban e Carrillo</w:t>
            </w:r>
          </w:p>
        </w:tc>
        <w:tc>
          <w:tcPr>
            <w:tcW w:w="2910" w:type="dxa"/>
            <w:tcBorders>
              <w:top w:val="single" w:sz="12" w:space="0" w:color="000000"/>
              <w:left w:val="nil"/>
              <w:bottom w:val="nil"/>
              <w:right w:val="nil"/>
            </w:tcBorders>
            <w:tcMar>
              <w:top w:w="40" w:type="dxa"/>
              <w:left w:w="40" w:type="dxa"/>
              <w:bottom w:w="40" w:type="dxa"/>
              <w:right w:w="40" w:type="dxa"/>
            </w:tcMar>
            <w:vAlign w:val="center"/>
          </w:tcPr>
          <w:p w14:paraId="0549C444"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 familiar (contexto cultural, terapia familiar)</w:t>
            </w:r>
          </w:p>
        </w:tc>
        <w:tc>
          <w:tcPr>
            <w:tcW w:w="1800" w:type="dxa"/>
            <w:tcBorders>
              <w:top w:val="single" w:sz="12" w:space="0" w:color="000000"/>
              <w:left w:val="nil"/>
              <w:bottom w:val="nil"/>
              <w:right w:val="nil"/>
            </w:tcBorders>
            <w:tcMar>
              <w:top w:w="40" w:type="dxa"/>
              <w:left w:w="40" w:type="dxa"/>
              <w:bottom w:w="40" w:type="dxa"/>
              <w:right w:w="40" w:type="dxa"/>
            </w:tcMar>
            <w:vAlign w:val="center"/>
          </w:tcPr>
          <w:p w14:paraId="79FB2344"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 Latina (vários)</w:t>
            </w:r>
          </w:p>
        </w:tc>
      </w:tr>
      <w:tr w:rsidR="007E74C0" w14:paraId="42DBD99D"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2DDBB6F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2005</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6106C23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39(3)</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5B56E4A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Mena, Rodríguez e Malavé</w:t>
            </w:r>
          </w:p>
        </w:tc>
        <w:tc>
          <w:tcPr>
            <w:tcW w:w="2910" w:type="dxa"/>
            <w:tcBorders>
              <w:top w:val="nil"/>
              <w:left w:val="nil"/>
              <w:bottom w:val="nil"/>
              <w:right w:val="nil"/>
            </w:tcBorders>
            <w:shd w:val="clear" w:color="auto" w:fill="BFBFBF"/>
            <w:tcMar>
              <w:top w:w="40" w:type="dxa"/>
              <w:left w:w="40" w:type="dxa"/>
              <w:bottom w:w="40" w:type="dxa"/>
              <w:right w:w="40" w:type="dxa"/>
            </w:tcMar>
            <w:vAlign w:val="center"/>
          </w:tcPr>
          <w:p w14:paraId="2F8E6E27"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 doméstica (relações afetivas e exercício de poder)</w:t>
            </w:r>
          </w:p>
        </w:tc>
        <w:tc>
          <w:tcPr>
            <w:tcW w:w="1800" w:type="dxa"/>
            <w:tcBorders>
              <w:top w:val="nil"/>
              <w:left w:val="nil"/>
              <w:bottom w:val="nil"/>
              <w:right w:val="nil"/>
            </w:tcBorders>
            <w:shd w:val="clear" w:color="auto" w:fill="BFBFBF"/>
            <w:tcMar>
              <w:top w:w="40" w:type="dxa"/>
              <w:left w:w="40" w:type="dxa"/>
              <w:bottom w:w="40" w:type="dxa"/>
              <w:right w:w="40" w:type="dxa"/>
            </w:tcMar>
            <w:vAlign w:val="center"/>
          </w:tcPr>
          <w:p w14:paraId="06248A57"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618B1605"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073823B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660" w:type="dxa"/>
            <w:tcBorders>
              <w:top w:val="nil"/>
              <w:left w:val="nil"/>
              <w:bottom w:val="nil"/>
              <w:right w:val="nil"/>
            </w:tcBorders>
            <w:tcMar>
              <w:top w:w="40" w:type="dxa"/>
              <w:left w:w="40" w:type="dxa"/>
              <w:bottom w:w="40" w:type="dxa"/>
              <w:right w:w="40" w:type="dxa"/>
            </w:tcMar>
            <w:vAlign w:val="center"/>
          </w:tcPr>
          <w:p w14:paraId="0FC0035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w:t>
            </w:r>
          </w:p>
        </w:tc>
        <w:tc>
          <w:tcPr>
            <w:tcW w:w="3135" w:type="dxa"/>
            <w:tcBorders>
              <w:top w:val="nil"/>
              <w:left w:val="nil"/>
              <w:bottom w:val="nil"/>
              <w:right w:val="nil"/>
            </w:tcBorders>
            <w:tcMar>
              <w:top w:w="40" w:type="dxa"/>
              <w:left w:w="40" w:type="dxa"/>
              <w:bottom w:w="40" w:type="dxa"/>
              <w:right w:w="40" w:type="dxa"/>
            </w:tcMar>
            <w:vAlign w:val="center"/>
          </w:tcPr>
          <w:p w14:paraId="544D203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Albarraci</w:t>
            </w:r>
          </w:p>
        </w:tc>
        <w:tc>
          <w:tcPr>
            <w:tcW w:w="2910" w:type="dxa"/>
            <w:tcBorders>
              <w:top w:val="nil"/>
              <w:left w:val="nil"/>
              <w:bottom w:val="nil"/>
              <w:right w:val="nil"/>
            </w:tcBorders>
            <w:tcMar>
              <w:top w:w="40" w:type="dxa"/>
              <w:left w:w="40" w:type="dxa"/>
              <w:bottom w:w="40" w:type="dxa"/>
              <w:right w:w="40" w:type="dxa"/>
            </w:tcMar>
            <w:vAlign w:val="center"/>
          </w:tcPr>
          <w:p w14:paraId="2DD977E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Abuso sexual infantil (protocolo de intervenção) </w:t>
            </w:r>
          </w:p>
        </w:tc>
        <w:tc>
          <w:tcPr>
            <w:tcW w:w="1800" w:type="dxa"/>
            <w:tcBorders>
              <w:top w:val="nil"/>
              <w:left w:val="nil"/>
              <w:bottom w:val="nil"/>
              <w:right w:val="nil"/>
            </w:tcBorders>
            <w:tcMar>
              <w:top w:w="40" w:type="dxa"/>
              <w:left w:w="40" w:type="dxa"/>
              <w:bottom w:w="40" w:type="dxa"/>
              <w:right w:w="40" w:type="dxa"/>
            </w:tcMar>
            <w:vAlign w:val="center"/>
          </w:tcPr>
          <w:p w14:paraId="0AD9D34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r w:rsidR="007E74C0" w14:paraId="1F88DDF3" w14:textId="77777777">
        <w:trPr>
          <w:trHeight w:val="239"/>
        </w:trPr>
        <w:tc>
          <w:tcPr>
            <w:tcW w:w="555" w:type="dxa"/>
            <w:tcBorders>
              <w:top w:val="nil"/>
              <w:bottom w:val="single" w:sz="12" w:space="0" w:color="000000"/>
            </w:tcBorders>
            <w:shd w:val="clear" w:color="auto" w:fill="BFBFBF"/>
            <w:tcMar>
              <w:top w:w="19" w:type="dxa"/>
              <w:left w:w="19" w:type="dxa"/>
              <w:bottom w:w="19" w:type="dxa"/>
              <w:right w:w="19" w:type="dxa"/>
            </w:tcMar>
            <w:vAlign w:val="center"/>
          </w:tcPr>
          <w:p w14:paraId="2FD8A5B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tc>
        <w:tc>
          <w:tcPr>
            <w:tcW w:w="660" w:type="dxa"/>
            <w:tcBorders>
              <w:top w:val="nil"/>
              <w:bottom w:val="single" w:sz="12" w:space="0" w:color="000000"/>
            </w:tcBorders>
            <w:shd w:val="clear" w:color="auto" w:fill="BFBFBF"/>
            <w:tcMar>
              <w:top w:w="19" w:type="dxa"/>
              <w:left w:w="19" w:type="dxa"/>
              <w:bottom w:w="19" w:type="dxa"/>
              <w:right w:w="19" w:type="dxa"/>
            </w:tcMar>
            <w:vAlign w:val="center"/>
          </w:tcPr>
          <w:p w14:paraId="255B416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w:t>
            </w:r>
          </w:p>
        </w:tc>
        <w:tc>
          <w:tcPr>
            <w:tcW w:w="3135" w:type="dxa"/>
            <w:tcBorders>
              <w:top w:val="nil"/>
              <w:bottom w:val="single" w:sz="12" w:space="0" w:color="000000"/>
            </w:tcBorders>
            <w:shd w:val="clear" w:color="auto" w:fill="BFBFBF"/>
            <w:tcMar>
              <w:top w:w="19" w:type="dxa"/>
              <w:left w:w="19" w:type="dxa"/>
              <w:bottom w:w="19" w:type="dxa"/>
              <w:right w:w="19" w:type="dxa"/>
            </w:tcMar>
            <w:vAlign w:val="center"/>
          </w:tcPr>
          <w:p w14:paraId="38E86B3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Lourenço, Baptista, Almeida, Basílio, Koga, Hashimoto, Stroppa, Bhona &amp; Andrade</w:t>
            </w:r>
          </w:p>
        </w:tc>
        <w:tc>
          <w:tcPr>
            <w:tcW w:w="2910" w:type="dxa"/>
            <w:tcBorders>
              <w:top w:val="nil"/>
              <w:bottom w:val="single" w:sz="12" w:space="0" w:color="000000"/>
            </w:tcBorders>
            <w:shd w:val="clear" w:color="auto" w:fill="BFBFBF"/>
            <w:tcMar>
              <w:top w:w="19" w:type="dxa"/>
              <w:left w:w="19" w:type="dxa"/>
              <w:bottom w:w="19" w:type="dxa"/>
              <w:right w:w="19" w:type="dxa"/>
            </w:tcMar>
            <w:vAlign w:val="center"/>
          </w:tcPr>
          <w:p w14:paraId="4766580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(Parceiro íntimo)</w:t>
            </w:r>
          </w:p>
        </w:tc>
        <w:tc>
          <w:tcPr>
            <w:tcW w:w="1800" w:type="dxa"/>
            <w:tcBorders>
              <w:top w:val="nil"/>
              <w:bottom w:val="single" w:sz="12" w:space="0" w:color="000000"/>
            </w:tcBorders>
            <w:shd w:val="clear" w:color="auto" w:fill="BFBFBF"/>
            <w:tcMar>
              <w:top w:w="19" w:type="dxa"/>
              <w:left w:w="19" w:type="dxa"/>
              <w:bottom w:w="19" w:type="dxa"/>
              <w:right w:w="19" w:type="dxa"/>
            </w:tcMar>
            <w:vAlign w:val="center"/>
          </w:tcPr>
          <w:p w14:paraId="3C4AE03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bl>
    <w:p w14:paraId="60B774B0"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790473BA"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dois primeiros artigos identificaram o caráter estrutural da </w:t>
      </w:r>
      <w:r>
        <w:rPr>
          <w:rFonts w:ascii="Times New Roman" w:eastAsia="Times New Roman" w:hAnsi="Times New Roman" w:cs="Times New Roman"/>
          <w:sz w:val="24"/>
          <w:szCs w:val="24"/>
        </w:rPr>
        <w:t>violência doméstica, pautada em relações de força e poder, e pontuaram que políticas públicas e intervençõ</w:t>
      </w:r>
      <w:r>
        <w:rPr>
          <w:rFonts w:ascii="Times New Roman" w:eastAsia="Times New Roman" w:hAnsi="Times New Roman" w:cs="Times New Roman"/>
          <w:sz w:val="24"/>
          <w:szCs w:val="24"/>
          <w:highlight w:val="white"/>
        </w:rPr>
        <w:t>es técnicas precisam considerar fatores étnicos-culturais nas intervenções que buscam garantir a proteção, o cuidado e o fortalecimento das vítimas, s</w:t>
      </w:r>
      <w:r>
        <w:rPr>
          <w:rFonts w:ascii="Times New Roman" w:eastAsia="Times New Roman" w:hAnsi="Times New Roman" w:cs="Times New Roman"/>
          <w:sz w:val="24"/>
          <w:szCs w:val="24"/>
          <w:highlight w:val="white"/>
        </w:rPr>
        <w:t>em culpabilizá-las e revitimá-las. Esses artigos consideram a dificuldade de se romper o ciclo da violência, que implica, em regra, no afastamento do agressor e no consequente rompimento dos laços familiares, uma questão cara para muitas culturas latino am</w:t>
      </w:r>
      <w:r>
        <w:rPr>
          <w:rFonts w:ascii="Times New Roman" w:eastAsia="Times New Roman" w:hAnsi="Times New Roman" w:cs="Times New Roman"/>
          <w:sz w:val="24"/>
          <w:szCs w:val="24"/>
          <w:highlight w:val="white"/>
        </w:rPr>
        <w:t xml:space="preserve">ericanas (IJP, 1994; IJP, 2005). </w:t>
      </w:r>
    </w:p>
    <w:p w14:paraId="3AD8A713"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Nos dois últimos artigos, um propõe criar um protocolo de atendimento que auxilie a identificar a ocorrência de abuso sexual em crianças, pensando em estratégias de proteção e possibilidades de intervenção (IJP, 2006) e o </w:t>
      </w:r>
      <w:r>
        <w:rPr>
          <w:rFonts w:ascii="Times New Roman" w:eastAsia="Times New Roman" w:hAnsi="Times New Roman" w:cs="Times New Roman"/>
          <w:sz w:val="24"/>
          <w:szCs w:val="24"/>
          <w:highlight w:val="white"/>
        </w:rPr>
        <w:t>outro, a partir de revisão de literatura realizada no Brasil, identificou pouca produção com vistas à prevenção de violência entre parceiros íntimos, importante elemento para se pensar as políticas públicas de saúde (IJP, 2013).</w:t>
      </w:r>
    </w:p>
    <w:p w14:paraId="248E4B29" w14:textId="77777777" w:rsidR="007E74C0" w:rsidRDefault="007E74C0">
      <w:pPr>
        <w:spacing w:line="240" w:lineRule="auto"/>
        <w:ind w:firstLine="720"/>
        <w:jc w:val="both"/>
        <w:rPr>
          <w:rFonts w:ascii="Times New Roman" w:eastAsia="Times New Roman" w:hAnsi="Times New Roman" w:cs="Times New Roman"/>
          <w:sz w:val="24"/>
          <w:szCs w:val="24"/>
          <w:highlight w:val="white"/>
        </w:rPr>
      </w:pPr>
    </w:p>
    <w:p w14:paraId="01E633C6" w14:textId="77777777" w:rsidR="007E74C0" w:rsidRDefault="007E74C0">
      <w:pPr>
        <w:spacing w:line="240" w:lineRule="auto"/>
        <w:jc w:val="both"/>
        <w:rPr>
          <w:rFonts w:ascii="Times New Roman" w:eastAsia="Times New Roman" w:hAnsi="Times New Roman" w:cs="Times New Roman"/>
          <w:sz w:val="24"/>
          <w:szCs w:val="24"/>
        </w:rPr>
      </w:pPr>
    </w:p>
    <w:p w14:paraId="775CD82A"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Considerações Finais</w:t>
      </w:r>
    </w:p>
    <w:p w14:paraId="3FDDCE07" w14:textId="77777777" w:rsidR="007E74C0" w:rsidRDefault="007E74C0">
      <w:pPr>
        <w:spacing w:line="240" w:lineRule="auto"/>
        <w:jc w:val="both"/>
        <w:rPr>
          <w:rFonts w:ascii="Times New Roman" w:eastAsia="Times New Roman" w:hAnsi="Times New Roman" w:cs="Times New Roman"/>
          <w:color w:val="1C4587"/>
          <w:sz w:val="24"/>
          <w:szCs w:val="24"/>
        </w:rPr>
      </w:pPr>
    </w:p>
    <w:p w14:paraId="3B35BC62"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Embora não tenha sido objetivo deste trabalho a generalização dos resultados para a totalidade da produção científica latino-americana sobre os temas abordados, esperamos que a presente revisão sistemática auxilie na</w:t>
      </w:r>
      <w:r>
        <w:rPr>
          <w:rFonts w:ascii="Times New Roman" w:eastAsia="Times New Roman" w:hAnsi="Times New Roman" w:cs="Times New Roman"/>
          <w:sz w:val="24"/>
          <w:szCs w:val="24"/>
          <w:highlight w:val="white"/>
        </w:rPr>
        <w:t xml:space="preserve"> compreensão do </w:t>
      </w:r>
      <w:r>
        <w:rPr>
          <w:rFonts w:ascii="Times New Roman" w:eastAsia="Times New Roman" w:hAnsi="Times New Roman" w:cs="Times New Roman"/>
          <w:sz w:val="24"/>
          <w:szCs w:val="24"/>
        </w:rPr>
        <w:t>processo histórico de co</w:t>
      </w:r>
      <w:r>
        <w:rPr>
          <w:rFonts w:ascii="Times New Roman" w:eastAsia="Times New Roman" w:hAnsi="Times New Roman" w:cs="Times New Roman"/>
          <w:sz w:val="24"/>
          <w:szCs w:val="24"/>
        </w:rPr>
        <w:t>nstituição dos conceitos ora em foco nos campos da Psicologia na América Latina, bem como do esforço de construção de estratégias teóricas e metodológicas para o seu estudo, mais próximas das suas realidades psicossocial, ética e cultural na contemporaneid</w:t>
      </w:r>
      <w:r>
        <w:rPr>
          <w:rFonts w:ascii="Times New Roman" w:eastAsia="Times New Roman" w:hAnsi="Times New Roman" w:cs="Times New Roman"/>
          <w:sz w:val="24"/>
          <w:szCs w:val="24"/>
        </w:rPr>
        <w:t>ade.</w:t>
      </w:r>
    </w:p>
    <w:p w14:paraId="1788CD47" w14:textId="77777777" w:rsidR="007E74C0" w:rsidRDefault="00EA0911">
      <w:pPr>
        <w:spacing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Afinal, mesmo que os trabalhos revistos não reflitam a posição da SIP sobre o grande tema, eles podem indicar, certo modo, linhas gerais das múltiplas produções latino-americanas sobre assuntos que, como vimos, são cada vez mais abordados por esta pub</w:t>
      </w:r>
      <w:r>
        <w:rPr>
          <w:rFonts w:ascii="Times New Roman" w:eastAsia="Times New Roman" w:hAnsi="Times New Roman" w:cs="Times New Roman"/>
          <w:sz w:val="24"/>
          <w:szCs w:val="24"/>
        </w:rPr>
        <w:t>licação.</w:t>
      </w:r>
    </w:p>
    <w:p w14:paraId="7637CFD1" w14:textId="77777777" w:rsidR="007E74C0" w:rsidRDefault="007E74C0">
      <w:pPr>
        <w:spacing w:line="240" w:lineRule="auto"/>
        <w:jc w:val="both"/>
        <w:rPr>
          <w:rFonts w:ascii="Times New Roman" w:eastAsia="Times New Roman" w:hAnsi="Times New Roman" w:cs="Times New Roman"/>
          <w:sz w:val="24"/>
          <w:szCs w:val="24"/>
        </w:rPr>
      </w:pPr>
    </w:p>
    <w:p w14:paraId="562C7983"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Referências</w:t>
      </w:r>
    </w:p>
    <w:p w14:paraId="033E88B6" w14:textId="77777777" w:rsidR="007E74C0" w:rsidRDefault="007E74C0">
      <w:pPr>
        <w:spacing w:line="240" w:lineRule="auto"/>
        <w:jc w:val="both"/>
        <w:rPr>
          <w:rFonts w:ascii="Times New Roman" w:eastAsia="Times New Roman" w:hAnsi="Times New Roman" w:cs="Times New Roman"/>
          <w:sz w:val="24"/>
          <w:szCs w:val="24"/>
        </w:rPr>
      </w:pPr>
    </w:p>
    <w:p w14:paraId="110F53BC"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Alquati Bisol, C., &amp; Tapia, A. M. (2012). A Psicologia e o Conceito de Risco: Estudos Publicados entre 1999 e 2010. </w:t>
      </w:r>
      <w:r>
        <w:rPr>
          <w:rFonts w:ascii="Times New Roman" w:eastAsia="Times New Roman" w:hAnsi="Times New Roman" w:cs="Times New Roman"/>
          <w:i/>
          <w:sz w:val="24"/>
          <w:szCs w:val="24"/>
        </w:rPr>
        <w:t>Psico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(3). https://revistaseletronicas.pucrs.br/ojs/index.php/revistapsico/article/view/7824</w:t>
      </w:r>
    </w:p>
    <w:p w14:paraId="140C0DD2"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Angelini, A. L. (2012). O papel da Sociedade Interamericana de Psicologia no desenvolvimento da Psicologia na América Latina.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xml:space="preserve">, 46(1), 9-20. </w:t>
      </w:r>
      <w:hyperlink r:id="rId10">
        <w:r>
          <w:rPr>
            <w:rFonts w:ascii="Times New Roman" w:eastAsia="Times New Roman" w:hAnsi="Times New Roman" w:cs="Times New Roman"/>
            <w:sz w:val="24"/>
            <w:szCs w:val="24"/>
          </w:rPr>
          <w:t>https:</w:t>
        </w:r>
        <w:r>
          <w:rPr>
            <w:rFonts w:ascii="Times New Roman" w:eastAsia="Times New Roman" w:hAnsi="Times New Roman" w:cs="Times New Roman"/>
            <w:sz w:val="24"/>
            <w:szCs w:val="24"/>
          </w:rPr>
          <w:t>//www.redalyc.org/articulo.oa?id=284/28424858002</w:t>
        </w:r>
      </w:hyperlink>
    </w:p>
    <w:p w14:paraId="2D7AF673"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D. S. V. &amp; Santos, H. M. (Orgs.) (2013). </w:t>
      </w:r>
      <w:r>
        <w:rPr>
          <w:rFonts w:ascii="Times New Roman" w:eastAsia="Times New Roman" w:hAnsi="Times New Roman" w:cs="Times New Roman"/>
          <w:i/>
          <w:sz w:val="24"/>
          <w:szCs w:val="24"/>
        </w:rPr>
        <w:t>Gênero na Psicologia: Articulações e Discussões</w:t>
      </w:r>
      <w:r>
        <w:rPr>
          <w:rFonts w:ascii="Times New Roman" w:eastAsia="Times New Roman" w:hAnsi="Times New Roman" w:cs="Times New Roman"/>
          <w:sz w:val="24"/>
          <w:szCs w:val="24"/>
        </w:rPr>
        <w:t>. Salvador: CRP-03. https://www.crp03.org.br/wp-content/uploads/2015/08/Genero-na-Psicologia-articulacoes-e-di</w:t>
      </w:r>
      <w:r>
        <w:rPr>
          <w:rFonts w:ascii="Times New Roman" w:eastAsia="Times New Roman" w:hAnsi="Times New Roman" w:cs="Times New Roman"/>
          <w:sz w:val="24"/>
          <w:szCs w:val="24"/>
        </w:rPr>
        <w:t>scussoes.pdf</w:t>
      </w:r>
    </w:p>
    <w:p w14:paraId="614D665A"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Antunes, M. A. M. (2012). A Psicologia no Brasil: um ensaio sobre suas contradições. </w:t>
      </w:r>
      <w:r>
        <w:rPr>
          <w:rFonts w:ascii="Times New Roman" w:eastAsia="Times New Roman" w:hAnsi="Times New Roman" w:cs="Times New Roman"/>
          <w:i/>
          <w:sz w:val="24"/>
          <w:szCs w:val="24"/>
        </w:rPr>
        <w:t>Psicologia: Ciência e Profissão</w:t>
      </w:r>
      <w:r>
        <w:rPr>
          <w:rFonts w:ascii="Times New Roman" w:eastAsia="Times New Roman" w:hAnsi="Times New Roman" w:cs="Times New Roman"/>
          <w:sz w:val="24"/>
          <w:szCs w:val="24"/>
        </w:rPr>
        <w:t xml:space="preserve">, 32(spe), 44-65. </w:t>
      </w:r>
      <w:hyperlink r:id="rId11">
        <w:r>
          <w:rPr>
            <w:rFonts w:ascii="Times New Roman" w:eastAsia="Times New Roman" w:hAnsi="Times New Roman" w:cs="Times New Roman"/>
            <w:sz w:val="24"/>
            <w:szCs w:val="24"/>
          </w:rPr>
          <w:t>https://dx.doi.org/10.1590/S1414-989320</w:t>
        </w:r>
        <w:r>
          <w:rPr>
            <w:rFonts w:ascii="Times New Roman" w:eastAsia="Times New Roman" w:hAnsi="Times New Roman" w:cs="Times New Roman"/>
            <w:sz w:val="24"/>
            <w:szCs w:val="24"/>
          </w:rPr>
          <w:t>12000500005</w:t>
        </w:r>
      </w:hyperlink>
    </w:p>
    <w:p w14:paraId="715C7CF5"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Badinter, E. (1985). </w:t>
      </w:r>
      <w:r>
        <w:rPr>
          <w:rFonts w:ascii="Times New Roman" w:eastAsia="Times New Roman" w:hAnsi="Times New Roman" w:cs="Times New Roman"/>
          <w:i/>
          <w:sz w:val="24"/>
          <w:szCs w:val="24"/>
        </w:rPr>
        <w:t xml:space="preserve">Um Amor conquistado: o mito do amor materno </w:t>
      </w:r>
      <w:r>
        <w:rPr>
          <w:rFonts w:ascii="Times New Roman" w:eastAsia="Times New Roman" w:hAnsi="Times New Roman" w:cs="Times New Roman"/>
          <w:sz w:val="24"/>
          <w:szCs w:val="24"/>
        </w:rPr>
        <w:t xml:space="preserve">(4ª ed.).Tradução de Waltensir           Dutra. Rio de Janeiro: Nova Fronteira. </w:t>
      </w:r>
    </w:p>
    <w:p w14:paraId="0432C349"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Borges, L. S.; Canuto, A. de A. A.; Oliveira, D. P. de, &amp;</w:t>
      </w:r>
      <w:r>
        <w:rPr>
          <w:rFonts w:ascii="Times New Roman" w:eastAsia="Times New Roman" w:hAnsi="Times New Roman" w:cs="Times New Roman"/>
          <w:sz w:val="24"/>
          <w:szCs w:val="24"/>
        </w:rPr>
        <w:t xml:space="preserve"> Vaz, R. P. (2013). Abordagens de gênero e sexualidade na Psicologia: revendo conceitos, repensando práticas. </w:t>
      </w:r>
      <w:r>
        <w:rPr>
          <w:rFonts w:ascii="Times New Roman" w:eastAsia="Times New Roman" w:hAnsi="Times New Roman" w:cs="Times New Roman"/>
          <w:i/>
          <w:sz w:val="24"/>
          <w:szCs w:val="24"/>
        </w:rPr>
        <w:t>Psicologia: Ciência e Profissão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 xml:space="preserve">(3), 730-745. </w:t>
      </w:r>
      <w:hyperlink r:id="rId12">
        <w:r>
          <w:rPr>
            <w:rFonts w:ascii="Times New Roman" w:eastAsia="Times New Roman" w:hAnsi="Times New Roman" w:cs="Times New Roman"/>
            <w:sz w:val="24"/>
            <w:szCs w:val="24"/>
          </w:rPr>
          <w:t>https://dx.doi.org/10.1590/</w:t>
        </w:r>
        <w:r>
          <w:rPr>
            <w:rFonts w:ascii="Times New Roman" w:eastAsia="Times New Roman" w:hAnsi="Times New Roman" w:cs="Times New Roman"/>
            <w:sz w:val="24"/>
            <w:szCs w:val="24"/>
          </w:rPr>
          <w:t>S1414-98932013000300016</w:t>
        </w:r>
      </w:hyperlink>
    </w:p>
    <w:p w14:paraId="2A7A79CC" w14:textId="77777777" w:rsidR="007E74C0" w:rsidRDefault="00EA0911">
      <w:pPr>
        <w:spacing w:line="240" w:lineRule="auto"/>
        <w:ind w:left="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Braun, V., &amp; Clarke, V. (2006). Using thematic analysis in psychology</w:t>
      </w:r>
      <w:r>
        <w:rPr>
          <w:rFonts w:ascii="Times New Roman" w:eastAsia="Times New Roman" w:hAnsi="Times New Roman" w:cs="Times New Roman"/>
          <w:i/>
          <w:sz w:val="24"/>
          <w:szCs w:val="24"/>
        </w:rPr>
        <w:t>. Qualitative Research in Psychology,</w:t>
      </w:r>
      <w:r>
        <w:rPr>
          <w:rFonts w:ascii="Times New Roman" w:eastAsia="Times New Roman" w:hAnsi="Times New Roman" w:cs="Times New Roman"/>
          <w:sz w:val="24"/>
          <w:szCs w:val="24"/>
        </w:rPr>
        <w:t xml:space="preserve"> 3 (2).77-101. </w:t>
      </w:r>
      <w:hyperlink r:id="rId13">
        <w:r>
          <w:rPr>
            <w:rFonts w:ascii="Times New Roman" w:eastAsia="Times New Roman" w:hAnsi="Times New Roman" w:cs="Times New Roman"/>
            <w:sz w:val="24"/>
            <w:szCs w:val="24"/>
          </w:rPr>
          <w:t>http://dx.doi.org/10.1191/1478088706qp063oa</w:t>
        </w:r>
      </w:hyperlink>
    </w:p>
    <w:p w14:paraId="379F5C61"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Butl</w:t>
      </w:r>
      <w:r>
        <w:rPr>
          <w:rFonts w:ascii="Times New Roman" w:eastAsia="Times New Roman" w:hAnsi="Times New Roman" w:cs="Times New Roman"/>
          <w:sz w:val="24"/>
          <w:szCs w:val="24"/>
        </w:rPr>
        <w:t xml:space="preserve">er, J. (2013). </w:t>
      </w:r>
      <w:r>
        <w:rPr>
          <w:rFonts w:ascii="Times New Roman" w:eastAsia="Times New Roman" w:hAnsi="Times New Roman" w:cs="Times New Roman"/>
          <w:i/>
          <w:sz w:val="24"/>
          <w:szCs w:val="24"/>
        </w:rPr>
        <w:t>Problemas de gênero: feminismo e subversão de identidade.</w:t>
      </w:r>
      <w:r>
        <w:rPr>
          <w:rFonts w:ascii="Times New Roman" w:eastAsia="Times New Roman" w:hAnsi="Times New Roman" w:cs="Times New Roman"/>
          <w:sz w:val="24"/>
          <w:szCs w:val="24"/>
        </w:rPr>
        <w:t xml:space="preserve"> 6 ed. Rio de Janeiro: Civilização Brasileira, 2013.</w:t>
      </w:r>
    </w:p>
    <w:p w14:paraId="77A7C3D6"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Campos, I. de O., &amp; Zanello, V. (2016).</w:t>
      </w:r>
      <w:r>
        <w:rPr>
          <w:rFonts w:ascii="Times New Roman" w:eastAsia="Times New Roman" w:hAnsi="Times New Roman" w:cs="Times New Roman"/>
          <w:sz w:val="24"/>
          <w:szCs w:val="24"/>
        </w:rPr>
        <w:t>Saúde mental e gênero: o sofrimento psíquico e a invisibilidade das violências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Vivência: Re</w:t>
      </w:r>
      <w:r>
        <w:rPr>
          <w:rFonts w:ascii="Times New Roman" w:eastAsia="Times New Roman" w:hAnsi="Times New Roman" w:cs="Times New Roman"/>
          <w:i/>
          <w:sz w:val="24"/>
          <w:szCs w:val="24"/>
          <w:highlight w:val="white"/>
        </w:rPr>
        <w:t>vista De Antropologia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(48), 105-117. https://periodicos.ufrn.br/vivencia/article/view/11505</w:t>
      </w:r>
    </w:p>
    <w:p w14:paraId="7A10D755"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Coimbra, C. (1995). </w:t>
      </w:r>
      <w:r>
        <w:rPr>
          <w:rFonts w:ascii="Times New Roman" w:eastAsia="Times New Roman" w:hAnsi="Times New Roman" w:cs="Times New Roman"/>
          <w:i/>
          <w:sz w:val="24"/>
          <w:szCs w:val="24"/>
        </w:rPr>
        <w:t>Guardiães da ordem</w:t>
      </w:r>
      <w:r>
        <w:rPr>
          <w:rFonts w:ascii="Times New Roman" w:eastAsia="Times New Roman" w:hAnsi="Times New Roman" w:cs="Times New Roman"/>
          <w:sz w:val="24"/>
          <w:szCs w:val="24"/>
        </w:rPr>
        <w:t>: Uma viagem pelas práticas psi no Brasil do “Milagre”. Rio de Janeiro, RJ: Oficina do Autor</w:t>
      </w:r>
    </w:p>
    <w:p w14:paraId="7321DBFA"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Connell, R. W. (1995). </w:t>
      </w:r>
      <w:r>
        <w:rPr>
          <w:rFonts w:ascii="Times New Roman" w:eastAsia="Times New Roman" w:hAnsi="Times New Roman" w:cs="Times New Roman"/>
          <w:i/>
          <w:sz w:val="24"/>
          <w:szCs w:val="24"/>
          <w:highlight w:val="white"/>
        </w:rPr>
        <w:t>Masculin</w:t>
      </w:r>
      <w:r>
        <w:rPr>
          <w:rFonts w:ascii="Times New Roman" w:eastAsia="Times New Roman" w:hAnsi="Times New Roman" w:cs="Times New Roman"/>
          <w:i/>
          <w:sz w:val="24"/>
          <w:szCs w:val="24"/>
          <w:highlight w:val="white"/>
        </w:rPr>
        <w:t>ities</w:t>
      </w:r>
      <w:r>
        <w:rPr>
          <w:rFonts w:ascii="Times New Roman" w:eastAsia="Times New Roman" w:hAnsi="Times New Roman" w:cs="Times New Roman"/>
          <w:sz w:val="24"/>
          <w:szCs w:val="24"/>
          <w:highlight w:val="white"/>
        </w:rPr>
        <w:t>. Berkeley: University of California Press.</w:t>
      </w:r>
    </w:p>
    <w:p w14:paraId="7500E8A6"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Correia, M. de J. (1998). Sobre a maternidade. </w:t>
      </w:r>
      <w:r>
        <w:rPr>
          <w:rFonts w:ascii="Times New Roman" w:eastAsia="Times New Roman" w:hAnsi="Times New Roman" w:cs="Times New Roman"/>
          <w:i/>
          <w:sz w:val="24"/>
          <w:szCs w:val="24"/>
          <w:highlight w:val="white"/>
        </w:rPr>
        <w:t>Análise Psicológica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16</w:t>
      </w:r>
      <w:r>
        <w:rPr>
          <w:rFonts w:ascii="Times New Roman" w:eastAsia="Times New Roman" w:hAnsi="Times New Roman" w:cs="Times New Roman"/>
          <w:sz w:val="24"/>
          <w:szCs w:val="24"/>
          <w:highlight w:val="white"/>
        </w:rPr>
        <w:t>(3), 365-371. http://www.scielo.mec.pt/pdf/aps/v16n3/v16n3a02.pdf</w:t>
      </w:r>
    </w:p>
    <w:p w14:paraId="3EEA189F"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Corte Interamericana de Direitos Humanos - CIDH (1994). </w:t>
      </w:r>
      <w:r>
        <w:rPr>
          <w:rFonts w:ascii="Times New Roman" w:eastAsia="Times New Roman" w:hAnsi="Times New Roman" w:cs="Times New Roman"/>
          <w:i/>
          <w:sz w:val="24"/>
          <w:szCs w:val="24"/>
          <w:highlight w:val="white"/>
        </w:rPr>
        <w:t>Convenção Inter</w:t>
      </w:r>
      <w:r>
        <w:rPr>
          <w:rFonts w:ascii="Times New Roman" w:eastAsia="Times New Roman" w:hAnsi="Times New Roman" w:cs="Times New Roman"/>
          <w:i/>
          <w:sz w:val="24"/>
          <w:szCs w:val="24"/>
          <w:highlight w:val="white"/>
        </w:rPr>
        <w:t>americana para prevenir, punir e erradicar a violência contra a mulher</w:t>
      </w:r>
      <w:r>
        <w:rPr>
          <w:rFonts w:ascii="Times New Roman" w:eastAsia="Times New Roman" w:hAnsi="Times New Roman" w:cs="Times New Roman"/>
          <w:sz w:val="24"/>
          <w:szCs w:val="24"/>
          <w:highlight w:val="white"/>
        </w:rPr>
        <w:t>. Belém do Pará, Brasil. http://www.cidh.org/Basicos/Portugues/m.Belem.do.Para.htm</w:t>
      </w:r>
    </w:p>
    <w:p w14:paraId="35BF7064"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Coutinho, S.M.S., &amp; Menandro, P.R.M. (2009). </w:t>
      </w:r>
      <w:r>
        <w:rPr>
          <w:rFonts w:ascii="Times New Roman" w:eastAsia="Times New Roman" w:hAnsi="Times New Roman" w:cs="Times New Roman"/>
          <w:i/>
          <w:sz w:val="24"/>
          <w:szCs w:val="24"/>
        </w:rPr>
        <w:t>A Dona de Tudo: um estudo intergeracional sobre representa</w:t>
      </w:r>
      <w:r>
        <w:rPr>
          <w:rFonts w:ascii="Times New Roman" w:eastAsia="Times New Roman" w:hAnsi="Times New Roman" w:cs="Times New Roman"/>
          <w:i/>
          <w:sz w:val="24"/>
          <w:szCs w:val="24"/>
        </w:rPr>
        <w:t>ções sociais de mãe e esposa.</w:t>
      </w:r>
      <w:r>
        <w:rPr>
          <w:rFonts w:ascii="Times New Roman" w:eastAsia="Times New Roman" w:hAnsi="Times New Roman" w:cs="Times New Roman"/>
          <w:sz w:val="24"/>
          <w:szCs w:val="24"/>
        </w:rPr>
        <w:t xml:space="preserve"> Vitória: PPGP/UFES/Facastelo/GM Ed.</w:t>
      </w:r>
    </w:p>
    <w:p w14:paraId="0C4783FF"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Costa, A.B.; Zoltowski, A.P.C. (2014). Como escrever um artigo de revisão sistemática. S. H. Koller; M. C. P. P. Couto &amp; J. V. Hohendorff. </w:t>
      </w:r>
      <w:r>
        <w:rPr>
          <w:rFonts w:ascii="Times New Roman" w:eastAsia="Times New Roman" w:hAnsi="Times New Roman" w:cs="Times New Roman"/>
          <w:i/>
          <w:sz w:val="24"/>
          <w:szCs w:val="24"/>
        </w:rPr>
        <w:t>Manual de Produção Científica</w:t>
      </w:r>
      <w:r>
        <w:rPr>
          <w:rFonts w:ascii="Times New Roman" w:eastAsia="Times New Roman" w:hAnsi="Times New Roman" w:cs="Times New Roman"/>
          <w:sz w:val="24"/>
          <w:szCs w:val="24"/>
        </w:rPr>
        <w:t>. Porto Alegre: Penso.</w:t>
      </w:r>
    </w:p>
    <w:p w14:paraId="2E9F950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(1982). </w:t>
      </w:r>
      <w:r>
        <w:rPr>
          <w:rFonts w:ascii="Times New Roman" w:eastAsia="Times New Roman" w:hAnsi="Times New Roman" w:cs="Times New Roman"/>
          <w:i/>
          <w:sz w:val="24"/>
          <w:szCs w:val="24"/>
        </w:rPr>
        <w:t>História da loucura</w:t>
      </w:r>
      <w:r>
        <w:rPr>
          <w:rFonts w:ascii="Times New Roman" w:eastAsia="Times New Roman" w:hAnsi="Times New Roman" w:cs="Times New Roman"/>
          <w:sz w:val="24"/>
          <w:szCs w:val="24"/>
        </w:rPr>
        <w:t>. São Paulo: Perspectiva.</w:t>
      </w:r>
    </w:p>
    <w:p w14:paraId="3B25A4CF"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(2001).  </w:t>
      </w:r>
      <w:r>
        <w:rPr>
          <w:rFonts w:ascii="Times New Roman" w:eastAsia="Times New Roman" w:hAnsi="Times New Roman" w:cs="Times New Roman"/>
          <w:i/>
          <w:sz w:val="24"/>
          <w:szCs w:val="24"/>
        </w:rPr>
        <w:t xml:space="preserve">Microfísica do poder </w:t>
      </w:r>
      <w:r>
        <w:rPr>
          <w:rFonts w:ascii="Times New Roman" w:eastAsia="Times New Roman" w:hAnsi="Times New Roman" w:cs="Times New Roman"/>
          <w:sz w:val="24"/>
          <w:szCs w:val="24"/>
        </w:rPr>
        <w:t>(16ª ed.). Rio de Janeiro: Graal.</w:t>
      </w:r>
    </w:p>
    <w:p w14:paraId="2E305C90"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Foucault, M. (2009). O corpo utópico, as heterotopias. Salma Tannus Muchail (Trad.). 1o ed. N-1 edições: Brasil,</w:t>
      </w:r>
      <w:r>
        <w:rPr>
          <w:rFonts w:ascii="Times New Roman" w:eastAsia="Times New Roman" w:hAnsi="Times New Roman" w:cs="Times New Roman"/>
          <w:sz w:val="24"/>
          <w:szCs w:val="24"/>
        </w:rPr>
        <w:t xml:space="preserve"> 2009.</w:t>
      </w:r>
    </w:p>
    <w:p w14:paraId="105BBF1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Guattari, F. &amp; Rolnik, S. (1996). </w:t>
      </w:r>
      <w:r>
        <w:rPr>
          <w:rFonts w:ascii="Times New Roman" w:eastAsia="Times New Roman" w:hAnsi="Times New Roman" w:cs="Times New Roman"/>
          <w:i/>
          <w:sz w:val="24"/>
          <w:szCs w:val="24"/>
        </w:rPr>
        <w:t>Micropolítica: cartografias do desejo</w:t>
      </w:r>
      <w:r>
        <w:rPr>
          <w:rFonts w:ascii="Times New Roman" w:eastAsia="Times New Roman" w:hAnsi="Times New Roman" w:cs="Times New Roman"/>
          <w:sz w:val="24"/>
          <w:szCs w:val="24"/>
        </w:rPr>
        <w:t>. Petrópolis: Vozes.</w:t>
      </w:r>
    </w:p>
    <w:p w14:paraId="2ABF2A87"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Gomes, R.; Murta, D; Facchini, R; &amp; Meneghel, S. N. (2018). Gênero, direitos sexuais e suas implicações na saúde. </w:t>
      </w:r>
      <w:r>
        <w:rPr>
          <w:rFonts w:ascii="Times New Roman" w:eastAsia="Times New Roman" w:hAnsi="Times New Roman" w:cs="Times New Roman"/>
          <w:i/>
          <w:sz w:val="24"/>
          <w:szCs w:val="24"/>
          <w:highlight w:val="white"/>
        </w:rPr>
        <w:t>Ciência e Saúde Coletiva</w:t>
      </w:r>
      <w:r>
        <w:rPr>
          <w:rFonts w:ascii="Times New Roman" w:eastAsia="Times New Roman" w:hAnsi="Times New Roman" w:cs="Times New Roman"/>
          <w:sz w:val="24"/>
          <w:szCs w:val="24"/>
          <w:highlight w:val="white"/>
        </w:rPr>
        <w:t>, 23(6), 1997-2005.</w:t>
      </w:r>
      <w:r>
        <w:rPr>
          <w:rFonts w:ascii="Times New Roman" w:eastAsia="Times New Roman" w:hAnsi="Times New Roman" w:cs="Times New Roman"/>
          <w:sz w:val="24"/>
          <w:szCs w:val="24"/>
          <w:highlight w:val="white"/>
        </w:rPr>
        <w:t xml:space="preserve"> </w:t>
      </w:r>
      <w:hyperlink r:id="rId14">
        <w:r>
          <w:rPr>
            <w:rFonts w:ascii="Times New Roman" w:eastAsia="Times New Roman" w:hAnsi="Times New Roman" w:cs="Times New Roman"/>
            <w:sz w:val="24"/>
            <w:szCs w:val="24"/>
          </w:rPr>
          <w:t>https://doi.org/</w:t>
        </w:r>
      </w:hyperlink>
      <w:r>
        <w:rPr>
          <w:rFonts w:ascii="Times New Roman" w:eastAsia="Times New Roman" w:hAnsi="Times New Roman" w:cs="Times New Roman"/>
          <w:sz w:val="24"/>
          <w:szCs w:val="24"/>
          <w:highlight w:val="white"/>
        </w:rPr>
        <w:t>10.1590/1413-81232018236.04872018</w:t>
      </w:r>
      <w:r>
        <w:rPr>
          <w:rFonts w:ascii="Times New Roman" w:eastAsia="Times New Roman" w:hAnsi="Times New Roman" w:cs="Times New Roman"/>
          <w:sz w:val="24"/>
          <w:szCs w:val="24"/>
        </w:rPr>
        <w:t xml:space="preserve"> </w:t>
      </w:r>
    </w:p>
    <w:p w14:paraId="02CF4DF8"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 D.U., &amp; Lacerda Júnior, F. (2017). Ditadura e insurgência na América Latina: psicologia da libertação e resistência armada. </w:t>
      </w:r>
      <w:r>
        <w:rPr>
          <w:rFonts w:ascii="Times New Roman" w:eastAsia="Times New Roman" w:hAnsi="Times New Roman" w:cs="Times New Roman"/>
          <w:i/>
          <w:sz w:val="24"/>
          <w:szCs w:val="24"/>
        </w:rPr>
        <w:t>Psicol</w:t>
      </w:r>
      <w:r>
        <w:rPr>
          <w:rFonts w:ascii="Times New Roman" w:eastAsia="Times New Roman" w:hAnsi="Times New Roman" w:cs="Times New Roman"/>
          <w:i/>
          <w:sz w:val="24"/>
          <w:szCs w:val="24"/>
        </w:rPr>
        <w:t>ogia: Ciência e Profissão</w:t>
      </w:r>
      <w:r>
        <w:rPr>
          <w:rFonts w:ascii="Times New Roman" w:eastAsia="Times New Roman" w:hAnsi="Times New Roman" w:cs="Times New Roman"/>
          <w:sz w:val="24"/>
          <w:szCs w:val="24"/>
        </w:rPr>
        <w:t xml:space="preserve">, 37(spe),  28-43. </w:t>
      </w:r>
      <w:hyperlink r:id="rId15">
        <w:r>
          <w:rPr>
            <w:rFonts w:ascii="Times New Roman" w:eastAsia="Times New Roman" w:hAnsi="Times New Roman" w:cs="Times New Roman"/>
            <w:sz w:val="24"/>
            <w:szCs w:val="24"/>
          </w:rPr>
          <w:t>https://doi.org/10.1590/1982-10.1590/1982-3703020002017</w:t>
        </w:r>
      </w:hyperlink>
    </w:p>
    <w:p w14:paraId="65EEDD29"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Lindinger, L. (2014). </w:t>
      </w:r>
      <w:r>
        <w:rPr>
          <w:rFonts w:ascii="Times New Roman" w:eastAsia="Times New Roman" w:hAnsi="Times New Roman" w:cs="Times New Roman"/>
          <w:i/>
          <w:sz w:val="24"/>
          <w:szCs w:val="24"/>
        </w:rPr>
        <w:t>Violação de direitos e medidas protetivas na concepção de j</w:t>
      </w:r>
      <w:r>
        <w:rPr>
          <w:rFonts w:ascii="Times New Roman" w:eastAsia="Times New Roman" w:hAnsi="Times New Roman" w:cs="Times New Roman"/>
          <w:i/>
          <w:sz w:val="24"/>
          <w:szCs w:val="24"/>
        </w:rPr>
        <w:t>uízes que atuam em Juizados de Infância e Juventude</w:t>
      </w:r>
      <w:r>
        <w:rPr>
          <w:rFonts w:ascii="Times New Roman" w:eastAsia="Times New Roman" w:hAnsi="Times New Roman" w:cs="Times New Roman"/>
          <w:sz w:val="24"/>
          <w:szCs w:val="24"/>
        </w:rPr>
        <w:t xml:space="preserve"> (Dissertação de Mestrado). Universidade Federal do Espírito Santo, Vitória, ES.</w:t>
      </w:r>
    </w:p>
    <w:p w14:paraId="17A76556"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Maluf, M. (2004). A Participação de Psicólogos Brasileiros na Sociedade Interamericana de Psicologia: Contribuições e Perspe</w:t>
      </w:r>
      <w:r>
        <w:rPr>
          <w:rFonts w:ascii="Times New Roman" w:eastAsia="Times New Roman" w:hAnsi="Times New Roman" w:cs="Times New Roman"/>
          <w:sz w:val="24"/>
          <w:szCs w:val="24"/>
        </w:rPr>
        <w:t xml:space="preserve">ctivas.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xml:space="preserve">, 38 (2), 323-332. </w:t>
      </w:r>
      <w:hyperlink r:id="rId16">
        <w:r>
          <w:rPr>
            <w:rFonts w:ascii="Times New Roman" w:eastAsia="Times New Roman" w:hAnsi="Times New Roman" w:cs="Times New Roman"/>
            <w:sz w:val="24"/>
            <w:szCs w:val="24"/>
          </w:rPr>
          <w:t>https://www.redalyc.org/articulo.oa?id=284/28438219</w:t>
        </w:r>
      </w:hyperlink>
    </w:p>
    <w:p w14:paraId="0BE74CE4"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Medeiros, P. F. de, Bernardes, A. G., &amp; Guareschi, N. M. F. (2005). O c</w:t>
      </w:r>
      <w:r>
        <w:rPr>
          <w:rFonts w:ascii="Times New Roman" w:eastAsia="Times New Roman" w:hAnsi="Times New Roman" w:cs="Times New Roman"/>
          <w:sz w:val="24"/>
          <w:szCs w:val="24"/>
        </w:rPr>
        <w:t xml:space="preserve">onceito de saúde e suas implicações nas práticas psicológicas. </w:t>
      </w:r>
      <w:r>
        <w:rPr>
          <w:rFonts w:ascii="Times New Roman" w:eastAsia="Times New Roman" w:hAnsi="Times New Roman" w:cs="Times New Roman"/>
          <w:i/>
          <w:sz w:val="24"/>
          <w:szCs w:val="24"/>
        </w:rPr>
        <w:t>Psicologia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Teoria e Pesquisa</w:t>
      </w:r>
      <w:r>
        <w:rPr>
          <w:rFonts w:ascii="Times New Roman" w:eastAsia="Times New Roman" w:hAnsi="Times New Roman" w:cs="Times New Roman"/>
          <w:sz w:val="24"/>
          <w:szCs w:val="24"/>
        </w:rPr>
        <w:t>, 21(3), 263-269. https://doi.org/10.1590/S0102-37722005000300002</w:t>
      </w:r>
    </w:p>
    <w:p w14:paraId="437D8698"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Medrado, B., &amp; Lyra, J. (2008). Por uma matriz feminista de gênero para os estudos sobre homens e </w:t>
      </w:r>
      <w:r>
        <w:rPr>
          <w:rFonts w:ascii="Times New Roman" w:eastAsia="Times New Roman" w:hAnsi="Times New Roman" w:cs="Times New Roman"/>
          <w:sz w:val="24"/>
          <w:szCs w:val="24"/>
        </w:rPr>
        <w:t xml:space="preserve">masculinidades. </w:t>
      </w:r>
      <w:r>
        <w:rPr>
          <w:rFonts w:ascii="Times New Roman" w:eastAsia="Times New Roman" w:hAnsi="Times New Roman" w:cs="Times New Roman"/>
          <w:i/>
          <w:sz w:val="24"/>
          <w:szCs w:val="24"/>
        </w:rPr>
        <w:t>Revista estudos feministas</w:t>
      </w:r>
      <w:r>
        <w:rPr>
          <w:rFonts w:ascii="Times New Roman" w:eastAsia="Times New Roman" w:hAnsi="Times New Roman" w:cs="Times New Roman"/>
          <w:sz w:val="24"/>
          <w:szCs w:val="24"/>
        </w:rPr>
        <w:t>, 16, 20-35.</w:t>
      </w:r>
      <w:hyperlink r:id="rId17">
        <w:r>
          <w:rPr>
            <w:rFonts w:ascii="Times New Roman" w:eastAsia="Times New Roman" w:hAnsi="Times New Roman" w:cs="Times New Roman"/>
            <w:sz w:val="24"/>
            <w:szCs w:val="24"/>
          </w:rPr>
          <w:t xml:space="preserve"> https://periodicos.ufsc.br/index.php/ref/article/view/S0104-026X2008000300005/9130</w:t>
        </w:r>
      </w:hyperlink>
    </w:p>
    <w:p w14:paraId="41A13ECC"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Medrado, B., &amp;</w:t>
      </w:r>
      <w:r>
        <w:rPr>
          <w:rFonts w:ascii="Times New Roman" w:eastAsia="Times New Roman" w:hAnsi="Times New Roman" w:cs="Times New Roman"/>
          <w:sz w:val="24"/>
          <w:szCs w:val="24"/>
        </w:rPr>
        <w:t xml:space="preserve"> Lyra, J. (2012). O gênero dos/nos homens: linhas de uma proto-genealogia. </w:t>
      </w:r>
      <w:r>
        <w:rPr>
          <w:rFonts w:ascii="Times New Roman" w:eastAsia="Times New Roman" w:hAnsi="Times New Roman" w:cs="Times New Roman"/>
          <w:i/>
          <w:sz w:val="24"/>
          <w:szCs w:val="24"/>
        </w:rPr>
        <w:t>Ciência &amp; Saúde Coletiva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(10), 2579-2581. </w:t>
      </w:r>
      <w:hyperlink r:id="rId18">
        <w:r>
          <w:rPr>
            <w:rFonts w:ascii="Times New Roman" w:eastAsia="Times New Roman" w:hAnsi="Times New Roman" w:cs="Times New Roman"/>
            <w:sz w:val="24"/>
            <w:szCs w:val="24"/>
          </w:rPr>
          <w:t>https://dx.doi.org/10.1590/S1413-81232012001000003</w:t>
        </w:r>
      </w:hyperlink>
    </w:p>
    <w:p w14:paraId="61F3002F"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Moura, S. M. S. R. de, &amp; Araújo, M. de F. (2004). A maternidade na história e a história dos cuidados maternos. </w:t>
      </w:r>
      <w:r>
        <w:rPr>
          <w:rFonts w:ascii="Times New Roman" w:eastAsia="Times New Roman" w:hAnsi="Times New Roman" w:cs="Times New Roman"/>
          <w:i/>
          <w:sz w:val="24"/>
          <w:szCs w:val="24"/>
          <w:highlight w:val="white"/>
        </w:rPr>
        <w:t>Psicologia: Ciência e Profissão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24</w:t>
      </w:r>
      <w:r>
        <w:rPr>
          <w:rFonts w:ascii="Times New Roman" w:eastAsia="Times New Roman" w:hAnsi="Times New Roman" w:cs="Times New Roman"/>
          <w:sz w:val="24"/>
          <w:szCs w:val="24"/>
          <w:highlight w:val="white"/>
        </w:rPr>
        <w:t xml:space="preserve">(1), 44-55. </w:t>
      </w:r>
      <w:hyperlink r:id="rId19">
        <w:r>
          <w:rPr>
            <w:rFonts w:ascii="Times New Roman" w:eastAsia="Times New Roman" w:hAnsi="Times New Roman" w:cs="Times New Roman"/>
            <w:sz w:val="24"/>
            <w:szCs w:val="24"/>
            <w:highlight w:val="white"/>
          </w:rPr>
          <w:t>https://dx.doi.org/10.1590/</w:t>
        </w:r>
        <w:r>
          <w:rPr>
            <w:rFonts w:ascii="Times New Roman" w:eastAsia="Times New Roman" w:hAnsi="Times New Roman" w:cs="Times New Roman"/>
            <w:sz w:val="24"/>
            <w:szCs w:val="24"/>
            <w:highlight w:val="white"/>
          </w:rPr>
          <w:t>S1414-98932004000100006</w:t>
        </w:r>
      </w:hyperlink>
    </w:p>
    <w:p w14:paraId="425AF061"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Negreiros, D. J., Gomes, I. D., Colaço, V. de F. R., &amp; Ximenes, V. </w:t>
      </w:r>
      <w:proofErr w:type="gramStart"/>
      <w:r>
        <w:rPr>
          <w:rFonts w:ascii="Times New Roman" w:eastAsia="Times New Roman" w:hAnsi="Times New Roman" w:cs="Times New Roman"/>
          <w:sz w:val="24"/>
          <w:szCs w:val="24"/>
          <w:highlight w:val="white"/>
        </w:rPr>
        <w:t>M..</w:t>
      </w:r>
      <w:proofErr w:type="gramEnd"/>
      <w:r>
        <w:rPr>
          <w:rFonts w:ascii="Times New Roman" w:eastAsia="Times New Roman" w:hAnsi="Times New Roman" w:cs="Times New Roman"/>
          <w:sz w:val="24"/>
          <w:szCs w:val="24"/>
          <w:highlight w:val="white"/>
        </w:rPr>
        <w:t xml:space="preserve"> (2018). Risco e vulnerabilidade: pontos de convergência na produção brasileira sobre juventudes. </w:t>
      </w:r>
      <w:r>
        <w:rPr>
          <w:rFonts w:ascii="Times New Roman" w:eastAsia="Times New Roman" w:hAnsi="Times New Roman" w:cs="Times New Roman"/>
          <w:i/>
          <w:sz w:val="24"/>
          <w:szCs w:val="24"/>
          <w:highlight w:val="white"/>
        </w:rPr>
        <w:t>Desidades</w:t>
      </w:r>
      <w:r>
        <w:rPr>
          <w:rFonts w:ascii="Times New Roman" w:eastAsia="Times New Roman" w:hAnsi="Times New Roman" w:cs="Times New Roman"/>
          <w:sz w:val="24"/>
          <w:szCs w:val="24"/>
          <w:highlight w:val="white"/>
        </w:rPr>
        <w:t>, (18), 20-33. http://pepsic.bvsalud.org/pdf/desi/n18/n</w:t>
      </w:r>
      <w:r>
        <w:rPr>
          <w:rFonts w:ascii="Times New Roman" w:eastAsia="Times New Roman" w:hAnsi="Times New Roman" w:cs="Times New Roman"/>
          <w:sz w:val="24"/>
          <w:szCs w:val="24"/>
          <w:highlight w:val="white"/>
        </w:rPr>
        <w:t>18a03.pdf</w:t>
      </w:r>
    </w:p>
    <w:p w14:paraId="35C482E5" w14:textId="77777777" w:rsidR="007E74C0" w:rsidRDefault="00EA0911">
      <w:pPr>
        <w:spacing w:before="100"/>
        <w:ind w:left="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Nogueira, C. (2001). Feminismo e discurso do gênero na Psicologia social. </w:t>
      </w:r>
      <w:r>
        <w:rPr>
          <w:rFonts w:ascii="Times New Roman" w:eastAsia="Times New Roman" w:hAnsi="Times New Roman" w:cs="Times New Roman"/>
          <w:i/>
          <w:sz w:val="24"/>
          <w:szCs w:val="24"/>
          <w:highlight w:val="white"/>
        </w:rPr>
        <w:t>Psicologia &amp; Sociedade</w:t>
      </w:r>
      <w:r>
        <w:rPr>
          <w:rFonts w:ascii="Times New Roman" w:eastAsia="Times New Roman" w:hAnsi="Times New Roman" w:cs="Times New Roman"/>
          <w:sz w:val="24"/>
          <w:szCs w:val="24"/>
          <w:highlight w:val="white"/>
        </w:rPr>
        <w:t>, 3 (1), 107-128.</w:t>
      </w:r>
    </w:p>
    <w:p w14:paraId="4EDE53DF"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Oliven, L. R. A. (2019). A autonomia de separação de direito. </w:t>
      </w:r>
      <w:r>
        <w:rPr>
          <w:rFonts w:ascii="Times New Roman" w:eastAsia="Times New Roman" w:hAnsi="Times New Roman" w:cs="Times New Roman"/>
          <w:i/>
          <w:sz w:val="24"/>
          <w:szCs w:val="24"/>
          <w:highlight w:val="white"/>
        </w:rPr>
        <w:t>Revista Interdisciplinar de Direito</w:t>
      </w:r>
      <w:r>
        <w:rPr>
          <w:rFonts w:ascii="Times New Roman" w:eastAsia="Times New Roman" w:hAnsi="Times New Roman" w:cs="Times New Roman"/>
          <w:sz w:val="24"/>
          <w:szCs w:val="24"/>
          <w:highlight w:val="white"/>
        </w:rPr>
        <w:t xml:space="preserve">, 17 (2), 169-184. </w:t>
      </w:r>
    </w:p>
    <w:p w14:paraId="42447332"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Organização Mun</w:t>
      </w:r>
      <w:r>
        <w:rPr>
          <w:rFonts w:ascii="Times New Roman" w:eastAsia="Times New Roman" w:hAnsi="Times New Roman" w:cs="Times New Roman"/>
          <w:sz w:val="24"/>
          <w:szCs w:val="24"/>
          <w:highlight w:val="white"/>
        </w:rPr>
        <w:t xml:space="preserve">dial da Saúde - OMS (2006). </w:t>
      </w:r>
      <w:r>
        <w:rPr>
          <w:rFonts w:ascii="Times New Roman" w:eastAsia="Times New Roman" w:hAnsi="Times New Roman" w:cs="Times New Roman"/>
          <w:i/>
          <w:sz w:val="24"/>
          <w:szCs w:val="24"/>
          <w:highlight w:val="white"/>
        </w:rPr>
        <w:t>Defining sexual health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Report of a technical consultation on sexual health</w:t>
      </w:r>
      <w:r>
        <w:rPr>
          <w:rFonts w:ascii="Times New Roman" w:eastAsia="Times New Roman" w:hAnsi="Times New Roman" w:cs="Times New Roman"/>
          <w:sz w:val="24"/>
          <w:szCs w:val="24"/>
          <w:highlight w:val="white"/>
        </w:rPr>
        <w:t xml:space="preserve"> (28–31 January 2002, Geneva). www.who.int/reproductivehealth/publications/sexual_health/defining_sexual_health.pdf</w:t>
      </w:r>
    </w:p>
    <w:p w14:paraId="57040F31"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Paula, T. R., Porto, E. J., &amp; Carvalh</w:t>
      </w:r>
      <w:r>
        <w:rPr>
          <w:rFonts w:ascii="Times New Roman" w:eastAsia="Times New Roman" w:hAnsi="Times New Roman" w:cs="Times New Roman"/>
          <w:sz w:val="24"/>
          <w:szCs w:val="24"/>
          <w:highlight w:val="white"/>
        </w:rPr>
        <w:t xml:space="preserve">o, C. S. (2019). Um sobrevoo pelo estado da arte sobre gênero e sexualidade  na pesquisa. </w:t>
      </w:r>
      <w:r>
        <w:rPr>
          <w:rFonts w:ascii="Times New Roman" w:eastAsia="Times New Roman" w:hAnsi="Times New Roman" w:cs="Times New Roman"/>
          <w:i/>
          <w:sz w:val="24"/>
          <w:szCs w:val="24"/>
          <w:highlight w:val="white"/>
        </w:rPr>
        <w:t>Psicologia: Ciência e Profissão</w:t>
      </w:r>
      <w:r>
        <w:rPr>
          <w:rFonts w:ascii="Times New Roman" w:eastAsia="Times New Roman" w:hAnsi="Times New Roman" w:cs="Times New Roman"/>
          <w:sz w:val="24"/>
          <w:szCs w:val="24"/>
          <w:highlight w:val="white"/>
        </w:rPr>
        <w:t xml:space="preserve">, 39 (n.spe 3), 194-205. https://doi.org/10.1590/1982-3703003228573 </w:t>
      </w:r>
    </w:p>
    <w:p w14:paraId="51C7B652"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Paiva, V. (2008). A psicologia redescobrirá a sexualidade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Psicol</w:t>
      </w:r>
      <w:r>
        <w:rPr>
          <w:rFonts w:ascii="Times New Roman" w:eastAsia="Times New Roman" w:hAnsi="Times New Roman" w:cs="Times New Roman"/>
          <w:i/>
          <w:sz w:val="24"/>
          <w:szCs w:val="24"/>
        </w:rPr>
        <w:t>ogia em Estudo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(4), 641-651. </w:t>
      </w:r>
      <w:hyperlink r:id="rId20">
        <w:r>
          <w:rPr>
            <w:rFonts w:ascii="Times New Roman" w:eastAsia="Times New Roman" w:hAnsi="Times New Roman" w:cs="Times New Roman"/>
            <w:sz w:val="24"/>
            <w:szCs w:val="24"/>
          </w:rPr>
          <w:t>https://dx.doi.org/10.1590/S1413-73722008000400002</w:t>
        </w:r>
      </w:hyperlink>
    </w:p>
    <w:p w14:paraId="75AA5ABA"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Polanco, F. (2016). </w:t>
      </w:r>
      <w:r>
        <w:rPr>
          <w:rFonts w:ascii="Times New Roman" w:eastAsia="Times New Roman" w:hAnsi="Times New Roman" w:cs="Times New Roman"/>
          <w:i/>
          <w:sz w:val="24"/>
          <w:szCs w:val="24"/>
        </w:rPr>
        <w:t>Impacto y evolución del conductismo en la Revista Interamericana de Psicología y la</w:t>
      </w:r>
      <w:r>
        <w:rPr>
          <w:rFonts w:ascii="Times New Roman" w:eastAsia="Times New Roman" w:hAnsi="Times New Roman" w:cs="Times New Roman"/>
          <w:i/>
          <w:sz w:val="24"/>
          <w:szCs w:val="24"/>
        </w:rPr>
        <w:t xml:space="preserve"> Revista Latinoamericana de Psicología:</w:t>
      </w:r>
      <w:r>
        <w:rPr>
          <w:rFonts w:ascii="Times New Roman" w:eastAsia="Times New Roman" w:hAnsi="Times New Roman" w:cs="Times New Roman"/>
          <w:sz w:val="24"/>
          <w:szCs w:val="24"/>
        </w:rPr>
        <w:t xml:space="preserve"> Un análisis socio- bibliométrico (1969-2008). Tese de Doutorado (</w:t>
      </w:r>
      <w:r>
        <w:rPr>
          <w:rFonts w:ascii="Times New Roman" w:eastAsia="Times New Roman" w:hAnsi="Times New Roman" w:cs="Times New Roman"/>
          <w:i/>
          <w:sz w:val="24"/>
          <w:szCs w:val="24"/>
        </w:rPr>
        <w:t>unpublished</w:t>
      </w:r>
      <w:r>
        <w:rPr>
          <w:rFonts w:ascii="Times New Roman" w:eastAsia="Times New Roman" w:hAnsi="Times New Roman" w:cs="Times New Roman"/>
          <w:sz w:val="24"/>
          <w:szCs w:val="24"/>
        </w:rPr>
        <w:t>). Universidad Nacional de San Luis, San Luis, Argentina.</w:t>
      </w:r>
    </w:p>
    <w:p w14:paraId="236783D7"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Rago, M. (1998). Descobrindo historicamente o gênero. </w:t>
      </w:r>
      <w:r>
        <w:rPr>
          <w:rFonts w:ascii="Times New Roman" w:eastAsia="Times New Roman" w:hAnsi="Times New Roman" w:cs="Times New Roman"/>
          <w:i/>
          <w:sz w:val="24"/>
          <w:szCs w:val="24"/>
          <w:highlight w:val="white"/>
        </w:rPr>
        <w:t>Cadernos Pagu</w:t>
      </w:r>
      <w:r>
        <w:rPr>
          <w:rFonts w:ascii="Times New Roman" w:eastAsia="Times New Roman" w:hAnsi="Times New Roman" w:cs="Times New Roman"/>
          <w:sz w:val="24"/>
          <w:szCs w:val="24"/>
          <w:highlight w:val="white"/>
        </w:rPr>
        <w:t xml:space="preserve">, (11), 89-98. </w:t>
      </w:r>
      <w:hyperlink r:id="rId21">
        <w:r>
          <w:rPr>
            <w:rFonts w:ascii="Times New Roman" w:eastAsia="Times New Roman" w:hAnsi="Times New Roman" w:cs="Times New Roman"/>
            <w:sz w:val="24"/>
            <w:szCs w:val="24"/>
            <w:highlight w:val="white"/>
          </w:rPr>
          <w:t>https://periodicos.sbu.unicamp.br/ojs/index.php/cadpagu/article/view/8634465</w:t>
        </w:r>
      </w:hyperlink>
    </w:p>
    <w:p w14:paraId="553982BB"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Resende, D. K. (2017).  Maternidade: Uma Construção Histórica e Social. </w:t>
      </w:r>
      <w:r>
        <w:rPr>
          <w:rFonts w:ascii="Times New Roman" w:eastAsia="Times New Roman" w:hAnsi="Times New Roman" w:cs="Times New Roman"/>
          <w:i/>
          <w:sz w:val="24"/>
          <w:szCs w:val="24"/>
          <w:highlight w:val="white"/>
        </w:rPr>
        <w:t>Pretexto Re</w:t>
      </w:r>
      <w:r>
        <w:rPr>
          <w:rFonts w:ascii="Times New Roman" w:eastAsia="Times New Roman" w:hAnsi="Times New Roman" w:cs="Times New Roman"/>
          <w:i/>
          <w:sz w:val="24"/>
          <w:szCs w:val="24"/>
          <w:highlight w:val="white"/>
        </w:rPr>
        <w:t xml:space="preserve">vista da Graduação em Psicologia da PUC-MG, </w:t>
      </w:r>
      <w:r>
        <w:rPr>
          <w:rFonts w:ascii="Times New Roman" w:eastAsia="Times New Roman" w:hAnsi="Times New Roman" w:cs="Times New Roman"/>
          <w:sz w:val="24"/>
          <w:szCs w:val="24"/>
          <w:highlight w:val="white"/>
        </w:rPr>
        <w:t>2(4), 175-191. http://periodicos.pucminas.br/index.php/pretextos/article/view/15251</w:t>
      </w:r>
    </w:p>
    <w:p w14:paraId="1A591F8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Rou</w:t>
      </w:r>
      <w:r>
        <w:rPr>
          <w:rFonts w:ascii="Times New Roman" w:eastAsia="Times New Roman" w:hAnsi="Times New Roman" w:cs="Times New Roman"/>
          <w:sz w:val="24"/>
          <w:szCs w:val="24"/>
        </w:rPr>
        <w:t xml:space="preserve">dinesco, E. (2003). </w:t>
      </w:r>
      <w:r>
        <w:rPr>
          <w:rFonts w:ascii="Times New Roman" w:eastAsia="Times New Roman" w:hAnsi="Times New Roman" w:cs="Times New Roman"/>
          <w:i/>
          <w:sz w:val="24"/>
          <w:szCs w:val="24"/>
        </w:rPr>
        <w:t>A família em desordem</w:t>
      </w:r>
      <w:r>
        <w:rPr>
          <w:rFonts w:ascii="Times New Roman" w:eastAsia="Times New Roman" w:hAnsi="Times New Roman" w:cs="Times New Roman"/>
          <w:sz w:val="24"/>
          <w:szCs w:val="24"/>
        </w:rPr>
        <w:t>. Rio de Janeiro, RJ: Zahar.</w:t>
      </w:r>
    </w:p>
    <w:p w14:paraId="681BE8A4"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Saffioti, H. I. B. (2001). Contribuições feministas par</w:t>
      </w:r>
      <w:r>
        <w:rPr>
          <w:rFonts w:ascii="Times New Roman" w:eastAsia="Times New Roman" w:hAnsi="Times New Roman" w:cs="Times New Roman"/>
          <w:sz w:val="24"/>
          <w:szCs w:val="24"/>
        </w:rPr>
        <w:t xml:space="preserve">a o estudo da violência de gênero. </w:t>
      </w:r>
      <w:r>
        <w:rPr>
          <w:rFonts w:ascii="Times New Roman" w:eastAsia="Times New Roman" w:hAnsi="Times New Roman" w:cs="Times New Roman"/>
          <w:i/>
          <w:sz w:val="24"/>
          <w:szCs w:val="24"/>
        </w:rPr>
        <w:t>Cadernos Pagu</w:t>
      </w:r>
      <w:r>
        <w:rPr>
          <w:rFonts w:ascii="Times New Roman" w:eastAsia="Times New Roman" w:hAnsi="Times New Roman" w:cs="Times New Roman"/>
          <w:sz w:val="24"/>
          <w:szCs w:val="24"/>
        </w:rPr>
        <w:t xml:space="preserve">, (16), 115-136.  </w:t>
      </w:r>
      <w:hyperlink r:id="rId22">
        <w:r>
          <w:rPr>
            <w:rFonts w:ascii="Times New Roman" w:eastAsia="Times New Roman" w:hAnsi="Times New Roman" w:cs="Times New Roman"/>
            <w:sz w:val="24"/>
            <w:szCs w:val="24"/>
          </w:rPr>
          <w:t>https://doi.org/10.1590/S0104-83332001000100007</w:t>
        </w:r>
      </w:hyperlink>
    </w:p>
    <w:p w14:paraId="11B8D0E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Scarparo, H. B. K., Torres, S., &amp; Ecker, D. </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(2014). Psicologia e ditadu</w:t>
      </w:r>
      <w:r>
        <w:rPr>
          <w:rFonts w:ascii="Times New Roman" w:eastAsia="Times New Roman" w:hAnsi="Times New Roman" w:cs="Times New Roman"/>
          <w:sz w:val="24"/>
          <w:szCs w:val="24"/>
        </w:rPr>
        <w:t xml:space="preserve">ra civil-militar: reflexões sobre práticas psicológicas frente às violências de estado. </w:t>
      </w:r>
      <w:r>
        <w:rPr>
          <w:rFonts w:ascii="Times New Roman" w:eastAsia="Times New Roman" w:hAnsi="Times New Roman" w:cs="Times New Roman"/>
          <w:i/>
          <w:sz w:val="24"/>
          <w:szCs w:val="24"/>
        </w:rPr>
        <w:t>EPOS</w:t>
      </w:r>
      <w:r>
        <w:rPr>
          <w:rFonts w:ascii="Times New Roman" w:eastAsia="Times New Roman" w:hAnsi="Times New Roman" w:cs="Times New Roman"/>
          <w:sz w:val="24"/>
          <w:szCs w:val="24"/>
        </w:rPr>
        <w:t>, 5(1), 57-78. http://pepsic.bvsalud.org/pdf/epos/v5n1/04.pdf</w:t>
      </w:r>
    </w:p>
    <w:p w14:paraId="7A338C14"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J. W. (1995). Gênero: uma categoria útil para análise histórica. </w:t>
      </w:r>
      <w:r>
        <w:rPr>
          <w:rFonts w:ascii="Times New Roman" w:eastAsia="Times New Roman" w:hAnsi="Times New Roman" w:cs="Times New Roman"/>
          <w:i/>
          <w:sz w:val="24"/>
          <w:szCs w:val="24"/>
        </w:rPr>
        <w:t>Educação &amp; Realidade,</w:t>
      </w:r>
      <w:r>
        <w:rPr>
          <w:rFonts w:ascii="Times New Roman" w:eastAsia="Times New Roman" w:hAnsi="Times New Roman" w:cs="Times New Roman"/>
          <w:sz w:val="24"/>
          <w:szCs w:val="24"/>
        </w:rPr>
        <w:t xml:space="preserve"> 20(2), 7</w:t>
      </w:r>
      <w:r>
        <w:rPr>
          <w:rFonts w:ascii="Times New Roman" w:eastAsia="Times New Roman" w:hAnsi="Times New Roman" w:cs="Times New Roman"/>
          <w:sz w:val="24"/>
          <w:szCs w:val="24"/>
        </w:rPr>
        <w:t>1-99. https://seer.ufrgs.br/index.php/educacaoerealidade/article/view/71721</w:t>
      </w:r>
    </w:p>
    <w:p w14:paraId="2691CAC3"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highlight w:val="white"/>
        </w:rPr>
        <w:t xml:space="preserve">Silva, N. de F. (2016). Ditadura civil-militar no Brasil e a ordem de gênero: masculinidades e feminilidades vigiadas. </w:t>
      </w:r>
      <w:r>
        <w:rPr>
          <w:rFonts w:ascii="Times New Roman" w:eastAsia="Times New Roman" w:hAnsi="Times New Roman" w:cs="Times New Roman"/>
          <w:i/>
          <w:color w:val="111111"/>
          <w:sz w:val="24"/>
          <w:szCs w:val="24"/>
          <w:highlight w:val="white"/>
        </w:rPr>
        <w:t>Mosaico, 7</w:t>
      </w:r>
      <w:r>
        <w:rPr>
          <w:rFonts w:ascii="Times New Roman" w:eastAsia="Times New Roman" w:hAnsi="Times New Roman" w:cs="Times New Roman"/>
          <w:color w:val="111111"/>
          <w:sz w:val="24"/>
          <w:szCs w:val="24"/>
          <w:highlight w:val="white"/>
        </w:rPr>
        <w:t>(11), 64-83. doi:http://dx.doi.org/10.12660/rm.v7n1</w:t>
      </w:r>
      <w:r>
        <w:rPr>
          <w:rFonts w:ascii="Times New Roman" w:eastAsia="Times New Roman" w:hAnsi="Times New Roman" w:cs="Times New Roman"/>
          <w:color w:val="111111"/>
          <w:sz w:val="24"/>
          <w:szCs w:val="24"/>
          <w:highlight w:val="white"/>
        </w:rPr>
        <w:t>1.2016.64778</w:t>
      </w:r>
    </w:p>
    <w:p w14:paraId="421C591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Strey, M. N. (2004). Violência de gênero: uma questão complexa e interminável. M. Strey; M. Azambuja &amp; F. Jaeger. (Orgs.). </w:t>
      </w:r>
      <w:r>
        <w:rPr>
          <w:rFonts w:ascii="Times New Roman" w:eastAsia="Times New Roman" w:hAnsi="Times New Roman" w:cs="Times New Roman"/>
          <w:i/>
          <w:sz w:val="24"/>
          <w:szCs w:val="24"/>
        </w:rPr>
        <w:t>Violência, gênero e políticas públicas</w:t>
      </w:r>
      <w:r>
        <w:rPr>
          <w:rFonts w:ascii="Times New Roman" w:eastAsia="Times New Roman" w:hAnsi="Times New Roman" w:cs="Times New Roman"/>
          <w:sz w:val="24"/>
          <w:szCs w:val="24"/>
        </w:rPr>
        <w:t>, 13-43. Porto Alegre: EDIPUCRS.</w:t>
      </w:r>
    </w:p>
    <w:p w14:paraId="54933879"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M. F. de. (2009). As análises de gênero e </w:t>
      </w:r>
      <w:r>
        <w:rPr>
          <w:rFonts w:ascii="Times New Roman" w:eastAsia="Times New Roman" w:hAnsi="Times New Roman" w:cs="Times New Roman"/>
          <w:sz w:val="24"/>
          <w:szCs w:val="24"/>
        </w:rPr>
        <w:t xml:space="preserve">a formação do campo de estudos sobre a(s) masculinidade(s). </w:t>
      </w:r>
      <w:r>
        <w:rPr>
          <w:rFonts w:ascii="Times New Roman" w:eastAsia="Times New Roman" w:hAnsi="Times New Roman" w:cs="Times New Roman"/>
          <w:i/>
          <w:sz w:val="24"/>
          <w:szCs w:val="24"/>
        </w:rPr>
        <w:t>Mediações</w:t>
      </w:r>
      <w:r>
        <w:rPr>
          <w:rFonts w:ascii="Times New Roman" w:eastAsia="Times New Roman" w:hAnsi="Times New Roman" w:cs="Times New Roman"/>
          <w:sz w:val="24"/>
          <w:szCs w:val="24"/>
        </w:rPr>
        <w:t xml:space="preserve">, 14(2), 123-144. </w:t>
      </w:r>
      <w:hyperlink r:id="rId23">
        <w:r>
          <w:rPr>
            <w:rFonts w:ascii="Times New Roman" w:eastAsia="Times New Roman" w:hAnsi="Times New Roman" w:cs="Times New Roman"/>
            <w:sz w:val="24"/>
            <w:szCs w:val="24"/>
          </w:rPr>
          <w:t>http://dx.doi.org/10.5433/2176-6665.2009v14n2p123</w:t>
        </w:r>
      </w:hyperlink>
    </w:p>
    <w:p w14:paraId="2EEA67BA"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L. G. S. (2012). </w:t>
      </w:r>
      <w:r>
        <w:rPr>
          <w:rFonts w:ascii="Times New Roman" w:eastAsia="Times New Roman" w:hAnsi="Times New Roman" w:cs="Times New Roman"/>
          <w:i/>
          <w:sz w:val="24"/>
          <w:szCs w:val="24"/>
        </w:rPr>
        <w:t>Profissionais de saúde da família e representações sociais de alcoolismo</w:t>
      </w:r>
      <w:r>
        <w:rPr>
          <w:rFonts w:ascii="Times New Roman" w:eastAsia="Times New Roman" w:hAnsi="Times New Roman" w:cs="Times New Roman"/>
          <w:sz w:val="24"/>
          <w:szCs w:val="24"/>
        </w:rPr>
        <w:t>. (Tese de Doutorado). Pós-Graduação em Psicologia: UFES. Vitória, Brasil</w:t>
      </w:r>
    </w:p>
    <w:p w14:paraId="719A2861"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Stellin, R. M. R., Monteiro, C. F.  </w:t>
      </w:r>
      <w:proofErr w:type="gramStart"/>
      <w:r>
        <w:rPr>
          <w:rFonts w:ascii="Times New Roman" w:eastAsia="Times New Roman" w:hAnsi="Times New Roman" w:cs="Times New Roman"/>
          <w:sz w:val="24"/>
          <w:szCs w:val="24"/>
        </w:rPr>
        <w:t>d'A</w:t>
      </w:r>
      <w:proofErr w:type="gramEnd"/>
      <w:r>
        <w:rPr>
          <w:rFonts w:ascii="Times New Roman" w:eastAsia="Times New Roman" w:hAnsi="Times New Roman" w:cs="Times New Roman"/>
          <w:sz w:val="24"/>
          <w:szCs w:val="24"/>
        </w:rPr>
        <w:t>., Albuquerque, R. A., &amp; Marques, C. M. X. C. (2011). Processos de cons</w:t>
      </w:r>
      <w:r>
        <w:rPr>
          <w:rFonts w:ascii="Times New Roman" w:eastAsia="Times New Roman" w:hAnsi="Times New Roman" w:cs="Times New Roman"/>
          <w:sz w:val="24"/>
          <w:szCs w:val="24"/>
        </w:rPr>
        <w:t xml:space="preserve">trução de maternagem. Feminilidade e maternagem: recursos psíquicos para o exercício da maternagem em suas singularidades. </w:t>
      </w:r>
      <w:r>
        <w:rPr>
          <w:rFonts w:ascii="Times New Roman" w:eastAsia="Times New Roman" w:hAnsi="Times New Roman" w:cs="Times New Roman"/>
          <w:i/>
          <w:sz w:val="24"/>
          <w:szCs w:val="24"/>
        </w:rPr>
        <w:t>Estilos da Clínica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(1), 170-185. http://pepsic.bvsalud.org/pdf/estic/v16n1/a10v16n1.pdf.</w:t>
      </w:r>
    </w:p>
    <w:p w14:paraId="420BFAF6"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Torres Fernandez, I., Polanco, F., Pereir</w:t>
      </w:r>
      <w:r>
        <w:rPr>
          <w:rFonts w:ascii="Times New Roman" w:eastAsia="Times New Roman" w:hAnsi="Times New Roman" w:cs="Times New Roman"/>
          <w:sz w:val="24"/>
          <w:szCs w:val="24"/>
        </w:rPr>
        <w:t xml:space="preserve">a, S., Sueli Beria, J. &amp; Zapico, M. (2017). Celebrating 50 years of the Interamerican Journal of Psychology: a content analysis.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51 (3), 320-334. https://doi.org/10.30849/rip/ijp.v51i3.954</w:t>
      </w:r>
    </w:p>
    <w:p w14:paraId="60A79498"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Zanello, V.; &amp; Bukowitz, B. (2</w:t>
      </w:r>
      <w:r>
        <w:rPr>
          <w:rFonts w:ascii="Times New Roman" w:eastAsia="Times New Roman" w:hAnsi="Times New Roman" w:cs="Times New Roman"/>
          <w:sz w:val="24"/>
          <w:szCs w:val="24"/>
          <w:highlight w:val="white"/>
        </w:rPr>
        <w:t xml:space="preserve">011). Loucura e cultura: uma escuta das relações de gênero nas falas de pacientes psiquiatrizados. </w:t>
      </w:r>
      <w:r>
        <w:rPr>
          <w:rFonts w:ascii="Times New Roman" w:eastAsia="Times New Roman" w:hAnsi="Times New Roman" w:cs="Times New Roman"/>
          <w:i/>
          <w:sz w:val="24"/>
          <w:szCs w:val="24"/>
          <w:highlight w:val="white"/>
        </w:rPr>
        <w:t>Revista Labrys Estudos Feministas</w:t>
      </w:r>
      <w:r>
        <w:rPr>
          <w:rFonts w:ascii="Times New Roman" w:eastAsia="Times New Roman" w:hAnsi="Times New Roman" w:cs="Times New Roman"/>
          <w:sz w:val="24"/>
          <w:szCs w:val="24"/>
          <w:highlight w:val="white"/>
        </w:rPr>
        <w:t xml:space="preserve">. 20-21. </w:t>
      </w:r>
      <w:hyperlink r:id="rId24">
        <w:r>
          <w:rPr>
            <w:rFonts w:ascii="Times New Roman" w:eastAsia="Times New Roman" w:hAnsi="Times New Roman" w:cs="Times New Roman"/>
            <w:sz w:val="24"/>
            <w:szCs w:val="24"/>
            <w:highlight w:val="white"/>
          </w:rPr>
          <w:t>http://www.labrys.net.br/labrys20/brasil/va</w:t>
        </w:r>
        <w:r>
          <w:rPr>
            <w:rFonts w:ascii="Times New Roman" w:eastAsia="Times New Roman" w:hAnsi="Times New Roman" w:cs="Times New Roman"/>
            <w:sz w:val="24"/>
            <w:szCs w:val="24"/>
            <w:highlight w:val="white"/>
          </w:rPr>
          <w:t>leska.htm</w:t>
        </w:r>
      </w:hyperlink>
      <w:r>
        <w:rPr>
          <w:rFonts w:ascii="Times New Roman" w:eastAsia="Times New Roman" w:hAnsi="Times New Roman" w:cs="Times New Roman"/>
          <w:sz w:val="24"/>
          <w:szCs w:val="24"/>
        </w:rPr>
        <w:t xml:space="preserve"> </w:t>
      </w:r>
    </w:p>
    <w:p w14:paraId="17FC7445"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Zilles, U. (2002). Apresentação. In: A. Wagner. (Org.). </w:t>
      </w:r>
      <w:r>
        <w:rPr>
          <w:rFonts w:ascii="Times New Roman" w:eastAsia="Times New Roman" w:hAnsi="Times New Roman" w:cs="Times New Roman"/>
          <w:i/>
          <w:sz w:val="24"/>
          <w:szCs w:val="24"/>
        </w:rPr>
        <w:t>Família em cena: tramas, dramas e transformações</w:t>
      </w:r>
      <w:r>
        <w:rPr>
          <w:rFonts w:ascii="Times New Roman" w:eastAsia="Times New Roman" w:hAnsi="Times New Roman" w:cs="Times New Roman"/>
          <w:sz w:val="24"/>
          <w:szCs w:val="24"/>
        </w:rPr>
        <w:t xml:space="preserve"> (9-11). Petrópolis, RJ: Vozes.</w:t>
      </w:r>
    </w:p>
    <w:p w14:paraId="4B0547DE" w14:textId="77777777" w:rsidR="007E74C0" w:rsidRDefault="007E74C0">
      <w:pPr>
        <w:spacing w:line="240" w:lineRule="auto"/>
        <w:jc w:val="both"/>
        <w:rPr>
          <w:rFonts w:ascii="Times New Roman" w:eastAsia="Times New Roman" w:hAnsi="Times New Roman" w:cs="Times New Roman"/>
          <w:color w:val="313131"/>
          <w:sz w:val="24"/>
          <w:szCs w:val="24"/>
        </w:rPr>
      </w:pPr>
    </w:p>
    <w:p w14:paraId="24A2F075" w14:textId="77777777" w:rsidR="007E74C0" w:rsidRDefault="007E74C0">
      <w:pPr>
        <w:spacing w:line="240" w:lineRule="auto"/>
        <w:jc w:val="both"/>
        <w:rPr>
          <w:rFonts w:ascii="Times New Roman" w:eastAsia="Times New Roman" w:hAnsi="Times New Roman" w:cs="Times New Roman"/>
          <w:color w:val="313131"/>
          <w:sz w:val="24"/>
          <w:szCs w:val="24"/>
        </w:rPr>
      </w:pPr>
    </w:p>
    <w:p w14:paraId="19EF860F" w14:textId="77777777" w:rsidR="007E74C0" w:rsidRDefault="007E74C0">
      <w:pPr>
        <w:spacing w:line="240" w:lineRule="auto"/>
        <w:ind w:left="708"/>
        <w:jc w:val="both"/>
        <w:rPr>
          <w:rFonts w:ascii="Times New Roman" w:eastAsia="Times New Roman" w:hAnsi="Times New Roman" w:cs="Times New Roman"/>
          <w:b/>
          <w:sz w:val="24"/>
          <w:szCs w:val="24"/>
        </w:rPr>
      </w:pPr>
    </w:p>
    <w:sectPr w:rsidR="007E74C0">
      <w:headerReference w:type="default" r:id="rId25"/>
      <w:footerReference w:type="default" r:id="rId26"/>
      <w:pgSz w:w="11906" w:h="16838"/>
      <w:pgMar w:top="1700" w:right="1133" w:bottom="1133" w:left="170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ap" w:date="2020-10-30T11:24:00Z" w:initials="z">
    <w:p w14:paraId="4E44D6EC" w14:textId="77777777" w:rsidR="008677AC" w:rsidRDefault="008677AC">
      <w:pPr>
        <w:pStyle w:val="Textocomentario"/>
      </w:pPr>
      <w:r>
        <w:rPr>
          <w:rStyle w:val="Refdecomentario"/>
        </w:rPr>
        <w:annotationRef/>
      </w:r>
      <w:r>
        <w:t>Está bien pero es muy breve Debiera tener los apartados quizá más estratificados: Tipo de estudio y explicar algo del mismo; la muestra y recolección de la misma ser un solo apartado son los subapartados de inclusión y exclusión, y La codificación temática así como lo que se hizo en el cuerpo del artículo estar específicado dentro de un apartado de Análisis de los Datos</w:t>
      </w:r>
    </w:p>
  </w:comment>
  <w:comment w:id="1" w:author="zap" w:date="2020-10-30T11:27:00Z" w:initials="z">
    <w:p w14:paraId="41F60BAD" w14:textId="77777777" w:rsidR="008677AC" w:rsidRDefault="008677AC">
      <w:pPr>
        <w:pStyle w:val="Textocomentario"/>
      </w:pPr>
      <w:r>
        <w:rPr>
          <w:rStyle w:val="Refdecomentario"/>
        </w:rPr>
        <w:annotationRef/>
      </w:r>
      <w:r>
        <w:t>Hay un gráfico acá que no tiene referencia Son 3 graficos y se numeran 2 nada más</w:t>
      </w:r>
      <w:bookmarkStart w:id="2" w:name="_GoBack"/>
      <w:bookmarkEnd w:id="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4D6EC" w15:done="0"/>
  <w15:commentEx w15:paraId="41F60B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9D1C9" w14:textId="77777777" w:rsidR="00EA0911" w:rsidRDefault="00EA0911">
      <w:pPr>
        <w:spacing w:line="240" w:lineRule="auto"/>
      </w:pPr>
      <w:r>
        <w:separator/>
      </w:r>
    </w:p>
  </w:endnote>
  <w:endnote w:type="continuationSeparator" w:id="0">
    <w:p w14:paraId="4A222C50" w14:textId="77777777" w:rsidR="00EA0911" w:rsidRDefault="00EA09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CCE98" w14:textId="77777777" w:rsidR="007E74C0" w:rsidRDefault="00EA091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8677AC">
      <w:rPr>
        <w:rFonts w:ascii="Times New Roman" w:eastAsia="Times New Roman" w:hAnsi="Times New Roman" w:cs="Times New Roman"/>
        <w:sz w:val="24"/>
        <w:szCs w:val="24"/>
      </w:rPr>
      <w:fldChar w:fldCharType="separate"/>
    </w:r>
    <w:r w:rsidR="008677AC">
      <w:rPr>
        <w:rFonts w:ascii="Times New Roman" w:eastAsia="Times New Roman" w:hAnsi="Times New Roman" w:cs="Times New Roman"/>
        <w:noProof/>
        <w:sz w:val="24"/>
        <w:szCs w:val="24"/>
      </w:rPr>
      <w:t>20</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61B0D" w14:textId="77777777" w:rsidR="00EA0911" w:rsidRDefault="00EA0911">
      <w:pPr>
        <w:spacing w:line="240" w:lineRule="auto"/>
      </w:pPr>
      <w:r>
        <w:separator/>
      </w:r>
    </w:p>
  </w:footnote>
  <w:footnote w:type="continuationSeparator" w:id="0">
    <w:p w14:paraId="7C1A6E92" w14:textId="77777777" w:rsidR="00EA0911" w:rsidRDefault="00EA0911">
      <w:pPr>
        <w:spacing w:line="240" w:lineRule="auto"/>
      </w:pPr>
      <w:r>
        <w:continuationSeparator/>
      </w:r>
    </w:p>
  </w:footnote>
  <w:footnote w:id="1">
    <w:p w14:paraId="69D1D019" w14:textId="77777777" w:rsidR="007E74C0" w:rsidRDefault="00EA0911">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Link</w:t>
      </w:r>
      <w:r>
        <w:rPr>
          <w:rFonts w:ascii="Times New Roman" w:eastAsia="Times New Roman" w:hAnsi="Times New Roman" w:cs="Times New Roman"/>
          <w:sz w:val="20"/>
          <w:szCs w:val="20"/>
        </w:rPr>
        <w:t xml:space="preserve"> quebrado: &lt;</w:t>
      </w:r>
      <w:hyperlink r:id="rId1">
        <w:r>
          <w:rPr>
            <w:rFonts w:ascii="Times New Roman" w:eastAsia="Times New Roman" w:hAnsi="Times New Roman" w:cs="Times New Roman"/>
            <w:sz w:val="20"/>
            <w:szCs w:val="20"/>
          </w:rPr>
          <w:t>https://journal.sipsych.org/index.php/IJP/issue/view/55</w:t>
        </w:r>
      </w:hyperlink>
      <w:r>
        <w:rPr>
          <w:rFonts w:ascii="Times New Roman" w:eastAsia="Times New Roman" w:hAnsi="Times New Roman" w:cs="Times New Roman"/>
          <w:sz w:val="20"/>
          <w:szCs w:val="20"/>
        </w:rPr>
        <w:t>&gt; [05/03/2020]</w:t>
      </w:r>
    </w:p>
  </w:footnote>
  <w:footnote w:id="2">
    <w:p w14:paraId="312946F8" w14:textId="77777777" w:rsidR="007E74C0" w:rsidRDefault="00EA0911">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Link </w:t>
      </w:r>
      <w:r>
        <w:rPr>
          <w:rFonts w:ascii="Times New Roman" w:eastAsia="Times New Roman" w:hAnsi="Times New Roman" w:cs="Times New Roman"/>
          <w:sz w:val="20"/>
          <w:szCs w:val="20"/>
        </w:rPr>
        <w:t>redireciona para outra edição: &lt;</w:t>
      </w:r>
      <w:hyperlink r:id="rId2">
        <w:r>
          <w:rPr>
            <w:rFonts w:ascii="Times New Roman" w:eastAsia="Times New Roman" w:hAnsi="Times New Roman" w:cs="Times New Roman"/>
            <w:sz w:val="20"/>
            <w:szCs w:val="20"/>
          </w:rPr>
          <w:t>https://journal.sipsych.org/index.php/IJP/issue/view/65</w:t>
        </w:r>
      </w:hyperlink>
      <w:r>
        <w:rPr>
          <w:rFonts w:ascii="Times New Roman" w:eastAsia="Times New Roman" w:hAnsi="Times New Roman" w:cs="Times New Roman"/>
          <w:sz w:val="20"/>
          <w:szCs w:val="20"/>
        </w:rPr>
        <w:t>&gt; [05/03/2020]</w:t>
      </w:r>
    </w:p>
  </w:footnote>
  <w:footnote w:id="3">
    <w:p w14:paraId="1794638D" w14:textId="77777777" w:rsidR="007E74C0" w:rsidRDefault="00EA0911">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&lt;</w:t>
      </w:r>
      <w:hyperlink r:id="rId3">
        <w:r>
          <w:rPr>
            <w:rFonts w:ascii="Times New Roman" w:eastAsia="Times New Roman" w:hAnsi="Times New Roman" w:cs="Times New Roman"/>
            <w:sz w:val="20"/>
            <w:szCs w:val="20"/>
          </w:rPr>
          <w:t>https://dialnet.unirioja.es/revista/12854/V/32</w:t>
        </w:r>
      </w:hyperlink>
      <w:r>
        <w:rPr>
          <w:rFonts w:ascii="Times New Roman" w:eastAsia="Times New Roman" w:hAnsi="Times New Roman" w:cs="Times New Roman"/>
          <w:sz w:val="20"/>
          <w:szCs w:val="20"/>
        </w:rPr>
        <w:t>&gt; [1º/01/2020]</w:t>
      </w:r>
    </w:p>
  </w:footnote>
  <w:footnote w:id="4">
    <w:p w14:paraId="32BBC854" w14:textId="77777777" w:rsidR="007E74C0" w:rsidRDefault="00EA0911">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 original, em Inglês: “</w:t>
      </w:r>
      <w:r>
        <w:rPr>
          <w:rFonts w:ascii="Times New Roman" w:eastAsia="Times New Roman" w:hAnsi="Times New Roman" w:cs="Times New Roman"/>
          <w:i/>
          <w:sz w:val="20"/>
          <w:szCs w:val="20"/>
        </w:rPr>
        <w:t>Sexual health is</w:t>
      </w:r>
      <w:r>
        <w:rPr>
          <w:rFonts w:ascii="Times New Roman" w:eastAsia="Times New Roman" w:hAnsi="Times New Roman" w:cs="Times New Roman"/>
          <w:i/>
          <w:sz w:val="20"/>
          <w:szCs w:val="20"/>
        </w:rPr>
        <w:t xml:space="preserve"> a state of physical, emotional, mental and social well-being in relation to sexuality; it is not merely the absence of disease, dysfunction or infirmity</w:t>
      </w:r>
      <w:r>
        <w:rPr>
          <w:rFonts w:ascii="Times New Roman" w:eastAsia="Times New Roman" w:hAnsi="Times New Roman" w:cs="Times New Roman"/>
          <w:sz w:val="20"/>
          <w:szCs w:val="20"/>
        </w:rPr>
        <w:t>.” Traduzido livremente.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8761B" w14:textId="77777777" w:rsidR="007E74C0" w:rsidRDefault="007E74C0"/>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p">
    <w15:presenceInfo w15:providerId="None" w15:userId="z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C0"/>
    <w:rsid w:val="007E74C0"/>
    <w:rsid w:val="008677AC"/>
    <w:rsid w:val="00EA09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F4F9"/>
  <w15:docId w15:val="{EBE0DCA7-7822-4B97-91DB-6036394E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8677AC"/>
    <w:rPr>
      <w:sz w:val="16"/>
      <w:szCs w:val="16"/>
    </w:rPr>
  </w:style>
  <w:style w:type="paragraph" w:styleId="Textocomentario">
    <w:name w:val="annotation text"/>
    <w:basedOn w:val="Normal"/>
    <w:link w:val="TextocomentarioCar"/>
    <w:uiPriority w:val="99"/>
    <w:semiHidden/>
    <w:unhideWhenUsed/>
    <w:rsid w:val="008677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77AC"/>
    <w:rPr>
      <w:sz w:val="20"/>
      <w:szCs w:val="20"/>
    </w:rPr>
  </w:style>
  <w:style w:type="paragraph" w:styleId="Asuntodelcomentario">
    <w:name w:val="annotation subject"/>
    <w:basedOn w:val="Textocomentario"/>
    <w:next w:val="Textocomentario"/>
    <w:link w:val="AsuntodelcomentarioCar"/>
    <w:uiPriority w:val="99"/>
    <w:semiHidden/>
    <w:unhideWhenUsed/>
    <w:rsid w:val="008677AC"/>
    <w:rPr>
      <w:b/>
      <w:bCs/>
    </w:rPr>
  </w:style>
  <w:style w:type="character" w:customStyle="1" w:styleId="AsuntodelcomentarioCar">
    <w:name w:val="Asunto del comentario Car"/>
    <w:basedOn w:val="TextocomentarioCar"/>
    <w:link w:val="Asuntodelcomentario"/>
    <w:uiPriority w:val="99"/>
    <w:semiHidden/>
    <w:rsid w:val="008677AC"/>
    <w:rPr>
      <w:b/>
      <w:bCs/>
      <w:sz w:val="20"/>
      <w:szCs w:val="20"/>
    </w:rPr>
  </w:style>
  <w:style w:type="paragraph" w:styleId="Textodeglobo">
    <w:name w:val="Balloon Text"/>
    <w:basedOn w:val="Normal"/>
    <w:link w:val="TextodegloboCar"/>
    <w:uiPriority w:val="99"/>
    <w:semiHidden/>
    <w:unhideWhenUsed/>
    <w:rsid w:val="008677A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7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191/1478088706qp063oa" TargetMode="External"/><Relationship Id="rId18" Type="http://schemas.openxmlformats.org/officeDocument/2006/relationships/hyperlink" Target="https://dx.doi.org/10.1590/S1413-81232012001000003"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periodicos.sbu.unicamp.br/ojs/index.php/cadpagu/article/view/8634465" TargetMode="External"/><Relationship Id="rId7" Type="http://schemas.microsoft.com/office/2011/relationships/commentsExtended" Target="commentsExtended.xml"/><Relationship Id="rId12" Type="http://schemas.openxmlformats.org/officeDocument/2006/relationships/hyperlink" Target="https://dx.doi.org/10.1590/S1414-98932013000300016" TargetMode="External"/><Relationship Id="rId17" Type="http://schemas.openxmlformats.org/officeDocument/2006/relationships/hyperlink" Target="https://periodicos.ufsc.br/index.php/ref/article/view/S0104-026X2008000300005/9130"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redalyc.org/articulo.oa?id=284/28438219" TargetMode="External"/><Relationship Id="rId20" Type="http://schemas.openxmlformats.org/officeDocument/2006/relationships/hyperlink" Target="https://dx.doi.org/10.1590/S1413-7372200800040000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x.doi.org/10.1590/S1414-98932012000500005" TargetMode="External"/><Relationship Id="rId24" Type="http://schemas.openxmlformats.org/officeDocument/2006/relationships/hyperlink" Target="http://www.labrys.net.br/labrys20/brasil/valeska.htm" TargetMode="External"/><Relationship Id="rId5" Type="http://schemas.openxmlformats.org/officeDocument/2006/relationships/endnotes" Target="endnotes.xml"/><Relationship Id="rId15" Type="http://schemas.openxmlformats.org/officeDocument/2006/relationships/hyperlink" Target="https://doi.org/10.1590/1982-10.1590/1982-3703020002017" TargetMode="External"/><Relationship Id="rId23" Type="http://schemas.openxmlformats.org/officeDocument/2006/relationships/hyperlink" Target="http://dx.doi.org/10.5433/2176-6665.2009v14n2p123" TargetMode="External"/><Relationship Id="rId28" Type="http://schemas.microsoft.com/office/2011/relationships/people" Target="people.xml"/><Relationship Id="rId10" Type="http://schemas.openxmlformats.org/officeDocument/2006/relationships/hyperlink" Target="https://www.redalyc.org/articulo.oa?id=284/28424858002" TargetMode="External"/><Relationship Id="rId19" Type="http://schemas.openxmlformats.org/officeDocument/2006/relationships/hyperlink" Target="https://dx.doi.org/10.1590/S1414-98932004000100006"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doi.org/10.1590/1413-81232018236.04872018" TargetMode="External"/><Relationship Id="rId22" Type="http://schemas.openxmlformats.org/officeDocument/2006/relationships/hyperlink" Target="https://doi.org/10.1590/S0104-8333200100010000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ialnet.unirioja.es/revista/12854/V/32" TargetMode="External"/><Relationship Id="rId2" Type="http://schemas.openxmlformats.org/officeDocument/2006/relationships/hyperlink" Target="https://journal.sipsych.org/index.php/IJP/issue/view/65" TargetMode="External"/><Relationship Id="rId1" Type="http://schemas.openxmlformats.org/officeDocument/2006/relationships/hyperlink" Target="https://journal.sipsych.org/index.php/IJP/issue/view/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10145</Words>
  <Characters>55799</Characters>
  <Application>Microsoft Office Word</Application>
  <DocSecurity>0</DocSecurity>
  <Lines>464</Lines>
  <Paragraphs>131</Paragraphs>
  <ScaleCrop>false</ScaleCrop>
  <Company/>
  <LinksUpToDate>false</LinksUpToDate>
  <CharactersWithSpaces>65813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zap</cp:lastModifiedBy>
  <cp:revision>2</cp:revision>
  <dcterms:created xsi:type="dcterms:W3CDTF">2020-10-30T14:14:00Z</dcterms:created>
  <dcterms:modified xsi:type="dcterms:W3CDTF">2020-10-30T14:28:00Z</dcterms:modified>
</cp:coreProperties>
</file>